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1B325" w14:textId="75C048FE" w:rsidR="006948B9" w:rsidRPr="006948B9" w:rsidRDefault="006948B9" w:rsidP="006948B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24MOC-55</w:t>
      </w:r>
    </w:p>
    <w:p w14:paraId="049C672D" w14:textId="5463CC97" w:rsidR="006948B9" w:rsidRPr="006948B9" w:rsidRDefault="006948B9" w:rsidP="006948B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 xml:space="preserve">Don Iñaki Iriarte López, miembro de las Cortes de Navarra, adscrito al Grupo Parlamentario </w:t>
      </w:r>
      <w:r w:rsidR="00FC4A3A">
        <w:rPr>
          <w:rFonts w:ascii="Calibri" w:hAnsi="Calibri" w:cs="Calibri"/>
          <w:color w:val="000000"/>
          <w:kern w:val="0"/>
          <w:sz w:val="22"/>
          <w:szCs w:val="22"/>
        </w:rPr>
        <w:t>Unión del Pueblo Navarro</w:t>
      </w: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, al amparo del Reglamento de la Cámara, presenta la siguiente moción para su debate y posterior seguimiento en la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 xml:space="preserve">Comisión de </w:t>
      </w:r>
      <w:r w:rsidR="00FC4A3A" w:rsidRPr="006948B9">
        <w:rPr>
          <w:rFonts w:ascii="Calibri" w:hAnsi="Calibri" w:cs="Calibri"/>
          <w:color w:val="000000"/>
          <w:kern w:val="0"/>
          <w:sz w:val="22"/>
          <w:szCs w:val="22"/>
        </w:rPr>
        <w:t xml:space="preserve">Convivencia </w:t>
      </w: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 xml:space="preserve">y </w:t>
      </w:r>
      <w:r w:rsidR="00FC4A3A" w:rsidRPr="006948B9">
        <w:rPr>
          <w:rFonts w:ascii="Calibri" w:hAnsi="Calibri" w:cs="Calibri"/>
          <w:color w:val="000000"/>
          <w:kern w:val="0"/>
          <w:sz w:val="22"/>
          <w:szCs w:val="22"/>
        </w:rPr>
        <w:t xml:space="preserve">Solidaridad </w:t>
      </w: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Internacional</w:t>
      </w:r>
      <w:r w:rsidR="00FC4A3A">
        <w:rPr>
          <w:rFonts w:ascii="Calibri" w:hAnsi="Calibri" w:cs="Calibri"/>
          <w:color w:val="000000"/>
          <w:kern w:val="0"/>
          <w:sz w:val="22"/>
          <w:szCs w:val="22"/>
        </w:rPr>
        <w:t>.</w:t>
      </w:r>
    </w:p>
    <w:p w14:paraId="743CCE94" w14:textId="7353B9CC" w:rsidR="006948B9" w:rsidRPr="006948B9" w:rsidRDefault="006948B9" w:rsidP="006948B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Moción por la que el Parlamento de Navarra insta al Gobierno de Navarra a incluir en la base de datos de víctimas y represaliados de la Guerra Civil y el Franquismo “</w:t>
      </w:r>
      <w:proofErr w:type="spellStart"/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Oroibidea</w:t>
      </w:r>
      <w:proofErr w:type="spellEnd"/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” a los asesinados y represaliados en el territorio controlado por las autoridades republicanas.</w:t>
      </w:r>
    </w:p>
    <w:p w14:paraId="5BCDE88B" w14:textId="44B2DC94" w:rsidR="006948B9" w:rsidRPr="006948B9" w:rsidRDefault="006948B9" w:rsidP="006948B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Exposición de motivos</w:t>
      </w:r>
    </w:p>
    <w:p w14:paraId="06BE75D8" w14:textId="058F5EB2" w:rsidR="006948B9" w:rsidRPr="006948B9" w:rsidRDefault="006948B9" w:rsidP="006948B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Recientemente el Departamento de Memoria y Convivencia, Euskera y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 xml:space="preserve">Acción Exterior ha puesto en marcha </w:t>
      </w:r>
      <w:proofErr w:type="spellStart"/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Oroibidea</w:t>
      </w:r>
      <w:proofErr w:type="spellEnd"/>
      <w:r w:rsidRPr="006948B9">
        <w:rPr>
          <w:rFonts w:ascii="Calibri" w:hAnsi="Calibri" w:cs="Calibri"/>
          <w:color w:val="000000"/>
          <w:kern w:val="0"/>
          <w:sz w:val="22"/>
          <w:szCs w:val="22"/>
        </w:rPr>
        <w:t xml:space="preserve">, </w:t>
      </w:r>
      <w:r w:rsidRPr="006948B9">
        <w:rPr>
          <w:rFonts w:ascii="Calibri" w:hAnsi="Calibri" w:cs="Calibri"/>
          <w:color w:val="1D1D1B"/>
          <w:kern w:val="0"/>
          <w:sz w:val="22"/>
          <w:szCs w:val="22"/>
        </w:rPr>
        <w:t>un archivo digital de la guerra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1D1D1B"/>
          <w:kern w:val="0"/>
          <w:sz w:val="22"/>
          <w:szCs w:val="22"/>
        </w:rPr>
        <w:t>civil y el franquismo. Esta página web incluye una herramienta para acceder a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1D1D1B"/>
          <w:kern w:val="0"/>
          <w:sz w:val="22"/>
          <w:szCs w:val="22"/>
        </w:rPr>
        <w:t>los datos de más de 23.000 navarros víctimas de la contienda y de la posterior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1D1D1B"/>
          <w:kern w:val="0"/>
          <w:sz w:val="22"/>
          <w:szCs w:val="22"/>
        </w:rPr>
        <w:t>la dictatura franquista, tanto si el acto represivo tuvo lugar en Navarra, como si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1D1D1B"/>
          <w:kern w:val="0"/>
          <w:sz w:val="22"/>
          <w:szCs w:val="22"/>
        </w:rPr>
        <w:t>fue cometido fuera de ella.</w:t>
      </w:r>
    </w:p>
    <w:p w14:paraId="232AE515" w14:textId="30A8C1BE" w:rsidR="006948B9" w:rsidRPr="006948B9" w:rsidRDefault="006948B9" w:rsidP="006948B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1D1D1B"/>
          <w:kern w:val="0"/>
          <w:sz w:val="22"/>
          <w:szCs w:val="22"/>
        </w:rPr>
      </w:pPr>
      <w:r w:rsidRPr="006948B9">
        <w:rPr>
          <w:rFonts w:ascii="Calibri" w:hAnsi="Calibri" w:cs="Calibri"/>
          <w:color w:val="1D1D1B"/>
          <w:kern w:val="0"/>
          <w:sz w:val="22"/>
          <w:szCs w:val="22"/>
        </w:rPr>
        <w:t>Sin duda, esta herramienta resulta de gran utilidad para garantizar “el</w:t>
      </w:r>
      <w:r>
        <w:rPr>
          <w:rFonts w:ascii="Calibri" w:hAnsi="Calibri" w:cs="Calibri"/>
          <w:color w:val="1D1D1B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1D1D1B"/>
          <w:kern w:val="0"/>
          <w:sz w:val="22"/>
          <w:szCs w:val="22"/>
        </w:rPr>
        <w:t>derecho de las víctimas y sus familias a la verdad; y también el derecho de la</w:t>
      </w:r>
      <w:r>
        <w:rPr>
          <w:rFonts w:ascii="Calibri" w:hAnsi="Calibri" w:cs="Calibri"/>
          <w:color w:val="1D1D1B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1D1D1B"/>
          <w:kern w:val="0"/>
          <w:sz w:val="22"/>
          <w:szCs w:val="22"/>
        </w:rPr>
        <w:t>ciudadanía, el derecho de la sociedad, a conocer la crudísima verdad de un</w:t>
      </w:r>
      <w:r>
        <w:rPr>
          <w:rFonts w:ascii="Calibri" w:hAnsi="Calibri" w:cs="Calibri"/>
          <w:color w:val="1D1D1B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1D1D1B"/>
          <w:kern w:val="0"/>
          <w:sz w:val="22"/>
          <w:szCs w:val="22"/>
        </w:rPr>
        <w:t>pasado terrible que se inició en julio de 1936 y se extendió durante 40 años de</w:t>
      </w:r>
      <w:r>
        <w:rPr>
          <w:rFonts w:ascii="Calibri" w:hAnsi="Calibri" w:cs="Calibri"/>
          <w:color w:val="1D1D1B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1D1D1B"/>
          <w:kern w:val="0"/>
          <w:sz w:val="22"/>
          <w:szCs w:val="22"/>
        </w:rPr>
        <w:t>dictadura”, tal y como señaló la Consejera en su presentación.</w:t>
      </w:r>
    </w:p>
    <w:p w14:paraId="167CC942" w14:textId="25187DC2" w:rsidR="006948B9" w:rsidRPr="006948B9" w:rsidRDefault="006948B9" w:rsidP="006948B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1D1D1B"/>
          <w:kern w:val="0"/>
          <w:sz w:val="22"/>
          <w:szCs w:val="22"/>
        </w:rPr>
      </w:pPr>
      <w:r w:rsidRPr="006948B9">
        <w:rPr>
          <w:rFonts w:ascii="Calibri" w:hAnsi="Calibri" w:cs="Calibri"/>
          <w:color w:val="1D1D1B"/>
          <w:kern w:val="0"/>
          <w:sz w:val="22"/>
          <w:szCs w:val="22"/>
        </w:rPr>
        <w:t xml:space="preserve">Sin embargo, </w:t>
      </w:r>
      <w:proofErr w:type="spellStart"/>
      <w:r w:rsidRPr="006948B9">
        <w:rPr>
          <w:rFonts w:ascii="Calibri" w:hAnsi="Calibri" w:cs="Calibri"/>
          <w:color w:val="1D1D1B"/>
          <w:kern w:val="0"/>
          <w:sz w:val="22"/>
          <w:szCs w:val="22"/>
        </w:rPr>
        <w:t>Oroibidea</w:t>
      </w:r>
      <w:proofErr w:type="spellEnd"/>
      <w:r w:rsidRPr="006948B9">
        <w:rPr>
          <w:rFonts w:ascii="Calibri" w:hAnsi="Calibri" w:cs="Calibri"/>
          <w:color w:val="1D1D1B"/>
          <w:kern w:val="0"/>
          <w:sz w:val="22"/>
          <w:szCs w:val="22"/>
        </w:rPr>
        <w:t xml:space="preserve"> excluye sistemáticamente a todas las personas</w:t>
      </w:r>
      <w:r>
        <w:rPr>
          <w:rFonts w:ascii="Calibri" w:hAnsi="Calibri" w:cs="Calibri"/>
          <w:color w:val="1D1D1B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1D1D1B"/>
          <w:kern w:val="0"/>
          <w:sz w:val="22"/>
          <w:szCs w:val="22"/>
        </w:rPr>
        <w:t>navarras que fueron objeto de represión en el territorio controlado por la</w:t>
      </w:r>
      <w:r>
        <w:rPr>
          <w:rFonts w:ascii="Calibri" w:hAnsi="Calibri" w:cs="Calibri"/>
          <w:color w:val="1D1D1B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1D1D1B"/>
          <w:kern w:val="0"/>
          <w:sz w:val="22"/>
          <w:szCs w:val="22"/>
        </w:rPr>
        <w:t>República.</w:t>
      </w:r>
    </w:p>
    <w:p w14:paraId="5FE397ED" w14:textId="6C145343" w:rsidR="006948B9" w:rsidRPr="001448F9" w:rsidRDefault="006948B9" w:rsidP="006948B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1D1D1B"/>
          <w:kern w:val="0"/>
          <w:sz w:val="22"/>
          <w:szCs w:val="22"/>
        </w:rPr>
      </w:pPr>
      <w:r w:rsidRPr="006948B9">
        <w:rPr>
          <w:rFonts w:ascii="Calibri" w:hAnsi="Calibri" w:cs="Calibri"/>
          <w:color w:val="1D1D1B"/>
          <w:kern w:val="0"/>
          <w:sz w:val="22"/>
          <w:szCs w:val="22"/>
        </w:rPr>
        <w:t>No existe ninguna justificación para esta exclusión, dado que la propia Ley</w:t>
      </w:r>
      <w:r>
        <w:rPr>
          <w:rFonts w:ascii="Calibri" w:hAnsi="Calibri" w:cs="Calibri"/>
          <w:color w:val="1D1D1B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1D1D1B"/>
          <w:kern w:val="0"/>
          <w:sz w:val="22"/>
          <w:szCs w:val="22"/>
        </w:rPr>
        <w:t>20/2022</w:t>
      </w:r>
      <w:r w:rsidR="007236B1">
        <w:rPr>
          <w:rFonts w:ascii="Calibri" w:hAnsi="Calibri" w:cs="Calibri"/>
          <w:color w:val="1D1D1B"/>
          <w:kern w:val="0"/>
          <w:sz w:val="22"/>
          <w:szCs w:val="22"/>
        </w:rPr>
        <w:t>,</w:t>
      </w:r>
      <w:r w:rsidRPr="006948B9">
        <w:rPr>
          <w:rFonts w:ascii="Calibri" w:hAnsi="Calibri" w:cs="Calibri"/>
          <w:color w:val="1D1D1B"/>
          <w:kern w:val="0"/>
          <w:sz w:val="22"/>
          <w:szCs w:val="22"/>
        </w:rPr>
        <w:t xml:space="preserve"> de Memoria democrática</w:t>
      </w:r>
      <w:r w:rsidR="007236B1">
        <w:rPr>
          <w:rFonts w:ascii="Calibri" w:hAnsi="Calibri" w:cs="Calibri"/>
          <w:color w:val="1D1D1B"/>
          <w:kern w:val="0"/>
          <w:sz w:val="22"/>
          <w:szCs w:val="22"/>
        </w:rPr>
        <w:t>,</w:t>
      </w:r>
      <w:r w:rsidRPr="006948B9">
        <w:rPr>
          <w:rFonts w:ascii="Calibri" w:hAnsi="Calibri" w:cs="Calibri"/>
          <w:color w:val="1D1D1B"/>
          <w:kern w:val="0"/>
          <w:sz w:val="22"/>
          <w:szCs w:val="22"/>
        </w:rPr>
        <w:t xml:space="preserve"> en su artículo tercero define como víctimas a:</w:t>
      </w:r>
      <w:r>
        <w:rPr>
          <w:rFonts w:ascii="Calibri" w:hAnsi="Calibri" w:cs="Calibri"/>
          <w:color w:val="1D1D1B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1D1D1B"/>
          <w:kern w:val="0"/>
          <w:sz w:val="22"/>
          <w:szCs w:val="22"/>
        </w:rPr>
        <w:t>“</w:t>
      </w:r>
      <w:r>
        <w:rPr>
          <w:rFonts w:ascii="Calibri" w:hAnsi="Calibri" w:cs="Calibri"/>
          <w:color w:val="000000"/>
          <w:kern w:val="0"/>
          <w:sz w:val="22"/>
          <w:szCs w:val="22"/>
        </w:rPr>
        <w:t>l</w:t>
      </w: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as personas que sufrieron persecución o violencia por razón de conciencia o</w:t>
      </w:r>
      <w:r>
        <w:rPr>
          <w:rFonts w:ascii="Calibri" w:hAnsi="Calibri" w:cs="Calibri"/>
          <w:color w:val="1D1D1B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creencias religiosas, así como aquellas personas represaliadas o perseguidas</w:t>
      </w:r>
      <w:r>
        <w:rPr>
          <w:rFonts w:ascii="Calibri" w:hAnsi="Calibri" w:cs="Calibri"/>
          <w:color w:val="1D1D1B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por pertenecer a la masonería o a las sociedades teosóficas y similares”, no</w:t>
      </w:r>
      <w:r>
        <w:rPr>
          <w:rFonts w:ascii="Calibri" w:hAnsi="Calibri" w:cs="Calibri"/>
          <w:color w:val="1D1D1B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excluyendo, por lo tanto, a las víctimas causadas por las fuerzas republicanas y</w:t>
      </w:r>
      <w:r>
        <w:rPr>
          <w:rFonts w:ascii="Calibri" w:hAnsi="Calibri" w:cs="Calibri"/>
          <w:color w:val="1D1D1B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sus aliados. En consecuencia, se hace necesario corregir esta ausencia que,</w:t>
      </w:r>
      <w:r>
        <w:rPr>
          <w:rFonts w:ascii="Calibri" w:hAnsi="Calibri" w:cs="Calibri"/>
          <w:color w:val="1D1D1B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lógicamente, ofende a los familiares de tales víctimas, invisibilizando los abusos</w:t>
      </w:r>
      <w:r w:rsidR="001448F9">
        <w:rPr>
          <w:rFonts w:ascii="Calibri" w:hAnsi="Calibri" w:cs="Calibri"/>
          <w:color w:val="1D1D1B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y la violencia injusta de la que fueron objeto sus familiares.</w:t>
      </w:r>
    </w:p>
    <w:p w14:paraId="394845D3" w14:textId="77777777" w:rsidR="006948B9" w:rsidRPr="001448F9" w:rsidRDefault="006948B9" w:rsidP="006948B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1448F9">
        <w:rPr>
          <w:rFonts w:ascii="Calibri" w:hAnsi="Calibri" w:cs="Calibri"/>
          <w:color w:val="000000"/>
          <w:kern w:val="0"/>
          <w:sz w:val="22"/>
          <w:szCs w:val="22"/>
        </w:rPr>
        <w:t>Propuesta de resolución:</w:t>
      </w:r>
    </w:p>
    <w:p w14:paraId="7D440E19" w14:textId="62CB26C0" w:rsidR="006948B9" w:rsidRPr="006948B9" w:rsidRDefault="006948B9" w:rsidP="006948B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1. El Parlamento de Navarra insta al Gobierno de Navarra a incluir</w:t>
      </w:r>
      <w:r w:rsidR="001448F9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 xml:space="preserve">dentro de la base de datos de </w:t>
      </w:r>
      <w:proofErr w:type="spellStart"/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Oroibidea</w:t>
      </w:r>
      <w:proofErr w:type="spellEnd"/>
      <w:r w:rsidRPr="006948B9">
        <w:rPr>
          <w:rFonts w:ascii="Calibri" w:hAnsi="Calibri" w:cs="Calibri"/>
          <w:color w:val="000000"/>
          <w:kern w:val="0"/>
          <w:sz w:val="22"/>
          <w:szCs w:val="22"/>
        </w:rPr>
        <w:t xml:space="preserve"> a los ciudadanos y ciudadanas de</w:t>
      </w:r>
      <w:r w:rsidR="001448F9">
        <w:rPr>
          <w:rFonts w:ascii="Calibri" w:hAnsi="Calibri" w:cs="Calibri"/>
          <w:color w:val="000000"/>
          <w:kern w:val="0"/>
          <w:sz w:val="22"/>
          <w:szCs w:val="22"/>
        </w:rPr>
        <w:t xml:space="preserve"> N</w:t>
      </w: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avarra víctimas de vulneraciones de sus derechos más básicos en el territorio</w:t>
      </w:r>
      <w:r w:rsidR="007236B1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controlado por el Gobierno legítimo de la República.</w:t>
      </w:r>
    </w:p>
    <w:p w14:paraId="7AE84C84" w14:textId="3DE96F2F" w:rsidR="006948B9" w:rsidRPr="006948B9" w:rsidRDefault="006948B9" w:rsidP="006948B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2. El Parlamento de Navarra muestra su solidaridad a los familiares</w:t>
      </w:r>
      <w:r w:rsidR="001448F9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de todas las víctimas de persecución política por razón de conciencia o creencias</w:t>
      </w:r>
      <w:r w:rsidR="001448F9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religiosas durante la Guerra civil y la dictadura franquista y denuncia el carácter</w:t>
      </w:r>
      <w:r w:rsidR="001448F9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injusto e ilegítimo de dicha persecución</w:t>
      </w:r>
    </w:p>
    <w:p w14:paraId="3CCC63C8" w14:textId="52A92CA6" w:rsidR="006948B9" w:rsidRPr="006948B9" w:rsidRDefault="006948B9" w:rsidP="006948B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6948B9">
        <w:rPr>
          <w:rFonts w:ascii="Calibri" w:hAnsi="Calibri" w:cs="Calibri"/>
          <w:color w:val="000000"/>
          <w:kern w:val="0"/>
          <w:sz w:val="22"/>
          <w:szCs w:val="22"/>
        </w:rPr>
        <w:lastRenderedPageBreak/>
        <w:t>Pamplona, 11 de abril de 2024</w:t>
      </w:r>
    </w:p>
    <w:p w14:paraId="7968867C" w14:textId="7CD312DC" w:rsidR="008D7F85" w:rsidRPr="006948B9" w:rsidRDefault="006948B9" w:rsidP="006948B9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El Parlamentario Foral: </w:t>
      </w:r>
      <w:r w:rsidRPr="006948B9">
        <w:rPr>
          <w:rFonts w:ascii="Calibri" w:hAnsi="Calibri" w:cs="Calibri"/>
          <w:color w:val="000000"/>
          <w:kern w:val="0"/>
          <w:sz w:val="22"/>
          <w:szCs w:val="22"/>
        </w:rPr>
        <w:t>Iñaki Iriarte López</w:t>
      </w:r>
    </w:p>
    <w:p w14:paraId="18FF826A" w14:textId="77777777" w:rsidR="006948B9" w:rsidRPr="006948B9" w:rsidRDefault="006948B9" w:rsidP="006948B9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2295B9B9" w14:textId="77777777" w:rsidR="006948B9" w:rsidRPr="006948B9" w:rsidRDefault="006948B9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6948B9" w:rsidRPr="006948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B9"/>
    <w:rsid w:val="001448F9"/>
    <w:rsid w:val="006948B9"/>
    <w:rsid w:val="007236B1"/>
    <w:rsid w:val="008D7F85"/>
    <w:rsid w:val="00A36075"/>
    <w:rsid w:val="00BE5A56"/>
    <w:rsid w:val="00E2340F"/>
    <w:rsid w:val="00FC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DA32"/>
  <w15:chartTrackingRefBased/>
  <w15:docId w15:val="{0D3156C1-870B-40D0-9588-263FEB9A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4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4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4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4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4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4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4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4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4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4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4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4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48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48B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48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48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48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48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4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4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4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4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4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48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48B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48B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4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48B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4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Aranaz, Carlota</cp:lastModifiedBy>
  <cp:revision>4</cp:revision>
  <dcterms:created xsi:type="dcterms:W3CDTF">2024-04-12T06:48:00Z</dcterms:created>
  <dcterms:modified xsi:type="dcterms:W3CDTF">2024-04-12T07:42:00Z</dcterms:modified>
</cp:coreProperties>
</file>