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D22AD" w14:textId="6E045C1E" w:rsidR="00E114C3" w:rsidRPr="006056FE" w:rsidRDefault="006056FE" w:rsidP="00EC0BEF">
      <w:pPr>
        <w:pStyle w:val="Style"/>
        <w:spacing w:before="100" w:beforeAutospacing="1" w:after="200" w:line="276" w:lineRule="auto"/>
        <w:ind w:right="1469" w:firstLine="708"/>
        <w:jc w:val="both"/>
        <w:textAlignment w:val="baseline"/>
        <w:rPr>
          <w:rFonts w:ascii="Calibri" w:hAnsi="Calibri" w:cs="Calibri"/>
          <w:sz w:val="22"/>
          <w:szCs w:val="22"/>
        </w:rPr>
      </w:pPr>
      <w:r>
        <w:rPr>
          <w:rFonts w:ascii="Calibri" w:hAnsi="Calibri"/>
          <w:sz w:val="22"/>
        </w:rPr>
        <w:t>24MOC-57</w:t>
      </w:r>
    </w:p>
    <w:p w14:paraId="27428D4D" w14:textId="063F1654" w:rsidR="006056FE" w:rsidRPr="006056FE" w:rsidRDefault="006056FE" w:rsidP="00EC0BEF">
      <w:pPr>
        <w:pStyle w:val="Style"/>
        <w:spacing w:before="100" w:beforeAutospacing="1" w:after="200" w:line="276" w:lineRule="auto"/>
        <w:ind w:left="708" w:right="1469"/>
        <w:jc w:val="both"/>
        <w:textAlignment w:val="baseline"/>
        <w:rPr>
          <w:rFonts w:ascii="Calibri" w:hAnsi="Calibri" w:cs="Calibri"/>
          <w:sz w:val="22"/>
          <w:szCs w:val="22"/>
        </w:rPr>
      </w:pPr>
      <w:r>
        <w:rPr>
          <w:rFonts w:ascii="Calibri" w:hAnsi="Calibri"/>
          <w:sz w:val="22"/>
        </w:rPr>
        <w:t xml:space="preserve">EH Bildu Nafarroa talde parlamentarioari atxikitako foru parlamentari Txomin González Martínezek, Legebiltzarreko Erregelamenduan ezarritakoaren babesean, honako mozio hau aurkezten du, Nafarroako Parlamentuaren Osoko Bilkuran eztabaidatu eta bozkatzeko. </w:t>
      </w:r>
    </w:p>
    <w:p w14:paraId="38E01713" w14:textId="3CA9F11A" w:rsidR="006056FE" w:rsidRPr="006056FE" w:rsidRDefault="006056FE" w:rsidP="00EC0BEF">
      <w:pPr>
        <w:pStyle w:val="Style"/>
        <w:spacing w:before="100" w:beforeAutospacing="1" w:after="200" w:line="276" w:lineRule="auto"/>
        <w:ind w:right="1560" w:firstLine="708"/>
        <w:jc w:val="both"/>
        <w:textAlignment w:val="baseline"/>
        <w:rPr>
          <w:rFonts w:ascii="Calibri" w:hAnsi="Calibri" w:cs="Calibri"/>
          <w:bCs/>
          <w:sz w:val="22"/>
          <w:szCs w:val="22"/>
        </w:rPr>
      </w:pPr>
      <w:r>
        <w:rPr>
          <w:rFonts w:ascii="Calibri" w:hAnsi="Calibri"/>
          <w:sz w:val="22"/>
        </w:rPr>
        <w:t xml:space="preserve">Zioen azalpena </w:t>
      </w:r>
    </w:p>
    <w:p w14:paraId="00784B86" w14:textId="77777777" w:rsidR="006056FE" w:rsidRDefault="00EC0BEF" w:rsidP="00EC0BEF">
      <w:pPr>
        <w:pStyle w:val="Style"/>
        <w:spacing w:before="100" w:beforeAutospacing="1" w:after="200" w:line="276" w:lineRule="auto"/>
        <w:ind w:left="708" w:right="1560"/>
        <w:jc w:val="both"/>
        <w:textAlignment w:val="baseline"/>
        <w:rPr>
          <w:rFonts w:ascii="Calibri" w:hAnsi="Calibri" w:cs="Calibri"/>
          <w:sz w:val="22"/>
          <w:szCs w:val="22"/>
        </w:rPr>
      </w:pPr>
      <w:r>
        <w:rPr>
          <w:rFonts w:ascii="Calibri" w:hAnsi="Calibri"/>
          <w:sz w:val="22"/>
        </w:rPr>
        <w:t xml:space="preserve">Osasun Departamentuaren eta haren mendeko erakunde autonomoen –Nafarroako Osasun Zerbitzua eta NOPLOI– egungo ordainsari-sistemek ezaugarri komun bat dute: 1992ko ordainsari-sistema zaharkitu betetik heldu dira (11/1992 Foru Legea). Sistema horrek hiru ordainsari-mota jasotzen ditu: </w:t>
      </w:r>
    </w:p>
    <w:p w14:paraId="38370338" w14:textId="2A0108A2" w:rsidR="00E114C3" w:rsidRPr="006056FE" w:rsidRDefault="00EC0BEF" w:rsidP="00EC0BEF">
      <w:pPr>
        <w:pStyle w:val="Style"/>
        <w:numPr>
          <w:ilvl w:val="0"/>
          <w:numId w:val="2"/>
        </w:numPr>
        <w:spacing w:before="100" w:beforeAutospacing="1" w:after="200" w:line="276" w:lineRule="auto"/>
        <w:ind w:left="1704" w:right="1560" w:hanging="240"/>
        <w:jc w:val="both"/>
        <w:textAlignment w:val="baseline"/>
        <w:rPr>
          <w:rFonts w:ascii="Calibri" w:hAnsi="Calibri" w:cs="Calibri"/>
          <w:sz w:val="22"/>
          <w:szCs w:val="22"/>
        </w:rPr>
      </w:pPr>
      <w:r>
        <w:rPr>
          <w:rFonts w:ascii="Calibri" w:hAnsi="Calibri"/>
          <w:sz w:val="22"/>
        </w:rPr>
        <w:t>Oinarrizko ordainsari pertsonalak (mailaren araberako hasierako soldata eta antzinatasuna)</w:t>
      </w:r>
      <w:r w:rsidR="002649C9">
        <w:rPr>
          <w:rFonts w:ascii="Calibri" w:hAnsi="Calibri"/>
          <w:sz w:val="22"/>
        </w:rPr>
        <w:t>.</w:t>
      </w:r>
    </w:p>
    <w:p w14:paraId="695D1725" w14:textId="2F2CAAB5" w:rsidR="006056FE" w:rsidRPr="006056FE" w:rsidRDefault="00EC0BEF" w:rsidP="00EC0BEF">
      <w:pPr>
        <w:pStyle w:val="Style"/>
        <w:numPr>
          <w:ilvl w:val="0"/>
          <w:numId w:val="2"/>
        </w:numPr>
        <w:spacing w:before="100" w:beforeAutospacing="1" w:after="200" w:line="276" w:lineRule="auto"/>
        <w:ind w:left="1637" w:right="1627" w:hanging="221"/>
        <w:jc w:val="both"/>
        <w:textAlignment w:val="baseline"/>
        <w:rPr>
          <w:rFonts w:ascii="Calibri" w:hAnsi="Calibri" w:cs="Calibri"/>
          <w:sz w:val="22"/>
          <w:szCs w:val="22"/>
        </w:rPr>
      </w:pPr>
      <w:r>
        <w:rPr>
          <w:rFonts w:ascii="Calibri" w:hAnsi="Calibri"/>
          <w:sz w:val="22"/>
        </w:rPr>
        <w:t>Lanpostuko ordainsari osagarriak (destinoko osagarria, osagarri berariazkoa, produktibitate-osagarria, lanaldi-luzapena edo arrisku berezia...)</w:t>
      </w:r>
      <w:r w:rsidR="002649C9">
        <w:rPr>
          <w:rFonts w:ascii="Calibri" w:hAnsi="Calibri"/>
          <w:sz w:val="22"/>
        </w:rPr>
        <w:t>.</w:t>
      </w:r>
    </w:p>
    <w:p w14:paraId="15650963" w14:textId="0B1869BC" w:rsidR="00E114C3" w:rsidRPr="006056FE" w:rsidRDefault="00EC0BEF" w:rsidP="00EC0BEF">
      <w:pPr>
        <w:pStyle w:val="Style"/>
        <w:numPr>
          <w:ilvl w:val="0"/>
          <w:numId w:val="2"/>
        </w:numPr>
        <w:spacing w:before="100" w:beforeAutospacing="1" w:after="200" w:line="276" w:lineRule="auto"/>
        <w:ind w:left="1637" w:right="1627" w:hanging="221"/>
        <w:jc w:val="both"/>
        <w:textAlignment w:val="baseline"/>
        <w:rPr>
          <w:rFonts w:ascii="Calibri" w:hAnsi="Calibri" w:cs="Calibri"/>
          <w:sz w:val="22"/>
          <w:szCs w:val="22"/>
        </w:rPr>
      </w:pPr>
      <w:r>
        <w:rPr>
          <w:rFonts w:ascii="Calibri" w:hAnsi="Calibri"/>
          <w:sz w:val="22"/>
        </w:rPr>
        <w:t xml:space="preserve">Kalte-ordainak eta bestelako ordainsari bereziak (sakabanatze geografikoagatiko gehigarria, familia-laguntza, zerbitzua dela-eta egindako gastuak, bidaiak edo bizilekua aldatzea dakarren nahitaezko lekualdatzea, aparteko orduak...). </w:t>
      </w:r>
    </w:p>
    <w:p w14:paraId="6025E79D" w14:textId="77777777" w:rsidR="00E114C3" w:rsidRPr="006056FE" w:rsidRDefault="00EC0BEF" w:rsidP="00EC0BEF">
      <w:pPr>
        <w:pStyle w:val="Style"/>
        <w:spacing w:before="100" w:beforeAutospacing="1" w:after="200" w:line="276" w:lineRule="auto"/>
        <w:ind w:left="708" w:right="1565"/>
        <w:jc w:val="both"/>
        <w:textAlignment w:val="baseline"/>
        <w:rPr>
          <w:rFonts w:ascii="Calibri" w:hAnsi="Calibri" w:cs="Calibri"/>
          <w:sz w:val="22"/>
          <w:szCs w:val="22"/>
        </w:rPr>
      </w:pPr>
      <w:r>
        <w:rPr>
          <w:rFonts w:ascii="Calibri" w:hAnsi="Calibri"/>
          <w:sz w:val="22"/>
        </w:rPr>
        <w:t xml:space="preserve">Geroago heldu zen lanbide-karrerari buruzko legeak parametro berri batzuk jaso zituen, baina praktikan ez daukanez lortutako merezimendu profesionalak egiaz diskriminatzeko mekanismorik, antzinatasuna ordaintzeko mekanismo gehigarri bihurtu da. </w:t>
      </w:r>
    </w:p>
    <w:p w14:paraId="29336B45" w14:textId="77777777" w:rsidR="00E114C3" w:rsidRPr="006056FE" w:rsidRDefault="00EC0BEF" w:rsidP="00EC0BEF">
      <w:pPr>
        <w:pStyle w:val="Style"/>
        <w:spacing w:before="100" w:beforeAutospacing="1" w:after="200" w:line="276" w:lineRule="auto"/>
        <w:ind w:left="708" w:right="1565"/>
        <w:jc w:val="both"/>
        <w:textAlignment w:val="baseline"/>
        <w:rPr>
          <w:rFonts w:ascii="Calibri" w:hAnsi="Calibri" w:cs="Calibri"/>
          <w:sz w:val="22"/>
          <w:szCs w:val="22"/>
        </w:rPr>
      </w:pPr>
      <w:r>
        <w:rPr>
          <w:rFonts w:ascii="Calibri" w:hAnsi="Calibri"/>
          <w:sz w:val="22"/>
        </w:rPr>
        <w:t xml:space="preserve">Gaur egun, ez osasun-sistemako profesionalentzat indarrean diren titulazio ofizialekin, ez Europako eremu akademikoarekin bat ez datorren mailaren definizio batean oinarritzen dira oinarrizko ordainsari pertsonalak. </w:t>
      </w:r>
    </w:p>
    <w:p w14:paraId="34A70BDC" w14:textId="497A4B00" w:rsidR="00E114C3" w:rsidRPr="006056FE" w:rsidRDefault="00EC0BEF" w:rsidP="00EC0BEF">
      <w:pPr>
        <w:pStyle w:val="Style"/>
        <w:spacing w:before="100" w:beforeAutospacing="1" w:after="200" w:line="276" w:lineRule="auto"/>
        <w:ind w:left="708" w:right="1622"/>
        <w:jc w:val="both"/>
        <w:textAlignment w:val="baseline"/>
        <w:rPr>
          <w:rFonts w:ascii="Calibri" w:hAnsi="Calibri" w:cs="Calibri"/>
          <w:sz w:val="22"/>
          <w:szCs w:val="22"/>
        </w:rPr>
      </w:pPr>
      <w:r>
        <w:rPr>
          <w:rFonts w:ascii="Calibri" w:hAnsi="Calibri"/>
          <w:sz w:val="22"/>
        </w:rPr>
        <w:t xml:space="preserve">Ordainsari osagarriek ez dute islatzen osasun-sistema publikoan lan egiten dutenei eragiten dien egoera profesionalen aniztasuna, eta zehaztugabetasunak zenbait kasutan dakar eite atipikoak baliatzea egoera administratibo errealarekin edo lanpostu bakoitzaren ezaugarriekin bat ez datozen egoerak ordaintzeko (langilerik gabeko </w:t>
      </w:r>
      <w:proofErr w:type="spellStart"/>
      <w:r>
        <w:rPr>
          <w:rFonts w:ascii="Calibri" w:hAnsi="Calibri"/>
          <w:sz w:val="22"/>
        </w:rPr>
        <w:t>atalburutzak</w:t>
      </w:r>
      <w:proofErr w:type="spellEnd"/>
      <w:r>
        <w:rPr>
          <w:rFonts w:ascii="Calibri" w:hAnsi="Calibri"/>
          <w:sz w:val="22"/>
        </w:rPr>
        <w:t xml:space="preserve"> edo </w:t>
      </w:r>
      <w:proofErr w:type="spellStart"/>
      <w:r>
        <w:rPr>
          <w:rFonts w:ascii="Calibri" w:hAnsi="Calibri"/>
          <w:sz w:val="22"/>
        </w:rPr>
        <w:t>zerbitzuburutzak</w:t>
      </w:r>
      <w:proofErr w:type="spellEnd"/>
      <w:r>
        <w:rPr>
          <w:rFonts w:ascii="Calibri" w:hAnsi="Calibri"/>
          <w:sz w:val="22"/>
        </w:rPr>
        <w:t xml:space="preserve">, produktibitate finkoaren osagarria...).   </w:t>
      </w:r>
    </w:p>
    <w:p w14:paraId="27732C7C" w14:textId="494BE0EE" w:rsidR="006056FE" w:rsidRDefault="00EC0BEF" w:rsidP="00EC0BEF">
      <w:pPr>
        <w:pStyle w:val="Style"/>
        <w:spacing w:before="100" w:beforeAutospacing="1" w:after="200" w:line="276" w:lineRule="auto"/>
        <w:ind w:left="708" w:right="1565"/>
        <w:jc w:val="both"/>
        <w:textAlignment w:val="baseline"/>
        <w:rPr>
          <w:rFonts w:ascii="Calibri" w:hAnsi="Calibri" w:cs="Calibri"/>
          <w:sz w:val="22"/>
          <w:szCs w:val="22"/>
        </w:rPr>
      </w:pPr>
      <w:r>
        <w:rPr>
          <w:rFonts w:ascii="Calibri" w:hAnsi="Calibri"/>
          <w:sz w:val="22"/>
        </w:rPr>
        <w:t xml:space="preserve">Bestalde, beharrezkoa da identifikatzea zer eginkizun ordaindu behar den dedikazio eta sistemarekiko lotura handiagoa daukatelako, bai eta zer egoera dela-eta ezarri behar diren osagarri bereziak, exijentzia pertsonal edo profesional handiagoa dakartelako. Honako hauek egon litezke horien artean: produktibitatea, arriskua, dispertsio geografikoa edo betetzen zailak diren lanpostuak, guardiako txandak, erantzukizun bereziko lanpostuak, zailtasun bereziko lanpostuak, hobekuntza-taldeetan parte hartzea inplikazio-maila ezberdinekin, </w:t>
      </w:r>
      <w:proofErr w:type="spellStart"/>
      <w:r>
        <w:rPr>
          <w:rFonts w:ascii="Calibri" w:hAnsi="Calibri"/>
          <w:sz w:val="22"/>
        </w:rPr>
        <w:t>graduaurreko</w:t>
      </w:r>
      <w:proofErr w:type="spellEnd"/>
      <w:r>
        <w:rPr>
          <w:rFonts w:ascii="Calibri" w:hAnsi="Calibri"/>
          <w:sz w:val="22"/>
        </w:rPr>
        <w:t xml:space="preserve">-irakaskuntzako profila, graduondokoa, prestakuntza etengabea, ikerkuntzan inplikatzea, bai eta kontuan hartu beharreko beste alderdi batzuk ere, sistemarekiko inplikazio-maila ezberdinak dakartzatelako, osasun-arreta eta haren helburuak. </w:t>
      </w:r>
    </w:p>
    <w:p w14:paraId="111D0338" w14:textId="0116A042" w:rsidR="006056FE" w:rsidRPr="00BF2D49" w:rsidRDefault="00EC0BEF" w:rsidP="00EC0BEF">
      <w:pPr>
        <w:pStyle w:val="Style"/>
        <w:spacing w:before="100" w:beforeAutospacing="1" w:after="200" w:line="276" w:lineRule="auto"/>
        <w:ind w:right="1541" w:firstLine="708"/>
        <w:jc w:val="both"/>
        <w:textAlignment w:val="baseline"/>
        <w:rPr>
          <w:rFonts w:ascii="Calibri" w:hAnsi="Calibri" w:cs="Calibri"/>
          <w:bCs/>
          <w:sz w:val="22"/>
          <w:szCs w:val="22"/>
        </w:rPr>
      </w:pPr>
      <w:r>
        <w:rPr>
          <w:rFonts w:ascii="Calibri" w:hAnsi="Calibri"/>
          <w:sz w:val="22"/>
        </w:rPr>
        <w:t>Hori dela-eta, honako erabaki proposamen hau aurkezten dugu:</w:t>
      </w:r>
    </w:p>
    <w:p w14:paraId="322C062C" w14:textId="77777777" w:rsidR="00BF2D49" w:rsidRDefault="00EC0BEF" w:rsidP="00EC0BEF">
      <w:pPr>
        <w:pStyle w:val="Style"/>
        <w:spacing w:before="100" w:beforeAutospacing="1" w:after="200" w:line="276" w:lineRule="auto"/>
        <w:ind w:left="708" w:right="1536"/>
        <w:jc w:val="both"/>
        <w:textAlignment w:val="baseline"/>
        <w:rPr>
          <w:rFonts w:ascii="Calibri" w:eastAsia="Arial" w:hAnsi="Calibri" w:cs="Calibri"/>
          <w:bCs/>
          <w:sz w:val="22"/>
          <w:szCs w:val="22"/>
        </w:rPr>
      </w:pPr>
      <w:r>
        <w:rPr>
          <w:rFonts w:ascii="Calibri" w:hAnsi="Calibri"/>
          <w:sz w:val="22"/>
        </w:rPr>
        <w:t xml:space="preserve">Nafarroako Parlamentuak Nafarroako Gobernua ea Osasun Departamentua premiatzen ditu azterlan bat egin dezaten urtebeteko epean, osasun-sistema publikoko profesionalei ordaintzen zaizkien alderdi guztiak baloratzeko (oinarrizko ordainsari pertsonala, ordainsari osagarriak eta kalte-ordainak eta bestelako ordainsari bereziak), </w:t>
      </w:r>
      <w:r>
        <w:rPr>
          <w:rFonts w:ascii="Calibri" w:hAnsi="Calibri"/>
          <w:sz w:val="22"/>
        </w:rPr>
        <w:lastRenderedPageBreak/>
        <w:t xml:space="preserve">non osasun-sistema publikoan aritzen diren lanpostuen definiziorako elementuak jasoko baitira (maila-atxikipena, osasun-lanpostutzat hartzea...), horrekiko-lotura, estamentuen arteko </w:t>
      </w:r>
      <w:proofErr w:type="spellStart"/>
      <w:r>
        <w:rPr>
          <w:rFonts w:ascii="Calibri" w:hAnsi="Calibri"/>
          <w:sz w:val="22"/>
        </w:rPr>
        <w:t>moldakortasuna</w:t>
      </w:r>
      <w:proofErr w:type="spellEnd"/>
      <w:r>
        <w:rPr>
          <w:rFonts w:ascii="Calibri" w:hAnsi="Calibri"/>
          <w:sz w:val="22"/>
        </w:rPr>
        <w:t>, halako moduan non optimizatu eginen baita prestakuntzaren arloko inbertsioa edo antzeko lan-profilei lotutako espezializazioa, Europako eremu akademikoari egokitua. Azterlanaren emaitza parte-hartze politiko, sindikal eta herritarrari irekitako formatu batean aurkeztu beharko da, halako moduan non ezarri beharreko ordainsari-oinarri berriek adostasun eta gardentasun handia izanen baitute.</w:t>
      </w:r>
    </w:p>
    <w:p w14:paraId="01B86AE0" w14:textId="1B7220A1" w:rsidR="00E114C3" w:rsidRDefault="00EC0BEF" w:rsidP="00EC0BEF">
      <w:pPr>
        <w:pStyle w:val="Style"/>
        <w:spacing w:before="100" w:beforeAutospacing="1" w:after="200" w:line="276" w:lineRule="auto"/>
        <w:ind w:left="1464" w:right="1536"/>
        <w:jc w:val="both"/>
        <w:textAlignment w:val="baseline"/>
        <w:rPr>
          <w:rFonts w:ascii="Calibri" w:eastAsia="Arial" w:hAnsi="Calibri" w:cs="Calibri"/>
          <w:sz w:val="22"/>
          <w:szCs w:val="22"/>
        </w:rPr>
      </w:pPr>
      <w:r>
        <w:rPr>
          <w:rFonts w:ascii="Calibri" w:hAnsi="Calibri"/>
          <w:sz w:val="22"/>
        </w:rPr>
        <w:t>Iruñean, 2024ko apirilaren 23an</w:t>
      </w:r>
    </w:p>
    <w:p w14:paraId="21050F87" w14:textId="24515FD9" w:rsidR="00BF2D49" w:rsidRPr="00BF2D49" w:rsidRDefault="00BF2D49" w:rsidP="00EC0BEF">
      <w:pPr>
        <w:pStyle w:val="Style"/>
        <w:spacing w:before="100" w:beforeAutospacing="1" w:after="200" w:line="276" w:lineRule="auto"/>
        <w:ind w:left="1464" w:right="1536"/>
        <w:jc w:val="both"/>
        <w:textAlignment w:val="baseline"/>
        <w:rPr>
          <w:rFonts w:ascii="Calibri" w:hAnsi="Calibri" w:cs="Calibri"/>
          <w:bCs/>
          <w:sz w:val="22"/>
          <w:szCs w:val="22"/>
        </w:rPr>
      </w:pPr>
      <w:r>
        <w:rPr>
          <w:rFonts w:ascii="Calibri" w:hAnsi="Calibri"/>
          <w:sz w:val="22"/>
        </w:rPr>
        <w:t>Foru parlamentaria: Domingo González Martínez</w:t>
      </w:r>
    </w:p>
    <w:sectPr w:rsidR="00BF2D49" w:rsidRPr="00BF2D49" w:rsidSect="009F76E7">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06AA4"/>
    <w:multiLevelType w:val="singleLevel"/>
    <w:tmpl w:val="837EE6E2"/>
    <w:lvl w:ilvl="0">
      <w:start w:val="1"/>
      <w:numFmt w:val="upperLetter"/>
      <w:lvlText w:val="%1)"/>
      <w:legacy w:legacy="1" w:legacySpace="0" w:legacyIndent="0"/>
      <w:lvlJc w:val="left"/>
      <w:rPr>
        <w:rFonts w:ascii="Arial" w:hAnsi="Arial" w:cs="Arial" w:hint="default"/>
        <w:sz w:val="18"/>
        <w:szCs w:val="18"/>
      </w:rPr>
    </w:lvl>
  </w:abstractNum>
  <w:abstractNum w:abstractNumId="1" w15:restartNumberingAfterBreak="0">
    <w:nsid w:val="267759CD"/>
    <w:multiLevelType w:val="singleLevel"/>
    <w:tmpl w:val="C678860E"/>
    <w:lvl w:ilvl="0">
      <w:start w:val="1"/>
      <w:numFmt w:val="upperLetter"/>
      <w:lvlText w:val="%1)"/>
      <w:legacy w:legacy="1" w:legacySpace="0" w:legacyIndent="0"/>
      <w:lvlJc w:val="left"/>
      <w:rPr>
        <w:rFonts w:ascii="Arial" w:hAnsi="Arial" w:cs="Arial" w:hint="default"/>
        <w:sz w:val="18"/>
        <w:szCs w:val="18"/>
      </w:rPr>
    </w:lvl>
  </w:abstractNum>
  <w:num w:numId="1" w16cid:durableId="998920951">
    <w:abstractNumId w:val="1"/>
  </w:num>
  <w:num w:numId="2" w16cid:durableId="2074153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114C3"/>
    <w:rsid w:val="002649C9"/>
    <w:rsid w:val="005332B5"/>
    <w:rsid w:val="006056FE"/>
    <w:rsid w:val="009F76E7"/>
    <w:rsid w:val="00A550CF"/>
    <w:rsid w:val="00BF2D49"/>
    <w:rsid w:val="00E02A35"/>
    <w:rsid w:val="00E114C3"/>
    <w:rsid w:val="00EC0B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2264E"/>
  <w15:docId w15:val="{3A90C239-B0B7-45A4-8BE4-B762ECAE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577</Words>
  <Characters>3174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24MOC-57</vt:lpstr>
    </vt:vector>
  </TitlesOfParts>
  <Company>HP Inc.</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24MOC-57</dc:title>
  <dc:creator>informatica</dc:creator>
  <cp:keywords>CreatedByIRIS_Readiris_17.0</cp:keywords>
  <cp:lastModifiedBy>Martin Cestao, Nerea</cp:lastModifiedBy>
  <cp:revision>8</cp:revision>
  <dcterms:created xsi:type="dcterms:W3CDTF">2024-04-24T11:09:00Z</dcterms:created>
  <dcterms:modified xsi:type="dcterms:W3CDTF">2024-05-03T05:16:00Z</dcterms:modified>
</cp:coreProperties>
</file>