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61925" w14:textId="77777777" w:rsidR="0042606E" w:rsidRPr="0042606E" w:rsidRDefault="0042606E" w:rsidP="002275EA">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42606E">
        <w:rPr>
          <w:rFonts w:ascii="Calibri" w:eastAsia="Arial" w:hAnsi="Calibri" w:cs="Calibri"/>
          <w:sz w:val="22"/>
          <w:szCs w:val="22"/>
        </w:rPr>
        <w:t>24PES-220</w:t>
      </w:r>
    </w:p>
    <w:p w14:paraId="6B075363" w14:textId="77777777" w:rsidR="0042606E" w:rsidRPr="0042606E" w:rsidRDefault="00637238" w:rsidP="002275EA">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42606E">
        <w:rPr>
          <w:rFonts w:ascii="Calibri" w:eastAsia="Arial" w:hAnsi="Calibri" w:cs="Calibri"/>
          <w:sz w:val="22"/>
          <w:szCs w:val="22"/>
        </w:rPr>
        <w:t xml:space="preserve">Doña Cristina López Mañero, miembro de las Cortes de Navarra, adscrita al Grupo Parlamentario Unión del Pueblo Navarro (UPN), al amparo de lo dispuesto en el Reglamento de la Cámara, realiza la siguiente pregunta escrita al Gobierno de Navarra: </w:t>
      </w:r>
    </w:p>
    <w:p w14:paraId="35657944" w14:textId="082A02B9" w:rsidR="00CD5757" w:rsidRPr="0042606E" w:rsidRDefault="00637238" w:rsidP="002275EA">
      <w:pPr>
        <w:pStyle w:val="Style"/>
        <w:numPr>
          <w:ilvl w:val="0"/>
          <w:numId w:val="1"/>
        </w:numPr>
        <w:spacing w:before="100" w:beforeAutospacing="1" w:after="200" w:line="276" w:lineRule="auto"/>
        <w:ind w:rightChars="567" w:right="1247"/>
        <w:jc w:val="both"/>
        <w:textAlignment w:val="baseline"/>
        <w:rPr>
          <w:rFonts w:ascii="Calibri" w:hAnsi="Calibri" w:cs="Calibri"/>
          <w:sz w:val="22"/>
          <w:szCs w:val="22"/>
        </w:rPr>
      </w:pPr>
      <w:r w:rsidRPr="0042606E">
        <w:rPr>
          <w:rFonts w:ascii="Calibri" w:eastAsia="Arial" w:hAnsi="Calibri" w:cs="Calibri"/>
          <w:sz w:val="22"/>
          <w:szCs w:val="22"/>
        </w:rPr>
        <w:t>¿Por qué, a fecha de 30 de abril de 2024, tanto la CPEN como las sociedades públicas Transporte Sanitario de Navarra, Ciudad Agroalimentaria de Tudela, C</w:t>
      </w:r>
      <w:r w:rsidR="005C76BD">
        <w:rPr>
          <w:rFonts w:ascii="Calibri" w:eastAsia="Arial" w:hAnsi="Calibri" w:cs="Calibri"/>
          <w:sz w:val="22"/>
          <w:szCs w:val="22"/>
        </w:rPr>
        <w:t>EIN</w:t>
      </w:r>
      <w:r w:rsidRPr="0042606E">
        <w:rPr>
          <w:rFonts w:ascii="Calibri" w:eastAsia="Arial" w:hAnsi="Calibri" w:cs="Calibri"/>
          <w:sz w:val="22"/>
          <w:szCs w:val="22"/>
        </w:rPr>
        <w:t>, Centro Navarro de Aprendizaje Integral, G</w:t>
      </w:r>
      <w:r w:rsidR="005C76BD">
        <w:rPr>
          <w:rFonts w:ascii="Calibri" w:eastAsia="Arial" w:hAnsi="Calibri" w:cs="Calibri"/>
          <w:sz w:val="22"/>
          <w:szCs w:val="22"/>
        </w:rPr>
        <w:t>AN</w:t>
      </w:r>
      <w:r w:rsidRPr="0042606E">
        <w:rPr>
          <w:rFonts w:ascii="Calibri" w:eastAsia="Arial" w:hAnsi="Calibri" w:cs="Calibri"/>
          <w:sz w:val="22"/>
          <w:szCs w:val="22"/>
        </w:rPr>
        <w:t>, I</w:t>
      </w:r>
      <w:r w:rsidR="005C76BD">
        <w:rPr>
          <w:rFonts w:ascii="Calibri" w:eastAsia="Arial" w:hAnsi="Calibri" w:cs="Calibri"/>
          <w:sz w:val="22"/>
          <w:szCs w:val="22"/>
        </w:rPr>
        <w:t>NTIA</w:t>
      </w:r>
      <w:r w:rsidRPr="0042606E">
        <w:rPr>
          <w:rFonts w:ascii="Calibri" w:eastAsia="Arial" w:hAnsi="Calibri" w:cs="Calibri"/>
          <w:sz w:val="22"/>
          <w:szCs w:val="22"/>
        </w:rPr>
        <w:t>, Nafarbide, Nasertic, Nasuvinsa, Sodena</w:t>
      </w:r>
      <w:r w:rsidR="002275EA">
        <w:rPr>
          <w:rFonts w:ascii="Calibri" w:eastAsia="Arial" w:hAnsi="Calibri" w:cs="Calibri"/>
          <w:sz w:val="22"/>
          <w:szCs w:val="22"/>
        </w:rPr>
        <w:t>,</w:t>
      </w:r>
      <w:r w:rsidRPr="0042606E">
        <w:rPr>
          <w:rFonts w:ascii="Calibri" w:eastAsia="Arial" w:hAnsi="Calibri" w:cs="Calibri"/>
          <w:sz w:val="22"/>
          <w:szCs w:val="22"/>
        </w:rPr>
        <w:t xml:space="preserve"> Start</w:t>
      </w:r>
      <w:r w:rsidR="00D4010D">
        <w:rPr>
          <w:rFonts w:ascii="Calibri" w:eastAsia="Arial" w:hAnsi="Calibri" w:cs="Calibri"/>
          <w:sz w:val="22"/>
          <w:szCs w:val="22"/>
        </w:rPr>
        <w:t xml:space="preserve"> U</w:t>
      </w:r>
      <w:r w:rsidR="0042606E">
        <w:rPr>
          <w:rFonts w:ascii="Calibri" w:eastAsia="Arial" w:hAnsi="Calibri" w:cs="Calibri"/>
          <w:sz w:val="22"/>
          <w:szCs w:val="22"/>
        </w:rPr>
        <w:t>p</w:t>
      </w:r>
      <w:r w:rsidRPr="0042606E">
        <w:rPr>
          <w:rFonts w:ascii="Calibri" w:eastAsia="Arial" w:hAnsi="Calibri" w:cs="Calibri"/>
          <w:sz w:val="22"/>
          <w:szCs w:val="22"/>
        </w:rPr>
        <w:t xml:space="preserve"> Capital, Trabajos Catastrales y Tracasa Instrumental no tienen actualizado el apartado de transparencia de su web en lo referido a las actas de los Consejos de Administración? </w:t>
      </w:r>
    </w:p>
    <w:p w14:paraId="10E9EFA9" w14:textId="10533893" w:rsidR="00CD5757" w:rsidRPr="0042606E" w:rsidRDefault="00637238" w:rsidP="002275EA">
      <w:pPr>
        <w:pStyle w:val="Style"/>
        <w:numPr>
          <w:ilvl w:val="0"/>
          <w:numId w:val="1"/>
        </w:numPr>
        <w:spacing w:before="100" w:beforeAutospacing="1" w:after="200" w:line="276" w:lineRule="auto"/>
        <w:ind w:rightChars="567" w:right="1247"/>
        <w:jc w:val="both"/>
        <w:textAlignment w:val="baseline"/>
        <w:rPr>
          <w:rFonts w:ascii="Calibri" w:hAnsi="Calibri" w:cs="Calibri"/>
          <w:sz w:val="22"/>
          <w:szCs w:val="22"/>
        </w:rPr>
      </w:pPr>
      <w:r w:rsidRPr="0042606E">
        <w:rPr>
          <w:rFonts w:ascii="Calibri" w:eastAsia="Arial" w:hAnsi="Calibri" w:cs="Calibri"/>
          <w:sz w:val="22"/>
          <w:szCs w:val="22"/>
        </w:rPr>
        <w:t xml:space="preserve">¿De quién depende su publicación? </w:t>
      </w:r>
    </w:p>
    <w:p w14:paraId="799BE495" w14:textId="4D1FE78A" w:rsidR="00CD5757" w:rsidRPr="0042606E" w:rsidRDefault="00637238" w:rsidP="002275EA">
      <w:pPr>
        <w:pStyle w:val="Style"/>
        <w:numPr>
          <w:ilvl w:val="0"/>
          <w:numId w:val="1"/>
        </w:numPr>
        <w:spacing w:before="100" w:beforeAutospacing="1" w:after="200" w:line="276" w:lineRule="auto"/>
        <w:ind w:rightChars="567" w:right="1247"/>
        <w:jc w:val="both"/>
        <w:textAlignment w:val="baseline"/>
        <w:rPr>
          <w:rFonts w:ascii="Calibri" w:hAnsi="Calibri" w:cs="Calibri"/>
          <w:sz w:val="22"/>
          <w:szCs w:val="22"/>
        </w:rPr>
      </w:pPr>
      <w:r w:rsidRPr="0042606E">
        <w:rPr>
          <w:rFonts w:ascii="Calibri" w:eastAsia="Arial" w:hAnsi="Calibri" w:cs="Calibri"/>
          <w:sz w:val="22"/>
          <w:szCs w:val="22"/>
        </w:rPr>
        <w:t xml:space="preserve">¿Cuándo las piensan publicar? </w:t>
      </w:r>
    </w:p>
    <w:p w14:paraId="71B9666F" w14:textId="3E00D958" w:rsidR="0042606E" w:rsidRPr="0042606E" w:rsidRDefault="00637238" w:rsidP="002275EA">
      <w:pPr>
        <w:pStyle w:val="Style"/>
        <w:numPr>
          <w:ilvl w:val="0"/>
          <w:numId w:val="1"/>
        </w:numPr>
        <w:spacing w:before="100" w:beforeAutospacing="1" w:after="200" w:line="276" w:lineRule="auto"/>
        <w:ind w:rightChars="567" w:right="1247"/>
        <w:jc w:val="both"/>
        <w:textAlignment w:val="baseline"/>
        <w:rPr>
          <w:rFonts w:ascii="Calibri" w:hAnsi="Calibri" w:cs="Calibri"/>
          <w:sz w:val="22"/>
          <w:szCs w:val="22"/>
        </w:rPr>
      </w:pPr>
      <w:r w:rsidRPr="0042606E">
        <w:rPr>
          <w:rFonts w:ascii="Calibri" w:eastAsia="Arial" w:hAnsi="Calibri" w:cs="Calibri"/>
          <w:sz w:val="22"/>
          <w:szCs w:val="22"/>
        </w:rPr>
        <w:t xml:space="preserve">¿Por qué las empresas públicas Nafarbide y Bidean no tienen activo ningún apartado de transparencia en la web de CPEN? </w:t>
      </w:r>
    </w:p>
    <w:p w14:paraId="1F7CA09E" w14:textId="477C9FE8" w:rsidR="0042606E" w:rsidRPr="0042606E" w:rsidRDefault="00637238" w:rsidP="002275EA">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42606E">
        <w:rPr>
          <w:rFonts w:ascii="Calibri" w:eastAsia="Arial" w:hAnsi="Calibri" w:cs="Calibri"/>
          <w:sz w:val="22"/>
          <w:szCs w:val="22"/>
        </w:rPr>
        <w:t xml:space="preserve">Pamplona, 30 de abril de 2024 </w:t>
      </w:r>
    </w:p>
    <w:p w14:paraId="5C6FFCAE" w14:textId="642CC433" w:rsidR="00CD5757" w:rsidRPr="0042606E" w:rsidRDefault="00BD4348" w:rsidP="002275EA">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eastAsia="Arial" w:hAnsi="Calibri" w:cs="Calibri"/>
          <w:sz w:val="22"/>
          <w:szCs w:val="22"/>
        </w:rPr>
        <w:t xml:space="preserve">La Parlamentaria Foral: </w:t>
      </w:r>
      <w:r w:rsidR="00637238" w:rsidRPr="0042606E">
        <w:rPr>
          <w:rFonts w:ascii="Calibri" w:eastAsia="Arial" w:hAnsi="Calibri" w:cs="Calibri"/>
          <w:sz w:val="22"/>
          <w:szCs w:val="22"/>
        </w:rPr>
        <w:t xml:space="preserve">Cristina López Mañero </w:t>
      </w:r>
    </w:p>
    <w:sectPr w:rsidR="00CD5757" w:rsidRPr="0042606E" w:rsidSect="0042606E">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3174E"/>
    <w:multiLevelType w:val="hybridMultilevel"/>
    <w:tmpl w:val="4948E55A"/>
    <w:lvl w:ilvl="0" w:tplc="22BCD5F2">
      <w:numFmt w:val="bullet"/>
      <w:lvlText w:val="–"/>
      <w:lvlJc w:val="left"/>
      <w:pPr>
        <w:ind w:left="1607" w:hanging="360"/>
      </w:pPr>
      <w:rPr>
        <w:rFonts w:ascii="Calibri" w:eastAsia="Arial" w:hAnsi="Calibri" w:cs="Calibri" w:hint="default"/>
      </w:rPr>
    </w:lvl>
    <w:lvl w:ilvl="1" w:tplc="0C0A0003" w:tentative="1">
      <w:start w:val="1"/>
      <w:numFmt w:val="bullet"/>
      <w:lvlText w:val="o"/>
      <w:lvlJc w:val="left"/>
      <w:pPr>
        <w:ind w:left="2327" w:hanging="360"/>
      </w:pPr>
      <w:rPr>
        <w:rFonts w:ascii="Courier New" w:hAnsi="Courier New" w:cs="Courier New" w:hint="default"/>
      </w:rPr>
    </w:lvl>
    <w:lvl w:ilvl="2" w:tplc="0C0A0005" w:tentative="1">
      <w:start w:val="1"/>
      <w:numFmt w:val="bullet"/>
      <w:lvlText w:val=""/>
      <w:lvlJc w:val="left"/>
      <w:pPr>
        <w:ind w:left="3047" w:hanging="360"/>
      </w:pPr>
      <w:rPr>
        <w:rFonts w:ascii="Wingdings" w:hAnsi="Wingdings" w:hint="default"/>
      </w:rPr>
    </w:lvl>
    <w:lvl w:ilvl="3" w:tplc="0C0A0001" w:tentative="1">
      <w:start w:val="1"/>
      <w:numFmt w:val="bullet"/>
      <w:lvlText w:val=""/>
      <w:lvlJc w:val="left"/>
      <w:pPr>
        <w:ind w:left="3767" w:hanging="360"/>
      </w:pPr>
      <w:rPr>
        <w:rFonts w:ascii="Symbol" w:hAnsi="Symbol" w:hint="default"/>
      </w:rPr>
    </w:lvl>
    <w:lvl w:ilvl="4" w:tplc="0C0A0003" w:tentative="1">
      <w:start w:val="1"/>
      <w:numFmt w:val="bullet"/>
      <w:lvlText w:val="o"/>
      <w:lvlJc w:val="left"/>
      <w:pPr>
        <w:ind w:left="4487" w:hanging="360"/>
      </w:pPr>
      <w:rPr>
        <w:rFonts w:ascii="Courier New" w:hAnsi="Courier New" w:cs="Courier New" w:hint="default"/>
      </w:rPr>
    </w:lvl>
    <w:lvl w:ilvl="5" w:tplc="0C0A0005" w:tentative="1">
      <w:start w:val="1"/>
      <w:numFmt w:val="bullet"/>
      <w:lvlText w:val=""/>
      <w:lvlJc w:val="left"/>
      <w:pPr>
        <w:ind w:left="5207" w:hanging="360"/>
      </w:pPr>
      <w:rPr>
        <w:rFonts w:ascii="Wingdings" w:hAnsi="Wingdings" w:hint="default"/>
      </w:rPr>
    </w:lvl>
    <w:lvl w:ilvl="6" w:tplc="0C0A0001" w:tentative="1">
      <w:start w:val="1"/>
      <w:numFmt w:val="bullet"/>
      <w:lvlText w:val=""/>
      <w:lvlJc w:val="left"/>
      <w:pPr>
        <w:ind w:left="5927" w:hanging="360"/>
      </w:pPr>
      <w:rPr>
        <w:rFonts w:ascii="Symbol" w:hAnsi="Symbol" w:hint="default"/>
      </w:rPr>
    </w:lvl>
    <w:lvl w:ilvl="7" w:tplc="0C0A0003" w:tentative="1">
      <w:start w:val="1"/>
      <w:numFmt w:val="bullet"/>
      <w:lvlText w:val="o"/>
      <w:lvlJc w:val="left"/>
      <w:pPr>
        <w:ind w:left="6647" w:hanging="360"/>
      </w:pPr>
      <w:rPr>
        <w:rFonts w:ascii="Courier New" w:hAnsi="Courier New" w:cs="Courier New" w:hint="default"/>
      </w:rPr>
    </w:lvl>
    <w:lvl w:ilvl="8" w:tplc="0C0A0005" w:tentative="1">
      <w:start w:val="1"/>
      <w:numFmt w:val="bullet"/>
      <w:lvlText w:val=""/>
      <w:lvlJc w:val="left"/>
      <w:pPr>
        <w:ind w:left="7367" w:hanging="360"/>
      </w:pPr>
      <w:rPr>
        <w:rFonts w:ascii="Wingdings" w:hAnsi="Wingdings" w:hint="default"/>
      </w:rPr>
    </w:lvl>
  </w:abstractNum>
  <w:num w:numId="1" w16cid:durableId="151722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D5757"/>
    <w:rsid w:val="002275EA"/>
    <w:rsid w:val="0042606E"/>
    <w:rsid w:val="005C76BD"/>
    <w:rsid w:val="00637238"/>
    <w:rsid w:val="00A17791"/>
    <w:rsid w:val="00BD4348"/>
    <w:rsid w:val="00CD5757"/>
    <w:rsid w:val="00D4010D"/>
    <w:rsid w:val="00F079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C7C6"/>
  <w15:docId w15:val="{7D2720BE-FD8C-4265-A2D3-716DE96C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809</Characters>
  <Application>Microsoft Office Word</Application>
  <DocSecurity>0</DocSecurity>
  <Lines>6</Lines>
  <Paragraphs>1</Paragraphs>
  <ScaleCrop>false</ScaleCrop>
  <Company>HP Inc.</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24PES-220</dc:title>
  <dc:creator>informatica</dc:creator>
  <cp:keywords>CreatedByIRIS_Readiris_17.0</cp:keywords>
  <cp:lastModifiedBy>Mauleón, Fernando</cp:lastModifiedBy>
  <cp:revision>9</cp:revision>
  <dcterms:created xsi:type="dcterms:W3CDTF">2024-05-02T08:15:00Z</dcterms:created>
  <dcterms:modified xsi:type="dcterms:W3CDTF">2024-05-03T05:43:00Z</dcterms:modified>
</cp:coreProperties>
</file>