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9DFC" w14:textId="4470828D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24MOC-7</w:t>
      </w:r>
      <w:r w:rsidR="00464471">
        <w:rPr>
          <w:rFonts w:ascii="Calibri" w:hAnsi="Calibri" w:cs="Calibri"/>
          <w:kern w:val="0"/>
          <w:sz w:val="22"/>
          <w:szCs w:val="22"/>
        </w:rPr>
        <w:t>2</w:t>
      </w:r>
    </w:p>
    <w:p w14:paraId="20D57E3A" w14:textId="0CBE2ADB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Don Emilio Jiménez Román, miembro de las Cortes de Navarra, adscrito a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Agrupación Parlamentaria V</w:t>
      </w:r>
      <w:r>
        <w:rPr>
          <w:rFonts w:ascii="Calibri" w:hAnsi="Calibri" w:cs="Calibri"/>
          <w:kern w:val="0"/>
          <w:sz w:val="22"/>
          <w:szCs w:val="22"/>
        </w:rPr>
        <w:t>ox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 Navarra, al amparo de lo dispuesto en el artículo 219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del Reglamento de la Cámara, presenta la siguiente moción</w:t>
      </w:r>
      <w:r w:rsidRPr="00700977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para su debate y votación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700977">
        <w:rPr>
          <w:rFonts w:ascii="Calibri" w:hAnsi="Calibri" w:cs="Calibri"/>
          <w:kern w:val="0"/>
          <w:sz w:val="22"/>
          <w:szCs w:val="22"/>
        </w:rPr>
        <w:t>Pleno del próximo día 16 de mayo de 2024:</w:t>
      </w:r>
    </w:p>
    <w:p w14:paraId="395836FC" w14:textId="2FEF172F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Exposición de motivos</w:t>
      </w:r>
    </w:p>
    <w:p w14:paraId="6E390665" w14:textId="45DABD76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El sector de la seguridad privada viene demandando desde hace un tiempo la necesaria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protección ante la situación que padece tanto de falta de seguridad y agresiones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sufren los vigilantes que pone en grave y reiterado riesgo su integridad física como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su estatus profesional y laboral.</w:t>
      </w:r>
    </w:p>
    <w:p w14:paraId="5E8A862A" w14:textId="6658E6CA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Debe destacarse y no puede nunca perderse de vista que el servicio prestado por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vigilantes de seguridad se lleva a cabo en coordinación y la colaboración con las Fuerzas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y Cuerpos de Seguridad, con el único objetivo de mejorar la seguridad pública. </w:t>
      </w:r>
      <w:r>
        <w:rPr>
          <w:rFonts w:ascii="Calibri" w:hAnsi="Calibri" w:cs="Calibri"/>
          <w:kern w:val="0"/>
          <w:sz w:val="22"/>
          <w:szCs w:val="22"/>
        </w:rPr>
        <w:t>Q</w:t>
      </w:r>
      <w:r w:rsidRPr="00700977">
        <w:rPr>
          <w:rFonts w:ascii="Calibri" w:hAnsi="Calibri" w:cs="Calibri"/>
          <w:kern w:val="0"/>
          <w:sz w:val="22"/>
          <w:szCs w:val="22"/>
        </w:rPr>
        <w:t>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integra y redunda en beneficio de la seguridad general, al servicio de la protección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seguridad del conjunto de los ciudadanos. Y así desarrollan su labor en funciones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enclaves tan relevantes como el depósito y custodia de explosivos, armas, sustancias 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mercancías que, por su peligrosidad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 precisen de vigilancia y protección especial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 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moneda, títulos-valores, joyas, metales preciosos, obras de arte u otros objetos que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requieran por su valor; el acompañamiento, defensa y protección de personas físicas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determinadas (incluidas autoridades); la vigilancia y protección de bienes,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establecimientos, lugares y eventos, públicos o privados, y de las personas que se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encuentran en los mismos</w:t>
      </w:r>
      <w:r>
        <w:rPr>
          <w:rFonts w:ascii="Calibri" w:hAnsi="Calibri" w:cs="Calibri"/>
          <w:kern w:val="0"/>
          <w:sz w:val="22"/>
          <w:szCs w:val="22"/>
        </w:rPr>
        <w:t>;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 o la explotación de centros de control, videovigilancia 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alarma. Con las enormes potencialidades que ello presenta para el interés general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público.</w:t>
      </w:r>
    </w:p>
    <w:p w14:paraId="590B020E" w14:textId="691A89C1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S</w:t>
      </w:r>
      <w:r w:rsidRPr="00700977">
        <w:rPr>
          <w:rFonts w:ascii="Calibri" w:hAnsi="Calibri" w:cs="Calibri"/>
          <w:kern w:val="0"/>
          <w:sz w:val="22"/>
          <w:szCs w:val="22"/>
        </w:rPr>
        <w:t>obre esa base el sector de la seguridad privada está claramente necesitado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una mayor protección que permita dignificar debidamente a este sector y mejorar el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cumplimiento de su función: protección de su estatus jurídico profesional, protección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material, protección laboral y en materia de formación, así como en materia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contratación pública. Esta necesidad debe abordarse principalmente mediante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actualización de la normativa rectora del sector, en la que destaca un ya obsoleto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Reglamento de Seguridad Privada (aprobado por Real Decreto 2364/1994, de 9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diciembre, que tiene por tanto más de 25 años), así como mediante un compromiso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los Gobiernos y Administraciones públicas en su actuación en las respectivas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competencias en la materia.</w:t>
      </w:r>
    </w:p>
    <w:p w14:paraId="1EF334F9" w14:textId="040C77C5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Primeramente, protección jurídica profesional para reconocer de forma inequívoca a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profesionales vigilantes de seguridad privada el carácter de agente de la autoridad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el ejercicio de sus funciones (al que alude el artículo 31 de la Ley 5/2014, de 4 de abril,</w:t>
      </w:r>
      <w:r w:rsidR="002D55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 Seguridad Privada, «cuando desarrolle actividades de seguridad privada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cooperación y bajo el mando de las Fuerzas y Cuerpos de Seguridad»), toda vez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los servicios y funciones de seguridad privada se prestan siempre en colaboración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cooperación, en todo momento y lugar, con dichas Fuerzas y Cuerpos de Seguridad, y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con sujeción a lo que </w:t>
      </w:r>
      <w:r>
        <w:rPr>
          <w:rFonts w:ascii="Calibri" w:hAnsi="Calibri" w:cs="Calibri"/>
          <w:kern w:val="0"/>
          <w:sz w:val="22"/>
          <w:szCs w:val="22"/>
        </w:rPr>
        <w:t>e</w:t>
      </w:r>
      <w:r w:rsidRPr="00700977">
        <w:rPr>
          <w:rFonts w:ascii="Calibri" w:hAnsi="Calibri" w:cs="Calibri"/>
          <w:kern w:val="0"/>
          <w:sz w:val="22"/>
          <w:szCs w:val="22"/>
        </w:rPr>
        <w:t>stas puedan disponer, como dispone entre otros el artículo 8 su</w:t>
      </w:r>
      <w:r>
        <w:rPr>
          <w:rFonts w:ascii="Calibri" w:hAnsi="Calibri" w:cs="Calibri"/>
          <w:kern w:val="0"/>
          <w:sz w:val="22"/>
          <w:szCs w:val="22"/>
        </w:rPr>
        <w:t xml:space="preserve"> l</w:t>
      </w:r>
      <w:r w:rsidRPr="00700977">
        <w:rPr>
          <w:rFonts w:ascii="Calibri" w:hAnsi="Calibri" w:cs="Calibri"/>
          <w:kern w:val="0"/>
          <w:sz w:val="22"/>
          <w:szCs w:val="22"/>
        </w:rPr>
        <w:t>ey reguladora, sobre sus «</w:t>
      </w:r>
      <w:r>
        <w:rPr>
          <w:rFonts w:ascii="Calibri" w:hAnsi="Calibri" w:cs="Calibri"/>
          <w:kern w:val="0"/>
          <w:sz w:val="22"/>
          <w:szCs w:val="22"/>
        </w:rPr>
        <w:t>p</w:t>
      </w:r>
      <w:r w:rsidRPr="00700977">
        <w:rPr>
          <w:rFonts w:ascii="Calibri" w:hAnsi="Calibri" w:cs="Calibri"/>
          <w:kern w:val="0"/>
          <w:sz w:val="22"/>
          <w:szCs w:val="22"/>
        </w:rPr>
        <w:t>rincipios rectores»; con todo lo que ello comporta a efectos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penales (de tipicidad de las agresiones) y procesales (de citación y </w:t>
      </w:r>
      <w:r w:rsidRPr="00700977">
        <w:rPr>
          <w:rFonts w:ascii="Calibri" w:hAnsi="Calibri" w:cs="Calibri"/>
          <w:kern w:val="0"/>
          <w:sz w:val="22"/>
          <w:szCs w:val="22"/>
        </w:rPr>
        <w:lastRenderedPageBreak/>
        <w:t>comparecencia como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testigo con el número de habilitación TIP expedido por el Ministerio del Interior).</w:t>
      </w:r>
    </w:p>
    <w:p w14:paraId="04A2F1BF" w14:textId="77777777" w:rsid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En segundo lugar, existe necesidad de protección material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 esto es, de dotación de los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necesarios medios de defensa acordes al riesgo al que han de hacer frente y tipo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instalación a proteger y su regulación actualizada; también mediante la previsión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normativa del trabajo de los vigilantes en binomio, </w:t>
      </w:r>
      <w:r>
        <w:rPr>
          <w:rFonts w:ascii="Calibri" w:hAnsi="Calibri" w:cs="Calibri"/>
          <w:kern w:val="0"/>
          <w:sz w:val="22"/>
          <w:szCs w:val="22"/>
        </w:rPr>
        <w:t xml:space="preserve">que </w:t>
      </w:r>
      <w:r w:rsidRPr="00700977">
        <w:rPr>
          <w:rFonts w:ascii="Calibri" w:hAnsi="Calibri" w:cs="Calibri"/>
          <w:kern w:val="0"/>
          <w:sz w:val="22"/>
          <w:szCs w:val="22"/>
        </w:rPr>
        <w:t>actualmente es obligatorio en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polígonos industriales, urbanizaciones y otras infraestructuras. En ella debería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abordarse la obligatoriedad del uso de guantes y chaleco anticorte y antitrauma; e</w:t>
      </w:r>
      <w:r>
        <w:rPr>
          <w:rFonts w:ascii="Calibri" w:hAnsi="Calibri" w:cs="Calibri"/>
          <w:kern w:val="0"/>
          <w:sz w:val="22"/>
          <w:szCs w:val="22"/>
        </w:rPr>
        <w:t xml:space="preserve">, </w:t>
      </w:r>
      <w:r w:rsidRPr="00700977">
        <w:rPr>
          <w:rFonts w:ascii="Calibri" w:hAnsi="Calibri" w:cs="Calibri"/>
          <w:kern w:val="0"/>
          <w:sz w:val="22"/>
          <w:szCs w:val="22"/>
        </w:rPr>
        <w:t>incluso, para los servicios de mayor peligrosidad, el estudio de la necesidad de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dicho chaleco sea antibala y de la dotación de equipos de protección y medios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defensivos no letales (como el espray de defensa y arma de electrochoque, tipo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pistola eléctrica Tasser), estando dotados en los demás casos de defensa más larga que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la actual.</w:t>
      </w:r>
    </w:p>
    <w:p w14:paraId="744B4735" w14:textId="77777777" w:rsidR="00A4598F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Asimismo, deben adoptarse las necesarias medidas para mejorar la protección laboral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 los vigilantes de seguridad. Una protección que evite y ponga fin a ciertas situaciones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 incumplimiento, abuso o fraude a la normativa aplicable: como el del incumplimiento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 la normativa de horas extraordinarias, con la superación de sus límites; el cese de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las prácticas ilícitas de las llamadas “empresas piratas”, que, mediante la subrogación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 contratos menores, burlan la ley y los derechos laborales de los trabajadores; la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desvinculación o “descuelgue” del convenio sectorial de seguridad privada, que permite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a las empresas revisar y establecer, mediante convenios de empresa, unas condiciones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laborales que menoscaban sustancialmente los derechos de los trabajadores en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condiciones económicas muy desfavorables para ellos (realizado en muchos casos por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dichas “empresas piratas”, todo lo cual les permite posteriormente concurrir con ventaja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competitiva a licitaciones con Administraciones públicas con ofertas económicas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anormalmente bajas, lo cual provoca una constante pérdida de poder adquisitivo en los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trabajadores, y terminando en ocasiones en la desaparición de esas empresas, dejando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numerosos impagos salariales);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la vigilancia y cumplimiento de la normativa en materia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 prevención de riesgos laborales que contemple los riesgos específicos de los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vigilantes de seguridad privada, así como la vigilancia más efectiva de su cumplimiento,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debiendo facilitarse en todo caso por las empresas de seguridad del material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correspondiente de defensa a sus trabajadores; o el intrusismo profesional llevado 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cabo por personas que no tienen la condición de verdaderos vigilantes de seguridad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habilitados, con lo que ello comporta de riesgo y perjuicio al correcto desempeño de sus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funciones y, por tanto, a la seguridad.</w:t>
      </w:r>
    </w:p>
    <w:p w14:paraId="34DBA9B6" w14:textId="738CB376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Es claramente necesaria una mejora en la formación del personal de seguridad, tanto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básica como continuada: mediante el establecimiento de una formación reglada y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especializada de grado medio a nivel nacional, y de una formación continua anual para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este personal superior a la actual e insuficiente de 20 horas anuales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en materias como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los primeros auxilios, la extinción de incendios, defensa personal, etc. Ello repercutiría,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sin duda, en la mejora de la capacidad operativa del personal de seguridad privada, en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colaboración tanto con la </w:t>
      </w:r>
      <w:r w:rsidR="00A4598F">
        <w:rPr>
          <w:rFonts w:ascii="Calibri" w:hAnsi="Calibri" w:cs="Calibri"/>
          <w:kern w:val="0"/>
          <w:sz w:val="22"/>
          <w:szCs w:val="22"/>
        </w:rPr>
        <w:t>p</w:t>
      </w:r>
      <w:r w:rsidRPr="00700977">
        <w:rPr>
          <w:rFonts w:ascii="Calibri" w:hAnsi="Calibri" w:cs="Calibri"/>
          <w:kern w:val="0"/>
          <w:sz w:val="22"/>
          <w:szCs w:val="22"/>
        </w:rPr>
        <w:t>olicía como con el personal de emergencias.</w:t>
      </w:r>
    </w:p>
    <w:p w14:paraId="0F7D2113" w14:textId="49C91335" w:rsidR="00700977" w:rsidRPr="00A4598F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En virtud de los expuesto, se presenta la siguiente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="00A4598F" w:rsidRPr="00A4598F">
        <w:rPr>
          <w:rFonts w:ascii="Calibri" w:hAnsi="Calibri" w:cs="Calibri"/>
          <w:kern w:val="0"/>
          <w:sz w:val="22"/>
          <w:szCs w:val="22"/>
        </w:rPr>
        <w:t>propuesta de resolución:</w:t>
      </w:r>
    </w:p>
    <w:p w14:paraId="4E6A7D3D" w14:textId="77777777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El Parlamento de Navarra insta al Gobierno de Navarra a:</w:t>
      </w:r>
    </w:p>
    <w:p w14:paraId="33A3E083" w14:textId="1D860D64" w:rsidR="00A4598F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b/>
          <w:bCs/>
          <w:kern w:val="0"/>
          <w:sz w:val="22"/>
          <w:szCs w:val="22"/>
        </w:rPr>
        <w:lastRenderedPageBreak/>
        <w:t xml:space="preserve">1. </w:t>
      </w:r>
      <w:r w:rsidR="00A4598F">
        <w:rPr>
          <w:rFonts w:ascii="Calibri" w:hAnsi="Calibri" w:cs="Calibri"/>
          <w:kern w:val="0"/>
          <w:sz w:val="22"/>
          <w:szCs w:val="22"/>
        </w:rPr>
        <w:t>Instar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 al Gobierno de la </w:t>
      </w:r>
      <w:r w:rsidR="00A4598F">
        <w:rPr>
          <w:rFonts w:ascii="Calibri" w:hAnsi="Calibri" w:cs="Calibri"/>
          <w:kern w:val="0"/>
          <w:sz w:val="22"/>
          <w:szCs w:val="22"/>
        </w:rPr>
        <w:t>n</w:t>
      </w:r>
      <w:r w:rsidRPr="00700977">
        <w:rPr>
          <w:rFonts w:ascii="Calibri" w:hAnsi="Calibri" w:cs="Calibri"/>
          <w:kern w:val="0"/>
          <w:sz w:val="22"/>
          <w:szCs w:val="22"/>
        </w:rPr>
        <w:t>ación a la actualización y adecuación de la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normativa reguladora de la seguridad privada (entre otros principalmente del Real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Decreto 2364/1994, de 9 de diciembre, por el que se aprueba el Reglamento de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Seguridad Privada) con el objetivo de conseguir la debida dignificación de este sector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y la mejora del cumplimiento de su función. Estableciendo su debida protección:</w:t>
      </w:r>
    </w:p>
    <w:p w14:paraId="62A6F3D1" w14:textId="6FA45A3B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b/>
          <w:bCs/>
          <w:kern w:val="0"/>
          <w:sz w:val="22"/>
          <w:szCs w:val="22"/>
        </w:rPr>
        <w:t xml:space="preserve">A) </w:t>
      </w:r>
      <w:r w:rsidRPr="00700977">
        <w:rPr>
          <w:rFonts w:ascii="Calibri" w:hAnsi="Calibri" w:cs="Calibri"/>
          <w:kern w:val="0"/>
          <w:sz w:val="22"/>
          <w:szCs w:val="22"/>
        </w:rPr>
        <w:t>jurídica, de su estatus profesional, mediante el reconocimiento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inequívoco de la condición de agente de la autoridad;</w:t>
      </w:r>
    </w:p>
    <w:p w14:paraId="6BA22D65" w14:textId="6F27D938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b/>
          <w:bCs/>
          <w:kern w:val="0"/>
          <w:sz w:val="22"/>
          <w:szCs w:val="22"/>
        </w:rPr>
        <w:t xml:space="preserve">B) </w:t>
      </w:r>
      <w:r w:rsidRPr="00700977">
        <w:rPr>
          <w:rFonts w:ascii="Calibri" w:hAnsi="Calibri" w:cs="Calibri"/>
          <w:kern w:val="0"/>
          <w:sz w:val="22"/>
          <w:szCs w:val="22"/>
        </w:rPr>
        <w:t>material, mediante la dotación de los necesarios medios de defensa,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acordes al riesgo al que han de hacer frente, y su regulación actualizada; y mediante la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previsión normativa del trabajo de los vigilantes en binomio, en función de los riesgos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 la empresa y niveles de seguridad existente. En ella deberá abordarse la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obligatoriedad del uso de guantes y chaleco anticorte y antitrauma; e incluso para los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servicios de mayor peligrosidad, el estudio de la necesidad de que dicho chaleco sea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antibala, y de la dotación de equipos de protección y medios defensivos no letales (como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el </w:t>
      </w:r>
      <w:r w:rsidR="00A4598F">
        <w:rPr>
          <w:rFonts w:ascii="Calibri" w:hAnsi="Calibri" w:cs="Calibri"/>
          <w:kern w:val="0"/>
          <w:sz w:val="22"/>
          <w:szCs w:val="22"/>
        </w:rPr>
        <w:t>e</w:t>
      </w:r>
      <w:r w:rsidRPr="00700977">
        <w:rPr>
          <w:rFonts w:ascii="Calibri" w:hAnsi="Calibri" w:cs="Calibri"/>
          <w:kern w:val="0"/>
          <w:sz w:val="22"/>
          <w:szCs w:val="22"/>
        </w:rPr>
        <w:t>spray de defensa y arma de electrochoque, tipo la pistola eléctrica Tasser), estando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dotados en los demás casos de defensa más larga que la actual.</w:t>
      </w:r>
    </w:p>
    <w:p w14:paraId="3F44249E" w14:textId="4286BE4E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b/>
          <w:bCs/>
          <w:kern w:val="0"/>
          <w:sz w:val="22"/>
          <w:szCs w:val="22"/>
        </w:rPr>
        <w:t xml:space="preserve">C) </w:t>
      </w:r>
      <w:r w:rsidRPr="00700977">
        <w:rPr>
          <w:rFonts w:ascii="Calibri" w:hAnsi="Calibri" w:cs="Calibri"/>
          <w:kern w:val="0"/>
          <w:sz w:val="22"/>
          <w:szCs w:val="22"/>
        </w:rPr>
        <w:t>laboral, que evite y ponga fin a situaciones de incumplimiento, abuso 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fraude a la normativa aplicable: entre otras, en materia de horas extraordinarias, con la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superación de sus límites máximos; en la falta de desarrollo de una normativa en materia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de prevención de riesgos laborales que contemple los riesgos específicos de los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vigilantes de seguridad privada, así como la vigilancia más efectiva de su cumplimiento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(estableciendo entre otros como deber de las empresas de seguridad la obligación de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que </w:t>
      </w:r>
      <w:r w:rsidR="00A4598F">
        <w:rPr>
          <w:rFonts w:ascii="Calibri" w:hAnsi="Calibri" w:cs="Calibri"/>
          <w:kern w:val="0"/>
          <w:sz w:val="22"/>
          <w:szCs w:val="22"/>
        </w:rPr>
        <w:t>e</w:t>
      </w:r>
      <w:r w:rsidRPr="00700977">
        <w:rPr>
          <w:rFonts w:ascii="Calibri" w:hAnsi="Calibri" w:cs="Calibri"/>
          <w:kern w:val="0"/>
          <w:sz w:val="22"/>
          <w:szCs w:val="22"/>
        </w:rPr>
        <w:t>stas faciliten en todo caso el material correspondiente de defensa a sus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trabajadores); así como respecto al intrusismo profesional llevado a cabo por personas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que prestan estos servicios sin tener la condición de verdaderos vigilantes de seguridad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habilitados.</w:t>
      </w:r>
    </w:p>
    <w:p w14:paraId="37B10B55" w14:textId="78912950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b/>
          <w:bCs/>
          <w:kern w:val="0"/>
          <w:sz w:val="22"/>
          <w:szCs w:val="22"/>
        </w:rPr>
        <w:t xml:space="preserve">D) </w:t>
      </w:r>
      <w:r w:rsidRPr="00700977">
        <w:rPr>
          <w:rFonts w:ascii="Calibri" w:hAnsi="Calibri" w:cs="Calibri"/>
          <w:kern w:val="0"/>
          <w:sz w:val="22"/>
          <w:szCs w:val="22"/>
        </w:rPr>
        <w:t>en materia de formación del personal de seguridad, tanto básica como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continuada: mediante el establecimiento de una formación reglada y especializada de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grado medio a nivel nacional, y de una formación continua anual para este personal,</w:t>
      </w:r>
      <w:r w:rsidR="00A459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superior a la insuficiente actual.</w:t>
      </w:r>
    </w:p>
    <w:p w14:paraId="788A73D6" w14:textId="5B42D42A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b/>
          <w:bCs/>
          <w:kern w:val="0"/>
          <w:sz w:val="22"/>
          <w:szCs w:val="22"/>
        </w:rPr>
        <w:t>2</w:t>
      </w:r>
      <w:r w:rsidR="002D5597">
        <w:rPr>
          <w:rFonts w:ascii="Calibri" w:hAnsi="Calibri" w:cs="Calibri"/>
          <w:b/>
          <w:bCs/>
          <w:kern w:val="0"/>
          <w:sz w:val="22"/>
          <w:szCs w:val="22"/>
        </w:rPr>
        <w:t>.</w:t>
      </w:r>
      <w:r w:rsidRPr="00700977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Velar,</w:t>
      </w:r>
      <w:r w:rsidR="002D5597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en materia de contratación pública, para que las empresas de seguridad</w:t>
      </w:r>
      <w:r w:rsidR="0004058C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que hayan sido condenadas en sentencia judicial o resolución administrativa por</w:t>
      </w:r>
      <w:r w:rsidR="0004058C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incumplimiento de obligaciones entre las que se encuentren las de no encontrase al</w:t>
      </w:r>
      <w:r w:rsidR="0004058C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corriente de sus pagos con Hacienda o la Seguridad Social no estén habilitadas para</w:t>
      </w:r>
      <w:r w:rsidR="0004058C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concurrir a licitaciones públicas y por ello contratar con las Administraciones públicas de</w:t>
      </w:r>
      <w:r w:rsidR="0004058C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Navarra, impulsando las reformas normativas necesarias al respecto.</w:t>
      </w:r>
    </w:p>
    <w:p w14:paraId="12C4F830" w14:textId="4BE2D06B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b/>
          <w:bCs/>
          <w:kern w:val="0"/>
          <w:sz w:val="22"/>
          <w:szCs w:val="22"/>
        </w:rPr>
        <w:t xml:space="preserve">3. </w:t>
      </w:r>
      <w:r w:rsidRPr="00700977">
        <w:rPr>
          <w:rFonts w:ascii="Calibri" w:hAnsi="Calibri" w:cs="Calibri"/>
          <w:kern w:val="0"/>
          <w:sz w:val="22"/>
          <w:szCs w:val="22"/>
        </w:rPr>
        <w:t>Garantizar debidamente la correcta prestación de los servicios de seguridad</w:t>
      </w:r>
      <w:r w:rsidR="00B62747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privada, su viabilidad, estado de la adjudicación</w:t>
      </w:r>
      <w:r w:rsidR="00B62747">
        <w:rPr>
          <w:rFonts w:ascii="Calibri" w:hAnsi="Calibri" w:cs="Calibri"/>
          <w:kern w:val="0"/>
          <w:sz w:val="22"/>
          <w:szCs w:val="22"/>
        </w:rPr>
        <w:t xml:space="preserve">, </w:t>
      </w:r>
      <w:r w:rsidRPr="00700977">
        <w:rPr>
          <w:rFonts w:ascii="Calibri" w:hAnsi="Calibri" w:cs="Calibri"/>
          <w:kern w:val="0"/>
          <w:sz w:val="22"/>
          <w:szCs w:val="22"/>
        </w:rPr>
        <w:t>en su caso</w:t>
      </w:r>
      <w:r w:rsidR="00B62747">
        <w:rPr>
          <w:rFonts w:ascii="Calibri" w:hAnsi="Calibri" w:cs="Calibri"/>
          <w:kern w:val="0"/>
          <w:sz w:val="22"/>
          <w:szCs w:val="22"/>
        </w:rPr>
        <w:t>,</w:t>
      </w:r>
      <w:r w:rsidRPr="00700977">
        <w:rPr>
          <w:rFonts w:ascii="Calibri" w:hAnsi="Calibri" w:cs="Calibri"/>
          <w:kern w:val="0"/>
          <w:sz w:val="22"/>
          <w:szCs w:val="22"/>
        </w:rPr>
        <w:t xml:space="preserve"> y comprobación de las</w:t>
      </w:r>
      <w:r w:rsidR="00B62747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credenciales de la empresa adjudicataria.</w:t>
      </w:r>
    </w:p>
    <w:p w14:paraId="139BFEB8" w14:textId="760B6AF8" w:rsidR="00700977" w:rsidRPr="00700977" w:rsidRDefault="00700977" w:rsidP="002D559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00977">
        <w:rPr>
          <w:rFonts w:ascii="Calibri" w:hAnsi="Calibri" w:cs="Calibri"/>
          <w:b/>
          <w:bCs/>
          <w:kern w:val="0"/>
          <w:sz w:val="22"/>
          <w:szCs w:val="22"/>
        </w:rPr>
        <w:t xml:space="preserve">4. </w:t>
      </w:r>
      <w:r w:rsidRPr="00700977">
        <w:rPr>
          <w:rFonts w:ascii="Calibri" w:hAnsi="Calibri" w:cs="Calibri"/>
          <w:kern w:val="0"/>
          <w:sz w:val="22"/>
          <w:szCs w:val="22"/>
        </w:rPr>
        <w:t>Establecer un plan de formación continuada anual del personal de seguridad</w:t>
      </w:r>
      <w:r w:rsidR="00B62747">
        <w:rPr>
          <w:rFonts w:ascii="Calibri" w:hAnsi="Calibri" w:cs="Calibri"/>
          <w:kern w:val="0"/>
          <w:sz w:val="22"/>
          <w:szCs w:val="22"/>
        </w:rPr>
        <w:t xml:space="preserve"> </w:t>
      </w:r>
      <w:r w:rsidRPr="00700977">
        <w:rPr>
          <w:rFonts w:ascii="Calibri" w:hAnsi="Calibri" w:cs="Calibri"/>
          <w:kern w:val="0"/>
          <w:sz w:val="22"/>
          <w:szCs w:val="22"/>
        </w:rPr>
        <w:t>privada.</w:t>
      </w:r>
    </w:p>
    <w:p w14:paraId="37DFE101" w14:textId="23555968" w:rsidR="008D7F85" w:rsidRPr="00700977" w:rsidRDefault="00700977" w:rsidP="002D5597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700977">
        <w:rPr>
          <w:rFonts w:ascii="Calibri" w:hAnsi="Calibri" w:cs="Calibri"/>
          <w:kern w:val="0"/>
          <w:sz w:val="22"/>
          <w:szCs w:val="22"/>
        </w:rPr>
        <w:t>Pamplona</w:t>
      </w:r>
      <w:r w:rsidR="00B62747">
        <w:rPr>
          <w:rFonts w:ascii="Calibri" w:hAnsi="Calibri" w:cs="Calibri"/>
          <w:kern w:val="0"/>
          <w:sz w:val="22"/>
          <w:szCs w:val="22"/>
        </w:rPr>
        <w:t xml:space="preserve">, </w:t>
      </w:r>
      <w:r w:rsidRPr="00700977">
        <w:rPr>
          <w:rFonts w:ascii="Calibri" w:hAnsi="Calibri" w:cs="Calibri"/>
          <w:kern w:val="0"/>
          <w:sz w:val="22"/>
          <w:szCs w:val="22"/>
        </w:rPr>
        <w:t>8 de mayo de 2024</w:t>
      </w:r>
    </w:p>
    <w:p w14:paraId="7B9AC499" w14:textId="2BBD2400" w:rsidR="00700977" w:rsidRPr="00700977" w:rsidRDefault="00B62747" w:rsidP="002D5597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El Parlamentario Foral: Emilio Jiménez Román</w:t>
      </w:r>
    </w:p>
    <w:sectPr w:rsidR="00700977" w:rsidRPr="00700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77"/>
    <w:rsid w:val="0004058C"/>
    <w:rsid w:val="00144D76"/>
    <w:rsid w:val="002D5597"/>
    <w:rsid w:val="00464471"/>
    <w:rsid w:val="005F1A68"/>
    <w:rsid w:val="00700977"/>
    <w:rsid w:val="008D7F85"/>
    <w:rsid w:val="00A36075"/>
    <w:rsid w:val="00A4598F"/>
    <w:rsid w:val="00A97BAD"/>
    <w:rsid w:val="00B62747"/>
    <w:rsid w:val="00DC240A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EF9E"/>
  <w15:chartTrackingRefBased/>
  <w15:docId w15:val="{122EDC51-5448-423B-A906-2735D8A2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09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09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09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09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09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09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09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09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0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0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09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09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09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09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09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09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09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09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09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09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09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09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09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0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09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0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1533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2024-05-09T18:39:00Z</dcterms:created>
  <dcterms:modified xsi:type="dcterms:W3CDTF">2024-05-10T05:59:00Z</dcterms:modified>
</cp:coreProperties>
</file>