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4E33A" w14:textId="20D1D78F" w:rsidR="00CC4712" w:rsidRDefault="00CC4712" w:rsidP="00221C67">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24MOC-76</w:t>
      </w:r>
    </w:p>
    <w:p w14:paraId="6AF4289C" w14:textId="77777777" w:rsidR="007E12DF" w:rsidRPr="00CC4712" w:rsidRDefault="007E12DF" w:rsidP="00221C67">
      <w:pPr>
        <w:autoSpaceDE w:val="0"/>
        <w:autoSpaceDN w:val="0"/>
        <w:adjustRightInd w:val="0"/>
        <w:spacing w:before="100" w:beforeAutospacing="1" w:after="200" w:line="276" w:lineRule="auto"/>
        <w:contextualSpacing/>
        <w:mirrorIndents/>
        <w:jc w:val="both"/>
        <w:rPr>
          <w:rFonts w:ascii="Calibri" w:hAnsi="Calibri" w:cs="Calibri"/>
          <w:kern w:val="0"/>
          <w:sz w:val="22"/>
          <w:szCs w:val="22"/>
        </w:rPr>
      </w:pPr>
    </w:p>
    <w:p w14:paraId="51F62CF8" w14:textId="487C82FD"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EH Bildu Nafarroa talde parlamentarioari atxikitako foru parlamentari Javier Arza Porrasek, Legebiltzarreko Erregelamenduan ezarritakoaren babesean, honako mozio hau aurkezten du, Nafarroako Parlamentuaren Osoko Bilkuran eztabaidatu eta bozkatzeko.</w:t>
      </w:r>
    </w:p>
    <w:p w14:paraId="6C27FAFC" w14:textId="7BDB06C9"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66D62204" w14:textId="7F8929A3"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Mendekotasuna artatzeko gure sistemaren ahulguneetako bat da zerbitzuek baino pisu handiagoa dutela prestazioek.</w:t>
      </w:r>
      <w:r>
        <w:rPr>
          <w:sz w:val="22"/>
          <w:rFonts w:ascii="Calibri" w:hAnsi="Calibri"/>
        </w:rPr>
        <w:t xml:space="preserve"> </w:t>
      </w:r>
      <w:r>
        <w:rPr>
          <w:sz w:val="22"/>
          <w:rFonts w:ascii="Calibri" w:hAnsi="Calibri"/>
        </w:rPr>
        <w:t xml:space="preserve">Mendekotasunaren Estatuko Behatokiaren azken txostenaren arabera, Nafarroan aplikatutako baliabideen ia erdia dira familia-prestazio ekonomikoak; estatuan, berriz, % 30 egiten dute.</w:t>
      </w:r>
      <w:r>
        <w:rPr>
          <w:sz w:val="22"/>
          <w:rFonts w:ascii="Calibri" w:hAnsi="Calibri"/>
        </w:rPr>
        <w:t xml:space="preserve"> </w:t>
      </w:r>
      <w:r>
        <w:rPr>
          <w:sz w:val="22"/>
          <w:rFonts w:ascii="Calibri" w:hAnsi="Calibri"/>
        </w:rPr>
        <w:t xml:space="preserve">Aplikatutako zerbitzuen artean, gainera, Etxez Etxeko Laguntza Zerbitzuak –munta handikoa baita– % 4,8 soilik egiten du (estatuko batez bestekoa % 18,6koa da).</w:t>
      </w:r>
    </w:p>
    <w:p w14:paraId="7E19B8F0" w14:textId="39ABDA8C"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Etxez Etxeko Laguntza Zerbitzua toki-entitateek kudeatzen dute, eta Nafarroako Gobernuak finantzatzen.</w:t>
      </w:r>
      <w:r>
        <w:rPr>
          <w:sz w:val="22"/>
          <w:rFonts w:ascii="Calibri" w:hAnsi="Calibri"/>
        </w:rPr>
        <w:t xml:space="preserve"> </w:t>
      </w:r>
      <w:r>
        <w:rPr>
          <w:sz w:val="22"/>
          <w:rFonts w:ascii="Calibri" w:hAnsi="Calibri"/>
        </w:rPr>
        <w:t xml:space="preserve">2008tik hona, Gizarte Zerbitzuen Zorroak bermatzen die zerbitzua mendekotasuna baloratuta daukaten pertsonei.</w:t>
      </w:r>
    </w:p>
    <w:p w14:paraId="6948C238" w14:textId="573BCC28"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Mundu guztia bat dator esatean Etxez Etxeko Laguntza Zerbitzua funts-funtsezkoa dela autonomia-zailtasunak dauzkaten pertsonek ahal den denborarik gehiena eman ahal izan dezaten etxean.</w:t>
      </w:r>
      <w:r>
        <w:rPr>
          <w:sz w:val="22"/>
          <w:rFonts w:ascii="Calibri" w:hAnsi="Calibri"/>
        </w:rPr>
        <w:t xml:space="preserve"> </w:t>
      </w:r>
      <w:r>
        <w:rPr>
          <w:sz w:val="22"/>
          <w:rFonts w:ascii="Calibri" w:hAnsi="Calibri"/>
        </w:rPr>
        <w:t xml:space="preserve">Hortaz, funtsezkoa da zerbitzu hori Nafarroan sendotzea.</w:t>
      </w:r>
    </w:p>
    <w:p w14:paraId="63FA5549" w14:textId="5B34378F"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Mendekotasunaren Estatuko Behatokiak ez ezik, Nafarroako Gobernuaren beraren txostenek ere aipatzen dituzte Etxez Etxeko Laguntza Zerbitzuaren ahulguneak.</w:t>
      </w:r>
      <w:r>
        <w:rPr>
          <w:sz w:val="22"/>
          <w:rFonts w:ascii="Calibri" w:hAnsi="Calibri"/>
        </w:rPr>
        <w:t xml:space="preserve"> </w:t>
      </w:r>
      <w:r>
        <w:rPr>
          <w:sz w:val="22"/>
          <w:rFonts w:ascii="Calibri" w:hAnsi="Calibri"/>
        </w:rPr>
        <w:t xml:space="preserve">Esaterako, iraupen luzeko zaintzei buruzko 2023ko txostenak dio “Etxez Etxeko Laguntza Zerbitzuak arazo handiak” dauzkala Nafarroan.</w:t>
      </w:r>
      <w:r>
        <w:rPr>
          <w:sz w:val="22"/>
          <w:rFonts w:ascii="Calibri" w:hAnsi="Calibri"/>
        </w:rPr>
        <w:t xml:space="preserve"> </w:t>
      </w:r>
      <w:r>
        <w:rPr>
          <w:sz w:val="22"/>
          <w:rFonts w:ascii="Calibri" w:hAnsi="Calibri"/>
        </w:rPr>
        <w:t xml:space="preserve">Hona, besteak beste, arazook: hutsaldu egin da zerbitzu horrek hasieran zuen prebentzio-izaera, eta gero eta handiagoa da erabiltzaileen zahartze-gradua eta mendekotasun-maila; Etxez Etxeko Laguntza Zerbitzua modu batekoa da toki-entitateetako bakoitzean, halako moldez non ez baita zerbitzua baliatzeko ekitatea bermatzen; ez da bermatzen banakako laguntza-planean jasotzen den intentsitate-mailaren araberako zerbitzua jasoko dutela erabiltzaileek, horretarako eskubidea izan arren; langileen arloko kudeaketa konplexutasun handikoa da, eta horrek eragina du zerbitzua emateari eta lan-eskubideei begira.</w:t>
      </w:r>
    </w:p>
    <w:p w14:paraId="79E8D20B" w14:textId="1D1698C6"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Erabaki-proposamena:</w:t>
      </w:r>
    </w:p>
    <w:p w14:paraId="73CEE51B" w14:textId="77777777"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Nafarroako Parlamentuak Nafarroako Gobernua premiatzen du:</w:t>
      </w:r>
    </w:p>
    <w:p w14:paraId="1045C494" w14:textId="0EEB0AEF"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Hitzarmen bidez sendotu eta finkatu dezan toki-entitateen finantzaketa, udalen etxez etxeko laguntza zerbitzua eman dezaten, halako moldez non handitu egin ahalko baita zerbitzuaren irismena, hala artatutako pertsona kopuruari nola egindako ordu kopuruari, artatzeko egunei eta ordutegiei edo profilei dagokienez.</w:t>
      </w:r>
      <w:r>
        <w:rPr>
          <w:sz w:val="22"/>
          <w:rFonts w:ascii="Calibri" w:hAnsi="Calibri"/>
        </w:rPr>
        <w:t xml:space="preserve"> </w:t>
      </w:r>
      <w:r>
        <w:rPr>
          <w:sz w:val="22"/>
          <w:rFonts w:ascii="Calibri" w:hAnsi="Calibri"/>
        </w:rPr>
        <w:t xml:space="preserve">Legegintzaldirako helburua izanen da estatuan ematen den etxez etxeko zerbitzuaren batez bestekora hurbiltzea gutxienez (% 18), mendekotasunari arreta emateko sistemak emandako zerbitzuetan. </w:t>
      </w:r>
    </w:p>
    <w:p w14:paraId="1A3ED20D" w14:textId="0FAD6BB8"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Nafarroako Udal eta Kontzejuen Federazioarekin koordinatuta, etxez etxeko laguntzako zerbitzuari buruzko ordenantza-eredua gaurkotu dezan 2024an zehar, halako moldez non bermatu eginen baita udaletan zerbitzua baliatzeko ekitatea.</w:t>
      </w:r>
    </w:p>
    <w:p w14:paraId="643F7D30" w14:textId="352E1220"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Egutegi bat zehaztu dezan 2024an zehar, gizarte zerbitzuen zentro guztietan legegintzaldian zehar hedatzeko autonomia artatzeko ekipo espezializatuak.</w:t>
      </w:r>
      <w:r>
        <w:rPr>
          <w:sz w:val="22"/>
          <w:rFonts w:ascii="Calibri" w:hAnsi="Calibri"/>
        </w:rPr>
        <w:t xml:space="preserve"> </w:t>
      </w:r>
      <w:r>
        <w:rPr>
          <w:sz w:val="22"/>
          <w:rFonts w:ascii="Calibri" w:hAnsi="Calibri"/>
        </w:rPr>
        <w:t xml:space="preserve">Ekipo horietatik laguntza espezializatu osagarria eman behar da, mendekotasun-egoeran dauden pertsonentzako arreta eta autonomia pertsonaleko tokiko programei dagokienez.</w:t>
      </w:r>
      <w:r>
        <w:rPr>
          <w:sz w:val="22"/>
          <w:rFonts w:ascii="Calibri" w:hAnsi="Calibri"/>
        </w:rPr>
        <w:t xml:space="preserve"> </w:t>
      </w:r>
      <w:r>
        <w:rPr>
          <w:sz w:val="22"/>
          <w:rFonts w:ascii="Calibri" w:hAnsi="Calibri"/>
        </w:rPr>
        <w:t xml:space="preserve">Ekipo horiek orobat egin beharko dute gizarte zerbitzuetako alor bakoitzeko zaintza zerbitzuen arteko koordinazioa; horien artean, udalen etxez etxeko laguntza zerbitzua dago.</w:t>
      </w:r>
      <w:r>
        <w:rPr>
          <w:sz w:val="22"/>
          <w:rFonts w:ascii="Calibri" w:hAnsi="Calibri"/>
        </w:rPr>
        <w:t xml:space="preserve"> </w:t>
      </w:r>
      <w:r>
        <w:rPr>
          <w:sz w:val="22"/>
          <w:rFonts w:ascii="Calibri" w:hAnsi="Calibri"/>
        </w:rPr>
        <w:t xml:space="preserve">Une honetan, ekipo hori Tuterako arloan bakarrik ari da abian jartzen.</w:t>
      </w:r>
    </w:p>
    <w:p w14:paraId="72B28CDA" w14:textId="423F311C"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p>
    <w:p w14:paraId="72D61873" w14:textId="60A4B80B"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4.</w:t>
      </w:r>
      <w:r>
        <w:rPr>
          <w:sz w:val="22"/>
          <w:rFonts w:ascii="Calibri" w:hAnsi="Calibri"/>
        </w:rPr>
        <w:t xml:space="preserve"> </w:t>
      </w:r>
      <w:r>
        <w:rPr>
          <w:sz w:val="22"/>
          <w:rFonts w:ascii="Calibri" w:hAnsi="Calibri"/>
        </w:rPr>
        <w:t xml:space="preserve">2024an zehar egutegi bat zehaztu dezan, legegintzaldian zehar PAISS proiektua egiteko, halako moldez non arreta soziosanitario integral eta integratua bermatuko baitzaie etxez etxeko laguntza zerbitzuaren erabiltzaileei eta, oro har, biztanle guztiei.</w:t>
      </w:r>
      <w:r>
        <w:rPr>
          <w:sz w:val="22"/>
          <w:rFonts w:ascii="Calibri" w:hAnsi="Calibri"/>
        </w:rPr>
        <w:t xml:space="preserve"> </w:t>
      </w:r>
      <w:r>
        <w:rPr>
          <w:sz w:val="22"/>
          <w:rFonts w:ascii="Calibri" w:hAnsi="Calibri"/>
        </w:rPr>
        <w:t xml:space="preserve">Orain arte, PAISS Tuterako, Tafallako eta Lizarrako arloetan bakarrik egiten da.</w:t>
      </w:r>
    </w:p>
    <w:p w14:paraId="1D9C0305" w14:textId="011FB2B3"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5.</w:t>
      </w:r>
      <w:r>
        <w:rPr>
          <w:sz w:val="22"/>
          <w:rFonts w:ascii="Calibri" w:hAnsi="Calibri"/>
        </w:rPr>
        <w:t xml:space="preserve"> </w:t>
      </w:r>
      <w:r>
        <w:rPr>
          <w:sz w:val="22"/>
          <w:rFonts w:ascii="Calibri" w:hAnsi="Calibri"/>
        </w:rPr>
        <w:t xml:space="preserve">Hezkuntza eta Eskubide Sozialetako departamentuekin koordina dadin, 2024an zehar prozedura bat taxutze aldera, zerbitzu mota hori lantzeko kreditazio-prozesuetan eta titulazioetan zenbaitetan gertatzen den nahastea eta gainjartzea argitzeko</w:t>
      </w:r>
    </w:p>
    <w:p w14:paraId="2DEE0FE7" w14:textId="34ED4290"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6.</w:t>
      </w:r>
      <w:r>
        <w:rPr>
          <w:sz w:val="22"/>
          <w:rFonts w:ascii="Calibri" w:hAnsi="Calibri"/>
        </w:rPr>
        <w:t xml:space="preserve"> </w:t>
      </w:r>
      <w:r>
        <w:rPr>
          <w:sz w:val="22"/>
          <w:rFonts w:ascii="Calibri" w:hAnsi="Calibri"/>
        </w:rPr>
        <w:t xml:space="preserve">Hezkuntza eta Eskubide Sozialetako departamentuekin koordina dadin, 2024an zehar prozedura bat taxutze aldera, formakuntza mota hori lortu ahal izatea errazteko, bereziki landa-ingurunean, esate baterako online formakuntzaren edo prestakuntza erdipresentzialaren bidez.</w:t>
      </w:r>
    </w:p>
    <w:p w14:paraId="20E4CD8A" w14:textId="37ACD638"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p>
    <w:p w14:paraId="61B1324F" w14:textId="76A666CB"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7.</w:t>
      </w:r>
      <w:r>
        <w:rPr>
          <w:sz w:val="22"/>
          <w:rFonts w:ascii="Calibri" w:hAnsi="Calibri"/>
        </w:rPr>
        <w:t xml:space="preserve"> </w:t>
      </w:r>
      <w:r>
        <w:rPr>
          <w:sz w:val="22"/>
          <w:rFonts w:ascii="Calibri" w:hAnsi="Calibri"/>
        </w:rPr>
        <w:t xml:space="preserve">Hezkuntza eta Eskubide Sozialetako departamentuekin koordina dadin, etxez etxeko laguntza zerbitzuan lan egiten duten pertsonen etengabeko prestakuntza indartzeko plan bat taxutzeko.</w:t>
      </w:r>
    </w:p>
    <w:p w14:paraId="73C1D517" w14:textId="0A52B481" w:rsidR="00CC4712" w:rsidRPr="00CC4712" w:rsidRDefault="00CC4712" w:rsidP="007E12DF">
      <w:pPr>
        <w:autoSpaceDE w:val="0"/>
        <w:autoSpaceDN w:val="0"/>
        <w:adjustRightInd w:val="0"/>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8.</w:t>
      </w:r>
      <w:r>
        <w:rPr>
          <w:sz w:val="22"/>
          <w:rFonts w:ascii="Calibri" w:hAnsi="Calibri"/>
        </w:rPr>
        <w:t xml:space="preserve"> </w:t>
      </w:r>
      <w:r>
        <w:rPr>
          <w:sz w:val="22"/>
          <w:rFonts w:ascii="Calibri" w:hAnsi="Calibri"/>
        </w:rPr>
        <w:t xml:space="preserve">Etxez etxeko laguntza zerbitzuaren kudeaketa publikoa berma dezan, zerbitzuaren kalitatea eta langileen lan-baldintzak faboratzen dituen neurri gisa.</w:t>
      </w:r>
    </w:p>
    <w:p w14:paraId="017E45BD" w14:textId="2AFFAB74" w:rsidR="008D7F85" w:rsidRDefault="00CC4712" w:rsidP="007E12DF">
      <w:pPr>
        <w:spacing w:before="100" w:beforeAutospacing="1" w:after="200" w:line="276" w:lineRule="auto"/>
        <w:contextualSpacing/>
        <w:mirrorIndents/>
        <w:jc w:val="both"/>
        <w:rPr>
          <w:kern w:val="0"/>
          <w:sz w:val="22"/>
          <w:szCs w:val="22"/>
          <w:rFonts w:ascii="Calibri" w:hAnsi="Calibri" w:cs="Calibri"/>
        </w:rPr>
      </w:pPr>
      <w:r>
        <w:rPr>
          <w:sz w:val="22"/>
          <w:rFonts w:ascii="Calibri" w:hAnsi="Calibri"/>
        </w:rPr>
        <w:t xml:space="preserve">Iruñean, 2024ko maiatzaren 21ean</w:t>
      </w:r>
    </w:p>
    <w:p w14:paraId="097671AC" w14:textId="1BF8E063" w:rsidR="009367C5" w:rsidRPr="00CC4712" w:rsidRDefault="009367C5" w:rsidP="007E12DF">
      <w:pPr>
        <w:spacing w:before="100" w:beforeAutospacing="1" w:after="200" w:line="276" w:lineRule="auto"/>
        <w:contextualSpacing/>
        <w:mirrorIndents/>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Arza Porras</w:t>
      </w:r>
    </w:p>
    <w:sectPr w:rsidR="009367C5" w:rsidRPr="00CC47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12"/>
    <w:rsid w:val="000A6CBE"/>
    <w:rsid w:val="00221C67"/>
    <w:rsid w:val="007E12DF"/>
    <w:rsid w:val="008D7F85"/>
    <w:rsid w:val="009367C5"/>
    <w:rsid w:val="00A36075"/>
    <w:rsid w:val="00BA0A7E"/>
    <w:rsid w:val="00CC4712"/>
    <w:rsid w:val="00DB4375"/>
    <w:rsid w:val="00E2340F"/>
    <w:rsid w:val="00EC5628"/>
    <w:rsid w:val="00F450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794F"/>
  <w15:chartTrackingRefBased/>
  <w15:docId w15:val="{6441E9AD-BB3C-4B28-B143-39266FE2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4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4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47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47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47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47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47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47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47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47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47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47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47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47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47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47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47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4712"/>
    <w:rPr>
      <w:rFonts w:eastAsiaTheme="majorEastAsia" w:cstheme="majorBidi"/>
      <w:color w:val="272727" w:themeColor="text1" w:themeTint="D8"/>
    </w:rPr>
  </w:style>
  <w:style w:type="paragraph" w:styleId="Ttulo">
    <w:name w:val="Title"/>
    <w:basedOn w:val="Normal"/>
    <w:next w:val="Normal"/>
    <w:link w:val="TtuloCar"/>
    <w:uiPriority w:val="10"/>
    <w:qFormat/>
    <w:rsid w:val="00CC4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47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47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47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4712"/>
    <w:pPr>
      <w:spacing w:before="160"/>
      <w:jc w:val="center"/>
    </w:pPr>
    <w:rPr>
      <w:i/>
      <w:iCs/>
      <w:color w:val="404040" w:themeColor="text1" w:themeTint="BF"/>
    </w:rPr>
  </w:style>
  <w:style w:type="character" w:customStyle="1" w:styleId="CitaCar">
    <w:name w:val="Cita Car"/>
    <w:basedOn w:val="Fuentedeprrafopredeter"/>
    <w:link w:val="Cita"/>
    <w:uiPriority w:val="29"/>
    <w:rsid w:val="00CC4712"/>
    <w:rPr>
      <w:i/>
      <w:iCs/>
      <w:color w:val="404040" w:themeColor="text1" w:themeTint="BF"/>
    </w:rPr>
  </w:style>
  <w:style w:type="paragraph" w:styleId="Prrafodelista">
    <w:name w:val="List Paragraph"/>
    <w:basedOn w:val="Normal"/>
    <w:uiPriority w:val="34"/>
    <w:qFormat/>
    <w:rsid w:val="00CC4712"/>
    <w:pPr>
      <w:ind w:left="720"/>
      <w:contextualSpacing/>
    </w:pPr>
  </w:style>
  <w:style w:type="character" w:styleId="nfasisintenso">
    <w:name w:val="Intense Emphasis"/>
    <w:basedOn w:val="Fuentedeprrafopredeter"/>
    <w:uiPriority w:val="21"/>
    <w:qFormat/>
    <w:rsid w:val="00CC4712"/>
    <w:rPr>
      <w:i/>
      <w:iCs/>
      <w:color w:val="0F4761" w:themeColor="accent1" w:themeShade="BF"/>
    </w:rPr>
  </w:style>
  <w:style w:type="paragraph" w:styleId="Citadestacada">
    <w:name w:val="Intense Quote"/>
    <w:basedOn w:val="Normal"/>
    <w:next w:val="Normal"/>
    <w:link w:val="CitadestacadaCar"/>
    <w:uiPriority w:val="30"/>
    <w:qFormat/>
    <w:rsid w:val="00CC4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4712"/>
    <w:rPr>
      <w:i/>
      <w:iCs/>
      <w:color w:val="0F4761" w:themeColor="accent1" w:themeShade="BF"/>
    </w:rPr>
  </w:style>
  <w:style w:type="character" w:styleId="Referenciaintensa">
    <w:name w:val="Intense Reference"/>
    <w:basedOn w:val="Fuentedeprrafopredeter"/>
    <w:uiPriority w:val="32"/>
    <w:qFormat/>
    <w:rsid w:val="00CC47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765</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6</cp:revision>
  <dcterms:created xsi:type="dcterms:W3CDTF">2024-05-24T04:31:00Z</dcterms:created>
  <dcterms:modified xsi:type="dcterms:W3CDTF">2024-05-24T05:30:00Z</dcterms:modified>
</cp:coreProperties>
</file>