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24C10" w14:textId="77777777" w:rsidR="00DD4104" w:rsidRDefault="00C56D21" w:rsidP="0083170B">
      <w:pPr>
        <w:spacing w:line="360" w:lineRule="auto"/>
        <w:jc w:val="both"/>
        <w:rPr>
          <w:sz w:val="24"/>
          <w:szCs w:val="24"/>
          <w:rFonts w:ascii="Arial" w:hAnsi="Arial" w:cs="Arial"/>
        </w:rPr>
      </w:pPr>
      <w:r>
        <w:rPr>
          <w:sz w:val="24"/>
          <w:rFonts w:ascii="Arial" w:hAnsi="Arial"/>
        </w:rPr>
        <w:t xml:space="preserve">Unión del Pueblo Navarro talde parlamentarioari atxikitako foru parlamentari Marta Álvarez Alonso andreak, Erregelamenduan xedatuaren babesean, 11-24/PES-00275 galdera egin du, idatziz erantzun dakion. Hona hemen Barneko, Funtzio Publikoko eta Justiziako kontseilariak horren harira ematen dion informazioa: </w:t>
      </w:r>
    </w:p>
    <w:p w14:paraId="149B4E96" w14:textId="77777777" w:rsidR="00DD4104" w:rsidRDefault="0083170B" w:rsidP="0083170B">
      <w:pPr>
        <w:spacing w:line="360" w:lineRule="auto"/>
        <w:jc w:val="both"/>
        <w:rPr>
          <w:sz w:val="24"/>
          <w:szCs w:val="24"/>
          <w:rFonts w:ascii="Arial" w:hAnsi="Arial" w:cs="Arial"/>
        </w:rPr>
      </w:pPr>
    </w:p>
    <w:p w14:paraId="2C8AC573" w14:textId="50ACEA09" w:rsidR="00802238" w:rsidRPr="00802238" w:rsidRDefault="00802238" w:rsidP="00802238">
      <w:pPr>
        <w:suppressAutoHyphens/>
        <w:spacing w:line="360" w:lineRule="auto"/>
        <w:jc w:val="both"/>
        <w:rPr>
          <w:sz w:val="24"/>
          <w:szCs w:val="24"/>
          <w:rFonts w:ascii="Arial" w:hAnsi="Arial" w:cs="Arial"/>
        </w:rPr>
      </w:pPr>
      <w:r>
        <w:rPr>
          <w:sz w:val="24"/>
          <w:rFonts w:ascii="Arial" w:hAnsi="Arial"/>
        </w:rPr>
        <w:t xml:space="preserve">Proiektuaren epeak hirigintza-izapideen eta -onespenen araberakoak izango dira, bai eta helburu horietara bideratutako partida ekonomikoen aurrekontu-zuzkiduraren araberakoak ere.</w:t>
      </w:r>
    </w:p>
    <w:p w14:paraId="3B4F8EAF"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Foruzaingoaren polizia-etxe zentral berria eraikitzeko obrak urbanizazio-lanak amaitzen direnean hasi ahalko dira, eta, beraz, beste lizitazio eta hirigintza-izapide batzuk epe barruan egitearen mende egonen dira.</w:t>
      </w:r>
      <w:r>
        <w:rPr>
          <w:sz w:val="24"/>
          <w:rFonts w:ascii="Arial" w:hAnsi="Arial"/>
        </w:rPr>
        <w:t xml:space="preserve"> </w:t>
      </w:r>
      <w:r>
        <w:rPr>
          <w:sz w:val="24"/>
          <w:rFonts w:ascii="Arial" w:hAnsi="Arial"/>
        </w:rPr>
        <w:t xml:space="preserve">Zehazki, plangintza xehatua, urbanizazio-proiektua eta urbanizazio-lanen lizitazioa izapidetu behar dira.</w:t>
      </w:r>
    </w:p>
    <w:p w14:paraId="0486F805"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Segurtasuna eta Larrialdiak Koordinatzeko Zentroaren 1. faseko aurreproiektua, oinarrizko proiektua eta eraikinak idazteko lizitazioa, Foruzaingoaren polizia-etxe zentral berria  jasotzen duena, aurretiazko azterlanak amaitu eta definitu ondoren egin ahalko da. Gaur egun, ideia-lehiaketa irabazi duen taldea lan horiek egiten ari da eta fase hori udazkenean bukatuta egotea espero da, proiektuaren lizitazioari hasiera emateko.</w:t>
      </w:r>
    </w:p>
    <w:p w14:paraId="29400C5E"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Eraikinak egiteko obrak amaitu ondoren (exekuzio-epea 18 eta 24 hilabete artekoa izan dezakete), zerbitzuak kokapen berrira lekualdatuz joango dira pixkanaka, barneko espazioak ekipatu eta altzariz hornitu ahala.</w:t>
      </w:r>
      <w:r>
        <w:rPr>
          <w:sz w:val="24"/>
          <w:rFonts w:ascii="Arial" w:hAnsi="Arial"/>
        </w:rPr>
        <w:t xml:space="preserve"> </w:t>
      </w:r>
    </w:p>
    <w:p w14:paraId="11E04E80"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Bestalde, Segurtasuna eta Larrialdiak Koordinatzeko Zentroaren 1. fasea garatzeko behar diren lurrak Departamentuaren funtsekin erostea aurreikusten da, baita proiektua eraikitzea ere.</w:t>
      </w:r>
      <w:r>
        <w:rPr>
          <w:sz w:val="24"/>
          <w:rFonts w:ascii="Arial" w:hAnsi="Arial"/>
        </w:rPr>
        <w:t xml:space="preserve"> </w:t>
      </w:r>
    </w:p>
    <w:p w14:paraId="08EE2052"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Aurreikuspen ekonomikoa ideia-lehiaketan parte hartu zutenek emandako datuetan oinarrituta doitu behar da une honetan, aldez aurreko azterlanek aurrera egin ahala zehaztu ahal izateko.</w:t>
      </w:r>
    </w:p>
    <w:p w14:paraId="57FCDAA2"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Galderan aipatzen den Aranguren Haraneko Udalarekiko protokoloari dagokionez, Barne Zuzendaritza Nagusian eskuragarri dagoen dokumentazioan ez dago jasota Nafarroako Gobernuak eta Aranguren Haraneko Udalak sinatutako protokolorik edo hitzarmenik Segurtasuna eta Larrialdiak Koordinatzeko Zentroaren proiektuaren esparruan Foruzaingoaren polizia-etxe berria egitea aurreikusita dagoen lursailak erosteko.</w:t>
      </w:r>
    </w:p>
    <w:p w14:paraId="66AE7600"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Horrekin lotuta, bilerak egin dira Herrizaingo Zuzendaritza Nagusiaren eta Arangureneko Udalaren artean, Segurtasuna eta Larrialdiak Koordinatzeko Zentroa ezartzeko behar diren lursailak erostea adosteko, eta aurreikusita dago erosketa hori egitea antolamendu egituratzaileak, udalez gaindiko plan sektorial baten bidez eginak, proiektuaren hirigintza-bideragarritasuna bermatzeko behar diren onespenak dituenean.</w:t>
      </w:r>
    </w:p>
    <w:p w14:paraId="4FD2A5FF"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Bestalde, une honetan ezin da modu arrazoituan baloratu Beloson (Iruñea) etxebizitzak eraikitzeko proiektuak eta Segurtasuna eta Larrialdiak Koordinatzeko Zentroa eta Sanquíngo (Aranguren) polizia-etxe berria eraikitzeko proiektuak bereizteak izango duen inplikazio ekonomikoa, etorkizuneko garapenari eragiten dioten faktore eta baldintzatzaile ugariak direla-eta.</w:t>
      </w:r>
    </w:p>
    <w:p w14:paraId="5EAD5B0E"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Alde batetik, proiektuen inplikazio ekonomikoa haien hirigintza-determinazio egituratzaile eta xehatuen zehaztapenaren mende dago, bai eta higiezinen merkatuak, eraikuntza-kostuek eta faktore ekonomikoek epe ertainean izanen duten bilakaeraren mende ere.</w:t>
      </w:r>
    </w:p>
    <w:p w14:paraId="63593EC7"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Bestalde, bi proiektuak paraleloan eta modu koordinatuan izapidetzen badira, pentsatzekoa da Nafarroako Gobernuarentzako inplikazio ekonomikoa berdina edo oso antzekoa izango litzatekeela, hirigintza-garapen orok berezkoak dituen ezaugarri baldintzatzaileak gorabehera.</w:t>
      </w:r>
      <w:r>
        <w:rPr>
          <w:sz w:val="24"/>
          <w:rFonts w:ascii="Arial" w:hAnsi="Arial"/>
        </w:rPr>
        <w:t xml:space="preserve"> </w:t>
      </w:r>
    </w:p>
    <w:p w14:paraId="79925EBD"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Barne Zuzendaritza Nagusiak udalez gaindiko plan sektorial berri bat aurkeztu zuen zuzkidura-jarduketari edo zuzkidura publikoko eremuari buruz, eremua zabaltzeko, Segurtasuna eta Larrialdiak Koordinatzeko Zentroaren banaketa egokia bermatuko duen azalera bat edukitze aldera.</w:t>
      </w:r>
      <w:r>
        <w:rPr>
          <w:sz w:val="24"/>
          <w:rFonts w:ascii="Arial" w:hAnsi="Arial"/>
        </w:rPr>
        <w:t xml:space="preserve"> </w:t>
      </w:r>
      <w:r>
        <w:rPr>
          <w:sz w:val="24"/>
          <w:rFonts w:ascii="Arial" w:hAnsi="Arial"/>
        </w:rPr>
        <w:t xml:space="preserve">Zuzkidura-jarduerak garrantzi estrategikoa eta lehentasunezkoa du segurtasun publikorako eta larrialdia kudeatzeko, eta, ikuspegi horretatik, eta jendaurreko informazioaren eta ukitutako udalei entzuteko izapidearen barruan,   espedientearen tramitazioan parte hartzen ari diren duten zuzendaritza nagusiek – Barnekoa, Etxebizitzakoa eta Lurralde Antolamendukoa – azterketa bat partekatu dute, hasiera batean udalez gaindiko plan sektorialean aurreikusitako bi jarduketak garatzeko bideragarritasun, segurtasun eta arintasun handiagoa eskaintzen duten baldintzei buruz.</w:t>
      </w:r>
    </w:p>
    <w:p w14:paraId="3F27999F" w14:textId="77777777" w:rsidR="00DD4104" w:rsidRDefault="00802238" w:rsidP="00802238">
      <w:pPr>
        <w:suppressAutoHyphens/>
        <w:spacing w:line="360" w:lineRule="auto"/>
        <w:jc w:val="both"/>
        <w:rPr>
          <w:sz w:val="24"/>
          <w:szCs w:val="24"/>
          <w:rFonts w:ascii="Arial" w:hAnsi="Arial" w:cs="Arial"/>
        </w:rPr>
      </w:pPr>
      <w:r>
        <w:rPr>
          <w:sz w:val="24"/>
          <w:rFonts w:ascii="Arial" w:hAnsi="Arial"/>
        </w:rPr>
        <w:t xml:space="preserve">Prozesuaren hirigintza-izapideek bazuten konplexutasunik, plangintza-tresna baten bidez hirigintza-eraldaketako bi jarduketa independente, izaera eta udalez gaindiko eragin hain desberdinekoak, izapidetu beharretik zetozenak, eta, hala, izapidetze independente hori ahalbidetuz, proiektuaren arintzean eragiten da.</w:t>
      </w:r>
      <w:r>
        <w:rPr>
          <w:sz w:val="24"/>
          <w:rFonts w:ascii="Arial" w:hAnsi="Arial"/>
        </w:rPr>
        <w:t xml:space="preserve"> </w:t>
      </w:r>
      <w:r>
        <w:rPr>
          <w:sz w:val="24"/>
          <w:rFonts w:ascii="Arial" w:hAnsi="Arial"/>
        </w:rPr>
        <w:t xml:space="preserve">Nafarroako Gobernuko zuzendaritza nagusien arteko barne-koordinazio horren ondorioz, bai eta Belosoko jarduketak eragindako Iruñeko Udalarekin izandako entzunaldiaren ondorioz ere, komenigarritzat jo da udalez gaindiko plan sektoriala izapidetzen jarraitzea Sanquín eremuko zuzkidura publikoko jarduketaren esparruan soilik, eta sustatzaileek atzera egitea Belosoko bizitegi-jarduketaren eremuan izapidetzearekin jarraitzeari dagokionez.</w:t>
      </w:r>
      <w:r>
        <w:rPr>
          <w:sz w:val="24"/>
          <w:rFonts w:ascii="Arial" w:hAnsi="Arial"/>
        </w:rPr>
        <w:t xml:space="preserve"> </w:t>
      </w:r>
      <w:r>
        <w:rPr>
          <w:sz w:val="24"/>
          <w:rFonts w:ascii="Arial" w:hAnsi="Arial"/>
        </w:rPr>
        <w:t xml:space="preserve">Eremu horretan, Nafarroako Gobernuaren eta Iruñeko Udalaren etxebizitza-politikarako interesgarria den hiri-jarduketa bat planteatu ahalko da, udal hirigintza-plangintzako tresna baten bitartez, eta hori arintasun, malgutasun eta adostasun handiagoarekin.</w:t>
      </w:r>
    </w:p>
    <w:p w14:paraId="60EEEE1A" w14:textId="77777777" w:rsidR="00DD4104" w:rsidRDefault="00994923" w:rsidP="00C109B3">
      <w:pPr>
        <w:pStyle w:val="Default"/>
        <w:spacing w:line="360" w:lineRule="auto"/>
        <w:jc w:val="both"/>
      </w:pPr>
      <w:r>
        <w:t xml:space="preserve">           </w:t>
      </w:r>
      <w:r>
        <w:t xml:space="preserve">Hori guztia jakinarazten dizut, Nafarroako Parlamentuko Erregelamenduaren 15. artikuluan xedatutakoa betez.</w:t>
      </w:r>
    </w:p>
    <w:p w14:paraId="2B3B27EC" w14:textId="6D3D3A35" w:rsidR="001A2FB7" w:rsidRDefault="00EF1EE8" w:rsidP="0083170B">
      <w:pPr>
        <w:suppressAutoHyphens/>
        <w:spacing w:line="360" w:lineRule="auto"/>
        <w:rPr>
          <w:sz w:val="24"/>
          <w:szCs w:val="24"/>
          <w:rFonts w:ascii="Arial" w:hAnsi="Arial" w:cs="Arial"/>
        </w:rPr>
      </w:pPr>
      <w:r>
        <w:rPr>
          <w:sz w:val="24"/>
          <w:rFonts w:ascii="Arial" w:hAnsi="Arial"/>
        </w:rPr>
        <w:t xml:space="preserve">Iruñean, 2024ko ekainaren 17an</w:t>
      </w:r>
      <w:r>
        <w:rPr>
          <w:sz w:val="24"/>
          <w:rFonts w:ascii="Arial" w:hAnsi="Arial"/>
        </w:rPr>
        <w:t xml:space="preserve"> </w:t>
      </w:r>
    </w:p>
    <w:p w14:paraId="7FF881A3" w14:textId="77777777" w:rsidR="00DD4104" w:rsidRDefault="0083170B" w:rsidP="0083170B">
      <w:pPr>
        <w:suppressAutoHyphens/>
        <w:spacing w:line="360" w:lineRule="auto"/>
        <w:rPr>
          <w:sz w:val="24"/>
          <w:szCs w:val="24"/>
          <w:rFonts w:ascii="Arial" w:hAnsi="Arial" w:cs="Arial"/>
        </w:rPr>
      </w:pPr>
      <w:r>
        <w:rPr>
          <w:sz w:val="24"/>
          <w:rFonts w:ascii="Arial" w:hAnsi="Arial"/>
        </w:rPr>
        <w:t xml:space="preserve">Barneko, Funtzio Publikoko eta Justiziako kontseilaria:</w:t>
      </w:r>
      <w:r>
        <w:rPr>
          <w:sz w:val="24"/>
          <w:rFonts w:ascii="Arial" w:hAnsi="Arial"/>
        </w:rPr>
        <w:t xml:space="preserve"> </w:t>
      </w:r>
      <w:r>
        <w:rPr>
          <w:sz w:val="24"/>
          <w:rFonts w:ascii="Arial" w:hAnsi="Arial"/>
        </w:rPr>
        <w:t xml:space="preserve">M.ª Amparo López Antelo</w:t>
      </w:r>
    </w:p>
    <w:p w14:paraId="7B923EE0" w14:textId="77777777" w:rsidR="00DD4104" w:rsidRDefault="00DD4104" w:rsidP="001A2FB7">
      <w:pPr>
        <w:suppressAutoHyphens/>
        <w:spacing w:line="360" w:lineRule="auto"/>
        <w:jc w:val="center"/>
        <w:rPr>
          <w:rFonts w:ascii="Arial" w:hAnsi="Arial" w:cs="Arial"/>
          <w:sz w:val="24"/>
          <w:szCs w:val="24"/>
          <w:lang w:val="es-ES_tradnl" w:eastAsia="ar-SA"/>
        </w:rPr>
      </w:pPr>
    </w:p>
    <w:p w14:paraId="3CFBD761" w14:textId="2A61222C" w:rsidR="00A2145B" w:rsidRPr="001A2FB7" w:rsidRDefault="00A2145B" w:rsidP="00062A1D"/>
    <w:sectPr w:rsidR="00A2145B" w:rsidRPr="001A2FB7" w:rsidSect="00AC4472">
      <w:headerReference w:type="default" r:id="rId6"/>
      <w:headerReference w:type="first" r:id="rId7"/>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EE65" w14:textId="77777777" w:rsidR="00C649F7" w:rsidRDefault="00C649F7">
      <w:r>
        <w:separator/>
      </w:r>
    </w:p>
  </w:endnote>
  <w:endnote w:type="continuationSeparator" w:id="0">
    <w:p w14:paraId="0251831B"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720D3" w14:textId="77777777" w:rsidR="00C649F7" w:rsidRDefault="00C649F7">
      <w:r>
        <w:separator/>
      </w:r>
    </w:p>
  </w:footnote>
  <w:footnote w:type="continuationSeparator" w:id="0">
    <w:p w14:paraId="0DAEE4AB" w14:textId="77777777" w:rsidR="00C649F7" w:rsidRDefault="00C6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9CA6" w14:textId="30B3C480" w:rsidR="00F344C7" w:rsidRDefault="00192064" w:rsidP="00192064">
    <w:pPr>
      <w:pStyle w:val="Encabezado"/>
      <w:tabs>
        <w:tab w:val="left" w:pos="5355"/>
      </w:tabs>
    </w:pPr>
    <w:r>
      <w:tab/>
    </w:r>
  </w:p>
  <w:p w14:paraId="0617483E" w14:textId="07C87817" w:rsidR="00F344C7" w:rsidRDefault="006B0AA4" w:rsidP="006B0AA4">
    <w:pPr>
      <w:pStyle w:val="Encabezado"/>
      <w:tabs>
        <w:tab w:val="left" w:pos="5340"/>
      </w:tabs>
    </w:pPr>
    <w:r>
      <w:tab/>
    </w:r>
  </w:p>
  <w:p w14:paraId="463B22BD"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C64AB" w14:textId="2C8D1089" w:rsidR="00696F6F" w:rsidRDefault="00696F6F"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12E4"/>
    <w:rsid w:val="0002231F"/>
    <w:rsid w:val="00062A1D"/>
    <w:rsid w:val="000729E0"/>
    <w:rsid w:val="000742DA"/>
    <w:rsid w:val="0009463A"/>
    <w:rsid w:val="000B64A1"/>
    <w:rsid w:val="00190AB4"/>
    <w:rsid w:val="00192064"/>
    <w:rsid w:val="001A2FB7"/>
    <w:rsid w:val="00273425"/>
    <w:rsid w:val="00277C9A"/>
    <w:rsid w:val="002F09C8"/>
    <w:rsid w:val="003A4FD0"/>
    <w:rsid w:val="003C56E1"/>
    <w:rsid w:val="003F1206"/>
    <w:rsid w:val="004151ED"/>
    <w:rsid w:val="005367EB"/>
    <w:rsid w:val="005B095B"/>
    <w:rsid w:val="00696F6F"/>
    <w:rsid w:val="006A5952"/>
    <w:rsid w:val="006B0AA4"/>
    <w:rsid w:val="007018B0"/>
    <w:rsid w:val="0072604C"/>
    <w:rsid w:val="00793F61"/>
    <w:rsid w:val="00794754"/>
    <w:rsid w:val="007F7463"/>
    <w:rsid w:val="00802238"/>
    <w:rsid w:val="00803AE4"/>
    <w:rsid w:val="0083170B"/>
    <w:rsid w:val="008870C3"/>
    <w:rsid w:val="008F7588"/>
    <w:rsid w:val="00943144"/>
    <w:rsid w:val="00994342"/>
    <w:rsid w:val="00994923"/>
    <w:rsid w:val="009B0D58"/>
    <w:rsid w:val="009C6667"/>
    <w:rsid w:val="009E202F"/>
    <w:rsid w:val="009E381E"/>
    <w:rsid w:val="00A077F0"/>
    <w:rsid w:val="00A117E7"/>
    <w:rsid w:val="00A2145B"/>
    <w:rsid w:val="00A22179"/>
    <w:rsid w:val="00A357A5"/>
    <w:rsid w:val="00A52259"/>
    <w:rsid w:val="00A76DCB"/>
    <w:rsid w:val="00AB50BD"/>
    <w:rsid w:val="00AC4472"/>
    <w:rsid w:val="00AE76D9"/>
    <w:rsid w:val="00B00F2E"/>
    <w:rsid w:val="00B46857"/>
    <w:rsid w:val="00B662C6"/>
    <w:rsid w:val="00B96F7E"/>
    <w:rsid w:val="00BA7B9D"/>
    <w:rsid w:val="00BD6A02"/>
    <w:rsid w:val="00BE2BD3"/>
    <w:rsid w:val="00BF265F"/>
    <w:rsid w:val="00C04644"/>
    <w:rsid w:val="00C109B3"/>
    <w:rsid w:val="00C40353"/>
    <w:rsid w:val="00C56D21"/>
    <w:rsid w:val="00C649F7"/>
    <w:rsid w:val="00CA2943"/>
    <w:rsid w:val="00CB03BC"/>
    <w:rsid w:val="00CC1284"/>
    <w:rsid w:val="00CC459A"/>
    <w:rsid w:val="00DA5418"/>
    <w:rsid w:val="00DD4104"/>
    <w:rsid w:val="00DF6784"/>
    <w:rsid w:val="00E51A02"/>
    <w:rsid w:val="00E8181E"/>
    <w:rsid w:val="00EC5374"/>
    <w:rsid w:val="00EF1EE8"/>
    <w:rsid w:val="00EF2A4C"/>
    <w:rsid w:val="00F037C2"/>
    <w:rsid w:val="00F344C7"/>
    <w:rsid w:val="00F4445E"/>
    <w:rsid w:val="00FA6B87"/>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332953"/>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944</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6</cp:revision>
  <cp:lastPrinted>2024-04-30T13:12:00Z</cp:lastPrinted>
  <dcterms:created xsi:type="dcterms:W3CDTF">2024-06-18T06:22:00Z</dcterms:created>
  <dcterms:modified xsi:type="dcterms:W3CDTF">2024-06-26T08:46:00Z</dcterms:modified>
</cp:coreProperties>
</file>