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4BDB" w14:textId="77777777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24MOC-133</w:t>
      </w:r>
    </w:p>
    <w:p w14:paraId="2DB8843A" w14:textId="144C164B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Carlos Guzmán Pérez, Portavoz del Grupo Parlamentario Contigo Navarra-</w:t>
      </w:r>
      <w:proofErr w:type="spellStart"/>
      <w:r w:rsidRPr="003D66E3">
        <w:rPr>
          <w:rFonts w:ascii="Calibri" w:hAnsi="Calibri" w:cs="Calibri"/>
          <w:sz w:val="22"/>
          <w:szCs w:val="22"/>
        </w:rPr>
        <w:t>Zurekin</w:t>
      </w:r>
      <w:proofErr w:type="spellEnd"/>
      <w:r w:rsidRPr="003D66E3">
        <w:rPr>
          <w:rFonts w:ascii="Calibri" w:hAnsi="Calibri" w:cs="Calibri"/>
          <w:sz w:val="22"/>
          <w:szCs w:val="22"/>
        </w:rPr>
        <w:t xml:space="preserve"> Nafarroa,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al amparo de lo establecido en el reglamento de la Cámara, presenta la siguiente </w:t>
      </w:r>
      <w:r>
        <w:rPr>
          <w:rFonts w:ascii="Calibri" w:hAnsi="Calibri" w:cs="Calibri"/>
          <w:sz w:val="22"/>
          <w:szCs w:val="22"/>
        </w:rPr>
        <w:t>m</w:t>
      </w:r>
      <w:r w:rsidRPr="003D66E3">
        <w:rPr>
          <w:rFonts w:ascii="Calibri" w:hAnsi="Calibri" w:cs="Calibri"/>
          <w:sz w:val="22"/>
          <w:szCs w:val="22"/>
        </w:rPr>
        <w:t>oción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que sea debatida en sesión del Pleno</w:t>
      </w:r>
      <w:r w:rsidRPr="003D66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de este Parlamento:</w:t>
      </w:r>
    </w:p>
    <w:p w14:paraId="3C5D2A26" w14:textId="082434BC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 xml:space="preserve">Solicitamos que el seguimiento del estado de cumplimiento de esta </w:t>
      </w:r>
      <w:r>
        <w:rPr>
          <w:rFonts w:ascii="Calibri" w:hAnsi="Calibri" w:cs="Calibri"/>
          <w:sz w:val="22"/>
          <w:szCs w:val="22"/>
        </w:rPr>
        <w:t>m</w:t>
      </w:r>
      <w:r w:rsidRPr="003D66E3">
        <w:rPr>
          <w:rFonts w:ascii="Calibri" w:hAnsi="Calibri" w:cs="Calibri"/>
          <w:sz w:val="22"/>
          <w:szCs w:val="22"/>
        </w:rPr>
        <w:t>oción se realice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Comisión de Derechos Sociales, Economía Social y Empleo del Parlamento de Navarra.</w:t>
      </w:r>
    </w:p>
    <w:p w14:paraId="5D26D07D" w14:textId="029BFA87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Exposición de motivos</w:t>
      </w:r>
    </w:p>
    <w:p w14:paraId="3593B0D2" w14:textId="0B9DCCF1" w:rsid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 xml:space="preserve">El 3 de noviembre de 2016 el Pleno del Parlamento de Navarra aprobó la </w:t>
      </w:r>
      <w:r>
        <w:rPr>
          <w:rFonts w:ascii="Calibri" w:hAnsi="Calibri" w:cs="Calibri"/>
          <w:sz w:val="22"/>
          <w:szCs w:val="22"/>
        </w:rPr>
        <w:t>l</w:t>
      </w:r>
      <w:r w:rsidRPr="003D66E3">
        <w:rPr>
          <w:rFonts w:ascii="Calibri" w:hAnsi="Calibri" w:cs="Calibri"/>
          <w:sz w:val="22"/>
          <w:szCs w:val="22"/>
        </w:rPr>
        <w:t xml:space="preserve">ey </w:t>
      </w:r>
      <w:r>
        <w:rPr>
          <w:rFonts w:ascii="Calibri" w:hAnsi="Calibri" w:cs="Calibri"/>
          <w:sz w:val="22"/>
          <w:szCs w:val="22"/>
        </w:rPr>
        <w:t>f</w:t>
      </w:r>
      <w:r w:rsidRPr="003D66E3">
        <w:rPr>
          <w:rFonts w:ascii="Calibri" w:hAnsi="Calibri" w:cs="Calibri"/>
          <w:sz w:val="22"/>
          <w:szCs w:val="22"/>
        </w:rPr>
        <w:t>oral por la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se regulan los derechos a la </w:t>
      </w:r>
      <w:r>
        <w:rPr>
          <w:rFonts w:ascii="Calibri" w:hAnsi="Calibri" w:cs="Calibri"/>
          <w:sz w:val="22"/>
          <w:szCs w:val="22"/>
        </w:rPr>
        <w:t>i</w:t>
      </w:r>
      <w:r w:rsidRPr="003D66E3">
        <w:rPr>
          <w:rFonts w:ascii="Calibri" w:hAnsi="Calibri" w:cs="Calibri"/>
          <w:sz w:val="22"/>
          <w:szCs w:val="22"/>
        </w:rPr>
        <w:t xml:space="preserve">nclusión </w:t>
      </w:r>
      <w:r>
        <w:rPr>
          <w:rFonts w:ascii="Calibri" w:hAnsi="Calibri" w:cs="Calibri"/>
          <w:sz w:val="22"/>
          <w:szCs w:val="22"/>
        </w:rPr>
        <w:t>s</w:t>
      </w:r>
      <w:r w:rsidRPr="003D66E3">
        <w:rPr>
          <w:rFonts w:ascii="Calibri" w:hAnsi="Calibri" w:cs="Calibri"/>
          <w:sz w:val="22"/>
          <w:szCs w:val="22"/>
        </w:rPr>
        <w:t xml:space="preserve">ocial y a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. Esta </w:t>
      </w:r>
      <w:r>
        <w:rPr>
          <w:rFonts w:ascii="Calibri" w:hAnsi="Calibri" w:cs="Calibri"/>
          <w:sz w:val="22"/>
          <w:szCs w:val="22"/>
        </w:rPr>
        <w:t>l</w:t>
      </w:r>
      <w:r w:rsidRPr="003D66E3">
        <w:rPr>
          <w:rFonts w:ascii="Calibri" w:hAnsi="Calibri" w:cs="Calibri"/>
          <w:sz w:val="22"/>
          <w:szCs w:val="22"/>
        </w:rPr>
        <w:t>ey tenía por objeto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promover la integración sociolaboral mediante procesos personalizados y regular el acceso a la</w:t>
      </w:r>
      <w:r>
        <w:rPr>
          <w:rFonts w:ascii="Calibri" w:hAnsi="Calibri" w:cs="Calibri"/>
          <w:sz w:val="22"/>
          <w:szCs w:val="22"/>
        </w:rPr>
        <w:t xml:space="preserve">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en cuanto prestación básica, económica y periódica destinada a personas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no tienen cubiertas sus necesidades básicas. Esta nueva prestación que se creaba,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>, tenía por objeto sustituir la por entonces existente Renta de Inclusión Social (RIS).</w:t>
      </w:r>
    </w:p>
    <w:p w14:paraId="455878BF" w14:textId="0D5F5692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Posteriormente, el Gobierno de Navarra aprobaba el Decreto Foral 26/2018, de 25 de abril,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desarrollo de los derechos a la Inclusión Social y a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>, para dotar de desarrollo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reglamentario a la ley señalada, de modo que el acceso y ejercicio de ambos derechos sea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más transparente, objetivo y ágil preciso.</w:t>
      </w:r>
    </w:p>
    <w:p w14:paraId="0ABE5FC1" w14:textId="3667CBD9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Tal y como recoge la propia página web del Gobierno de Navarra, el objetivo de esta prestación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económica es “garantizar el mínimo para una vida digna a las personas y unidades familiares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se encuentran en situación de pobreza”, de manera complementaria de cualquier otro ingreso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al que se pueda tener derecho. Además, esta prestación tiene una clara orientación a garantizar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la protección de la infancia</w:t>
      </w:r>
      <w:r>
        <w:rPr>
          <w:rFonts w:ascii="Calibri" w:hAnsi="Calibri" w:cs="Calibri"/>
          <w:sz w:val="22"/>
          <w:szCs w:val="22"/>
        </w:rPr>
        <w:t>. R</w:t>
      </w:r>
      <w:r w:rsidRPr="003D66E3">
        <w:rPr>
          <w:rFonts w:ascii="Calibri" w:hAnsi="Calibri" w:cs="Calibri"/>
          <w:sz w:val="22"/>
          <w:szCs w:val="22"/>
        </w:rPr>
        <w:t>ecordemos que la causa principal de la pobreza infantil es la falta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de empleo o ingresos insuficientes de los progenitores.</w:t>
      </w:r>
    </w:p>
    <w:p w14:paraId="3EA254A0" w14:textId="4B329110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El artículo 25.1 de la Declaración Universal de Derechos Humanos y los diversos instrumentos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desarrollo de la misma consagran, entre otros derechos económicos, sociales y culturales,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derecho de toda persona a un nivel de vida adecuado que le asegure, así como a su familia,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salud y el bienestar, y en especial la alimentación, el vestido, la vivienda, la asistencia médica y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los servicios sociales necesarios; tiene</w:t>
      </w:r>
      <w:r>
        <w:rPr>
          <w:rFonts w:ascii="Calibri" w:hAnsi="Calibri" w:cs="Calibri"/>
          <w:sz w:val="22"/>
          <w:szCs w:val="22"/>
        </w:rPr>
        <w:t>,</w:t>
      </w:r>
      <w:r w:rsidRPr="003D66E3">
        <w:rPr>
          <w:rFonts w:ascii="Calibri" w:hAnsi="Calibri" w:cs="Calibri"/>
          <w:sz w:val="22"/>
          <w:szCs w:val="22"/>
        </w:rPr>
        <w:t xml:space="preserve"> asimismo</w:t>
      </w:r>
      <w:r>
        <w:rPr>
          <w:rFonts w:ascii="Calibri" w:hAnsi="Calibri" w:cs="Calibri"/>
          <w:sz w:val="22"/>
          <w:szCs w:val="22"/>
        </w:rPr>
        <w:t>,</w:t>
      </w:r>
      <w:r w:rsidRPr="003D66E3">
        <w:rPr>
          <w:rFonts w:ascii="Calibri" w:hAnsi="Calibri" w:cs="Calibri"/>
          <w:sz w:val="22"/>
          <w:szCs w:val="22"/>
        </w:rPr>
        <w:t xml:space="preserve"> derecho a los seguros en caso de desempleo,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enfermedad, invalidez, viudez, vejez u otros casos de pérdida de sus medios de subsistencia por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circunstancias independientes de su voluntad. Este derecho a un nivel de vida adecuado es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fundamento de la protección social en casos de vulnerabilidad o exclusión social o en riesgo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estarlo, y en consecuencia comporta la responsabilidad de los poderes públicos ante las personas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que por circunstancias diversas se encuentran en tales situaciones.</w:t>
      </w:r>
    </w:p>
    <w:p w14:paraId="12894578" w14:textId="60DC9B9F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El Pilar Europeo de Derechos Sociales presenta una estrategia más ambiciosa que otras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actuaciones europeas precedentes en cuanto a la garantía de unos ingresos mínimos.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acuerdo con el 14º principio de dicho Pilar, “</w:t>
      </w:r>
      <w:r>
        <w:rPr>
          <w:rFonts w:ascii="Calibri" w:hAnsi="Calibri" w:cs="Calibri"/>
          <w:i/>
          <w:iCs/>
          <w:sz w:val="22"/>
          <w:szCs w:val="22"/>
        </w:rPr>
        <w:t>t</w:t>
      </w:r>
      <w:r w:rsidRPr="003D66E3">
        <w:rPr>
          <w:rFonts w:ascii="Calibri" w:hAnsi="Calibri" w:cs="Calibri"/>
          <w:i/>
          <w:iCs/>
          <w:sz w:val="22"/>
          <w:szCs w:val="22"/>
        </w:rPr>
        <w:t>oda persona que carezca de recursos suficientes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i/>
          <w:iCs/>
          <w:sz w:val="22"/>
          <w:szCs w:val="22"/>
        </w:rPr>
        <w:t>tiene derecho a unas prestaciones de renta mínima adecuadas que garanticen una vida digna 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i/>
          <w:iCs/>
          <w:sz w:val="22"/>
          <w:szCs w:val="22"/>
        </w:rPr>
        <w:t>lo largo de todas las etapas de la vida, así como el acceso a bienes y servicios de capacitación.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i/>
          <w:iCs/>
          <w:sz w:val="22"/>
          <w:szCs w:val="22"/>
        </w:rPr>
        <w:t>Para las personas que pueden trabajar, las prestaciones de renta mínima deben combinarse con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i/>
          <w:iCs/>
          <w:sz w:val="22"/>
          <w:szCs w:val="22"/>
        </w:rPr>
        <w:t>incentivos a la (re)integración en el mercado laboral</w:t>
      </w:r>
      <w:r w:rsidRPr="003D66E3">
        <w:rPr>
          <w:rFonts w:ascii="Calibri" w:hAnsi="Calibri" w:cs="Calibri"/>
          <w:sz w:val="22"/>
          <w:szCs w:val="22"/>
        </w:rPr>
        <w:t>”. El Plan de Acción lanzado en 2021 está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dirigido a conseguir una convergencia por arriba en la lucha contra la pobreza. Para ello,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lastRenderedPageBreak/>
        <w:t>propuesta de Recomendaciones de la Comisión para el Consejo Europeo plantea mejorar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adecuación de las cuantías, mejorar la cobertura, reforzar el acceso al empleo inclusivo y a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servicios esenciales y promover un apoyo individualizado.</w:t>
      </w:r>
    </w:p>
    <w:p w14:paraId="347BF8D1" w14:textId="2798E5C1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De acuerdo con esta propuesta de la Comisión Europea, para que sea adecuada, la cuantía de la</w:t>
      </w:r>
      <w:r>
        <w:rPr>
          <w:rFonts w:ascii="Calibri" w:hAnsi="Calibri" w:cs="Calibri"/>
          <w:sz w:val="22"/>
          <w:szCs w:val="22"/>
        </w:rPr>
        <w:t xml:space="preserve">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debe acercarse al umbral de pobreza de cada Estado </w:t>
      </w:r>
      <w:r>
        <w:rPr>
          <w:rFonts w:ascii="Calibri" w:hAnsi="Calibri" w:cs="Calibri"/>
          <w:sz w:val="22"/>
          <w:szCs w:val="22"/>
        </w:rPr>
        <w:t>m</w:t>
      </w:r>
      <w:r w:rsidRPr="003D66E3">
        <w:rPr>
          <w:rFonts w:ascii="Calibri" w:hAnsi="Calibri" w:cs="Calibri"/>
          <w:sz w:val="22"/>
          <w:szCs w:val="22"/>
        </w:rPr>
        <w:t>iembro. Esto supone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10.989,50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€ para España en 2023, todavía lejos de los 9.144€ de la RG de Navarra.</w:t>
      </w:r>
    </w:p>
    <w:p w14:paraId="37649596" w14:textId="7AF8D704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La puesta en marcha del Ingreso Mínimo Vital (IMV) ha supuesto un alivio para el esfuerzo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presupuestario foral, pero requiere mantener un esfuerzo complementario para adecuarse a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necesidades específicas de Navarra, con un nivel de renta, unos precios y unas necesidades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sociales claramente por encima de las de la media del Estado. Parece razonable que el ahorro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financiero que supone el IMV para las arcas forales no se detraiga del esfuerzo de Navarra en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lucha contra la pobreza, sino que se dedique a mejorar la cobertura de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y 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potenciar los instrumentos para la inclusión social.</w:t>
      </w:r>
    </w:p>
    <w:p w14:paraId="305AB2C8" w14:textId="1D9E28BF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 xml:space="preserve">Indicadores como la Tasa AROPE demuestran de forma fehaciente que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es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una de las mejores herramientas de las que dispone la administración pública de Navarra para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luchar contra la pobreza y contra la vulnerabilidad social. A pesar de ello, son constantes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discursos que critican esta prestación y que abogan por su reforma restrictiva. Frente a estos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discursos interesados, quienes creemos en la justicia social debemos seguir defendiendo este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necesario </w:t>
      </w:r>
      <w:r>
        <w:rPr>
          <w:rFonts w:ascii="Calibri" w:hAnsi="Calibri" w:cs="Calibri"/>
          <w:sz w:val="22"/>
          <w:szCs w:val="22"/>
        </w:rPr>
        <w:t>d</w:t>
      </w:r>
      <w:r w:rsidRPr="003D66E3">
        <w:rPr>
          <w:rFonts w:ascii="Calibri" w:hAnsi="Calibri" w:cs="Calibri"/>
          <w:sz w:val="22"/>
          <w:szCs w:val="22"/>
        </w:rPr>
        <w:t xml:space="preserve">erecho </w:t>
      </w:r>
      <w:r>
        <w:rPr>
          <w:rFonts w:ascii="Calibri" w:hAnsi="Calibri" w:cs="Calibri"/>
          <w:sz w:val="22"/>
          <w:szCs w:val="22"/>
        </w:rPr>
        <w:t>s</w:t>
      </w:r>
      <w:r w:rsidRPr="003D66E3">
        <w:rPr>
          <w:rFonts w:ascii="Calibri" w:hAnsi="Calibri" w:cs="Calibri"/>
          <w:sz w:val="22"/>
          <w:szCs w:val="22"/>
        </w:rPr>
        <w:t>ocial.</w:t>
      </w:r>
    </w:p>
    <w:p w14:paraId="22897155" w14:textId="0FDB5FCB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Propuesta de resolución:</w:t>
      </w:r>
    </w:p>
    <w:p w14:paraId="116233DF" w14:textId="7CD20B40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 xml:space="preserve">1. El Parlamento de Navarra respalda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como una de las mejores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herramientas de las que dispone la </w:t>
      </w:r>
      <w:r w:rsidR="00635DCF">
        <w:rPr>
          <w:rFonts w:ascii="Calibri" w:hAnsi="Calibri" w:cs="Calibri"/>
          <w:sz w:val="22"/>
          <w:szCs w:val="22"/>
        </w:rPr>
        <w:t>A</w:t>
      </w:r>
      <w:r w:rsidRPr="003D66E3">
        <w:rPr>
          <w:rFonts w:ascii="Calibri" w:hAnsi="Calibri" w:cs="Calibri"/>
          <w:sz w:val="22"/>
          <w:szCs w:val="22"/>
        </w:rPr>
        <w:t xml:space="preserve">dministración </w:t>
      </w:r>
      <w:r w:rsidR="00635DCF">
        <w:rPr>
          <w:rFonts w:ascii="Calibri" w:hAnsi="Calibri" w:cs="Calibri"/>
          <w:sz w:val="22"/>
          <w:szCs w:val="22"/>
        </w:rPr>
        <w:t>P</w:t>
      </w:r>
      <w:r w:rsidRPr="003D66E3">
        <w:rPr>
          <w:rFonts w:ascii="Calibri" w:hAnsi="Calibri" w:cs="Calibri"/>
          <w:sz w:val="22"/>
          <w:szCs w:val="22"/>
        </w:rPr>
        <w:t>ública de Navarra para luchar contra la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pobreza y contra la vulnerabilidad social.</w:t>
      </w:r>
    </w:p>
    <w:p w14:paraId="4B8BEA0E" w14:textId="122EAFB1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2. El Parlamento de Navarra insta al Departamento de Derechos Sociales, Economía Social y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Empleo del Gobierno de Navarra a consolidar, fortalecer y ampliar la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 xml:space="preserve">como un imprescindible </w:t>
      </w:r>
      <w:r w:rsidR="00635DCF">
        <w:rPr>
          <w:rFonts w:ascii="Calibri" w:hAnsi="Calibri" w:cs="Calibri"/>
          <w:sz w:val="22"/>
          <w:szCs w:val="22"/>
        </w:rPr>
        <w:t>d</w:t>
      </w:r>
      <w:r w:rsidRPr="003D66E3">
        <w:rPr>
          <w:rFonts w:ascii="Calibri" w:hAnsi="Calibri" w:cs="Calibri"/>
          <w:sz w:val="22"/>
          <w:szCs w:val="22"/>
        </w:rPr>
        <w:t xml:space="preserve">erecho </w:t>
      </w:r>
      <w:r w:rsidR="00635DCF">
        <w:rPr>
          <w:rFonts w:ascii="Calibri" w:hAnsi="Calibri" w:cs="Calibri"/>
          <w:sz w:val="22"/>
          <w:szCs w:val="22"/>
        </w:rPr>
        <w:t>s</w:t>
      </w:r>
      <w:r w:rsidRPr="003D66E3">
        <w:rPr>
          <w:rFonts w:ascii="Calibri" w:hAnsi="Calibri" w:cs="Calibri"/>
          <w:sz w:val="22"/>
          <w:szCs w:val="22"/>
        </w:rPr>
        <w:t>ocial, garantizando que llegue a todas las personas que lo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necesitan y adecuando las cuantías a las necesidades de los distintos hogares.</w:t>
      </w:r>
    </w:p>
    <w:p w14:paraId="616E7DDC" w14:textId="7FB63B64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3. El Parlamento de Navarra insta al Departamento de Derechos Sociales, Economía Social y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Empleo del Gobierno de Navarra a desarrollar los incentivos al empleo previstos en la actual</w:t>
      </w:r>
      <w:r w:rsidR="00635DCF">
        <w:rPr>
          <w:rFonts w:ascii="Calibri" w:hAnsi="Calibri" w:cs="Calibri"/>
          <w:sz w:val="22"/>
          <w:szCs w:val="22"/>
        </w:rPr>
        <w:t xml:space="preserve"> l</w:t>
      </w:r>
      <w:r w:rsidRPr="003D66E3">
        <w:rPr>
          <w:rFonts w:ascii="Calibri" w:hAnsi="Calibri" w:cs="Calibri"/>
          <w:sz w:val="22"/>
          <w:szCs w:val="22"/>
        </w:rPr>
        <w:t xml:space="preserve">ey </w:t>
      </w:r>
      <w:r w:rsidR="00635DCF">
        <w:rPr>
          <w:rFonts w:ascii="Calibri" w:hAnsi="Calibri" w:cs="Calibri"/>
          <w:sz w:val="22"/>
          <w:szCs w:val="22"/>
        </w:rPr>
        <w:t>f</w:t>
      </w:r>
      <w:r w:rsidRPr="003D66E3">
        <w:rPr>
          <w:rFonts w:ascii="Calibri" w:hAnsi="Calibri" w:cs="Calibri"/>
          <w:sz w:val="22"/>
          <w:szCs w:val="22"/>
        </w:rPr>
        <w:t>oral y solamente desarrollados en su primera fase a pesar de su positiva evaluación.</w:t>
      </w:r>
    </w:p>
    <w:p w14:paraId="2FC0EE00" w14:textId="1F3B6F2B" w:rsidR="003D66E3" w:rsidRPr="003D66E3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4. El Parlamento de Navarra insta al Departamento de Derechos Sociales, Economía Social y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Empleo a desarrollar los protocolos y los mecanismos de colaboración entre los servicios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sociales y los servicios de empleo para hacer efectivo el derecho a una oferta de empleo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adecuad</w:t>
      </w:r>
      <w:r w:rsidR="00635DCF">
        <w:rPr>
          <w:rFonts w:ascii="Calibri" w:hAnsi="Calibri" w:cs="Calibri"/>
          <w:sz w:val="22"/>
          <w:szCs w:val="22"/>
        </w:rPr>
        <w:t>a</w:t>
      </w:r>
      <w:r w:rsidRPr="003D66E3">
        <w:rPr>
          <w:rFonts w:ascii="Calibri" w:hAnsi="Calibri" w:cs="Calibri"/>
          <w:sz w:val="22"/>
          <w:szCs w:val="22"/>
        </w:rPr>
        <w:t xml:space="preserve"> que garantiza</w:t>
      </w:r>
      <w:r w:rsidR="00282E31">
        <w:rPr>
          <w:rFonts w:ascii="Calibri" w:hAnsi="Calibri" w:cs="Calibri"/>
          <w:sz w:val="22"/>
          <w:szCs w:val="22"/>
        </w:rPr>
        <w:t>n</w:t>
      </w:r>
      <w:r w:rsidRPr="003D66E3">
        <w:rPr>
          <w:rFonts w:ascii="Calibri" w:hAnsi="Calibri" w:cs="Calibri"/>
          <w:sz w:val="22"/>
          <w:szCs w:val="22"/>
        </w:rPr>
        <w:t xml:space="preserve"> esta </w:t>
      </w:r>
      <w:proofErr w:type="gramStart"/>
      <w:r w:rsidR="00635DCF">
        <w:rPr>
          <w:rFonts w:ascii="Calibri" w:hAnsi="Calibri" w:cs="Calibri"/>
          <w:sz w:val="22"/>
          <w:szCs w:val="22"/>
        </w:rPr>
        <w:t>l</w:t>
      </w:r>
      <w:r w:rsidRPr="003D66E3">
        <w:rPr>
          <w:rFonts w:ascii="Calibri" w:hAnsi="Calibri" w:cs="Calibri"/>
          <w:sz w:val="22"/>
          <w:szCs w:val="22"/>
        </w:rPr>
        <w:t xml:space="preserve">ey </w:t>
      </w:r>
      <w:r w:rsidR="00635DCF">
        <w:rPr>
          <w:rFonts w:ascii="Calibri" w:hAnsi="Calibri" w:cs="Calibri"/>
          <w:sz w:val="22"/>
          <w:szCs w:val="22"/>
        </w:rPr>
        <w:t>f</w:t>
      </w:r>
      <w:r w:rsidRPr="003D66E3">
        <w:rPr>
          <w:rFonts w:ascii="Calibri" w:hAnsi="Calibri" w:cs="Calibri"/>
          <w:sz w:val="22"/>
          <w:szCs w:val="22"/>
        </w:rPr>
        <w:t xml:space="preserve">oral y el </w:t>
      </w:r>
      <w:r w:rsidR="00635DCF">
        <w:rPr>
          <w:rFonts w:ascii="Calibri" w:hAnsi="Calibri" w:cs="Calibri"/>
          <w:sz w:val="22"/>
          <w:szCs w:val="22"/>
        </w:rPr>
        <w:t>d</w:t>
      </w:r>
      <w:r w:rsidRPr="003D66E3">
        <w:rPr>
          <w:rFonts w:ascii="Calibri" w:hAnsi="Calibri" w:cs="Calibri"/>
          <w:sz w:val="22"/>
          <w:szCs w:val="22"/>
        </w:rPr>
        <w:t xml:space="preserve">ecreto </w:t>
      </w:r>
      <w:r w:rsidR="00635DCF">
        <w:rPr>
          <w:rFonts w:ascii="Calibri" w:hAnsi="Calibri" w:cs="Calibri"/>
          <w:sz w:val="22"/>
          <w:szCs w:val="22"/>
        </w:rPr>
        <w:t>f</w:t>
      </w:r>
      <w:r w:rsidRPr="003D66E3">
        <w:rPr>
          <w:rFonts w:ascii="Calibri" w:hAnsi="Calibri" w:cs="Calibri"/>
          <w:sz w:val="22"/>
          <w:szCs w:val="22"/>
        </w:rPr>
        <w:t>oral</w:t>
      </w:r>
      <w:proofErr w:type="gramEnd"/>
      <w:r w:rsidRPr="003D66E3">
        <w:rPr>
          <w:rFonts w:ascii="Calibri" w:hAnsi="Calibri" w:cs="Calibri"/>
          <w:sz w:val="22"/>
          <w:szCs w:val="22"/>
        </w:rPr>
        <w:t xml:space="preserve"> que la desarrolla para todas las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personas que están en condiciones de trabajar.</w:t>
      </w:r>
    </w:p>
    <w:p w14:paraId="1A43EDB7" w14:textId="18986D08" w:rsidR="008D7F85" w:rsidRDefault="003D66E3" w:rsidP="003D66E3">
      <w:pPr>
        <w:jc w:val="both"/>
        <w:rPr>
          <w:rFonts w:ascii="Calibri" w:hAnsi="Calibri" w:cs="Calibri"/>
          <w:sz w:val="22"/>
          <w:szCs w:val="22"/>
        </w:rPr>
      </w:pPr>
      <w:r w:rsidRPr="003D66E3">
        <w:rPr>
          <w:rFonts w:ascii="Calibri" w:hAnsi="Calibri" w:cs="Calibri"/>
          <w:sz w:val="22"/>
          <w:szCs w:val="22"/>
        </w:rPr>
        <w:t>5. El Parlamento de Navarra insta al Departamento de Derechos Sociales, Economía Social y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Empleo a reforzar los programas de inclusión de la atención primaria de servicios sociales,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en colaboración con los desarrollados por diversas entidades sociales, de forma que pueda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Pr="003D66E3">
        <w:rPr>
          <w:rFonts w:ascii="Calibri" w:hAnsi="Calibri" w:cs="Calibri"/>
          <w:sz w:val="22"/>
          <w:szCs w:val="22"/>
        </w:rPr>
        <w:t>ofrecerse un acompañamiento social de calidad para todas las personas perceptoras de la</w:t>
      </w:r>
      <w:r w:rsidR="00635DCF">
        <w:rPr>
          <w:rFonts w:ascii="Calibri" w:hAnsi="Calibri" w:cs="Calibri"/>
          <w:sz w:val="22"/>
          <w:szCs w:val="22"/>
        </w:rPr>
        <w:t xml:space="preserve"> </w:t>
      </w:r>
      <w:r w:rsidR="0046329C">
        <w:rPr>
          <w:rFonts w:ascii="Calibri" w:hAnsi="Calibri" w:cs="Calibri"/>
          <w:sz w:val="22"/>
          <w:szCs w:val="22"/>
        </w:rPr>
        <w:t>Renta Garantizada</w:t>
      </w:r>
      <w:r w:rsidRPr="003D66E3">
        <w:rPr>
          <w:rFonts w:ascii="Calibri" w:hAnsi="Calibri" w:cs="Calibri"/>
          <w:sz w:val="22"/>
          <w:szCs w:val="22"/>
        </w:rPr>
        <w:t xml:space="preserve"> y del </w:t>
      </w:r>
      <w:r w:rsidR="00635DCF">
        <w:rPr>
          <w:rFonts w:ascii="Calibri" w:hAnsi="Calibri" w:cs="Calibri"/>
          <w:sz w:val="22"/>
          <w:szCs w:val="22"/>
        </w:rPr>
        <w:t>i</w:t>
      </w:r>
      <w:r w:rsidRPr="003D66E3">
        <w:rPr>
          <w:rFonts w:ascii="Calibri" w:hAnsi="Calibri" w:cs="Calibri"/>
          <w:sz w:val="22"/>
          <w:szCs w:val="22"/>
        </w:rPr>
        <w:t xml:space="preserve">ngreso </w:t>
      </w:r>
      <w:r w:rsidR="00635DCF">
        <w:rPr>
          <w:rFonts w:ascii="Calibri" w:hAnsi="Calibri" w:cs="Calibri"/>
          <w:sz w:val="22"/>
          <w:szCs w:val="22"/>
        </w:rPr>
        <w:t>m</w:t>
      </w:r>
      <w:r w:rsidRPr="003D66E3">
        <w:rPr>
          <w:rFonts w:ascii="Calibri" w:hAnsi="Calibri" w:cs="Calibri"/>
          <w:sz w:val="22"/>
          <w:szCs w:val="22"/>
        </w:rPr>
        <w:t xml:space="preserve">ínimo </w:t>
      </w:r>
      <w:r w:rsidR="00635DCF">
        <w:rPr>
          <w:rFonts w:ascii="Calibri" w:hAnsi="Calibri" w:cs="Calibri"/>
          <w:sz w:val="22"/>
          <w:szCs w:val="22"/>
        </w:rPr>
        <w:t>v</w:t>
      </w:r>
      <w:r w:rsidRPr="003D66E3">
        <w:rPr>
          <w:rFonts w:ascii="Calibri" w:hAnsi="Calibri" w:cs="Calibri"/>
          <w:sz w:val="22"/>
          <w:szCs w:val="22"/>
        </w:rPr>
        <w:t>ital que lo requieran.</w:t>
      </w:r>
    </w:p>
    <w:p w14:paraId="3CDABB27" w14:textId="624748B0" w:rsidR="00E153BC" w:rsidRDefault="00E153BC" w:rsidP="003D66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Pamplona, 17 de octubre de 2024</w:t>
      </w:r>
    </w:p>
    <w:p w14:paraId="4FAEE20E" w14:textId="02CB2F5A" w:rsidR="00E153BC" w:rsidRPr="003D66E3" w:rsidRDefault="00E153BC" w:rsidP="003D66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Carlos Guzmán Pérez</w:t>
      </w:r>
    </w:p>
    <w:sectPr w:rsidR="00E153BC" w:rsidRPr="003D66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E3"/>
    <w:rsid w:val="00282E31"/>
    <w:rsid w:val="00324E01"/>
    <w:rsid w:val="003D66E3"/>
    <w:rsid w:val="003E3E22"/>
    <w:rsid w:val="0046329C"/>
    <w:rsid w:val="00530D35"/>
    <w:rsid w:val="005762CC"/>
    <w:rsid w:val="00600DE2"/>
    <w:rsid w:val="00635DCF"/>
    <w:rsid w:val="0066283F"/>
    <w:rsid w:val="008D7F85"/>
    <w:rsid w:val="00A36075"/>
    <w:rsid w:val="00A47965"/>
    <w:rsid w:val="00A877BA"/>
    <w:rsid w:val="00B0049F"/>
    <w:rsid w:val="00BE2028"/>
    <w:rsid w:val="00C01BD6"/>
    <w:rsid w:val="00E153BC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CEF9"/>
  <w15:chartTrackingRefBased/>
  <w15:docId w15:val="{1675697F-133D-4F05-90CB-83252C71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6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6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6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6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6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6E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6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6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6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6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6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6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6E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6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6E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6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1064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2024-10-18T07:27:00Z</dcterms:created>
  <dcterms:modified xsi:type="dcterms:W3CDTF">2024-10-22T07:44:00Z</dcterms:modified>
</cp:coreProperties>
</file>