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850F9" w14:textId="738F8AA0" w:rsidR="00FF7F0F" w:rsidRPr="00FF7F0F" w:rsidRDefault="00FF7F0F" w:rsidP="00403E8E">
      <w:pPr>
        <w:pStyle w:val="Style"/>
        <w:spacing w:before="100" w:beforeAutospacing="1" w:after="200" w:line="276" w:lineRule="auto"/>
        <w:ind w:rightChars="567" w:right="1247" w:firstLine="708"/>
        <w:jc w:val="both"/>
        <w:textAlignment w:val="baseline"/>
        <w:rPr>
          <w:bCs/>
          <w:sz w:val="22"/>
          <w:szCs w:val="22"/>
          <w:rFonts w:ascii="Calibri" w:eastAsia="Arial" w:hAnsi="Calibri" w:cs="Calibri"/>
        </w:rPr>
      </w:pPr>
      <w:r>
        <w:rPr>
          <w:sz w:val="22"/>
          <w:rFonts w:ascii="Calibri" w:hAnsi="Calibri"/>
        </w:rPr>
        <w:t xml:space="preserve">24MOC-106</w:t>
      </w:r>
    </w:p>
    <w:p w14:paraId="7697648F" w14:textId="3C7C83C4" w:rsidR="00FF7F0F" w:rsidRDefault="00671814" w:rsidP="00403E8E">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Nafarroako Gorteetako kide den eta Vox Nafarroa foru parlamentarien elkarteari atxikita dagoen Emilio Jiménez Román jaunak, Legebiltzarreko Erregelamenduaren 219. artikuluan xedatutakoaren babesean, honako mozio hau aurkezten du, hurrengo Osoko Bilkuran eztabaidatu eta bozkatzeko:</w:t>
      </w:r>
      <w:r>
        <w:rPr>
          <w:sz w:val="22"/>
          <w:rFonts w:ascii="Calibri" w:hAnsi="Calibri"/>
        </w:rPr>
        <w:t xml:space="preserve"> </w:t>
      </w:r>
    </w:p>
    <w:p w14:paraId="1199F855" w14:textId="73FA001B" w:rsidR="00FF7F0F" w:rsidRPr="00FF7F0F" w:rsidRDefault="00FF7F0F" w:rsidP="00403E8E">
      <w:pPr>
        <w:pStyle w:val="Style"/>
        <w:spacing w:before="100" w:beforeAutospacing="1" w:after="200" w:line="276" w:lineRule="auto"/>
        <w:ind w:rightChars="567" w:right="1247" w:firstLine="708"/>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42696069" w14:textId="77777777" w:rsidR="00FF7F0F" w:rsidRDefault="00671814" w:rsidP="00403E8E">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Espainia, Europako gainerako herrialdeak bezala, aurrekaririk gabeko immigrazio-inbasioa jasaten ari da, etorkizuna arrisku larrian jartzen ari dena, espainiar guztien elkarbizitzarako, segurtasunerako eta oparotasunerako ondorio kaltegarriekin.</w:t>
      </w:r>
      <w:r>
        <w:rPr>
          <w:sz w:val="22"/>
          <w:rFonts w:ascii="Calibri" w:hAnsi="Calibri"/>
        </w:rPr>
        <w:t xml:space="preserve"> </w:t>
      </w:r>
      <w:r>
        <w:rPr>
          <w:sz w:val="22"/>
          <w:rFonts w:ascii="Calibri" w:hAnsi="Calibri"/>
        </w:rPr>
        <w:t xml:space="preserve">Bruselako eliteek bultzatzen dute immigrazio-inbasio hori; izan ere, jaiotza-tasa sustatzearen eta familia nahiz langileei laguntzearen aldeko apustua egin beharrean, erabaki dute kontrolik gabeko immigrazio eredu bat ezartzea, zeinak milioika etorkin ilegal etortzea bultzatzen baitu eta gizarte multikultural baten eredu disolbatzailea ezartzen saiatzen baita.</w:t>
      </w:r>
      <w:r>
        <w:rPr>
          <w:sz w:val="22"/>
          <w:rFonts w:ascii="Calibri" w:hAnsi="Calibri"/>
        </w:rPr>
        <w:t xml:space="preserve"> </w:t>
      </w:r>
    </w:p>
    <w:p w14:paraId="403899C9" w14:textId="530E9B99" w:rsidR="00FF7F0F" w:rsidRDefault="00671814" w:rsidP="00403E8E">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Espainian, egoerak muga posible oro gainditu du.</w:t>
      </w:r>
      <w:r>
        <w:rPr>
          <w:sz w:val="22"/>
          <w:rFonts w:ascii="Calibri" w:hAnsi="Calibri"/>
        </w:rPr>
        <w:t xml:space="preserve"> </w:t>
      </w:r>
      <w:r>
        <w:rPr>
          <w:sz w:val="22"/>
          <w:rFonts w:ascii="Calibri" w:hAnsi="Calibri"/>
        </w:rPr>
        <w:t xml:space="preserve">Etorkin ilegalen etorrera masiboak ez du etenik izan azken urteotan.</w:t>
      </w:r>
      <w:r>
        <w:rPr>
          <w:sz w:val="22"/>
          <w:rFonts w:ascii="Calibri" w:hAnsi="Calibri"/>
        </w:rPr>
        <w:t xml:space="preserve"> </w:t>
      </w:r>
      <w:r>
        <w:rPr>
          <w:sz w:val="22"/>
          <w:rFonts w:ascii="Calibri" w:hAnsi="Calibri"/>
        </w:rPr>
        <w:t xml:space="preserve">Izan ere, Barne Ministerioak immigrazio ilegalari buruz hamabostean behin egiten duen azken txostenak dioenez, aurten abuztuaren 31ra arte, 35.456 etorkin ilegal sartu dira Espainian; hau da, 2023ko aldi berean baino % 62,8 gehiago (13.676 etorkin gehiago)</w:t>
      </w:r>
      <w:r>
        <w:rPr>
          <w:sz w:val="22"/>
          <w:vertAlign w:val="superscript"/>
          <w:rFonts w:ascii="Calibri" w:hAnsi="Calibri"/>
        </w:rPr>
        <w:t xml:space="preserve">1</w:t>
      </w:r>
      <w:r>
        <w:rPr>
          <w:sz w:val="22"/>
          <w:rFonts w:ascii="Calibri" w:hAnsi="Calibri"/>
        </w:rPr>
        <w:t xml:space="preserve">.</w:t>
      </w:r>
      <w:r>
        <w:rPr>
          <w:sz w:val="22"/>
          <w:rFonts w:ascii="Calibri" w:hAnsi="Calibri"/>
        </w:rPr>
        <w:t xml:space="preserve"> </w:t>
      </w:r>
    </w:p>
    <w:p w14:paraId="344A41C3" w14:textId="0368EAF5" w:rsidR="00FF7F0F" w:rsidRDefault="00671814" w:rsidP="00403E8E">
      <w:pPr>
        <w:pStyle w:val="Style"/>
        <w:spacing w:before="100" w:beforeAutospacing="1" w:after="200" w:line="276" w:lineRule="auto"/>
        <w:ind w:leftChars="321" w:left="706" w:rightChars="567" w:right="1247"/>
        <w:jc w:val="both"/>
        <w:textAlignment w:val="baseline"/>
        <w:rPr>
          <w:sz w:val="22"/>
          <w:szCs w:val="22"/>
          <w:rFonts w:ascii="Calibri" w:hAnsi="Calibri" w:cs="Calibri"/>
        </w:rPr>
      </w:pPr>
      <w:r>
        <w:rPr>
          <w:sz w:val="22"/>
          <w:rFonts w:ascii="Calibri" w:hAnsi="Calibri"/>
        </w:rPr>
        <w:t xml:space="preserve">Immigrazio ilegala babestu eta bultzatzean arduragabekeriaz jokatzeak zuzeneko ondorioak ditu beren auzoetan kulturaniztasunaren "onurak" pairatzen ari diren espainiar arrunten bizitzan: sastakatzeak, aihozkadak eta indarkeriazko eraso eta sexu-eraso gehiago.</w:t>
      </w:r>
      <w:r>
        <w:rPr>
          <w:sz w:val="22"/>
          <w:rFonts w:ascii="Calibri" w:hAnsi="Calibri"/>
        </w:rPr>
        <w:t xml:space="preserve"> </w:t>
      </w:r>
      <w:r>
        <w:rPr>
          <w:sz w:val="22"/>
          <w:rFonts w:ascii="Calibri" w:hAnsi="Calibri"/>
        </w:rPr>
        <w:t xml:space="preserve">Alegia, segurtasunik eza handiagoa.</w:t>
      </w:r>
      <w:r>
        <w:rPr>
          <w:sz w:val="22"/>
          <w:rFonts w:ascii="Calibri" w:hAnsi="Calibri"/>
        </w:rPr>
        <w:t xml:space="preserve"> </w:t>
      </w:r>
      <w:r>
        <w:rPr>
          <w:sz w:val="22"/>
          <w:rFonts w:ascii="Calibri" w:hAnsi="Calibri"/>
        </w:rPr>
        <w:t xml:space="preserve">Hori guztia immigrazio masiboak egonkortasun ekonomikoa, zerbitzu publikoen finantzaketa eta espainiarren gizarte-eskubideak arriskuan jartzen dituela ahaztu gabe.</w:t>
      </w:r>
      <w:r>
        <w:rPr>
          <w:sz w:val="22"/>
          <w:rFonts w:ascii="Calibri" w:hAnsi="Calibri"/>
        </w:rPr>
        <w:t xml:space="preserve"> </w:t>
      </w:r>
    </w:p>
    <w:p w14:paraId="58087A0E" w14:textId="5120B686" w:rsidR="001732B5" w:rsidRDefault="00671814" w:rsidP="00403E8E">
      <w:pPr>
        <w:pStyle w:val="Style"/>
        <w:spacing w:before="100" w:beforeAutospacing="1" w:after="200" w:line="276" w:lineRule="auto"/>
        <w:ind w:left="706" w:rightChars="567" w:right="1247"/>
        <w:jc w:val="both"/>
        <w:textAlignment w:val="baseline"/>
        <w:rPr>
          <w:sz w:val="22"/>
          <w:szCs w:val="22"/>
          <w:rFonts w:ascii="Calibri" w:eastAsia="Arial" w:hAnsi="Calibri" w:cs="Calibri"/>
        </w:rPr>
      </w:pPr>
      <w:r>
        <w:rPr>
          <w:sz w:val="22"/>
          <w:rFonts w:ascii="Calibri" w:hAnsi="Calibri"/>
        </w:rPr>
        <w:t xml:space="preserve">Voxek bakarrik ohartarazi du immigrazio-eredu hori zentzugabea dela, alderdi politikoen, diruz lagundutako komunikabideen eta elkarteen irainak eta demagogia gorabehera; izan ere, immigrazioak berez dakarren dramaren konplizeak ez direnean (ikus itsasoko heriotzen zifra dramatikoak), beste aldera begiratzen dute, eta uko egiten diote beren erabakien errealitateari eta ondorioei aurre egiteari.</w:t>
      </w:r>
      <w:r>
        <w:rPr>
          <w:sz w:val="22"/>
          <w:rFonts w:ascii="Calibri" w:hAnsi="Calibri"/>
        </w:rPr>
        <w:t xml:space="preserve"> </w:t>
      </w:r>
      <w:r>
        <w:rPr>
          <w:sz w:val="22"/>
          <w:rFonts w:ascii="Calibri" w:hAnsi="Calibri"/>
        </w:rPr>
        <w:t xml:space="preserve">Horregatik, Voxek uko egin dio Espainiako auzoetara segurtasunik eza ekartzea dakarren erabaki ororen konplize izateari.</w:t>
      </w:r>
    </w:p>
    <w:p w14:paraId="7FFBD381" w14:textId="758C6297" w:rsidR="001732B5" w:rsidRDefault="001732B5" w:rsidP="00403E8E">
      <w:pPr>
        <w:pStyle w:val="Style"/>
        <w:spacing w:before="100" w:beforeAutospacing="1" w:after="200" w:line="276" w:lineRule="auto"/>
        <w:ind w:left="706" w:rightChars="567" w:right="1247"/>
        <w:jc w:val="both"/>
        <w:textAlignment w:val="baseline"/>
        <w:rPr>
          <w:sz w:val="22"/>
          <w:szCs w:val="22"/>
          <w:rFonts w:ascii="Calibri" w:eastAsia="Arial" w:hAnsi="Calibri" w:cs="Calibri"/>
        </w:rPr>
      </w:pPr>
      <w:r>
        <w:rPr>
          <w:sz w:val="22"/>
          <w:rFonts w:ascii="Calibri" w:hAnsi="Calibri"/>
        </w:rPr>
        <mc:AlternateContent>
          <mc:Choice Requires="wps">
            <w:drawing>
              <wp:anchor distT="0" distB="0" distL="114300" distR="114300" simplePos="0" relativeHeight="251659264" behindDoc="0" locked="0" layoutInCell="1" allowOverlap="1" wp14:anchorId="25AF3DC2" wp14:editId="2871286F">
                <wp:simplePos x="0" y="0"/>
                <wp:positionH relativeFrom="column">
                  <wp:posOffset>498944</wp:posOffset>
                </wp:positionH>
                <wp:positionV relativeFrom="paragraph">
                  <wp:posOffset>190169</wp:posOffset>
                </wp:positionV>
                <wp:extent cx="1351722" cy="7951"/>
                <wp:effectExtent l="0" t="0" r="20320" b="30480"/>
                <wp:wrapNone/>
                <wp:docPr id="1220163664" name="Conector recto 2"/>
                <wp:cNvGraphicFramePr/>
                <a:graphic xmlns:a="http://schemas.openxmlformats.org/drawingml/2006/main">
                  <a:graphicData uri="http://schemas.microsoft.com/office/word/2010/wordprocessingShape">
                    <wps:wsp>
                      <wps:cNvCnPr/>
                      <wps:spPr>
                        <a:xfrm flipV="1">
                          <a:off x="0" y="0"/>
                          <a:ext cx="1351722"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E8A07C"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3pt,14.95pt" to="145.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bTpQEAAKEDAAAOAAAAZHJzL2Uyb0RvYy54bWysU01v1DAQvVfiP1i+s0kW9YNosz20gktV&#10;qrZwd53xxpK/NDab7L/HnuymCCohEBfL9sx7M+95vLmerGF7wKi963izqjkDJ32v3a7jX58/vb/i&#10;LCbhemG8g44fIPLr7buzzRhaWPvBmx6QZRIX2zF0fEgptFUV5QBWxJUP4HJQebQi5SPuqh7FmNmt&#10;qdZ1fVGNHvuAXkKM+fZ2DvIt8SsFMn1RKkJipuO5t0Qr0vpS1mq7Ee0ORRi0PLYh/qELK7TLRReq&#10;W5EE+476NyqrJfroVVpJbyuvlJZAGrKapv5FzdMgApCWbE4Mi03x/9HK+/2Ne8BswxhiG8MDFhWT&#10;QsuU0eFbflPSlTtlE9l2WGyDKTGZL5sP583les2ZzLHLj+dNcbWaWQpbwJg+g7esbDputCuiRCv2&#10;dzHNqaeUjHvtg3bpYKAkG/cIium+1CM0jQjcGGR7kR9XSAkunUpTdoEpbcwCrP8MPOYXKND4/A14&#10;QVBl79ICttp5fKt6mk4tqzn/5MCsu1jw4vsDvRBZk+eAzD3ObBm0n88Ef/1Z2x8AAAD//wMAUEsD&#10;BBQABgAIAAAAIQAZCfY53wAAAAgBAAAPAAAAZHJzL2Rvd25yZXYueG1sTI/BTsMwEETvSPyDtUhc&#10;EHViRGlCNhVCwKE9tYAEt01skqjxOordNPw95gTH0Yxm3hTr2fZiMqPvHCOkiwSE4drpjhuEt9fn&#10;6xUIH4g19Y4NwrfxsC7PzwrKtTvxzkz70IhYwj4nhDaEIZfS162x5BduMBy9LzdaClGOjdQjnWK5&#10;7aVKkqW01HFcaGkwj62pD/ujRfj0zj+9b6rp5bDbzHS1Deqj1oiXF/PDPYhg5vAXhl/8iA5lZKrc&#10;kbUXPcLdahmTCCrLQERfZektiArhJlUgy0L+P1D+AAAA//8DAFBLAQItABQABgAIAAAAIQC2gziS&#10;/gAAAOEBAAATAAAAAAAAAAAAAAAAAAAAAABbQ29udGVudF9UeXBlc10ueG1sUEsBAi0AFAAGAAgA&#10;AAAhADj9If/WAAAAlAEAAAsAAAAAAAAAAAAAAAAALwEAAF9yZWxzLy5yZWxzUEsBAi0AFAAGAAgA&#10;AAAhAIfKZtOlAQAAoQMAAA4AAAAAAAAAAAAAAAAALgIAAGRycy9lMm9Eb2MueG1sUEsBAi0AFAAG&#10;AAgAAAAhABkJ9jnfAAAACAEAAA8AAAAAAAAAAAAAAAAA/wMAAGRycy9kb3ducmV2LnhtbFBLBQYA&#10;AAAABAAEAPMAAAALBQAAAAA=&#10;" strokecolor="#156082 [3204]" strokeweight=".5pt">
                <v:stroke joinstyle="miter"/>
              </v:line>
            </w:pict>
          </mc:Fallback>
        </mc:AlternateContent>
      </w:r>
    </w:p>
    <w:p w14:paraId="1077706D" w14:textId="4FAC7741" w:rsidR="001732B5" w:rsidRPr="00632494" w:rsidRDefault="001732B5" w:rsidP="000B2088">
      <w:pPr>
        <w:pStyle w:val="Style"/>
        <w:tabs>
          <w:tab w:val="left" w:pos="351"/>
          <w:tab w:val="left" w:pos="1253"/>
        </w:tabs>
        <w:spacing w:before="100" w:beforeAutospacing="1" w:after="200" w:line="276" w:lineRule="auto"/>
        <w:ind w:rightChars="567" w:right="1247"/>
        <w:textAlignment w:val="baseline"/>
        <w:rPr>
          <w:sz w:val="20"/>
          <w:szCs w:val="20"/>
          <w:rFonts w:ascii="Calibri" w:eastAsia="Arial" w:hAnsi="Calibri" w:cs="Calibri"/>
        </w:rPr>
      </w:pPr>
      <w:r>
        <w:rPr>
          <w:sz w:val="20"/>
          <w:rFonts w:ascii="Calibri" w:hAnsi="Calibri"/>
        </w:rPr>
        <w:t xml:space="preserve">Sarbidea, </w:t>
      </w:r>
      <w:r>
        <w:rPr>
          <w:sz w:val="20"/>
          <w:vertAlign w:val="superscript"/>
          <w:rFonts w:ascii="Calibri" w:hAnsi="Calibri"/>
        </w:rPr>
        <w:t xml:space="preserve">1</w:t>
      </w:r>
      <w:r>
        <w:rPr>
          <w:sz w:val="20"/>
          <w:rFonts w:ascii="Calibri" w:hAnsi="Calibri"/>
        </w:rPr>
        <w:t xml:space="preserve"> </w:t>
      </w:r>
      <w:r>
        <w:rPr>
          <w:sz w:val="20"/>
          <w:rFonts w:ascii="Calibri" w:hAnsi="Calibri"/>
        </w:rPr>
        <w:tab/>
      </w:r>
      <w:r>
        <w:rPr>
          <w:sz w:val="20"/>
          <w:rFonts w:ascii="Calibri" w:hAnsi="Calibri"/>
        </w:rPr>
        <w:t xml:space="preserve"> </w:t>
      </w:r>
      <w:r>
        <w:rPr>
          <w:sz w:val="20"/>
          <w:rFonts w:ascii="Calibri" w:hAnsi="Calibri"/>
        </w:rPr>
        <w:t xml:space="preserve">https://www. interior.gob.es/opencms/export/sites/default/galleries/gaIeria-de-prensa/documentos-y-multimedia/baIances-e-informes/2024/16 informe quincenal acumulado 01-01 al 31-08-2024.pdf</w:t>
      </w:r>
      <w:r>
        <w:rPr>
          <w:sz w:val="20"/>
          <w:rFonts w:ascii="Calibri" w:hAnsi="Calibri"/>
        </w:rPr>
        <w:t xml:space="preserve"> </w:t>
      </w:r>
    </w:p>
    <w:p w14:paraId="2D30E9FC" w14:textId="776C8936" w:rsidR="00FF7F0F" w:rsidRDefault="00671814" w:rsidP="00403E8E">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Espainiarrek auzo seguruak nahi dituzte, non seme-alabek kalean jolastu ahal izanen baitute; neskatoek eta nerabeek, jolastu edo paseatu, edo, besterik gabe, jazarpenik edo erasorik jasateko beldurrik gabe egon.</w:t>
      </w:r>
      <w:r>
        <w:rPr>
          <w:sz w:val="22"/>
          <w:rFonts w:ascii="Calibri" w:hAnsi="Calibri"/>
        </w:rPr>
        <w:t xml:space="preserve"> </w:t>
      </w:r>
    </w:p>
    <w:p w14:paraId="6ED6BA85" w14:textId="19D8C37F" w:rsidR="00FF7F0F" w:rsidRDefault="00671814" w:rsidP="00403E8E">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Amaitu egin beharra dago milaka pertsona bizitza arriskuan jartzera –eta gehiegitan tragikoki galtzera– eraman dituzten dei-efektuko politikekin, Europan etorkizun hobe baten promesa faltsuen ondoriozkoak, gobernuz kanpoko erakundeen eta pertsonen salerosketako mafien konplizitatea dutenak.</w:t>
      </w:r>
      <w:r>
        <w:rPr>
          <w:sz w:val="22"/>
          <w:rFonts w:ascii="Calibri" w:hAnsi="Calibri"/>
        </w:rPr>
        <w:t xml:space="preserve"> </w:t>
      </w:r>
    </w:p>
    <w:p w14:paraId="2DCB1AB0" w14:textId="77777777" w:rsidR="00FF7F0F" w:rsidRDefault="00671814" w:rsidP="00403E8E">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Argi eta garbi adierazi behar da legez kanpo iristen diren etorkinek ezin izanen dutela inoiz beren egoera erregularizatu Espainian.</w:t>
      </w:r>
      <w:r>
        <w:rPr>
          <w:sz w:val="22"/>
          <w:rFonts w:ascii="Calibri" w:hAnsi="Calibri"/>
        </w:rPr>
        <w:t xml:space="preserve"> </w:t>
      </w:r>
    </w:p>
    <w:p w14:paraId="15257E84" w14:textId="77777777" w:rsidR="00FF7F0F" w:rsidRDefault="00671814" w:rsidP="00403E8E">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Bruselako burokratak gehiago kezkatzen dira etorkin ilegalez espainiarren ongizateaz eta segurtasunaz baino; beraz, bidezkoa da Nafarroan dauden etorkinei Bruselara lekualdatzeko aukera eskaintzea.</w:t>
      </w:r>
      <w:r>
        <w:rPr>
          <w:sz w:val="22"/>
          <w:rFonts w:ascii="Calibri" w:hAnsi="Calibri"/>
        </w:rPr>
        <w:t xml:space="preserve"> </w:t>
      </w:r>
    </w:p>
    <w:p w14:paraId="11E1534D" w14:textId="2BCC317F" w:rsidR="00FF7F0F" w:rsidRDefault="00671814" w:rsidP="00403E8E">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Horregatik guztiagatik, Vox Nafarroa elkarteak honako hau eskatzen du:</w:t>
      </w:r>
      <w:r>
        <w:rPr>
          <w:sz w:val="22"/>
          <w:rFonts w:ascii="Calibri" w:hAnsi="Calibri"/>
        </w:rPr>
        <w:t xml:space="preserve"> </w:t>
      </w:r>
    </w:p>
    <w:p w14:paraId="5E3C7529" w14:textId="7E8486A0" w:rsidR="00FF7F0F" w:rsidRPr="00F95F98" w:rsidRDefault="00671814" w:rsidP="00403E8E">
      <w:pPr>
        <w:pStyle w:val="Style"/>
        <w:spacing w:before="100" w:beforeAutospacing="1" w:after="200" w:line="276" w:lineRule="auto"/>
        <w:ind w:rightChars="567" w:right="1247" w:firstLine="708"/>
        <w:jc w:val="both"/>
        <w:textAlignment w:val="baseline"/>
        <w:rPr>
          <w:bCs/>
          <w:sz w:val="22"/>
          <w:szCs w:val="22"/>
          <w:rFonts w:ascii="Calibri" w:hAnsi="Calibri" w:cs="Calibri"/>
        </w:rPr>
      </w:pPr>
      <w:r>
        <w:rPr>
          <w:sz w:val="22"/>
          <w:rFonts w:ascii="Calibri" w:hAnsi="Calibri"/>
        </w:rPr>
        <w:t xml:space="preserve">Erabaki proposamena:</w:t>
      </w:r>
    </w:p>
    <w:p w14:paraId="1FFDB682" w14:textId="77777777" w:rsidR="00D931D4" w:rsidRDefault="00671814" w:rsidP="00403E8E">
      <w:pPr>
        <w:pStyle w:val="Style"/>
        <w:spacing w:before="100" w:beforeAutospacing="1" w:after="200" w:line="276" w:lineRule="auto"/>
        <w:ind w:rightChars="567" w:right="1247" w:firstLine="708"/>
        <w:jc w:val="both"/>
        <w:textAlignment w:val="baseline"/>
        <w:rPr>
          <w:sz w:val="22"/>
          <w:szCs w:val="22"/>
          <w:rFonts w:ascii="Calibri" w:hAnsi="Calibri" w:cs="Calibri"/>
        </w:rPr>
      </w:pPr>
      <w:r>
        <w:rPr>
          <w:sz w:val="22"/>
          <w:rFonts w:ascii="Calibri" w:hAnsi="Calibri"/>
        </w:rPr>
        <w:t xml:space="preserve">Nafarroako Gobernua premiatzen dugu:</w:t>
      </w:r>
      <w:r>
        <w:rPr>
          <w:sz w:val="22"/>
          <w:rFonts w:ascii="Calibri" w:hAnsi="Calibri"/>
        </w:rPr>
        <w:t xml:space="preserve"> </w:t>
      </w:r>
    </w:p>
    <w:p w14:paraId="23ED234E" w14:textId="77777777" w:rsidR="00D931D4" w:rsidRDefault="00D931D4" w:rsidP="00403E8E">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Immigrazio ilegalari ateak zabaltzeko politika errefusa dezan.</w:t>
      </w:r>
      <w:r>
        <w:rPr>
          <w:sz w:val="22"/>
          <w:rFonts w:ascii="Calibri" w:hAnsi="Calibri"/>
        </w:rPr>
        <w:t xml:space="preserve"> </w:t>
      </w:r>
    </w:p>
    <w:p w14:paraId="5FB2D51A" w14:textId="77777777" w:rsidR="00D931D4" w:rsidRDefault="00D931D4" w:rsidP="00403E8E">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Nazioko Gobernuari exiji diezaion berehala kanpora ditzan gure erregioan dauden etorkin ilegal guztiak.</w:t>
      </w:r>
    </w:p>
    <w:p w14:paraId="5BE82F67" w14:textId="77777777" w:rsidR="00D931D4" w:rsidRDefault="00D931D4" w:rsidP="00403E8E">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Gure erregioan etorkin ilegalei harrera egiteko edozein zentro-mota irekitzea errefusa dezan, eta Martzillako behaketa eta harrera zentroa itxi dezan.</w:t>
      </w:r>
    </w:p>
    <w:p w14:paraId="1D47AABA" w14:textId="77777777" w:rsidR="00D931D4" w:rsidRDefault="00D931D4" w:rsidP="00403E8E">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4.</w:t>
      </w:r>
      <w:r>
        <w:rPr>
          <w:sz w:val="22"/>
          <w:rFonts w:ascii="Calibri" w:hAnsi="Calibri"/>
        </w:rPr>
        <w:t xml:space="preserve"> </w:t>
      </w:r>
      <w:r>
        <w:rPr>
          <w:sz w:val="22"/>
          <w:rFonts w:ascii="Calibri" w:hAnsi="Calibri"/>
        </w:rPr>
        <w:t xml:space="preserve">Gizakien trafikoaren eta immigrazio ilegalaren mafiekin elkarlanean aritzen diren elkarte eta GKErik babesten ez duen erregio deklara dezan Nafarroa.</w:t>
      </w:r>
    </w:p>
    <w:p w14:paraId="58A31BB9" w14:textId="77777777" w:rsidR="00D931D4" w:rsidRDefault="00D931D4" w:rsidP="00403E8E">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5.</w:t>
      </w:r>
      <w:r>
        <w:rPr>
          <w:sz w:val="22"/>
          <w:rFonts w:ascii="Calibri" w:hAnsi="Calibri"/>
        </w:rPr>
        <w:t xml:space="preserve"> </w:t>
      </w:r>
      <w:r>
        <w:rPr>
          <w:sz w:val="22"/>
          <w:rFonts w:ascii="Calibri" w:hAnsi="Calibri"/>
        </w:rPr>
        <w:t xml:space="preserve">Jasotako laguntza publikoen zenbatekoa eta etorkin ilegalen harrera eta integrazioa finantzatzen duten aurrekontu-partida autonomikoak bidera ditzan etorkin ilegalak beren jatorrizko herrialdeetara edo, kasua bada, eta hala nahi dutenak, Belgikako Bruselako hirira eramateko, han baitaude horien etorrera bultzatzen eta sustatzen duten elite europarrak.</w:t>
      </w:r>
    </w:p>
    <w:p w14:paraId="5D8273AA" w14:textId="77777777" w:rsidR="00D931D4" w:rsidRDefault="00D931D4" w:rsidP="00403E8E">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6.</w:t>
      </w:r>
      <w:r>
        <w:rPr>
          <w:sz w:val="22"/>
          <w:rFonts w:ascii="Calibri" w:hAnsi="Calibri"/>
        </w:rPr>
        <w:t xml:space="preserve"> </w:t>
      </w:r>
      <w:r>
        <w:rPr>
          <w:sz w:val="22"/>
          <w:rFonts w:ascii="Calibri" w:hAnsi="Calibri"/>
        </w:rPr>
        <w:t xml:space="preserve">Herritarren segurtasuna indartzeari buruzko herri-kontsulta bat egitea bultzatu eta susta dezan, hala erregio nola herri mailakoa, gure erregioan dauden etorkin ilegal guztiak kanporatzea planteatuko duena. </w:t>
      </w:r>
    </w:p>
    <w:p w14:paraId="7DF510E2" w14:textId="2208A2D9" w:rsidR="00671814" w:rsidRPr="00FF7F0F" w:rsidRDefault="00D931D4" w:rsidP="00403E8E">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7.</w:t>
      </w:r>
      <w:r>
        <w:rPr>
          <w:sz w:val="22"/>
          <w:rFonts w:ascii="Calibri" w:hAnsi="Calibri"/>
        </w:rPr>
        <w:t xml:space="preserve"> </w:t>
      </w:r>
      <w:r>
        <w:rPr>
          <w:sz w:val="22"/>
          <w:rFonts w:ascii="Calibri" w:hAnsi="Calibri"/>
        </w:rPr>
        <w:t xml:space="preserve">Etorkin ilegalei gizarte-onurak eta -laguntzak eskuratzeko aukera ematen dien erroldatze-iruzurra saihesteko beharrezkoak diren lege-aldaketak susta ditzan.</w:t>
      </w:r>
      <w:r>
        <w:rPr>
          <w:sz w:val="22"/>
          <w:rFonts w:ascii="Calibri" w:hAnsi="Calibri"/>
        </w:rPr>
        <w:t xml:space="preserve"> </w:t>
      </w:r>
    </w:p>
    <w:p w14:paraId="73848575" w14:textId="54042515" w:rsidR="00671814" w:rsidRDefault="00671814" w:rsidP="00403E8E">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Iruñean, 2024ko irailaren 20an</w:t>
      </w:r>
    </w:p>
    <w:p w14:paraId="70DC02F4" w14:textId="499545DA" w:rsidR="00D931D4" w:rsidRPr="00FF7F0F" w:rsidRDefault="00D931D4" w:rsidP="00403E8E">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p>
    <w:sectPr w:rsidR="00D931D4" w:rsidRPr="00FF7F0F" w:rsidSect="00FF7F0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F4B2D"/>
    <w:multiLevelType w:val="singleLevel"/>
    <w:tmpl w:val="688C35FC"/>
    <w:lvl w:ilvl="0">
      <w:start w:val="7"/>
      <w:numFmt w:val="decimal"/>
      <w:lvlText w:val="%1."/>
      <w:legacy w:legacy="1" w:legacySpace="0" w:legacyIndent="0"/>
      <w:lvlJc w:val="left"/>
      <w:rPr>
        <w:rFonts w:ascii="Arial" w:hAnsi="Arial" w:cs="Arial" w:hint="default"/>
        <w:sz w:val="20"/>
        <w:szCs w:val="20"/>
      </w:rPr>
    </w:lvl>
  </w:abstractNum>
  <w:abstractNum w:abstractNumId="1" w15:restartNumberingAfterBreak="0">
    <w:nsid w:val="24A03BE8"/>
    <w:multiLevelType w:val="singleLevel"/>
    <w:tmpl w:val="FD60EE80"/>
    <w:lvl w:ilvl="0">
      <w:start w:val="5"/>
      <w:numFmt w:val="decimal"/>
      <w:lvlText w:val="%1."/>
      <w:legacy w:legacy="1" w:legacySpace="0" w:legacyIndent="0"/>
      <w:lvlJc w:val="left"/>
      <w:rPr>
        <w:rFonts w:ascii="Arial" w:hAnsi="Arial" w:cs="Arial" w:hint="default"/>
        <w:sz w:val="20"/>
        <w:szCs w:val="20"/>
      </w:rPr>
    </w:lvl>
  </w:abstractNum>
  <w:abstractNum w:abstractNumId="2" w15:restartNumberingAfterBreak="0">
    <w:nsid w:val="2D222C59"/>
    <w:multiLevelType w:val="singleLevel"/>
    <w:tmpl w:val="28826376"/>
    <w:lvl w:ilvl="0">
      <w:start w:val="3"/>
      <w:numFmt w:val="decimal"/>
      <w:lvlText w:val="%1."/>
      <w:legacy w:legacy="1" w:legacySpace="0" w:legacyIndent="0"/>
      <w:lvlJc w:val="left"/>
      <w:rPr>
        <w:rFonts w:ascii="Arial" w:hAnsi="Arial" w:cs="Arial" w:hint="default"/>
        <w:sz w:val="20"/>
        <w:szCs w:val="20"/>
      </w:rPr>
    </w:lvl>
  </w:abstractNum>
  <w:abstractNum w:abstractNumId="3" w15:restartNumberingAfterBreak="0">
    <w:nsid w:val="35C21998"/>
    <w:multiLevelType w:val="singleLevel"/>
    <w:tmpl w:val="390ABE3C"/>
    <w:lvl w:ilvl="0">
      <w:start w:val="6"/>
      <w:numFmt w:val="decimal"/>
      <w:lvlText w:val="%1."/>
      <w:legacy w:legacy="1" w:legacySpace="0" w:legacyIndent="0"/>
      <w:lvlJc w:val="left"/>
      <w:rPr>
        <w:rFonts w:ascii="Arial" w:hAnsi="Arial" w:cs="Arial" w:hint="default"/>
        <w:sz w:val="20"/>
        <w:szCs w:val="20"/>
      </w:rPr>
    </w:lvl>
  </w:abstractNum>
  <w:abstractNum w:abstractNumId="4" w15:restartNumberingAfterBreak="0">
    <w:nsid w:val="7EDA4E5E"/>
    <w:multiLevelType w:val="singleLevel"/>
    <w:tmpl w:val="4BCE7ED2"/>
    <w:lvl w:ilvl="0">
      <w:start w:val="1"/>
      <w:numFmt w:val="decimal"/>
      <w:lvlText w:val="%1."/>
      <w:legacy w:legacy="1" w:legacySpace="0" w:legacyIndent="0"/>
      <w:lvlJc w:val="left"/>
      <w:rPr>
        <w:rFonts w:ascii="Arial" w:hAnsi="Arial" w:cs="Arial" w:hint="default"/>
        <w:sz w:val="20"/>
        <w:szCs w:val="20"/>
      </w:rPr>
    </w:lvl>
  </w:abstractNum>
  <w:num w:numId="1" w16cid:durableId="1502702440">
    <w:abstractNumId w:val="4"/>
  </w:num>
  <w:num w:numId="2" w16cid:durableId="925528730">
    <w:abstractNumId w:val="2"/>
  </w:num>
  <w:num w:numId="3" w16cid:durableId="152989161">
    <w:abstractNumId w:val="1"/>
  </w:num>
  <w:num w:numId="4" w16cid:durableId="619385981">
    <w:abstractNumId w:val="3"/>
  </w:num>
  <w:num w:numId="5" w16cid:durableId="709112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14"/>
    <w:rsid w:val="000370A0"/>
    <w:rsid w:val="000B2088"/>
    <w:rsid w:val="001732B5"/>
    <w:rsid w:val="001E34F2"/>
    <w:rsid w:val="00322B4C"/>
    <w:rsid w:val="00337EB8"/>
    <w:rsid w:val="003C1B1F"/>
    <w:rsid w:val="00403E8E"/>
    <w:rsid w:val="004917B5"/>
    <w:rsid w:val="004A2D60"/>
    <w:rsid w:val="004C1CB8"/>
    <w:rsid w:val="00632494"/>
    <w:rsid w:val="00671814"/>
    <w:rsid w:val="0076061B"/>
    <w:rsid w:val="007E4192"/>
    <w:rsid w:val="00845D68"/>
    <w:rsid w:val="008A3285"/>
    <w:rsid w:val="00956302"/>
    <w:rsid w:val="00A6590A"/>
    <w:rsid w:val="00AD383F"/>
    <w:rsid w:val="00B065BA"/>
    <w:rsid w:val="00B42A30"/>
    <w:rsid w:val="00D210C7"/>
    <w:rsid w:val="00D241A8"/>
    <w:rsid w:val="00D931D4"/>
    <w:rsid w:val="00E06058"/>
    <w:rsid w:val="00E10D20"/>
    <w:rsid w:val="00E81048"/>
    <w:rsid w:val="00E870EE"/>
    <w:rsid w:val="00E9510D"/>
    <w:rsid w:val="00ED5FE9"/>
    <w:rsid w:val="00F02C3D"/>
    <w:rsid w:val="00F95F98"/>
    <w:rsid w:val="00FF72B7"/>
    <w:rsid w:val="00FF7F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1B11"/>
  <w15:chartTrackingRefBased/>
  <w15:docId w15:val="{04F5762A-70B2-4130-9780-93939A6A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1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1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18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18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18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181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181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181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181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181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7181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7181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7181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7181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7181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181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181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1814"/>
    <w:rPr>
      <w:rFonts w:eastAsiaTheme="majorEastAsia" w:cstheme="majorBidi"/>
      <w:color w:val="272727" w:themeColor="text1" w:themeTint="D8"/>
    </w:rPr>
  </w:style>
  <w:style w:type="paragraph" w:styleId="Ttulo">
    <w:name w:val="Title"/>
    <w:basedOn w:val="Normal"/>
    <w:next w:val="Normal"/>
    <w:link w:val="TtuloCar"/>
    <w:uiPriority w:val="10"/>
    <w:qFormat/>
    <w:rsid w:val="006718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18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181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181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1814"/>
    <w:pPr>
      <w:spacing w:before="160"/>
      <w:jc w:val="center"/>
    </w:pPr>
    <w:rPr>
      <w:i/>
      <w:iCs/>
      <w:color w:val="404040" w:themeColor="text1" w:themeTint="BF"/>
    </w:rPr>
  </w:style>
  <w:style w:type="character" w:customStyle="1" w:styleId="CitaCar">
    <w:name w:val="Cita Car"/>
    <w:basedOn w:val="Fuentedeprrafopredeter"/>
    <w:link w:val="Cita"/>
    <w:uiPriority w:val="29"/>
    <w:rsid w:val="00671814"/>
    <w:rPr>
      <w:i/>
      <w:iCs/>
      <w:color w:val="404040" w:themeColor="text1" w:themeTint="BF"/>
    </w:rPr>
  </w:style>
  <w:style w:type="paragraph" w:styleId="Prrafodelista">
    <w:name w:val="List Paragraph"/>
    <w:basedOn w:val="Normal"/>
    <w:uiPriority w:val="34"/>
    <w:qFormat/>
    <w:rsid w:val="00671814"/>
    <w:pPr>
      <w:ind w:left="720"/>
      <w:contextualSpacing/>
    </w:pPr>
  </w:style>
  <w:style w:type="character" w:styleId="nfasisintenso">
    <w:name w:val="Intense Emphasis"/>
    <w:basedOn w:val="Fuentedeprrafopredeter"/>
    <w:uiPriority w:val="21"/>
    <w:qFormat/>
    <w:rsid w:val="00671814"/>
    <w:rPr>
      <w:i/>
      <w:iCs/>
      <w:color w:val="0F4761" w:themeColor="accent1" w:themeShade="BF"/>
    </w:rPr>
  </w:style>
  <w:style w:type="paragraph" w:styleId="Citadestacada">
    <w:name w:val="Intense Quote"/>
    <w:basedOn w:val="Normal"/>
    <w:next w:val="Normal"/>
    <w:link w:val="CitadestacadaCar"/>
    <w:uiPriority w:val="30"/>
    <w:qFormat/>
    <w:rsid w:val="00671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1814"/>
    <w:rPr>
      <w:i/>
      <w:iCs/>
      <w:color w:val="0F4761" w:themeColor="accent1" w:themeShade="BF"/>
    </w:rPr>
  </w:style>
  <w:style w:type="character" w:styleId="Referenciaintensa">
    <w:name w:val="Intense Reference"/>
    <w:basedOn w:val="Fuentedeprrafopredeter"/>
    <w:uiPriority w:val="32"/>
    <w:qFormat/>
    <w:rsid w:val="00671814"/>
    <w:rPr>
      <w:b/>
      <w:bCs/>
      <w:smallCaps/>
      <w:color w:val="0F4761" w:themeColor="accent1" w:themeShade="BF"/>
      <w:spacing w:val="5"/>
    </w:rPr>
  </w:style>
  <w:style w:type="paragraph" w:customStyle="1" w:styleId="Style">
    <w:name w:val="Style"/>
    <w:rsid w:val="00671814"/>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784</Words>
  <Characters>4312</Characters>
  <Application>Microsoft Office Word</Application>
  <DocSecurity>0</DocSecurity>
  <Lines>35</Lines>
  <Paragraphs>10</Paragraphs>
  <ScaleCrop>false</ScaleCrop>
  <Company>HP Inc.</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13</cp:revision>
  <dcterms:created xsi:type="dcterms:W3CDTF">2024-09-24T06:48:00Z</dcterms:created>
  <dcterms:modified xsi:type="dcterms:W3CDTF">2024-09-27T08:16:00Z</dcterms:modified>
</cp:coreProperties>
</file>