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53420" w14:textId="1B186915" w:rsidR="008D7F85" w:rsidRPr="00BA06FF" w:rsidRDefault="00C7170A" w:rsidP="00193894">
      <w:pPr>
        <w:jc w:val="both"/>
        <w:rPr>
          <w:rFonts w:ascii="Calibri" w:hAnsi="Calibri" w:cs="Calibri"/>
          <w:sz w:val="22"/>
          <w:szCs w:val="22"/>
        </w:rPr>
      </w:pPr>
      <w:r w:rsidRPr="00BA06FF">
        <w:rPr>
          <w:rFonts w:ascii="Calibri" w:hAnsi="Calibri" w:cs="Calibri"/>
          <w:sz w:val="22"/>
          <w:szCs w:val="22"/>
        </w:rPr>
        <w:t>24MOC-139</w:t>
      </w:r>
    </w:p>
    <w:p w14:paraId="04A01ACB" w14:textId="79057D5F" w:rsidR="00C7170A" w:rsidRPr="00C7170A" w:rsidRDefault="00C7170A" w:rsidP="0019389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C7170A">
        <w:rPr>
          <w:rFonts w:ascii="Calibri" w:hAnsi="Calibri" w:cs="Calibri"/>
          <w:sz w:val="22"/>
          <w:szCs w:val="22"/>
        </w:rPr>
        <w:t xml:space="preserve">Miguel Garrido Sola, parlamentario adscrito Grupo Parlamentario </w:t>
      </w:r>
      <w:r w:rsidRPr="00BA06FF">
        <w:rPr>
          <w:rFonts w:ascii="Calibri" w:hAnsi="Calibri" w:cs="Calibri"/>
          <w:sz w:val="22"/>
          <w:szCs w:val="22"/>
        </w:rPr>
        <w:t xml:space="preserve">Contigo Navarra-Zurekin Nafarroa, </w:t>
      </w:r>
      <w:r w:rsidRPr="00C7170A">
        <w:rPr>
          <w:rFonts w:ascii="Calibri" w:hAnsi="Calibri" w:cs="Calibri"/>
          <w:sz w:val="22"/>
          <w:szCs w:val="22"/>
        </w:rPr>
        <w:t>al amparo de lo establecido en el reglamento de la Cámara,</w:t>
      </w:r>
      <w:r w:rsidRPr="00BA06F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 xml:space="preserve">presenta la siguiente </w:t>
      </w:r>
      <w:r w:rsidRPr="00BA06FF">
        <w:rPr>
          <w:rFonts w:ascii="Calibri" w:hAnsi="Calibri" w:cs="Calibri"/>
          <w:sz w:val="22"/>
          <w:szCs w:val="22"/>
        </w:rPr>
        <w:t>moción</w:t>
      </w:r>
      <w:r w:rsidRPr="00C7170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para su debate y votación en sesión de</w:t>
      </w:r>
      <w:r w:rsidRPr="00BA06FF">
        <w:rPr>
          <w:rFonts w:ascii="Calibri" w:hAnsi="Calibri" w:cs="Calibri"/>
          <w:sz w:val="22"/>
          <w:szCs w:val="22"/>
        </w:rPr>
        <w:t>l</w:t>
      </w:r>
      <w:r w:rsidRPr="00C7170A">
        <w:rPr>
          <w:rFonts w:ascii="Calibri" w:hAnsi="Calibri" w:cs="Calibri"/>
          <w:sz w:val="22"/>
          <w:szCs w:val="22"/>
        </w:rPr>
        <w:t xml:space="preserve"> Pleno y</w:t>
      </w:r>
      <w:r w:rsidRPr="00C7170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solicita que</w:t>
      </w:r>
      <w:r w:rsidRPr="00BA06FF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su seguimiento se realice en la Comisión Economía y Hacienda.</w:t>
      </w:r>
    </w:p>
    <w:p w14:paraId="0D308A7B" w14:textId="6CA2B37F" w:rsidR="00C7170A" w:rsidRPr="00C7170A" w:rsidRDefault="00C7170A" w:rsidP="00193894">
      <w:pPr>
        <w:jc w:val="both"/>
        <w:rPr>
          <w:rFonts w:ascii="Calibri" w:hAnsi="Calibri" w:cs="Calibri"/>
          <w:sz w:val="22"/>
          <w:szCs w:val="22"/>
        </w:rPr>
      </w:pPr>
      <w:r w:rsidRPr="00BA06FF">
        <w:rPr>
          <w:rFonts w:ascii="Calibri" w:hAnsi="Calibri" w:cs="Calibri"/>
          <w:sz w:val="22"/>
          <w:szCs w:val="22"/>
        </w:rPr>
        <w:t>Exposición de motivos</w:t>
      </w:r>
    </w:p>
    <w:p w14:paraId="137EFBDE" w14:textId="6189CB73" w:rsidR="00C7170A" w:rsidRPr="00C7170A" w:rsidRDefault="00C7170A" w:rsidP="00193894">
      <w:pPr>
        <w:jc w:val="both"/>
        <w:rPr>
          <w:rFonts w:ascii="Calibri" w:hAnsi="Calibri" w:cs="Calibri"/>
          <w:sz w:val="22"/>
          <w:szCs w:val="22"/>
        </w:rPr>
      </w:pPr>
      <w:r w:rsidRPr="00C7170A">
        <w:rPr>
          <w:rFonts w:ascii="Calibri" w:hAnsi="Calibri" w:cs="Calibri"/>
          <w:sz w:val="22"/>
          <w:szCs w:val="22"/>
        </w:rPr>
        <w:t>El objetivo de esta proposición es terminar con el traslado espurio de la gestión del</w:t>
      </w:r>
      <w:r w:rsidR="00CB264F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riesgo hipotecario de los bancos a los hogares. Este traslado es posible gracias a</w:t>
      </w:r>
      <w:r w:rsidR="00CB264F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una deficiente regulación hipotecaria que permite una política de comercialización</w:t>
      </w:r>
      <w:r w:rsidR="00CB264F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de créditos para la compra de viviendas que hace prevalecer la hipoteca a tipo</w:t>
      </w:r>
      <w:r w:rsidR="00CB264F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variable sobre la hipoteca a tipo fijo, lo que se traduce en un mayor coste e</w:t>
      </w:r>
      <w:r w:rsidR="00CB264F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inestabilidad financiera para los hogares, así como en una mayor repercusión</w:t>
      </w:r>
      <w:r w:rsidR="00CB264F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negativa de las políticas monetarias restrictivas sobre las familias españolas</w:t>
      </w:r>
      <w:r w:rsidR="00CB264F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durante los períodos inflacionistas, como el que acabamos de padecer. Las</w:t>
      </w:r>
      <w:r w:rsidR="00CB264F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consecuencias negativas se extienden también a las entidades de crédito que</w:t>
      </w:r>
      <w:r w:rsidR="00CB264F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pierden con esta política reputación y pueden aumentar su tasa de mora.</w:t>
      </w:r>
    </w:p>
    <w:p w14:paraId="6C864E21" w14:textId="77E29824" w:rsidR="00C7170A" w:rsidRPr="00C7170A" w:rsidRDefault="00C7170A" w:rsidP="00193894">
      <w:pPr>
        <w:jc w:val="both"/>
        <w:rPr>
          <w:rFonts w:ascii="Calibri" w:hAnsi="Calibri" w:cs="Calibri"/>
          <w:sz w:val="22"/>
          <w:szCs w:val="22"/>
        </w:rPr>
      </w:pPr>
      <w:r w:rsidRPr="00C7170A">
        <w:rPr>
          <w:rFonts w:ascii="Calibri" w:hAnsi="Calibri" w:cs="Calibri"/>
          <w:sz w:val="22"/>
          <w:szCs w:val="22"/>
        </w:rPr>
        <w:t>Esta realidad se comprueba en el predominio de las hipotecas a tipo de interés</w:t>
      </w:r>
      <w:r w:rsidR="00CB264F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variable en el mercado hipotecario del Estado a diferencia de otras grandes</w:t>
      </w:r>
      <w:r w:rsidR="00CB264F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economías europeas. Hasta 2015 el 90</w:t>
      </w:r>
      <w:r w:rsidR="00CB264F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% de los contratos hipotecarios se</w:t>
      </w:r>
      <w:r w:rsidR="00CB264F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constituían a tipo variable, una cifra significativamente superior a la registrada en</w:t>
      </w:r>
      <w:r w:rsidR="00CB264F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países como Alemania (20</w:t>
      </w:r>
      <w:r w:rsidR="00CB264F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%) o Francia (30</w:t>
      </w:r>
      <w:r w:rsidR="00CB264F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%). En años recientes la contratación de</w:t>
      </w:r>
      <w:r w:rsidR="00CB264F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créditos hipotecarios a tipo fijo o mixto ha ido ganando protagonismo hasta</w:t>
      </w:r>
      <w:r w:rsidR="00CB264F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representar en torno al 70</w:t>
      </w:r>
      <w:r w:rsidR="00CB264F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% en 2022, aunque desde entonces ha caído nuevamente</w:t>
      </w:r>
      <w:r w:rsidR="00CB264F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hasta el 60</w:t>
      </w:r>
      <w:r w:rsidR="00CB264F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 xml:space="preserve">% actual y la previsible y progresiva rebaja del </w:t>
      </w:r>
      <w:r w:rsidR="00646D29" w:rsidRPr="00BA06FF">
        <w:rPr>
          <w:rFonts w:ascii="Calibri" w:hAnsi="Calibri" w:cs="Calibri"/>
          <w:sz w:val="22"/>
          <w:szCs w:val="22"/>
        </w:rPr>
        <w:t>E</w:t>
      </w:r>
      <w:r w:rsidR="00646D29" w:rsidRPr="00C7170A">
        <w:rPr>
          <w:rFonts w:ascii="Calibri" w:hAnsi="Calibri" w:cs="Calibri"/>
          <w:sz w:val="22"/>
          <w:szCs w:val="22"/>
        </w:rPr>
        <w:t>uribor</w:t>
      </w:r>
      <w:r w:rsidRPr="00C7170A">
        <w:rPr>
          <w:rFonts w:ascii="Calibri" w:hAnsi="Calibri" w:cs="Calibri"/>
          <w:sz w:val="22"/>
          <w:szCs w:val="22"/>
        </w:rPr>
        <w:t xml:space="preserve"> en los próximos</w:t>
      </w:r>
      <w:r w:rsidR="00CB264F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meses promete hacer nuevamente prevalente la hipoteca a tipo variable.</w:t>
      </w:r>
    </w:p>
    <w:p w14:paraId="4DFC2D3C" w14:textId="20CC7D89" w:rsidR="00C7170A" w:rsidRPr="00C7170A" w:rsidRDefault="00C7170A" w:rsidP="00193894">
      <w:pPr>
        <w:jc w:val="both"/>
        <w:rPr>
          <w:rFonts w:ascii="Calibri" w:hAnsi="Calibri" w:cs="Calibri"/>
          <w:sz w:val="22"/>
          <w:szCs w:val="22"/>
        </w:rPr>
      </w:pPr>
      <w:r w:rsidRPr="00C7170A">
        <w:rPr>
          <w:rFonts w:ascii="Calibri" w:hAnsi="Calibri" w:cs="Calibri"/>
          <w:sz w:val="22"/>
          <w:szCs w:val="22"/>
        </w:rPr>
        <w:t>A pesar de esta mejora en el tipo fijo en el flujo de nuevas hipotecas de los últimos</w:t>
      </w:r>
      <w:r w:rsidR="00CB264F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años, los datos del Banco de España y de la Asociación Hipotecaria Española</w:t>
      </w:r>
      <w:r w:rsidR="00CB264F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revelan que, en junio de 2022, antes del inicio de la subida de tipos de interés por</w:t>
      </w:r>
      <w:r w:rsidR="00CB264F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parte del Banco Central Europeo, más del 70</w:t>
      </w:r>
      <w:r w:rsidR="00CB264F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% de los 626.680 millones de euros del</w:t>
      </w:r>
      <w:r w:rsidR="00CB264F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saldo vivo total en créditos hipotecarios (50</w:t>
      </w:r>
      <w:r w:rsidR="00CB264F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% del PIB) estaba sujeto a un tipo de</w:t>
      </w:r>
      <w:r w:rsidR="00CB264F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interés variable, lo que coloca a España en una posición anómala y vulnerable ante</w:t>
      </w:r>
      <w:r w:rsidR="00CB264F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cualquier proceso inflacionario generalizado que se traduzca en una respuesta de</w:t>
      </w:r>
      <w:r w:rsidR="00CB264F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política monetaria restrictiva, como la implementada por el BCE desde la segunda</w:t>
      </w:r>
      <w:r w:rsidR="00CB264F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 xml:space="preserve">mitad de 2022, o la que se podría producir si se generaliza la guerra en </w:t>
      </w:r>
      <w:r w:rsidR="00CB264F" w:rsidRPr="00BA06FF">
        <w:rPr>
          <w:rFonts w:ascii="Calibri" w:hAnsi="Calibri" w:cs="Calibri"/>
          <w:sz w:val="22"/>
          <w:szCs w:val="22"/>
        </w:rPr>
        <w:t>O</w:t>
      </w:r>
      <w:r w:rsidRPr="00C7170A">
        <w:rPr>
          <w:rFonts w:ascii="Calibri" w:hAnsi="Calibri" w:cs="Calibri"/>
          <w:sz w:val="22"/>
          <w:szCs w:val="22"/>
        </w:rPr>
        <w:t>riente</w:t>
      </w:r>
      <w:r w:rsidR="00CB264F" w:rsidRPr="00BA06FF">
        <w:rPr>
          <w:rFonts w:ascii="Calibri" w:hAnsi="Calibri" w:cs="Calibri"/>
          <w:sz w:val="22"/>
          <w:szCs w:val="22"/>
        </w:rPr>
        <w:t xml:space="preserve"> P</w:t>
      </w:r>
      <w:r w:rsidRPr="00C7170A">
        <w:rPr>
          <w:rFonts w:ascii="Calibri" w:hAnsi="Calibri" w:cs="Calibri"/>
          <w:sz w:val="22"/>
          <w:szCs w:val="22"/>
        </w:rPr>
        <w:t>róximo y esta empuja al alza el precio de los hidrocarburos.</w:t>
      </w:r>
    </w:p>
    <w:p w14:paraId="692620E4" w14:textId="31AA330F" w:rsidR="00C7170A" w:rsidRPr="00C7170A" w:rsidRDefault="00C7170A" w:rsidP="00193894">
      <w:pPr>
        <w:jc w:val="both"/>
        <w:rPr>
          <w:rFonts w:ascii="Calibri" w:hAnsi="Calibri" w:cs="Calibri"/>
          <w:sz w:val="22"/>
          <w:szCs w:val="22"/>
        </w:rPr>
      </w:pPr>
      <w:r w:rsidRPr="00C7170A">
        <w:rPr>
          <w:rFonts w:ascii="Calibri" w:hAnsi="Calibri" w:cs="Calibri"/>
          <w:sz w:val="22"/>
          <w:szCs w:val="22"/>
        </w:rPr>
        <w:t>La diferencia en el peso de las hipotecas a tipo fijo y variable en el mercado</w:t>
      </w:r>
      <w:r w:rsidR="00467675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hipotecari</w:t>
      </w:r>
      <w:r w:rsidR="00467675" w:rsidRPr="00BA06FF">
        <w:rPr>
          <w:rFonts w:ascii="Calibri" w:hAnsi="Calibri" w:cs="Calibri"/>
          <w:sz w:val="22"/>
          <w:szCs w:val="22"/>
        </w:rPr>
        <w:t>o</w:t>
      </w:r>
      <w:r w:rsidRPr="00C7170A">
        <w:rPr>
          <w:rFonts w:ascii="Calibri" w:hAnsi="Calibri" w:cs="Calibri"/>
          <w:sz w:val="22"/>
          <w:szCs w:val="22"/>
        </w:rPr>
        <w:t xml:space="preserve"> español con respecto al europeo señalan, como se apuntaba, a un</w:t>
      </w:r>
      <w:r w:rsidR="001D2FFB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problema de regulación que produce una translación espuria de la gestión del</w:t>
      </w:r>
      <w:r w:rsidR="001D2FFB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riesgo financiero a largo plazo de los bancos a los hogares. En efecto, la institución</w:t>
      </w:r>
      <w:r w:rsidR="001D2FFB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económica pensada para gestionar este tipo de riesgos a largo plazo son las</w:t>
      </w:r>
      <w:r w:rsidR="001D2FFB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entidades de crédito y no los hogares, pero la deficiente regulación hipotecaria</w:t>
      </w:r>
      <w:r w:rsidR="001D2FFB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permite que estas acaben trasladando a las familias una parte no desdeñable de su</w:t>
      </w:r>
      <w:r w:rsidR="001D2FFB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responsabilidad empresarial y social. Esto se consigue mediante una</w:t>
      </w:r>
      <w:r w:rsidR="001D2FFB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comercialización abusiva de las hipotecas que se lleva a cabo por dos vías.</w:t>
      </w:r>
    </w:p>
    <w:p w14:paraId="58E7CF5C" w14:textId="31ECBF0C" w:rsidR="00C7170A" w:rsidRPr="00C7170A" w:rsidRDefault="00C7170A" w:rsidP="00193894">
      <w:pPr>
        <w:jc w:val="both"/>
        <w:rPr>
          <w:rFonts w:ascii="Calibri" w:hAnsi="Calibri" w:cs="Calibri"/>
          <w:sz w:val="22"/>
          <w:szCs w:val="22"/>
        </w:rPr>
      </w:pPr>
      <w:r w:rsidRPr="00C7170A">
        <w:rPr>
          <w:rFonts w:ascii="Calibri" w:hAnsi="Calibri" w:cs="Calibri"/>
          <w:sz w:val="22"/>
          <w:szCs w:val="22"/>
        </w:rPr>
        <w:lastRenderedPageBreak/>
        <w:t>La primera es la comercialización preferente de las hipotecas a tipo variable por los</w:t>
      </w:r>
      <w:r w:rsidR="001D2FFB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bancos durante los períodos sin tensiones de precios o deflacionistas, cuando</w:t>
      </w:r>
      <w:r w:rsidR="001D2FFB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estos son artificialmente bajos y que son más comunes que los períodos</w:t>
      </w:r>
      <w:r w:rsidR="001D2FFB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inflacionarios. Las entidades de crédito se aprovechan de la “ilusión monetaria”</w:t>
      </w:r>
      <w:r w:rsidR="001D2FFB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que generan los tipos de interés bajos a corto plazo en los hogares que, a diferencia</w:t>
      </w:r>
      <w:r w:rsidR="001D2FFB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de los bancos, no cuentan con un departamento de riesgos para ponderarlos a largo</w:t>
      </w:r>
      <w:r w:rsidR="001D2FFB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plazo.</w:t>
      </w:r>
    </w:p>
    <w:p w14:paraId="2C18FA0D" w14:textId="712467D2" w:rsidR="00C7170A" w:rsidRPr="00C7170A" w:rsidRDefault="00C7170A" w:rsidP="00193894">
      <w:pPr>
        <w:jc w:val="both"/>
        <w:rPr>
          <w:rFonts w:ascii="Calibri" w:hAnsi="Calibri" w:cs="Calibri"/>
          <w:sz w:val="22"/>
          <w:szCs w:val="22"/>
        </w:rPr>
      </w:pPr>
      <w:r w:rsidRPr="00C7170A">
        <w:rPr>
          <w:rFonts w:ascii="Calibri" w:hAnsi="Calibri" w:cs="Calibri"/>
          <w:sz w:val="22"/>
          <w:szCs w:val="22"/>
        </w:rPr>
        <w:t>La segunda vía es la limitación de los productos hipotecarios a un conjunto de</w:t>
      </w:r>
      <w:r w:rsidR="00C5549A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opciones limitada y poco transparente, pues se desconoce el perfil de riesgo exigido</w:t>
      </w:r>
      <w:r w:rsidR="00C5549A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para cada oferta hipotecaria, lo que hace que el prestatario no pueda elegir o</w:t>
      </w:r>
      <w:r w:rsidR="00C5549A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negociar, sino que simplemente acepta unas condiciones que le vienen dadas, e</w:t>
      </w:r>
      <w:r w:rsidR="00C5549A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incluso “padece” hasta que se le concede el crédito dada la falta de transparencia</w:t>
      </w:r>
      <w:r w:rsidR="00C5549A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del proceso y la urgencia del hogar por perfeccionar el contrato de compra-venta de</w:t>
      </w:r>
      <w:r w:rsidR="00C5549A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una vivienda tras el depósito de unas arras. Esta manera de operar es ciertamente</w:t>
      </w:r>
      <w:r w:rsidR="00C5549A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oportunista si se considera que los bancos operan bajo la concesión pública de</w:t>
      </w:r>
      <w:r w:rsidR="00C5549A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“capacidad de creación monetaria”. En efecto, los bancos privados no necesitan</w:t>
      </w:r>
      <w:r w:rsidR="00C5549A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que nadie haya depositado previamente sus ahorros en el banco para conceder un</w:t>
      </w:r>
      <w:r w:rsidR="00C5549A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crédito, sino que tienen delegado por el sector público la capacidad de crear</w:t>
      </w:r>
      <w:r w:rsidR="00C5549A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crédito, aunque en el proceso deben cumplir con una serie de requisitos</w:t>
      </w:r>
      <w:r w:rsidR="00C5549A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regulatorios relacionados con la solvencia, liquidez y nivel de reservas.</w:t>
      </w:r>
    </w:p>
    <w:p w14:paraId="603FE55E" w14:textId="43C87A48" w:rsidR="00C7170A" w:rsidRPr="00C7170A" w:rsidRDefault="00C7170A" w:rsidP="00193894">
      <w:pPr>
        <w:jc w:val="both"/>
        <w:rPr>
          <w:rFonts w:ascii="Calibri" w:hAnsi="Calibri" w:cs="Calibri"/>
          <w:sz w:val="22"/>
          <w:szCs w:val="22"/>
        </w:rPr>
      </w:pPr>
      <w:r w:rsidRPr="00C7170A">
        <w:rPr>
          <w:rFonts w:ascii="Calibri" w:hAnsi="Calibri" w:cs="Calibri"/>
          <w:sz w:val="22"/>
          <w:szCs w:val="22"/>
        </w:rPr>
        <w:t>En consecuencia, los perfiles de riesgo asociados a las ofertas hipotecarias</w:t>
      </w:r>
      <w:r w:rsidR="00C5549A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deberían transparentarse y sus tipos de interés ser menos homogéneos entre</w:t>
      </w:r>
      <w:r w:rsidR="00C5549A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entidades, reflejando la posición de cada banco en el cumplimiento de esos</w:t>
      </w:r>
      <w:r w:rsidR="00C5549A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requisitos. Ahora ocurre lo opuesto, los tipos de interés hipotecarios son muy</w:t>
      </w:r>
      <w:r w:rsidR="00C5549A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parecidos entre entidades y los requisitos regulatorios se cumplen ajustando la</w:t>
      </w:r>
      <w:r w:rsidR="00C5549A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oferta de crédito. Todo esto produce un incremento no legítimo de los ingresos que</w:t>
      </w:r>
      <w:r w:rsidR="00C5549A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obtienen los bancos vía intereses hipotecarios y un aumento de la inestabilidad</w:t>
      </w:r>
      <w:r w:rsidR="00C5549A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financiera de los hogares.</w:t>
      </w:r>
    </w:p>
    <w:p w14:paraId="09998F03" w14:textId="53220629" w:rsidR="00C7170A" w:rsidRPr="00C7170A" w:rsidRDefault="00C7170A" w:rsidP="00193894">
      <w:pPr>
        <w:jc w:val="both"/>
        <w:rPr>
          <w:rFonts w:ascii="Calibri" w:hAnsi="Calibri" w:cs="Calibri"/>
          <w:sz w:val="22"/>
          <w:szCs w:val="22"/>
        </w:rPr>
      </w:pPr>
      <w:r w:rsidRPr="00C7170A">
        <w:rPr>
          <w:rFonts w:ascii="Calibri" w:hAnsi="Calibri" w:cs="Calibri"/>
          <w:sz w:val="22"/>
          <w:szCs w:val="22"/>
        </w:rPr>
        <w:t>La solución de estas disfuncionalidades pasa por copiar la experiencia del mercado</w:t>
      </w:r>
      <w:r w:rsidR="00C5549A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eléctrico, donde los consumidores pueden elegir entre tarifas de mercado, sujetas</w:t>
      </w:r>
      <w:r w:rsidR="00C5549A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a variaciones, y tarifas reguladas que ofrecen mayor estabilidad y previsibilidad. La</w:t>
      </w:r>
      <w:r w:rsidR="00C5549A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propuesta de crear una hipoteca a tipo fijo regulada para la compra de vivienda</w:t>
      </w:r>
      <w:r w:rsidR="00C5549A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habitual pretende ofrecer a los ciudadanos una alternativa sólida y transparente</w:t>
      </w:r>
      <w:r w:rsidR="00C5549A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para acceder a una vivienda, mitigando el impacto de la incertidumbre económica</w:t>
      </w:r>
      <w:r w:rsidR="00C5549A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y garantizando un tipo de interés estable y predecible a largo plazo, desvinculado</w:t>
      </w:r>
      <w:r w:rsidR="00C5549A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del interés de las entidades financieras por maximizar su beneficio.</w:t>
      </w:r>
    </w:p>
    <w:p w14:paraId="325A30FA" w14:textId="7C58CC6B" w:rsidR="00C7170A" w:rsidRPr="00C7170A" w:rsidRDefault="00C7170A" w:rsidP="00193894">
      <w:pPr>
        <w:jc w:val="both"/>
        <w:rPr>
          <w:rFonts w:ascii="Calibri" w:hAnsi="Calibri" w:cs="Calibri"/>
          <w:sz w:val="22"/>
          <w:szCs w:val="22"/>
        </w:rPr>
      </w:pPr>
      <w:r w:rsidRPr="00C7170A">
        <w:rPr>
          <w:rFonts w:ascii="Calibri" w:hAnsi="Calibri" w:cs="Calibri"/>
          <w:sz w:val="22"/>
          <w:szCs w:val="22"/>
        </w:rPr>
        <w:t>Esta hipoteca regulada se acompañaría, asimismo, de un perfil de riesgo asociado</w:t>
      </w:r>
      <w:r w:rsidR="00C5549A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mínimo que debería cumplir el prestatario para acceder a la misma y que aseguraría</w:t>
      </w:r>
      <w:r w:rsidR="00C5549A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su solvencia para hacer frente al pago de la hipoteca. Obviamente, esta hipoteca</w:t>
      </w:r>
      <w:r w:rsidR="00C5549A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regulada no limita el resto de ofertas hipotecarias que quieran ofertar las entidades</w:t>
      </w:r>
      <w:r w:rsidR="00C5549A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de crédito, pero si fija una referencia que estarían obligadas a ofertar en cualquier</w:t>
      </w:r>
      <w:r w:rsidR="00C5549A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operación de endeudamiento para la compra de una vivienda habitual.</w:t>
      </w:r>
      <w:r w:rsidR="00C5549A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 xml:space="preserve">Adicionalmente, </w:t>
      </w:r>
      <w:r w:rsidR="00C5549A" w:rsidRPr="00BA06FF">
        <w:rPr>
          <w:rFonts w:ascii="Calibri" w:hAnsi="Calibri" w:cs="Calibri"/>
          <w:sz w:val="22"/>
          <w:szCs w:val="22"/>
        </w:rPr>
        <w:t>l</w:t>
      </w:r>
      <w:r w:rsidRPr="00C7170A">
        <w:rPr>
          <w:rFonts w:ascii="Calibri" w:hAnsi="Calibri" w:cs="Calibri"/>
          <w:sz w:val="22"/>
          <w:szCs w:val="22"/>
        </w:rPr>
        <w:t>os actuales hipotecados tendrán la posibilidad de novar su</w:t>
      </w:r>
      <w:r w:rsidR="00C5549A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préstamo hipotecario en la nueva hipoteca regulada.</w:t>
      </w:r>
    </w:p>
    <w:p w14:paraId="5ECCD042" w14:textId="06B39141" w:rsidR="00C7170A" w:rsidRPr="00C7170A" w:rsidRDefault="00C7170A" w:rsidP="00193894">
      <w:pPr>
        <w:jc w:val="both"/>
        <w:rPr>
          <w:rFonts w:ascii="Calibri" w:hAnsi="Calibri" w:cs="Calibri"/>
          <w:sz w:val="22"/>
          <w:szCs w:val="22"/>
        </w:rPr>
      </w:pPr>
      <w:r w:rsidRPr="00C7170A">
        <w:rPr>
          <w:rFonts w:ascii="Calibri" w:hAnsi="Calibri" w:cs="Calibri"/>
          <w:sz w:val="22"/>
          <w:szCs w:val="22"/>
        </w:rPr>
        <w:t>El perfil de riesgo asociado a la hipoteca regulada se cumpliría con al menos estos</w:t>
      </w:r>
      <w:r w:rsidR="00193894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dos requisitos:</w:t>
      </w:r>
    </w:p>
    <w:p w14:paraId="725E6F15" w14:textId="77777777" w:rsidR="00C7170A" w:rsidRPr="00C7170A" w:rsidRDefault="00C7170A" w:rsidP="00193894">
      <w:pPr>
        <w:jc w:val="both"/>
        <w:rPr>
          <w:rFonts w:ascii="Calibri" w:hAnsi="Calibri" w:cs="Calibri"/>
          <w:sz w:val="22"/>
          <w:szCs w:val="22"/>
        </w:rPr>
      </w:pPr>
      <w:r w:rsidRPr="00C7170A">
        <w:rPr>
          <w:rFonts w:ascii="Segoe UI Symbol" w:hAnsi="Segoe UI Symbol" w:cs="Segoe UI Symbol"/>
          <w:sz w:val="22"/>
          <w:szCs w:val="22"/>
        </w:rPr>
        <w:t>❖</w:t>
      </w:r>
      <w:r w:rsidRPr="00C7170A">
        <w:rPr>
          <w:rFonts w:ascii="Calibri" w:hAnsi="Calibri" w:cs="Calibri"/>
          <w:sz w:val="22"/>
          <w:szCs w:val="22"/>
        </w:rPr>
        <w:t xml:space="preserve"> Relación laboral estable.</w:t>
      </w:r>
    </w:p>
    <w:p w14:paraId="27619A94" w14:textId="0DB3F606" w:rsidR="00C7170A" w:rsidRPr="00C7170A" w:rsidRDefault="00C7170A" w:rsidP="00193894">
      <w:pPr>
        <w:jc w:val="both"/>
        <w:rPr>
          <w:rFonts w:ascii="Calibri" w:hAnsi="Calibri" w:cs="Calibri"/>
          <w:sz w:val="22"/>
          <w:szCs w:val="22"/>
        </w:rPr>
      </w:pPr>
      <w:r w:rsidRPr="00C7170A">
        <w:rPr>
          <w:rFonts w:ascii="Segoe UI Symbol" w:hAnsi="Segoe UI Symbol" w:cs="Segoe UI Symbol"/>
          <w:sz w:val="22"/>
          <w:szCs w:val="22"/>
        </w:rPr>
        <w:lastRenderedPageBreak/>
        <w:t>❖</w:t>
      </w:r>
      <w:r w:rsidRPr="00C7170A">
        <w:rPr>
          <w:rFonts w:ascii="Calibri" w:hAnsi="Calibri" w:cs="Calibri"/>
          <w:sz w:val="22"/>
          <w:szCs w:val="22"/>
        </w:rPr>
        <w:t xml:space="preserve"> Límite máximo de la cuota hipotecaria más resto de intereses por deudas</w:t>
      </w:r>
      <w:r w:rsidR="009A3B16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respecto a los ingresos del hipotecado: 40</w:t>
      </w:r>
      <w:r w:rsidR="009A3B16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%.</w:t>
      </w:r>
    </w:p>
    <w:p w14:paraId="6E9E7688" w14:textId="262405A4" w:rsidR="00C7170A" w:rsidRPr="00C7170A" w:rsidRDefault="00C7170A" w:rsidP="00193894">
      <w:pPr>
        <w:jc w:val="both"/>
        <w:rPr>
          <w:rFonts w:ascii="Calibri" w:hAnsi="Calibri" w:cs="Calibri"/>
          <w:sz w:val="22"/>
          <w:szCs w:val="22"/>
        </w:rPr>
      </w:pPr>
      <w:r w:rsidRPr="00C7170A">
        <w:rPr>
          <w:rFonts w:ascii="Calibri" w:hAnsi="Calibri" w:cs="Calibri"/>
          <w:sz w:val="22"/>
          <w:szCs w:val="22"/>
        </w:rPr>
        <w:t>El tipo fijo de la hipoteca regulada sería el de los bonos del Tesoro a 10 años. Esta</w:t>
      </w:r>
      <w:r w:rsidR="009A3B16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equivalencia obedece a que el riesgo que asume una entidad cuando concede un</w:t>
      </w:r>
      <w:r w:rsidR="009A3B16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 xml:space="preserve">crédito hipotecario es nulo, en tanto, que </w:t>
      </w:r>
      <w:r w:rsidR="00E53F66">
        <w:rPr>
          <w:rFonts w:ascii="Calibri" w:hAnsi="Calibri" w:cs="Calibri"/>
          <w:sz w:val="22"/>
          <w:szCs w:val="22"/>
        </w:rPr>
        <w:t>e</w:t>
      </w:r>
      <w:r w:rsidRPr="00C7170A">
        <w:rPr>
          <w:rFonts w:ascii="Calibri" w:hAnsi="Calibri" w:cs="Calibri"/>
          <w:sz w:val="22"/>
          <w:szCs w:val="22"/>
        </w:rPr>
        <w:t>ste tiene una doble garantía: (1) el valor</w:t>
      </w:r>
      <w:r w:rsidR="009A3B16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de la garantía que se entrega supera en un 20</w:t>
      </w:r>
      <w:r w:rsidR="009A3B16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% a la cuantía del crédito hipotecario;</w:t>
      </w:r>
      <w:r w:rsidR="009A3B16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y (2) la garantía hipotecaria es personal en España, es decir, el hipotecado responde</w:t>
      </w:r>
      <w:r w:rsidR="009A3B16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con toda su renta y patrimonio para responder al pago de la deuda y no solo con el</w:t>
      </w:r>
      <w:r w:rsidR="009A3B16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valor de la vivienda hipotecada, no habiendo dación en pago salvo en casos de</w:t>
      </w:r>
      <w:r w:rsidR="009A3B16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extrema vulnerabilidad.</w:t>
      </w:r>
    </w:p>
    <w:p w14:paraId="0AD3D61F" w14:textId="59A1D936" w:rsidR="00C7170A" w:rsidRPr="00C7170A" w:rsidRDefault="00C7170A" w:rsidP="00193894">
      <w:pPr>
        <w:jc w:val="both"/>
        <w:rPr>
          <w:rFonts w:ascii="Calibri" w:hAnsi="Calibri" w:cs="Calibri"/>
          <w:sz w:val="22"/>
          <w:szCs w:val="22"/>
        </w:rPr>
      </w:pPr>
      <w:r w:rsidRPr="00C7170A">
        <w:rPr>
          <w:rFonts w:ascii="Calibri" w:hAnsi="Calibri" w:cs="Calibri"/>
          <w:sz w:val="22"/>
          <w:szCs w:val="22"/>
        </w:rPr>
        <w:t>La remuneración del bono a 10 años estuvo apreciablemente por encima del interés</w:t>
      </w:r>
      <w:r w:rsidR="00BA696D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pagado por las nuevas hipotecas a tipo variable durante la crisis del euro, cuando</w:t>
      </w:r>
      <w:r w:rsidR="00BA696D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el BCE -extralimitándose de su mandato-, utilizó las primas de riesgo de la deuda</w:t>
      </w:r>
      <w:r w:rsidR="00BA696D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pública para imponer políticas de ajuste a los países miembro. Esta situación</w:t>
      </w:r>
      <w:r w:rsidR="00BA696D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parece muy difícil que se repita. A partir de 2024, sin embargo, con el cambio del</w:t>
      </w:r>
      <w:r w:rsidR="00BA696D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signo de la política monetaria, el bono se sitúa sostenidamente por debajo del</w:t>
      </w:r>
      <w:r w:rsidR="00BA696D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interés de las hipotecas variables hasta el primer trimestre de 2022, cuando el</w:t>
      </w:r>
      <w:r w:rsidR="00BA696D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aumento del endeudamiento público para combatir la pandemia eleva su coste por</w:t>
      </w:r>
      <w:r w:rsidR="00BA696D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encima del de las hipotecas a tipo variable. No obstante, la remuneración del bono</w:t>
      </w:r>
      <w:r w:rsidR="00BA696D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converge con el de las hipotecas a partir de 2024.</w:t>
      </w:r>
    </w:p>
    <w:p w14:paraId="1252E849" w14:textId="180C2A26" w:rsidR="00C7170A" w:rsidRPr="00C7170A" w:rsidRDefault="00C7170A" w:rsidP="00193894">
      <w:pPr>
        <w:jc w:val="both"/>
        <w:rPr>
          <w:rFonts w:ascii="Calibri" w:hAnsi="Calibri" w:cs="Calibri"/>
          <w:sz w:val="22"/>
          <w:szCs w:val="22"/>
        </w:rPr>
      </w:pPr>
      <w:r w:rsidRPr="00C7170A">
        <w:rPr>
          <w:rFonts w:ascii="Calibri" w:hAnsi="Calibri" w:cs="Calibri"/>
          <w:sz w:val="22"/>
          <w:szCs w:val="22"/>
        </w:rPr>
        <w:t>Por todo ello, presentamos la siguiente</w:t>
      </w:r>
      <w:r w:rsidR="00BA696D" w:rsidRPr="00BA06FF">
        <w:rPr>
          <w:rFonts w:ascii="Calibri" w:hAnsi="Calibri" w:cs="Calibri"/>
          <w:sz w:val="22"/>
          <w:szCs w:val="22"/>
        </w:rPr>
        <w:t xml:space="preserve"> propuesta de resolución:</w:t>
      </w:r>
    </w:p>
    <w:p w14:paraId="437F4999" w14:textId="610B111E" w:rsidR="00C7170A" w:rsidRPr="00C7170A" w:rsidRDefault="00C7170A" w:rsidP="00193894">
      <w:pPr>
        <w:jc w:val="both"/>
        <w:rPr>
          <w:rFonts w:ascii="Calibri" w:hAnsi="Calibri" w:cs="Calibri"/>
          <w:sz w:val="22"/>
          <w:szCs w:val="22"/>
        </w:rPr>
      </w:pPr>
      <w:r w:rsidRPr="00C7170A">
        <w:rPr>
          <w:rFonts w:ascii="Calibri" w:hAnsi="Calibri" w:cs="Calibri"/>
          <w:sz w:val="22"/>
          <w:szCs w:val="22"/>
        </w:rPr>
        <w:t>El Parlamento de Navarra insta al Gobierno de España a diseñar y aprobar las medidas</w:t>
      </w:r>
      <w:r w:rsidR="00996416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normativas necesarias para el desarrollo de una hipoteca a tipo fijo regulada para la</w:t>
      </w:r>
      <w:r w:rsidR="00996416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adquisición de vivienda habitual, que tengan que ofertar todas las entidades de crédito,</w:t>
      </w:r>
      <w:r w:rsidR="00996416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como medida para mitigar la exposición de las familias a las fluctuaciones en los tipos de</w:t>
      </w:r>
      <w:r w:rsidR="00996416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interés, con las siguientes características:</w:t>
      </w:r>
    </w:p>
    <w:p w14:paraId="7EA00A42" w14:textId="29201E3E" w:rsidR="00C7170A" w:rsidRPr="00C7170A" w:rsidRDefault="00C7170A" w:rsidP="00193894">
      <w:pPr>
        <w:jc w:val="both"/>
        <w:rPr>
          <w:rFonts w:ascii="Calibri" w:hAnsi="Calibri" w:cs="Calibri"/>
          <w:sz w:val="22"/>
          <w:szCs w:val="22"/>
        </w:rPr>
      </w:pPr>
      <w:r w:rsidRPr="00C7170A">
        <w:rPr>
          <w:rFonts w:ascii="Calibri" w:hAnsi="Calibri" w:cs="Calibri"/>
          <w:sz w:val="22"/>
          <w:szCs w:val="22"/>
        </w:rPr>
        <w:t>• Destino del préstamo: adquisición de vivienda habitual.</w:t>
      </w:r>
    </w:p>
    <w:p w14:paraId="6107274D" w14:textId="432576FC" w:rsidR="00C7170A" w:rsidRPr="00C7170A" w:rsidRDefault="00C7170A" w:rsidP="00193894">
      <w:pPr>
        <w:jc w:val="both"/>
        <w:rPr>
          <w:rFonts w:ascii="Calibri" w:hAnsi="Calibri" w:cs="Calibri"/>
          <w:sz w:val="22"/>
          <w:szCs w:val="22"/>
        </w:rPr>
      </w:pPr>
      <w:r w:rsidRPr="00C7170A">
        <w:rPr>
          <w:rFonts w:ascii="Calibri" w:hAnsi="Calibri" w:cs="Calibri"/>
          <w:sz w:val="22"/>
          <w:szCs w:val="22"/>
        </w:rPr>
        <w:t>• Tipo de interés: el equivalente al tipo de emisión de los Bonos del Tesoro a 10 años,</w:t>
      </w:r>
      <w:r w:rsidR="00FA5FE4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con un TAE mínimo del 1</w:t>
      </w:r>
      <w:r w:rsidR="00996416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%.</w:t>
      </w:r>
    </w:p>
    <w:p w14:paraId="6A7BA344" w14:textId="77777777" w:rsidR="00C7170A" w:rsidRPr="00C7170A" w:rsidRDefault="00C7170A" w:rsidP="00193894">
      <w:pPr>
        <w:jc w:val="both"/>
        <w:rPr>
          <w:rFonts w:ascii="Calibri" w:hAnsi="Calibri" w:cs="Calibri"/>
          <w:sz w:val="22"/>
          <w:szCs w:val="22"/>
        </w:rPr>
      </w:pPr>
      <w:r w:rsidRPr="00C7170A">
        <w:rPr>
          <w:rFonts w:ascii="Calibri" w:hAnsi="Calibri" w:cs="Calibri"/>
          <w:sz w:val="22"/>
          <w:szCs w:val="22"/>
        </w:rPr>
        <w:t>• Plazo máximo: 360 meses (30 años).</w:t>
      </w:r>
    </w:p>
    <w:p w14:paraId="24334FEE" w14:textId="77777777" w:rsidR="00C7170A" w:rsidRPr="00C7170A" w:rsidRDefault="00C7170A" w:rsidP="00193894">
      <w:pPr>
        <w:jc w:val="both"/>
        <w:rPr>
          <w:rFonts w:ascii="Calibri" w:hAnsi="Calibri" w:cs="Calibri"/>
          <w:sz w:val="22"/>
          <w:szCs w:val="22"/>
        </w:rPr>
      </w:pPr>
      <w:r w:rsidRPr="00C7170A">
        <w:rPr>
          <w:rFonts w:ascii="Calibri" w:hAnsi="Calibri" w:cs="Calibri"/>
          <w:sz w:val="22"/>
          <w:szCs w:val="22"/>
        </w:rPr>
        <w:t>• Sistema de amortización: francés o alemán.</w:t>
      </w:r>
    </w:p>
    <w:p w14:paraId="6BFB0D04" w14:textId="658914ED" w:rsidR="00C7170A" w:rsidRPr="00C7170A" w:rsidRDefault="00C7170A" w:rsidP="00193894">
      <w:pPr>
        <w:jc w:val="both"/>
        <w:rPr>
          <w:rFonts w:ascii="Calibri" w:hAnsi="Calibri" w:cs="Calibri"/>
          <w:sz w:val="22"/>
          <w:szCs w:val="22"/>
        </w:rPr>
      </w:pPr>
      <w:r w:rsidRPr="00C7170A">
        <w:rPr>
          <w:rFonts w:ascii="Calibri" w:hAnsi="Calibri" w:cs="Calibri"/>
          <w:sz w:val="22"/>
          <w:szCs w:val="22"/>
        </w:rPr>
        <w:t>• Máximo de servicios vinculados al préstamo hipotecario: domiciliación de nómina</w:t>
      </w:r>
      <w:r w:rsidR="00996416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en la cuenta donde se giran las cuotas hipotecarias.</w:t>
      </w:r>
    </w:p>
    <w:p w14:paraId="192F4240" w14:textId="77777777" w:rsidR="00C7170A" w:rsidRPr="00C7170A" w:rsidRDefault="00C7170A" w:rsidP="00193894">
      <w:pPr>
        <w:jc w:val="both"/>
        <w:rPr>
          <w:rFonts w:ascii="Calibri" w:hAnsi="Calibri" w:cs="Calibri"/>
          <w:sz w:val="22"/>
          <w:szCs w:val="22"/>
        </w:rPr>
      </w:pPr>
      <w:r w:rsidRPr="00C7170A">
        <w:rPr>
          <w:rFonts w:ascii="Calibri" w:hAnsi="Calibri" w:cs="Calibri"/>
          <w:sz w:val="22"/>
          <w:szCs w:val="22"/>
        </w:rPr>
        <w:t>• Comisiones de apertura o cancelación anticipada: Sin comisiones.</w:t>
      </w:r>
    </w:p>
    <w:p w14:paraId="450D4507" w14:textId="56F4B5DE" w:rsidR="00C7170A" w:rsidRPr="00C7170A" w:rsidRDefault="00C7170A" w:rsidP="00193894">
      <w:pPr>
        <w:jc w:val="both"/>
        <w:rPr>
          <w:rFonts w:ascii="Calibri" w:hAnsi="Calibri" w:cs="Calibri"/>
          <w:sz w:val="22"/>
          <w:szCs w:val="22"/>
        </w:rPr>
      </w:pPr>
      <w:r w:rsidRPr="00C7170A">
        <w:rPr>
          <w:rFonts w:ascii="Calibri" w:hAnsi="Calibri" w:cs="Calibri"/>
          <w:sz w:val="22"/>
          <w:szCs w:val="22"/>
        </w:rPr>
        <w:t>• Límite máximo de crédito respecto al valor de la vivienda: 80</w:t>
      </w:r>
      <w:r w:rsidR="00996416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%.</w:t>
      </w:r>
    </w:p>
    <w:p w14:paraId="77A0240A" w14:textId="74BE342E" w:rsidR="00C7170A" w:rsidRPr="00C7170A" w:rsidRDefault="00C7170A" w:rsidP="00193894">
      <w:pPr>
        <w:jc w:val="both"/>
        <w:rPr>
          <w:rFonts w:ascii="Calibri" w:hAnsi="Calibri" w:cs="Calibri"/>
          <w:sz w:val="22"/>
          <w:szCs w:val="22"/>
        </w:rPr>
      </w:pPr>
      <w:r w:rsidRPr="00C7170A">
        <w:rPr>
          <w:rFonts w:ascii="Calibri" w:hAnsi="Calibri" w:cs="Calibri"/>
          <w:sz w:val="22"/>
          <w:szCs w:val="22"/>
        </w:rPr>
        <w:t>• Un perfil de riesgo asociado a la hipoteca regulada vinculado a una relación laboral</w:t>
      </w:r>
      <w:r w:rsidR="00996416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estable y un límite máximo de la cuota hipotecaria más resto de intereses por</w:t>
      </w:r>
      <w:r w:rsidR="00996416" w:rsidRPr="00BA06FF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deudas respecto a los ingresos del hipotecado: 40</w:t>
      </w:r>
      <w:r w:rsidR="00FA5FE4">
        <w:rPr>
          <w:rFonts w:ascii="Calibri" w:hAnsi="Calibri" w:cs="Calibri"/>
          <w:sz w:val="22"/>
          <w:szCs w:val="22"/>
        </w:rPr>
        <w:t xml:space="preserve"> </w:t>
      </w:r>
      <w:r w:rsidRPr="00C7170A">
        <w:rPr>
          <w:rFonts w:ascii="Calibri" w:hAnsi="Calibri" w:cs="Calibri"/>
          <w:sz w:val="22"/>
          <w:szCs w:val="22"/>
        </w:rPr>
        <w:t>%.</w:t>
      </w:r>
    </w:p>
    <w:p w14:paraId="6E1C9371" w14:textId="55939E06" w:rsidR="00C7170A" w:rsidRPr="00BA06FF" w:rsidRDefault="00C7170A" w:rsidP="00193894">
      <w:pPr>
        <w:jc w:val="both"/>
        <w:rPr>
          <w:rFonts w:ascii="Calibri" w:hAnsi="Calibri" w:cs="Calibri"/>
          <w:sz w:val="22"/>
          <w:szCs w:val="22"/>
        </w:rPr>
      </w:pPr>
      <w:r w:rsidRPr="00BA06FF">
        <w:rPr>
          <w:rFonts w:ascii="Calibri" w:hAnsi="Calibri" w:cs="Calibri"/>
          <w:sz w:val="22"/>
          <w:szCs w:val="22"/>
        </w:rPr>
        <w:t>Pamplona, 24 de octubre de 2024</w:t>
      </w:r>
    </w:p>
    <w:p w14:paraId="328981C5" w14:textId="1F1A525E" w:rsidR="00996416" w:rsidRPr="00BA06FF" w:rsidRDefault="00996416" w:rsidP="00193894">
      <w:pPr>
        <w:jc w:val="both"/>
        <w:rPr>
          <w:rFonts w:ascii="Calibri" w:hAnsi="Calibri" w:cs="Calibri"/>
          <w:sz w:val="22"/>
          <w:szCs w:val="22"/>
        </w:rPr>
      </w:pPr>
      <w:r w:rsidRPr="00BA06FF">
        <w:rPr>
          <w:rFonts w:ascii="Calibri" w:hAnsi="Calibri" w:cs="Calibri"/>
          <w:sz w:val="22"/>
          <w:szCs w:val="22"/>
        </w:rPr>
        <w:lastRenderedPageBreak/>
        <w:t>El Parlamentario Foral: Miguel Garrido Sola</w:t>
      </w:r>
    </w:p>
    <w:sectPr w:rsidR="00996416" w:rsidRPr="00BA06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0A"/>
    <w:rsid w:val="00193894"/>
    <w:rsid w:val="001D2FFB"/>
    <w:rsid w:val="003E3E22"/>
    <w:rsid w:val="00467675"/>
    <w:rsid w:val="005762CC"/>
    <w:rsid w:val="0059587C"/>
    <w:rsid w:val="00600DE2"/>
    <w:rsid w:val="00646D29"/>
    <w:rsid w:val="0066283F"/>
    <w:rsid w:val="008D7F85"/>
    <w:rsid w:val="00996416"/>
    <w:rsid w:val="009A3B16"/>
    <w:rsid w:val="00A36075"/>
    <w:rsid w:val="00A877BA"/>
    <w:rsid w:val="00B0049F"/>
    <w:rsid w:val="00BA06FF"/>
    <w:rsid w:val="00BA696D"/>
    <w:rsid w:val="00C01BD6"/>
    <w:rsid w:val="00C400A8"/>
    <w:rsid w:val="00C5549A"/>
    <w:rsid w:val="00C7170A"/>
    <w:rsid w:val="00CB264F"/>
    <w:rsid w:val="00DE4B8E"/>
    <w:rsid w:val="00E2340F"/>
    <w:rsid w:val="00E53F66"/>
    <w:rsid w:val="00E872DF"/>
    <w:rsid w:val="00FA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EBA0"/>
  <w15:chartTrackingRefBased/>
  <w15:docId w15:val="{A25FAEA4-9D8E-4C90-AAF9-8EF6374D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1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17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1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17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1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1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1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1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1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17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17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170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17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17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17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17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1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1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1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1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1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170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170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170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1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170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17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1478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13</cp:revision>
  <dcterms:created xsi:type="dcterms:W3CDTF">2024-10-25T07:02:00Z</dcterms:created>
  <dcterms:modified xsi:type="dcterms:W3CDTF">2024-10-25T07:46:00Z</dcterms:modified>
</cp:coreProperties>
</file>