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209AB" w14:textId="1AE4C2A6" w:rsidR="00950471" w:rsidRPr="00581F17" w:rsidRDefault="00950471" w:rsidP="00581F17">
      <w:pPr>
        <w:pStyle w:val="OFICIO-12"/>
      </w:pPr>
      <w:r>
        <w:t xml:space="preserve">2024ko abenduaren 9an eginiko bilkuran, Nafarroako Parlamentuko Mahaiak, Eledunen Batzarrari entzun ondoren, honako erabaki hau hartu zuen, besteak beste:</w:t>
      </w:r>
    </w:p>
    <w:p w14:paraId="16119956" w14:textId="26EAF6AA" w:rsidR="006F21C5" w:rsidRPr="00581F17" w:rsidRDefault="006F21C5" w:rsidP="00581F17">
      <w:pPr>
        <w:pStyle w:val="OFICIO-12"/>
      </w:pPr>
      <w:r>
        <w:t xml:space="preserve">2024ko azaroaren 21ean, Parlamentuaren Osoko Bilkurak erabaki zuen Pobreziaren eta Desberdinkeriaren aurkako Nafarroako Ituna (2021-2030) betetzen ote den kontrolatzeko eta haren jarraipena egiteko batzorde berezi bat eratzea, eta horren funtzionamendu-arau zehatzak onetsi ziren (11-24/CIE-00002).</w:t>
      </w:r>
    </w:p>
    <w:p w14:paraId="1F6693AD" w14:textId="4D280231" w:rsidR="00816CD6" w:rsidRPr="00581F17" w:rsidRDefault="00816CD6" w:rsidP="00581F17">
      <w:pPr>
        <w:pStyle w:val="OFICIO-12"/>
      </w:pPr>
      <w:r>
        <w:t xml:space="preserve">Hori horrela, bidezkoa da aipatu arauak argitaratzea eta talde parlamentarioek nahiz foru parlamentarien elkarteak batzorde horretan izanen dituzten ordezkariak hautatzeko epea jartzea.</w:t>
      </w:r>
      <w:r>
        <w:t xml:space="preserve"> </w:t>
      </w:r>
    </w:p>
    <w:p w14:paraId="40952E50" w14:textId="3FCF5EE2" w:rsidR="00153088" w:rsidRPr="00581F17" w:rsidRDefault="00816CD6" w:rsidP="00581F17">
      <w:pPr>
        <w:pStyle w:val="OFICIO-12"/>
      </w:pPr>
      <w:r>
        <w:t xml:space="preserve">Nafarroako Parlamentuko Erregelamenduaren 42 eta 70. artikuluek xedatuarekin bat, honako hau ERABAKITZEN DA:</w:t>
      </w:r>
    </w:p>
    <w:p w14:paraId="361E9C56" w14:textId="39FC80EE" w:rsidR="00744685" w:rsidRPr="00581F17" w:rsidRDefault="00744685" w:rsidP="00581F17">
      <w:pPr>
        <w:pStyle w:val="OFICIO-12"/>
      </w:pPr>
      <w:r>
        <w:t xml:space="preserve">1. Jasotzat ematea Pobreziaren eta Desberdinkeriaren aurkako Nafarroako Ituna (2021-2030) betetzen ote den kontrolatzeko eta haren jarraipena egiteko batzorde berezi bat eratu izana.</w:t>
      </w:r>
    </w:p>
    <w:p w14:paraId="4F6070F3" w14:textId="263259B2" w:rsidR="00744685" w:rsidRPr="00581F17" w:rsidRDefault="00744685" w:rsidP="00581F17">
      <w:pPr>
        <w:pStyle w:val="OFICIO-12"/>
      </w:pPr>
      <w:r>
        <w:t xml:space="preserve">2. Batzordearen funtzionamendu-arau zehatzak Nafarroako Parlamentuko Aldizkari Ofizialean argitara daitezen agintzea.</w:t>
      </w:r>
    </w:p>
    <w:p w14:paraId="41D9EEB9" w14:textId="61F13CEE" w:rsidR="00E1480B" w:rsidRPr="00B978A1" w:rsidRDefault="00E1480B" w:rsidP="00E1480B">
      <w:pPr>
        <w:pStyle w:val="ConvoFecha"/>
        <w:rPr>
          <w:sz w:val="24"/>
          <w:szCs w:val="24"/>
        </w:rPr>
      </w:pPr>
      <w:r>
        <w:rPr>
          <w:sz w:val="24"/>
        </w:rPr>
        <w:t xml:space="preserve">Iruñean, 2024ko abenduaren 9an</w:t>
      </w:r>
    </w:p>
    <w:p w14:paraId="27C3964D" w14:textId="69467788" w:rsidR="00E1480B" w:rsidRDefault="00E1480B" w:rsidP="005E2BA6">
      <w:pPr>
        <w:pStyle w:val="ConvoFirma"/>
        <w:spacing w:before="120" w:after="120"/>
        <w:rPr>
          <w:sz w:val="24"/>
          <w:szCs w:val="24"/>
        </w:rPr>
      </w:pPr>
      <w:r>
        <w:rPr>
          <w:sz w:val="24"/>
        </w:rPr>
        <w:t xml:space="preserve">LEHENDAKARIA</w:t>
      </w:r>
    </w:p>
    <w:p w14:paraId="5F047EEF" w14:textId="5365E191" w:rsidR="00851695" w:rsidRPr="00B978A1" w:rsidRDefault="00851695" w:rsidP="005E2BA6">
      <w:pPr>
        <w:pStyle w:val="ConvoFirma"/>
        <w:spacing w:before="120" w:after="120"/>
        <w:rPr>
          <w:sz w:val="24"/>
          <w:szCs w:val="24"/>
        </w:rPr>
      </w:pPr>
      <w:r>
        <w:rPr>
          <w:sz w:val="24"/>
        </w:rPr>
        <w:t xml:space="preserve">Unai Hualde Iglesias</w:t>
      </w:r>
    </w:p>
    <w:p w14:paraId="1569E197" w14:textId="77777777" w:rsidR="00E1480B" w:rsidRDefault="00E1480B" w:rsidP="00E1480B"/>
    <w:p w14:paraId="54F36B47" w14:textId="77777777" w:rsidR="00816CD6" w:rsidRDefault="00816CD6" w:rsidP="00851695">
      <w:pPr>
        <w:pStyle w:val="OFICIO-12"/>
        <w:ind w:left="284" w:right="281"/>
        <w:sectPr w:rsidR="00816CD6" w:rsidSect="0040242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402" w:right="1134" w:bottom="709" w:left="1843" w:header="709" w:footer="1249" w:gutter="0"/>
          <w:cols w:space="708"/>
          <w:titlePg/>
          <w:docGrid w:linePitch="360"/>
        </w:sectPr>
      </w:pPr>
    </w:p>
    <w:p w14:paraId="1A001AA0" w14:textId="21805E91" w:rsidR="00965422" w:rsidRDefault="00816CD6" w:rsidP="00816CD6">
      <w:pPr>
        <w:pStyle w:val="OFICIO-12"/>
        <w:ind w:left="284" w:right="284" w:firstLine="0"/>
        <w:jc w:val="center"/>
        <w:rPr>
          <w:b/>
          <w:bCs/>
        </w:rPr>
      </w:pPr>
      <w:r>
        <w:rPr>
          <w:b/>
        </w:rPr>
        <w:t xml:space="preserve">POBREZIAREN ETA DESBERDINKERIAREN AURKAKO NAFARROAKO ITUNA (2021-2030) BETETZEN OTE DEN KONTROLATZEKO ETA HAREN JARRAIPENA EGITEKO BATZORDE BEREZIAREN FUNTZIONAMENDU-ARAUAK ZEHATZAK</w:t>
      </w:r>
    </w:p>
    <w:p w14:paraId="2AACECE9" w14:textId="77777777" w:rsidR="00816CD6" w:rsidRDefault="00816CD6" w:rsidP="00816CD6">
      <w:pPr>
        <w:pStyle w:val="OFICIO-12"/>
        <w:ind w:left="284" w:right="284" w:firstLine="0"/>
        <w:jc w:val="center"/>
        <w:rPr>
          <w:b/>
          <w:bCs/>
          <w:lang w:val="es-ES"/>
        </w:rPr>
      </w:pPr>
    </w:p>
    <w:p w14:paraId="5C2BA5FC" w14:textId="410EB574" w:rsidR="00816CD6" w:rsidRDefault="00816CD6" w:rsidP="005E2BA6">
      <w:pPr>
        <w:pStyle w:val="OFI-TEXTO2"/>
        <w:tabs>
          <w:tab w:val="left" w:pos="1040"/>
        </w:tabs>
        <w:spacing w:after="0"/>
        <w:rPr>
          <w:sz w:val="22"/>
          <w:szCs w:val="22"/>
        </w:rPr>
      </w:pPr>
      <w:r>
        <w:rPr>
          <w:sz w:val="22"/>
        </w:rPr>
        <w:t xml:space="preserve">1. Pobreziaren eta Desberdinkeriaren aurkako Nafarroako Ituna (2021-2030) betetzen ote den kontrolatzeko eta haren jarraipena egiteko batzordea berezia da.</w:t>
      </w:r>
      <w:r>
        <w:rPr>
          <w:sz w:val="22"/>
        </w:rPr>
        <w:t xml:space="preserve"> </w:t>
      </w:r>
      <w:r>
        <w:rPr>
          <w:sz w:val="22"/>
        </w:rPr>
        <w:t xml:space="preserve">Xede du Pobreziaren eta Desberdinkeriaren aurkako Nafarroako Ituna (2021-2030) betetzen den ebaluatzea.</w:t>
      </w:r>
    </w:p>
    <w:p w14:paraId="6A655A26" w14:textId="587A5C25" w:rsidR="005E2BA6" w:rsidRPr="00FA1085" w:rsidRDefault="005E2BA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</w:rPr>
        <w:t xml:space="preserve">Batzordearen lanak txosten batean, irizpen batean edo parlamentu-ekimenen baterako proposamenean islatuko dira, bilkuraldi bakoitzaren bukaeran behin-behineko txostenak ematea gorabehera.</w:t>
      </w:r>
    </w:p>
    <w:p w14:paraId="118B907D" w14:textId="1884E946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</w:rPr>
        <w:t xml:space="preserve">2. Batzordea talde parlamentario edo foru parlamentarien elkarte bakoitzeko kide batek osatuko du.</w:t>
      </w:r>
      <w:r>
        <w:rPr>
          <w:sz w:val="22"/>
        </w:rPr>
        <w:t xml:space="preserve"> </w:t>
      </w:r>
      <w:r>
        <w:rPr>
          <w:sz w:val="22"/>
        </w:rPr>
        <w:t xml:space="preserve">Erabaki guztiak boto haztatuko sistemaren bidez hartuko ditu.</w:t>
      </w:r>
      <w:r>
        <w:rPr>
          <w:sz w:val="22"/>
        </w:rPr>
        <w:t xml:space="preserve"> </w:t>
      </w:r>
      <w:r>
        <w:rPr>
          <w:sz w:val="22"/>
        </w:rPr>
        <w:t xml:space="preserve">Eledun bakoitzak, bere taldea edo elkartea zenbat foru parlamentarik osatzen duten, horrenbeste boto edukiko ditu batzordean.</w:t>
      </w:r>
    </w:p>
    <w:p w14:paraId="3232BA04" w14:textId="1B38B5AA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</w:rPr>
        <w:t xml:space="preserve">3. Batzordea eratzeko bilkura Legebiltzarreko Mahaiak erabakitzen duen egunean eginen da, behin talde parlamentarioek eta foru parlamentarien elkarteak hautatu egin dituztenean Batzordean izanen dituzten ordezkariak.</w:t>
      </w:r>
    </w:p>
    <w:p w14:paraId="5F17048B" w14:textId="347D31CE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bookmarkStart w:id="0" w:name="_Hlk149566705"/>
      <w:r>
        <w:rPr>
          <w:sz w:val="22"/>
        </w:rPr>
        <w:t xml:space="preserve">4. Talde parlamentarioek eta parlamentarien elkarteak 2024ko abenduaren 12ko 17:30ak baino lehen jakinaraziko diote Legebiltzarreko Mahaiari nor diren batzordean izanen dituzten ordezkariak.</w:t>
      </w:r>
    </w:p>
    <w:bookmarkEnd w:id="0"/>
    <w:p w14:paraId="11162137" w14:textId="6936D5D3" w:rsidR="00816CD6" w:rsidRDefault="00816CD6" w:rsidP="005E2BA6">
      <w:pPr>
        <w:pStyle w:val="OFI-TEXTO2"/>
        <w:tabs>
          <w:tab w:val="left" w:pos="1040"/>
        </w:tabs>
        <w:spacing w:after="0"/>
        <w:rPr>
          <w:sz w:val="22"/>
          <w:szCs w:val="22"/>
        </w:rPr>
      </w:pPr>
      <w:r>
        <w:rPr>
          <w:sz w:val="22"/>
        </w:rPr>
        <w:t xml:space="preserve">5. Eratze-bilkuran, zeina Legebiltzarreko lehendakariaren buruzagitzapean eta Mahaiko idazkarietako baten idazkaritzapean eginen baita, batzordekideen artetik Mahai bat hautatuko da, zeina lehendakari batez, lehendakariorde batez eta idazkari batez osatuta egonen baita.</w:t>
      </w:r>
    </w:p>
    <w:p w14:paraId="1904F0DB" w14:textId="77777777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</w:rPr>
        <w:t xml:space="preserve">Batzordeko Mahaiko kideak aldi berean hautatuko dira, boto haztatuko sistemaren bitartez.</w:t>
      </w:r>
    </w:p>
    <w:p w14:paraId="6D98CC09" w14:textId="56BA12AB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</w:rPr>
        <w:t xml:space="preserve">6. Batzordeak laguntza eskatzen ahalko dio Nafarroako Gobernuari, eta zilegi izanen du egokitzat jotzen dituen kargudun eta funtzionarioak batzordera etor daitezen eta beharrezkoak diren txostenak jaulki daitezen eskatzea Legebiltzarreko Lehendakaritzaren bitartez.</w:t>
      </w:r>
      <w:r>
        <w:rPr>
          <w:sz w:val="22"/>
        </w:rPr>
        <w:t xml:space="preserve"> </w:t>
      </w:r>
      <w:r>
        <w:rPr>
          <w:sz w:val="22"/>
        </w:rPr>
        <w:t xml:space="preserve">Orobat eskatzen ahalko da beste pertsona eta aditu batzuk ere, arlo horretakoak, etor daitezen.</w:t>
      </w:r>
    </w:p>
    <w:p w14:paraId="19D8643E" w14:textId="13B783B7" w:rsidR="00816CD6" w:rsidRPr="00FA1085" w:rsidRDefault="00816CD6" w:rsidP="00C8578F">
      <w:pPr>
        <w:pStyle w:val="OFI-TEXTO2"/>
        <w:tabs>
          <w:tab w:val="left" w:pos="1040"/>
        </w:tabs>
        <w:spacing w:after="0"/>
        <w:rPr>
          <w:sz w:val="22"/>
          <w:szCs w:val="22"/>
        </w:rPr>
      </w:pPr>
      <w:r>
        <w:rPr>
          <w:sz w:val="22"/>
        </w:rPr>
        <w:t xml:space="preserve">7. Batzordearen bilkurak ez dira jendaurrekoak izanen.</w:t>
      </w:r>
      <w:r>
        <w:rPr>
          <w:sz w:val="22"/>
        </w:rPr>
        <w:t xml:space="preserve"> </w:t>
      </w:r>
      <w:r>
        <w:rPr>
          <w:sz w:val="22"/>
        </w:rPr>
        <w:t xml:space="preserve">Hala ere, hedabideen ordezkariek, nortasuna behar bezala frogatuta, zilegi izanen dute batzordera joatea, bilkura horiek isilpekoak direnean izan ezik.</w:t>
      </w:r>
      <w:r>
        <w:rPr>
          <w:sz w:val="22"/>
        </w:rPr>
        <w:t xml:space="preserve"> </w:t>
      </w:r>
      <w:r>
        <w:rPr>
          <w:sz w:val="22"/>
        </w:rPr>
        <w:t xml:space="preserve">Hedabideak joan daitezkeen bilkurak ikus-entzunezko bitartekoak erabiliz erretransmititu ahalko dira.</w:t>
      </w:r>
    </w:p>
    <w:p w14:paraId="1D8A5274" w14:textId="77777777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</w:rPr>
        <w:t xml:space="preserve">Batzordearen bilkurak isilpekoak izanen dira bere kideen gehiengo osoak hala erabakitzen duenean, hala eskatu ondoren batzordeko lehendakariak, bi talde parlamentariok gutxienez, edo batzordekideen bostenak.</w:t>
      </w:r>
      <w:r>
        <w:rPr>
          <w:sz w:val="22"/>
        </w:rPr>
        <w:t xml:space="preserve"> </w:t>
      </w:r>
      <w:r>
        <w:rPr>
          <w:sz w:val="22"/>
        </w:rPr>
        <w:t xml:space="preserve">Izaera sekretuko bilkura bat bukatu ondoren, batzordeburuak hartu diren erabakien berri eman ahal izanen die hedabideei.</w:t>
      </w:r>
    </w:p>
    <w:p w14:paraId="5E89DAE5" w14:textId="217C230F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</w:rPr>
        <w:t xml:space="preserve">8. Batzordea agindu zaion lana bukatzean iraungiko da eta, betiere, legegintzaldia amaitzean.</w:t>
      </w:r>
    </w:p>
    <w:p w14:paraId="699F6A37" w14:textId="2E344659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</w:rPr>
        <w:t xml:space="preserve">9. Parlamentuko Mahaiari ahalmena ematen zaio arau hauek garatzeko, Batzordeko Mahaiak horretarako proposamena egin ondoren.</w:t>
      </w:r>
    </w:p>
    <w:p w14:paraId="23BAB6D2" w14:textId="68035129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</w:rPr>
        <w:t xml:space="preserve">10. Batzordearen antolamenduari eta funtzionamenduari dagokienez, arau hauetan aurreikusita ez dagoen guztian, aplikatu beharrekoa izanen da Legebiltzarreko Erregelamenduak orokorrean batzorde berezietarako xedatzen duena eta, halakorik ezean, legegintza-batzordeetarako xedatzen duena.</w:t>
      </w:r>
    </w:p>
    <w:p w14:paraId="4E6596D4" w14:textId="77777777" w:rsidR="00816CD6" w:rsidRPr="00816CD6" w:rsidRDefault="00816CD6" w:rsidP="00816CD6">
      <w:pPr>
        <w:pStyle w:val="OFICIO-12"/>
        <w:ind w:left="284" w:right="284" w:firstLine="0"/>
        <w:jc w:val="center"/>
      </w:pPr>
    </w:p>
    <w:sectPr w:rsidR="00816CD6" w:rsidRPr="00816CD6" w:rsidSect="00E840A1">
      <w:headerReference w:type="first" r:id="rId12"/>
      <w:footerReference w:type="first" r:id="rId13"/>
      <w:pgSz w:w="11906" w:h="16838"/>
      <w:pgMar w:top="1843" w:right="1134" w:bottom="1134" w:left="1843" w:header="709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FDCB4" w14:textId="77777777" w:rsidR="00E654CE" w:rsidRDefault="00E654CE" w:rsidP="00045BD6">
      <w:pPr>
        <w:spacing w:after="0" w:line="240" w:lineRule="auto"/>
      </w:pPr>
      <w:r>
        <w:separator/>
      </w:r>
    </w:p>
  </w:endnote>
  <w:endnote w:type="continuationSeparator" w:id="0">
    <w:p w14:paraId="7541B1CF" w14:textId="77777777" w:rsidR="00E654CE" w:rsidRDefault="00E654CE" w:rsidP="000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5212" w14:textId="77777777" w:rsidR="00D26076" w:rsidRDefault="00D260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9D3C" w14:textId="77777777" w:rsidR="00D26076" w:rsidRDefault="00D260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127B4" w14:textId="6AD9F564" w:rsidR="00950471" w:rsidRPr="00D26076" w:rsidRDefault="00950471" w:rsidP="00D2607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2FFAC" w14:textId="70974DE3" w:rsidR="00CD068F" w:rsidRPr="00CD068F" w:rsidRDefault="00CD068F" w:rsidP="00CD0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4340E" w14:textId="77777777" w:rsidR="00E654CE" w:rsidRDefault="00E654CE" w:rsidP="00045BD6">
      <w:pPr>
        <w:spacing w:after="0" w:line="240" w:lineRule="auto"/>
      </w:pPr>
      <w:r>
        <w:separator/>
      </w:r>
    </w:p>
  </w:footnote>
  <w:footnote w:type="continuationSeparator" w:id="0">
    <w:p w14:paraId="6463F9D9" w14:textId="77777777" w:rsidR="00E654CE" w:rsidRDefault="00E654CE" w:rsidP="000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06549" w14:textId="77777777" w:rsidR="00D26076" w:rsidRDefault="00D260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C3E99" w14:textId="77777777" w:rsidR="00D26076" w:rsidRDefault="00D260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5329D" w14:textId="58278828" w:rsidR="00950471" w:rsidRDefault="00E654CE" w:rsidP="006D67E2">
    <w:pPr>
      <w:pStyle w:val="Encabezado"/>
      <w:tabs>
        <w:tab w:val="clear" w:pos="4252"/>
        <w:tab w:val="clear" w:pos="8504"/>
      </w:tabs>
      <w:ind w:left="-1276"/>
    </w:pPr>
    <w:r>
      <w:drawing>
        <wp:anchor distT="0" distB="0" distL="114300" distR="114300" simplePos="0" relativeHeight="251657728" behindDoc="1" locked="0" layoutInCell="1" allowOverlap="1" wp14:anchorId="0DDA388E" wp14:editId="4DA11B6D">
          <wp:simplePos x="0" y="0"/>
          <wp:positionH relativeFrom="column">
            <wp:posOffset>-314325</wp:posOffset>
          </wp:positionH>
          <wp:positionV relativeFrom="paragraph">
            <wp:posOffset>67945</wp:posOffset>
          </wp:positionV>
          <wp:extent cx="1579880" cy="1223645"/>
          <wp:effectExtent l="0" t="0" r="0" b="0"/>
          <wp:wrapNone/>
          <wp:docPr id="1396969181" name="Imagen 139696918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E983C" w14:textId="4F04030A" w:rsidR="00E840A1" w:rsidRDefault="00E840A1" w:rsidP="006D67E2">
    <w:pPr>
      <w:pStyle w:val="Encabezado"/>
      <w:tabs>
        <w:tab w:val="clear" w:pos="4252"/>
        <w:tab w:val="clear" w:pos="8504"/>
      </w:tabs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CE"/>
    <w:rsid w:val="00045BD6"/>
    <w:rsid w:val="000C2DB1"/>
    <w:rsid w:val="000D606C"/>
    <w:rsid w:val="00153088"/>
    <w:rsid w:val="00162205"/>
    <w:rsid w:val="00193750"/>
    <w:rsid w:val="001B70DC"/>
    <w:rsid w:val="00207312"/>
    <w:rsid w:val="00241EF8"/>
    <w:rsid w:val="00257D78"/>
    <w:rsid w:val="00264EFD"/>
    <w:rsid w:val="00282B30"/>
    <w:rsid w:val="00341BFD"/>
    <w:rsid w:val="00357B10"/>
    <w:rsid w:val="003D46FD"/>
    <w:rsid w:val="003E655B"/>
    <w:rsid w:val="00402425"/>
    <w:rsid w:val="004108AC"/>
    <w:rsid w:val="004134ED"/>
    <w:rsid w:val="00462999"/>
    <w:rsid w:val="00472C7C"/>
    <w:rsid w:val="004831F2"/>
    <w:rsid w:val="00496454"/>
    <w:rsid w:val="004E2842"/>
    <w:rsid w:val="004F74C2"/>
    <w:rsid w:val="005322F5"/>
    <w:rsid w:val="00557BEF"/>
    <w:rsid w:val="00566973"/>
    <w:rsid w:val="00577BFD"/>
    <w:rsid w:val="00581F17"/>
    <w:rsid w:val="005931C0"/>
    <w:rsid w:val="005D5EC9"/>
    <w:rsid w:val="005E2BA6"/>
    <w:rsid w:val="00617FC7"/>
    <w:rsid w:val="006228C1"/>
    <w:rsid w:val="00624724"/>
    <w:rsid w:val="0068627A"/>
    <w:rsid w:val="006D67E2"/>
    <w:rsid w:val="006F21C5"/>
    <w:rsid w:val="00702A51"/>
    <w:rsid w:val="00713140"/>
    <w:rsid w:val="00733970"/>
    <w:rsid w:val="00744685"/>
    <w:rsid w:val="0075725F"/>
    <w:rsid w:val="00781E5F"/>
    <w:rsid w:val="00816CD6"/>
    <w:rsid w:val="0084759A"/>
    <w:rsid w:val="00851695"/>
    <w:rsid w:val="008C5721"/>
    <w:rsid w:val="008E17E8"/>
    <w:rsid w:val="00930E14"/>
    <w:rsid w:val="00941663"/>
    <w:rsid w:val="00950471"/>
    <w:rsid w:val="00965422"/>
    <w:rsid w:val="00986158"/>
    <w:rsid w:val="009A316D"/>
    <w:rsid w:val="00A30F1A"/>
    <w:rsid w:val="00A608E9"/>
    <w:rsid w:val="00B20097"/>
    <w:rsid w:val="00B25621"/>
    <w:rsid w:val="00B462C4"/>
    <w:rsid w:val="00B958AA"/>
    <w:rsid w:val="00BA2E07"/>
    <w:rsid w:val="00BA38AB"/>
    <w:rsid w:val="00BC2BAD"/>
    <w:rsid w:val="00BE5BB2"/>
    <w:rsid w:val="00C17BD1"/>
    <w:rsid w:val="00C30CC1"/>
    <w:rsid w:val="00C460BE"/>
    <w:rsid w:val="00C8578F"/>
    <w:rsid w:val="00CB6B52"/>
    <w:rsid w:val="00CD029E"/>
    <w:rsid w:val="00CD068F"/>
    <w:rsid w:val="00CE6D9C"/>
    <w:rsid w:val="00D26076"/>
    <w:rsid w:val="00D87C55"/>
    <w:rsid w:val="00DB24C6"/>
    <w:rsid w:val="00DE527D"/>
    <w:rsid w:val="00DF431D"/>
    <w:rsid w:val="00E1480B"/>
    <w:rsid w:val="00E346C4"/>
    <w:rsid w:val="00E654CE"/>
    <w:rsid w:val="00E75296"/>
    <w:rsid w:val="00E840A1"/>
    <w:rsid w:val="00EA1170"/>
    <w:rsid w:val="00EE6C83"/>
    <w:rsid w:val="00FB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4BEEE"/>
  <w15:chartTrackingRefBased/>
  <w15:docId w15:val="{54F1A257-F1EB-4B30-BBDB-4CCB7D0A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1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BD6"/>
  </w:style>
  <w:style w:type="paragraph" w:styleId="Piedepgina">
    <w:name w:val="footer"/>
    <w:basedOn w:val="Normal"/>
    <w:link w:val="PiedepginaCar"/>
    <w:uiPriority w:val="99"/>
    <w:unhideWhenUsed/>
    <w:rsid w:val="0004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BD6"/>
  </w:style>
  <w:style w:type="paragraph" w:styleId="Textodeglobo">
    <w:name w:val="Balloon Text"/>
    <w:basedOn w:val="Normal"/>
    <w:link w:val="TextodegloboCar"/>
    <w:uiPriority w:val="99"/>
    <w:semiHidden/>
    <w:unhideWhenUsed/>
    <w:rsid w:val="0004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45BD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50471"/>
    <w:rPr>
      <w:color w:val="0000FF"/>
      <w:u w:val="single"/>
    </w:rPr>
  </w:style>
  <w:style w:type="paragraph" w:customStyle="1" w:styleId="OFICIO-12">
    <w:name w:val="OFICIO-12"/>
    <w:basedOn w:val="Normal"/>
    <w:qFormat/>
    <w:rsid w:val="0095047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u-ES" w:eastAsia="es-ES"/>
    </w:rPr>
  </w:style>
  <w:style w:type="paragraph" w:customStyle="1" w:styleId="ConvoFecha">
    <w:name w:val="ConvoFecha"/>
    <w:rsid w:val="00E1480B"/>
    <w:pPr>
      <w:jc w:val="center"/>
    </w:pPr>
    <w:rPr>
      <w:rFonts w:ascii="Arial (W1)" w:eastAsia="Times New Roman" w:hAnsi="Arial (W1)"/>
      <w:bCs/>
      <w:iCs/>
      <w:sz w:val="22"/>
      <w:lang w:val="eu-ES"/>
    </w:rPr>
  </w:style>
  <w:style w:type="paragraph" w:customStyle="1" w:styleId="ConvoFirma">
    <w:name w:val="ConvoFirma"/>
    <w:basedOn w:val="Normal"/>
    <w:rsid w:val="00E1480B"/>
    <w:pPr>
      <w:spacing w:after="0" w:line="240" w:lineRule="auto"/>
      <w:jc w:val="center"/>
    </w:pPr>
    <w:rPr>
      <w:rFonts w:ascii="Arial (W1)" w:eastAsia="Times New Roman" w:hAnsi="Arial (W1)" w:cs="Arial"/>
      <w:iCs/>
      <w:szCs w:val="20"/>
      <w:lang w:val="eu-ES" w:eastAsia="es-ES"/>
    </w:rPr>
  </w:style>
  <w:style w:type="paragraph" w:customStyle="1" w:styleId="OFI-TEXTO2">
    <w:name w:val="OFI-TEXTO2"/>
    <w:basedOn w:val="Normal"/>
    <w:rsid w:val="00816CD6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:Escudo%20Parlamento%20negr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anchez\Desktop\PLANTILLA%20BILING&#220;ES%20-%20copia\Acuerdo%20Mesa%20previa%20audiencia%201%20a%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Acuerdo Mesa previa audiencia 1 a 14</Template>
  <TotalTime>13</TotalTime>
  <Pages>3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4489</CharactersWithSpaces>
  <SharedDoc>false</SharedDoc>
  <HLinks>
    <vt:vector size="6" baseType="variant">
      <vt:variant>
        <vt:i4>4718613</vt:i4>
      </vt:variant>
      <vt:variant>
        <vt:i4>-1</vt:i4>
      </vt:variant>
      <vt:variant>
        <vt:i4>2051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cp:lastModifiedBy>Martin Cestao, Nerea</cp:lastModifiedBy>
  <cp:revision>7</cp:revision>
  <cp:lastPrinted>2024-11-21T13:46:00Z</cp:lastPrinted>
  <dcterms:created xsi:type="dcterms:W3CDTF">2024-12-04T10:26:00Z</dcterms:created>
  <dcterms:modified xsi:type="dcterms:W3CDTF">2024-12-10T11:01:00Z</dcterms:modified>
</cp:coreProperties>
</file>