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E65C0" w14:textId="77777777" w:rsidR="001C3A32" w:rsidRPr="00204979" w:rsidRDefault="00FA495F" w:rsidP="00075677">
      <w:pPr>
        <w:pStyle w:val="cuadroCabe"/>
      </w:pPr>
      <w:r w:rsidRPr="00A8137F">
        <w:rPr>
          <w:noProof/>
        </w:rPr>
        <mc:AlternateContent>
          <mc:Choice Requires="wps">
            <w:drawing>
              <wp:anchor distT="0" distB="0" distL="114300" distR="114300" simplePos="0" relativeHeight="251657728" behindDoc="0" locked="0" layoutInCell="1" allowOverlap="1" wp14:anchorId="53A4D0C3" wp14:editId="74E9AE38">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D932EAA" w14:textId="77777777" w:rsidR="002C091C" w:rsidRPr="003A7956" w:rsidRDefault="002C091C" w:rsidP="004C3423">
                            <w:pPr>
                              <w:jc w:val="center"/>
                              <w:rPr>
                                <w:sz w:val="18"/>
                                <w:szCs w:val="18"/>
                              </w:rPr>
                            </w:pPr>
                            <w:r w:rsidRPr="003A7956">
                              <w:rPr>
                                <w:sz w:val="18"/>
                                <w:szCs w:val="18"/>
                              </w:rPr>
                              <w:t>CAMARA DE</w:t>
                            </w:r>
                          </w:p>
                          <w:p w14:paraId="22720866" w14:textId="77777777" w:rsidR="002C091C" w:rsidRPr="003A7956" w:rsidRDefault="002C091C" w:rsidP="004C3423">
                            <w:pPr>
                              <w:jc w:val="center"/>
                              <w:rPr>
                                <w:sz w:val="18"/>
                                <w:szCs w:val="18"/>
                              </w:rPr>
                            </w:pPr>
                            <w:r w:rsidRPr="003A7956">
                              <w:rPr>
                                <w:sz w:val="18"/>
                                <w:szCs w:val="18"/>
                              </w:rPr>
                              <w:t>COMPTOS</w:t>
                            </w:r>
                          </w:p>
                          <w:p w14:paraId="0BB90654" w14:textId="77777777" w:rsidR="002C091C" w:rsidRPr="003A7956" w:rsidRDefault="002C091C" w:rsidP="004C3423">
                            <w:pPr>
                              <w:jc w:val="center"/>
                              <w:rPr>
                                <w:sz w:val="18"/>
                                <w:szCs w:val="18"/>
                              </w:rPr>
                            </w:pPr>
                            <w:r w:rsidRPr="003A7956">
                              <w:rPr>
                                <w:sz w:val="18"/>
                                <w:szCs w:val="18"/>
                              </w:rPr>
                              <w:t>DE NAVARRA</w:t>
                            </w:r>
                          </w:p>
                          <w:p w14:paraId="54346CC0" w14:textId="77777777" w:rsidR="002C091C" w:rsidRPr="003A7956" w:rsidRDefault="002C091C" w:rsidP="004C3423">
                            <w:pPr>
                              <w:jc w:val="center"/>
                              <w:rPr>
                                <w:color w:val="808080"/>
                                <w:sz w:val="18"/>
                                <w:szCs w:val="18"/>
                              </w:rPr>
                            </w:pPr>
                            <w:r w:rsidRPr="003A7956">
                              <w:rPr>
                                <w:color w:val="808080"/>
                                <w:sz w:val="18"/>
                                <w:szCs w:val="18"/>
                              </w:rPr>
                              <w:t>NAFARROAKO</w:t>
                            </w:r>
                          </w:p>
                          <w:p w14:paraId="7A3CF057" w14:textId="77777777" w:rsidR="002C091C" w:rsidRPr="003A7956" w:rsidRDefault="002C091C" w:rsidP="004C3423">
                            <w:pPr>
                              <w:jc w:val="center"/>
                              <w:rPr>
                                <w:color w:val="808080"/>
                                <w:sz w:val="18"/>
                                <w:szCs w:val="18"/>
                              </w:rPr>
                            </w:pPr>
                            <w:r w:rsidRPr="003A7956">
                              <w:rPr>
                                <w:color w:val="808080"/>
                                <w:sz w:val="18"/>
                                <w:szCs w:val="18"/>
                              </w:rPr>
                              <w:t>KONTUEN</w:t>
                            </w:r>
                          </w:p>
                          <w:p w14:paraId="0EDD3DB5" w14:textId="77777777" w:rsidR="002C091C" w:rsidRPr="003A7956" w:rsidRDefault="002C091C" w:rsidP="004C3423">
                            <w:pPr>
                              <w:jc w:val="center"/>
                              <w:rPr>
                                <w:color w:val="808080"/>
                                <w:sz w:val="18"/>
                                <w:szCs w:val="18"/>
                              </w:rPr>
                            </w:pPr>
                            <w:r w:rsidRPr="003A7956">
                              <w:rPr>
                                <w:color w:val="808080"/>
                                <w:sz w:val="18"/>
                                <w:szCs w:val="18"/>
                              </w:rPr>
                              <w:t>GANBERA</w:t>
                            </w:r>
                          </w:p>
                          <w:p w14:paraId="58950538" w14:textId="77777777" w:rsidR="002C091C" w:rsidRPr="002C7026" w:rsidRDefault="002C091C" w:rsidP="002C7026">
                            <w:pPr>
                              <w:jc w:val="center"/>
                              <w:rPr>
                                <w:rFonts w:ascii="Trajan" w:hAnsi="Trajan"/>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4D0C3" id="_x0000_t202" coordsize="21600,21600" o:spt="202" path="m,l,21600r21600,l21600,xe">
                <v:stroke joinstyle="miter"/>
                <v:path gradientshapeok="t" o:connecttype="rect"/>
              </v:shapetype>
              <v:shape id="Text Box 7" o:spid="_x0000_s1026" type="#_x0000_t202" style="position:absolute;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" stroked="f" strokecolor="white">
                <v:textbox>
                  <w:txbxContent>
                    <w:p w14:paraId="4D932EAA" w14:textId="77777777" w:rsidR="002C091C" w:rsidRPr="003A7956" w:rsidRDefault="002C091C" w:rsidP="004C3423">
                      <w:pPr>
                        <w:jc w:val="center"/>
                        <w:rPr>
                          <w:sz w:val="18"/>
                          <w:szCs w:val="18"/>
                        </w:rPr>
                      </w:pPr>
                      <w:r w:rsidRPr="003A7956">
                        <w:rPr>
                          <w:sz w:val="18"/>
                          <w:szCs w:val="18"/>
                        </w:rPr>
                        <w:t>CAMARA DE</w:t>
                      </w:r>
                    </w:p>
                    <w:p w14:paraId="22720866" w14:textId="77777777" w:rsidR="002C091C" w:rsidRPr="003A7956" w:rsidRDefault="002C091C" w:rsidP="004C3423">
                      <w:pPr>
                        <w:jc w:val="center"/>
                        <w:rPr>
                          <w:sz w:val="18"/>
                          <w:szCs w:val="18"/>
                        </w:rPr>
                      </w:pPr>
                      <w:r w:rsidRPr="003A7956">
                        <w:rPr>
                          <w:sz w:val="18"/>
                          <w:szCs w:val="18"/>
                        </w:rPr>
                        <w:t>COMPTOS</w:t>
                      </w:r>
                    </w:p>
                    <w:p w14:paraId="0BB90654" w14:textId="77777777" w:rsidR="002C091C" w:rsidRPr="003A7956" w:rsidRDefault="002C091C" w:rsidP="004C3423">
                      <w:pPr>
                        <w:jc w:val="center"/>
                        <w:rPr>
                          <w:sz w:val="18"/>
                          <w:szCs w:val="18"/>
                        </w:rPr>
                      </w:pPr>
                      <w:r w:rsidRPr="003A7956">
                        <w:rPr>
                          <w:sz w:val="18"/>
                          <w:szCs w:val="18"/>
                        </w:rPr>
                        <w:t>DE NAVARRA</w:t>
                      </w:r>
                    </w:p>
                    <w:p w14:paraId="54346CC0" w14:textId="77777777" w:rsidR="002C091C" w:rsidRPr="003A7956" w:rsidRDefault="002C091C" w:rsidP="004C3423">
                      <w:pPr>
                        <w:jc w:val="center"/>
                        <w:rPr>
                          <w:color w:val="808080"/>
                          <w:sz w:val="18"/>
                          <w:szCs w:val="18"/>
                        </w:rPr>
                      </w:pPr>
                      <w:r w:rsidRPr="003A7956">
                        <w:rPr>
                          <w:color w:val="808080"/>
                          <w:sz w:val="18"/>
                          <w:szCs w:val="18"/>
                        </w:rPr>
                        <w:t>NAFARROAKO</w:t>
                      </w:r>
                    </w:p>
                    <w:p w14:paraId="7A3CF057" w14:textId="77777777" w:rsidR="002C091C" w:rsidRPr="003A7956" w:rsidRDefault="002C091C" w:rsidP="004C3423">
                      <w:pPr>
                        <w:jc w:val="center"/>
                        <w:rPr>
                          <w:color w:val="808080"/>
                          <w:sz w:val="18"/>
                          <w:szCs w:val="18"/>
                        </w:rPr>
                      </w:pPr>
                      <w:r w:rsidRPr="003A7956">
                        <w:rPr>
                          <w:color w:val="808080"/>
                          <w:sz w:val="18"/>
                          <w:szCs w:val="18"/>
                        </w:rPr>
                        <w:t>KONTUEN</w:t>
                      </w:r>
                    </w:p>
                    <w:p w14:paraId="0EDD3DB5" w14:textId="77777777" w:rsidR="002C091C" w:rsidRPr="003A7956" w:rsidRDefault="002C091C" w:rsidP="004C3423">
                      <w:pPr>
                        <w:jc w:val="center"/>
                        <w:rPr>
                          <w:color w:val="808080"/>
                          <w:sz w:val="18"/>
                          <w:szCs w:val="18"/>
                        </w:rPr>
                      </w:pPr>
                      <w:r w:rsidRPr="003A7956">
                        <w:rPr>
                          <w:color w:val="808080"/>
                          <w:sz w:val="18"/>
                          <w:szCs w:val="18"/>
                        </w:rPr>
                        <w:t>GANBERA</w:t>
                      </w:r>
                    </w:p>
                    <w:p w14:paraId="58950538" w14:textId="77777777" w:rsidR="002C091C" w:rsidRPr="002C7026" w:rsidRDefault="002C091C" w:rsidP="002C7026">
                      <w:pPr>
                        <w:jc w:val="center"/>
                        <w:rPr>
                          <w:rFonts w:ascii="Trajan" w:hAnsi="Trajan"/>
                          <w:color w:val="808080"/>
                          <w:sz w:val="18"/>
                          <w:szCs w:val="18"/>
                        </w:rPr>
                      </w:pPr>
                    </w:p>
                  </w:txbxContent>
                </v:textbox>
              </v:shape>
            </w:pict>
          </mc:Fallback>
        </mc:AlternateContent>
      </w:r>
    </w:p>
    <w:p w14:paraId="573220DC" w14:textId="77777777" w:rsidR="00614DC4" w:rsidRDefault="00614DC4" w:rsidP="001D4F09">
      <w:pPr>
        <w:pStyle w:val="EstiloPortada"/>
      </w:pPr>
    </w:p>
    <w:p w14:paraId="392374E9" w14:textId="77777777" w:rsidR="00413ADE" w:rsidRPr="00C75C54" w:rsidRDefault="00614DC4" w:rsidP="00C75C54">
      <w:pPr>
        <w:pStyle w:val="EstiloPortada"/>
        <w:ind w:left="4395" w:firstLine="140"/>
        <w:rPr>
          <w:sz w:val="44"/>
          <w:szCs w:val="44"/>
        </w:rPr>
      </w:pPr>
      <w:r w:rsidRPr="00C75C54">
        <w:rPr>
          <w:sz w:val="44"/>
          <w:szCs w:val="44"/>
        </w:rPr>
        <w:t xml:space="preserve">Cuentas Generales de </w:t>
      </w:r>
    </w:p>
    <w:p w14:paraId="2048D215" w14:textId="77777777" w:rsidR="001C3A32" w:rsidRPr="00413ADE" w:rsidRDefault="00614DC4" w:rsidP="00C75C54">
      <w:pPr>
        <w:pStyle w:val="EstiloPortada"/>
        <w:ind w:left="4395" w:firstLine="140"/>
        <w:rPr>
          <w:sz w:val="48"/>
          <w:szCs w:val="48"/>
        </w:rPr>
      </w:pPr>
      <w:r w:rsidRPr="00C75C54">
        <w:rPr>
          <w:sz w:val="44"/>
          <w:szCs w:val="44"/>
        </w:rPr>
        <w:t>Navarra</w:t>
      </w:r>
      <w:r w:rsidR="005C4790" w:rsidRPr="00C75C54">
        <w:rPr>
          <w:sz w:val="44"/>
          <w:szCs w:val="44"/>
        </w:rPr>
        <w:t xml:space="preserve"> ejercicio 202</w:t>
      </w:r>
      <w:r w:rsidR="00802F88" w:rsidRPr="00C75C54">
        <w:rPr>
          <w:sz w:val="44"/>
          <w:szCs w:val="44"/>
        </w:rPr>
        <w:t>3</w:t>
      </w:r>
    </w:p>
    <w:p w14:paraId="24B03564" w14:textId="77777777" w:rsidR="001C3A32" w:rsidRPr="00204979" w:rsidRDefault="001C3A32" w:rsidP="00891D73">
      <w:pPr>
        <w:pStyle w:val="texto"/>
      </w:pPr>
    </w:p>
    <w:p w14:paraId="16FCF4EE" w14:textId="77777777" w:rsidR="001C3A32" w:rsidRPr="00204979" w:rsidRDefault="001C3A32" w:rsidP="00891D73">
      <w:pPr>
        <w:pStyle w:val="texto"/>
      </w:pPr>
    </w:p>
    <w:p w14:paraId="014CF966" w14:textId="77777777" w:rsidR="002F2530" w:rsidRPr="00204979" w:rsidRDefault="002F2530" w:rsidP="00891D73">
      <w:pPr>
        <w:pStyle w:val="texto"/>
      </w:pPr>
    </w:p>
    <w:p w14:paraId="0108749B" w14:textId="77777777" w:rsidR="002F2530" w:rsidRPr="00204979" w:rsidRDefault="002F2530" w:rsidP="00891D73">
      <w:pPr>
        <w:pStyle w:val="texto"/>
      </w:pPr>
    </w:p>
    <w:p w14:paraId="3C6E1AC7" w14:textId="77777777" w:rsidR="001C3A32" w:rsidRPr="00204979" w:rsidRDefault="001C3A32" w:rsidP="00891D73">
      <w:pPr>
        <w:pStyle w:val="texto"/>
      </w:pPr>
    </w:p>
    <w:p w14:paraId="670619AB" w14:textId="77777777" w:rsidR="001C3A32" w:rsidRPr="00204979" w:rsidRDefault="001C3A32" w:rsidP="00891D73">
      <w:pPr>
        <w:pStyle w:val="texto"/>
      </w:pPr>
    </w:p>
    <w:p w14:paraId="7013B0C0" w14:textId="77777777" w:rsidR="001C3A32" w:rsidRPr="00204979" w:rsidRDefault="001C3A32" w:rsidP="00891D73">
      <w:pPr>
        <w:pStyle w:val="texto"/>
      </w:pPr>
    </w:p>
    <w:p w14:paraId="3E70AAB7" w14:textId="77777777" w:rsidR="001C3A32" w:rsidRPr="00204979" w:rsidRDefault="001C3A32" w:rsidP="00891D73">
      <w:pPr>
        <w:pStyle w:val="texto"/>
      </w:pPr>
    </w:p>
    <w:p w14:paraId="0351F6CA" w14:textId="77777777" w:rsidR="001C3A32" w:rsidRPr="00204979" w:rsidRDefault="001C3A32" w:rsidP="00891D73">
      <w:pPr>
        <w:pStyle w:val="texto"/>
      </w:pPr>
    </w:p>
    <w:p w14:paraId="7A7561B8" w14:textId="77777777" w:rsidR="001C3A32" w:rsidRPr="00204979" w:rsidRDefault="001C3A32" w:rsidP="00891D73">
      <w:pPr>
        <w:pStyle w:val="texto"/>
      </w:pPr>
    </w:p>
    <w:p w14:paraId="0432D4D9" w14:textId="77777777" w:rsidR="001C3A32" w:rsidRPr="00204979" w:rsidRDefault="001C3A32" w:rsidP="00891D73">
      <w:pPr>
        <w:pStyle w:val="texto"/>
      </w:pPr>
    </w:p>
    <w:p w14:paraId="2D1C3CC2" w14:textId="77777777" w:rsidR="001C3A32" w:rsidRPr="00204979" w:rsidRDefault="001C3A32" w:rsidP="00891D73">
      <w:pPr>
        <w:pStyle w:val="texto"/>
      </w:pPr>
    </w:p>
    <w:p w14:paraId="2F53B399" w14:textId="77777777" w:rsidR="001C3A32" w:rsidRPr="00204979" w:rsidRDefault="001C3A32" w:rsidP="00891D73">
      <w:pPr>
        <w:pStyle w:val="texto"/>
      </w:pPr>
    </w:p>
    <w:p w14:paraId="391DB53F" w14:textId="77777777" w:rsidR="001C3A32" w:rsidRPr="00204979" w:rsidRDefault="001C3A32" w:rsidP="00891D73">
      <w:pPr>
        <w:pStyle w:val="texto"/>
      </w:pPr>
    </w:p>
    <w:p w14:paraId="43BF025C" w14:textId="77777777" w:rsidR="001C3A32" w:rsidRPr="00204979" w:rsidRDefault="001C3A32" w:rsidP="00891D73">
      <w:pPr>
        <w:pStyle w:val="texto"/>
      </w:pPr>
    </w:p>
    <w:p w14:paraId="11CA6069" w14:textId="77777777" w:rsidR="001C3A32" w:rsidRPr="00204979" w:rsidRDefault="001C3A32" w:rsidP="00891D73">
      <w:pPr>
        <w:pStyle w:val="texto"/>
      </w:pPr>
    </w:p>
    <w:p w14:paraId="1BE15F95" w14:textId="77777777" w:rsidR="00844F74" w:rsidRPr="00204979" w:rsidRDefault="00844F74" w:rsidP="00891D73">
      <w:pPr>
        <w:pStyle w:val="texto"/>
      </w:pPr>
    </w:p>
    <w:p w14:paraId="301C9CE3" w14:textId="77777777" w:rsidR="00716463" w:rsidRPr="001D4F09" w:rsidRDefault="00E87A6C" w:rsidP="009936FC">
      <w:pPr>
        <w:pStyle w:val="Fechaportada"/>
      </w:pPr>
      <w:r>
        <w:t>Noviembre</w:t>
      </w:r>
      <w:r w:rsidR="00614DC4">
        <w:t xml:space="preserve"> de 202</w:t>
      </w:r>
      <w:r w:rsidR="00802F88">
        <w:t>4</w:t>
      </w:r>
    </w:p>
    <w:p w14:paraId="54BB8E6D" w14:textId="77777777" w:rsidR="008E3FFE" w:rsidRDefault="008E3FFE" w:rsidP="00891D73">
      <w:pPr>
        <w:pStyle w:val="ndice"/>
        <w:rPr>
          <w:rFonts w:ascii="Times New Roman" w:hAnsi="Times New Roman"/>
        </w:rPr>
      </w:pPr>
    </w:p>
    <w:p w14:paraId="3A53BCE5" w14:textId="77777777" w:rsidR="00FF184D" w:rsidRDefault="00FF184D">
      <w:pPr>
        <w:rPr>
          <w:b/>
          <w:caps/>
          <w:color w:val="000000"/>
          <w:kern w:val="28"/>
          <w:sz w:val="25"/>
          <w:szCs w:val="26"/>
        </w:rPr>
      </w:pPr>
      <w:r>
        <w:br w:type="page"/>
      </w:r>
      <w:r>
        <w:rPr>
          <w:b/>
          <w:caps/>
          <w:noProof/>
          <w:color w:val="000000"/>
          <w:kern w:val="28"/>
          <w:sz w:val="25"/>
          <w:szCs w:val="26"/>
        </w:rPr>
        <w:lastRenderedPageBreak/>
        <w:drawing>
          <wp:inline distT="0" distB="0" distL="0" distR="0" wp14:anchorId="43CD81F8" wp14:editId="3DFFE907">
            <wp:extent cx="5581015" cy="5581015"/>
            <wp:effectExtent l="0" t="0" r="635" b="635"/>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Cuentas Generales de Navarra (002).png"/>
                    <pic:cNvPicPr/>
                  </pic:nvPicPr>
                  <pic:blipFill>
                    <a:blip r:embed="rId8">
                      <a:extLst>
                        <a:ext uri="{28A0092B-C50C-407E-A947-70E740481C1C}">
                          <a14:useLocalDpi xmlns:a14="http://schemas.microsoft.com/office/drawing/2010/main" val="0"/>
                        </a:ext>
                      </a:extLst>
                    </a:blip>
                    <a:stretch>
                      <a:fillRect/>
                    </a:stretch>
                  </pic:blipFill>
                  <pic:spPr>
                    <a:xfrm>
                      <a:off x="0" y="0"/>
                      <a:ext cx="5581015" cy="5581015"/>
                    </a:xfrm>
                    <a:prstGeom prst="rect">
                      <a:avLst/>
                    </a:prstGeom>
                  </pic:spPr>
                </pic:pic>
              </a:graphicData>
            </a:graphic>
          </wp:inline>
        </w:drawing>
      </w:r>
    </w:p>
    <w:p w14:paraId="39827A1A" w14:textId="77777777" w:rsidR="00FF184D" w:rsidRPr="001D4F09" w:rsidRDefault="00FF184D" w:rsidP="00891D73">
      <w:pPr>
        <w:pStyle w:val="ndice"/>
        <w:rPr>
          <w:rFonts w:ascii="Times New Roman" w:hAnsi="Times New Roman"/>
        </w:rPr>
        <w:sectPr w:rsidR="00FF184D"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14:paraId="5D931A46" w14:textId="77777777" w:rsidR="001C3A32" w:rsidRDefault="00891D73" w:rsidP="00653EE1">
      <w:pPr>
        <w:pStyle w:val="ndice"/>
        <w:spacing w:after="120"/>
      </w:pPr>
      <w:r w:rsidRPr="00891D73">
        <w:lastRenderedPageBreak/>
        <w:t>Índice</w:t>
      </w:r>
    </w:p>
    <w:p w14:paraId="6F63DFAB" w14:textId="77777777" w:rsidR="00653EE1" w:rsidRPr="00B40CB7" w:rsidRDefault="00653EE1" w:rsidP="00653EE1">
      <w:pPr>
        <w:pStyle w:val="ndice"/>
        <w:spacing w:after="120"/>
        <w:rPr>
          <w:i/>
          <w:sz w:val="16"/>
          <w:szCs w:val="16"/>
        </w:rPr>
      </w:pPr>
    </w:p>
    <w:p w14:paraId="6588A711" w14:textId="77777777" w:rsidR="00653EE1" w:rsidRDefault="0014728F" w:rsidP="00653EE1">
      <w:pPr>
        <w:pStyle w:val="TDC1"/>
        <w:spacing w:before="0" w:after="0"/>
        <w:rPr>
          <w:rFonts w:asciiTheme="minorHAnsi" w:eastAsiaTheme="minorEastAsia" w:hAnsiTheme="minorHAnsi" w:cstheme="minorBidi"/>
          <w:smallCaps w:val="0"/>
          <w:noProof/>
          <w:szCs w:val="22"/>
        </w:rPr>
      </w:pPr>
      <w:r>
        <w:fldChar w:fldCharType="begin"/>
      </w:r>
      <w:r>
        <w:instrText xml:space="preserve"> TOC \o "1-3" \h \z \t "atitulo1;1;atitulo2;2" </w:instrText>
      </w:r>
      <w:r>
        <w:fldChar w:fldCharType="separate"/>
      </w:r>
      <w:hyperlink w:anchor="_Toc182464254" w:history="1">
        <w:r w:rsidR="00653EE1" w:rsidRPr="006B21AD">
          <w:rPr>
            <w:rStyle w:val="Hipervnculo"/>
            <w:noProof/>
          </w:rPr>
          <w:t>I. Introducción</w:t>
        </w:r>
        <w:r w:rsidR="00653EE1">
          <w:rPr>
            <w:noProof/>
            <w:webHidden/>
          </w:rPr>
          <w:tab/>
        </w:r>
        <w:r w:rsidR="00653EE1">
          <w:rPr>
            <w:noProof/>
            <w:webHidden/>
          </w:rPr>
          <w:fldChar w:fldCharType="begin"/>
        </w:r>
        <w:r w:rsidR="00653EE1">
          <w:rPr>
            <w:noProof/>
            <w:webHidden/>
          </w:rPr>
          <w:instrText xml:space="preserve"> PAGEREF _Toc182464254 \h </w:instrText>
        </w:r>
        <w:r w:rsidR="00653EE1">
          <w:rPr>
            <w:noProof/>
            <w:webHidden/>
          </w:rPr>
        </w:r>
        <w:r w:rsidR="00653EE1">
          <w:rPr>
            <w:noProof/>
            <w:webHidden/>
          </w:rPr>
          <w:fldChar w:fldCharType="separate"/>
        </w:r>
        <w:r w:rsidR="00845FE3">
          <w:rPr>
            <w:noProof/>
            <w:webHidden/>
          </w:rPr>
          <w:t>3</w:t>
        </w:r>
        <w:r w:rsidR="00653EE1">
          <w:rPr>
            <w:noProof/>
            <w:webHidden/>
          </w:rPr>
          <w:fldChar w:fldCharType="end"/>
        </w:r>
      </w:hyperlink>
    </w:p>
    <w:p w14:paraId="467E326F" w14:textId="77777777" w:rsidR="00653EE1" w:rsidRDefault="00653EE1" w:rsidP="00653EE1">
      <w:pPr>
        <w:pStyle w:val="TDC1"/>
        <w:spacing w:before="0" w:after="0"/>
        <w:rPr>
          <w:rFonts w:asciiTheme="minorHAnsi" w:eastAsiaTheme="minorEastAsia" w:hAnsiTheme="minorHAnsi" w:cstheme="minorBidi"/>
          <w:smallCaps w:val="0"/>
          <w:noProof/>
          <w:szCs w:val="22"/>
        </w:rPr>
      </w:pPr>
      <w:hyperlink w:anchor="_Toc182464255" w:history="1">
        <w:r w:rsidRPr="006B21AD">
          <w:rPr>
            <w:rStyle w:val="Hipervnculo"/>
            <w:noProof/>
          </w:rPr>
          <w:t>II. Objetivo y alcance</w:t>
        </w:r>
        <w:r>
          <w:rPr>
            <w:noProof/>
            <w:webHidden/>
          </w:rPr>
          <w:tab/>
        </w:r>
        <w:r>
          <w:rPr>
            <w:noProof/>
            <w:webHidden/>
          </w:rPr>
          <w:fldChar w:fldCharType="begin"/>
        </w:r>
        <w:r>
          <w:rPr>
            <w:noProof/>
            <w:webHidden/>
          </w:rPr>
          <w:instrText xml:space="preserve"> PAGEREF _Toc182464255 \h </w:instrText>
        </w:r>
        <w:r>
          <w:rPr>
            <w:noProof/>
            <w:webHidden/>
          </w:rPr>
        </w:r>
        <w:r>
          <w:rPr>
            <w:noProof/>
            <w:webHidden/>
          </w:rPr>
          <w:fldChar w:fldCharType="separate"/>
        </w:r>
        <w:r w:rsidR="00845FE3">
          <w:rPr>
            <w:noProof/>
            <w:webHidden/>
          </w:rPr>
          <w:t>4</w:t>
        </w:r>
        <w:r>
          <w:rPr>
            <w:noProof/>
            <w:webHidden/>
          </w:rPr>
          <w:fldChar w:fldCharType="end"/>
        </w:r>
      </w:hyperlink>
    </w:p>
    <w:p w14:paraId="72619E71" w14:textId="77777777" w:rsidR="00653EE1" w:rsidRDefault="00653EE1" w:rsidP="00653EE1">
      <w:pPr>
        <w:pStyle w:val="TDC1"/>
        <w:spacing w:before="0" w:after="0"/>
        <w:rPr>
          <w:rFonts w:asciiTheme="minorHAnsi" w:eastAsiaTheme="minorEastAsia" w:hAnsiTheme="minorHAnsi" w:cstheme="minorBidi"/>
          <w:smallCaps w:val="0"/>
          <w:noProof/>
          <w:szCs w:val="22"/>
        </w:rPr>
      </w:pPr>
      <w:hyperlink w:anchor="_Toc182464256" w:history="1">
        <w:r w:rsidRPr="006B21AD">
          <w:rPr>
            <w:rStyle w:val="Hipervnculo"/>
            <w:noProof/>
          </w:rPr>
          <w:t>III. Opinión</w:t>
        </w:r>
        <w:r>
          <w:rPr>
            <w:noProof/>
            <w:webHidden/>
          </w:rPr>
          <w:tab/>
        </w:r>
        <w:r>
          <w:rPr>
            <w:noProof/>
            <w:webHidden/>
          </w:rPr>
          <w:fldChar w:fldCharType="begin"/>
        </w:r>
        <w:r>
          <w:rPr>
            <w:noProof/>
            <w:webHidden/>
          </w:rPr>
          <w:instrText xml:space="preserve"> PAGEREF _Toc182464256 \h </w:instrText>
        </w:r>
        <w:r>
          <w:rPr>
            <w:noProof/>
            <w:webHidden/>
          </w:rPr>
        </w:r>
        <w:r>
          <w:rPr>
            <w:noProof/>
            <w:webHidden/>
          </w:rPr>
          <w:fldChar w:fldCharType="separate"/>
        </w:r>
        <w:r w:rsidR="00845FE3">
          <w:rPr>
            <w:noProof/>
            <w:webHidden/>
          </w:rPr>
          <w:t>6</w:t>
        </w:r>
        <w:r>
          <w:rPr>
            <w:noProof/>
            <w:webHidden/>
          </w:rPr>
          <w:fldChar w:fldCharType="end"/>
        </w:r>
      </w:hyperlink>
    </w:p>
    <w:p w14:paraId="26085841" w14:textId="77777777" w:rsidR="00653EE1" w:rsidRDefault="00653EE1" w:rsidP="00653EE1">
      <w:pPr>
        <w:pStyle w:val="TDC2"/>
        <w:rPr>
          <w:rFonts w:asciiTheme="minorHAnsi" w:eastAsiaTheme="minorEastAsia" w:hAnsiTheme="minorHAnsi" w:cstheme="minorBidi"/>
          <w:noProof/>
          <w:szCs w:val="22"/>
        </w:rPr>
      </w:pPr>
      <w:hyperlink w:anchor="_Toc182464257" w:history="1">
        <w:r w:rsidRPr="006B21AD">
          <w:rPr>
            <w:rStyle w:val="Hipervnculo"/>
            <w:noProof/>
          </w:rPr>
          <w:t>III.1 Opinión de auditoría financiera sobre las cuentas anuales de 2023</w:t>
        </w:r>
        <w:r>
          <w:rPr>
            <w:noProof/>
            <w:webHidden/>
          </w:rPr>
          <w:tab/>
        </w:r>
        <w:r>
          <w:rPr>
            <w:noProof/>
            <w:webHidden/>
          </w:rPr>
          <w:fldChar w:fldCharType="begin"/>
        </w:r>
        <w:r>
          <w:rPr>
            <w:noProof/>
            <w:webHidden/>
          </w:rPr>
          <w:instrText xml:space="preserve"> PAGEREF _Toc182464257 \h </w:instrText>
        </w:r>
        <w:r>
          <w:rPr>
            <w:noProof/>
            <w:webHidden/>
          </w:rPr>
        </w:r>
        <w:r>
          <w:rPr>
            <w:noProof/>
            <w:webHidden/>
          </w:rPr>
          <w:fldChar w:fldCharType="separate"/>
        </w:r>
        <w:r w:rsidR="00845FE3">
          <w:rPr>
            <w:noProof/>
            <w:webHidden/>
          </w:rPr>
          <w:t>6</w:t>
        </w:r>
        <w:r>
          <w:rPr>
            <w:noProof/>
            <w:webHidden/>
          </w:rPr>
          <w:fldChar w:fldCharType="end"/>
        </w:r>
      </w:hyperlink>
    </w:p>
    <w:p w14:paraId="292E6B30" w14:textId="77777777" w:rsidR="00653EE1" w:rsidRDefault="00653EE1" w:rsidP="00653EE1">
      <w:pPr>
        <w:pStyle w:val="TDC2"/>
        <w:rPr>
          <w:rFonts w:asciiTheme="minorHAnsi" w:eastAsiaTheme="minorEastAsia" w:hAnsiTheme="minorHAnsi" w:cstheme="minorBidi"/>
          <w:noProof/>
          <w:szCs w:val="22"/>
        </w:rPr>
      </w:pPr>
      <w:hyperlink w:anchor="_Toc182464258" w:history="1">
        <w:r w:rsidRPr="006B21AD">
          <w:rPr>
            <w:rStyle w:val="Hipervnculo"/>
            <w:noProof/>
          </w:rPr>
          <w:t>III.2 Opinión de fiscalización de cumplimiento de legalidad</w:t>
        </w:r>
        <w:r>
          <w:rPr>
            <w:noProof/>
            <w:webHidden/>
          </w:rPr>
          <w:tab/>
        </w:r>
        <w:r>
          <w:rPr>
            <w:noProof/>
            <w:webHidden/>
          </w:rPr>
          <w:fldChar w:fldCharType="begin"/>
        </w:r>
        <w:r>
          <w:rPr>
            <w:noProof/>
            <w:webHidden/>
          </w:rPr>
          <w:instrText xml:space="preserve"> PAGEREF _Toc182464258 \h </w:instrText>
        </w:r>
        <w:r>
          <w:rPr>
            <w:noProof/>
            <w:webHidden/>
          </w:rPr>
        </w:r>
        <w:r>
          <w:rPr>
            <w:noProof/>
            <w:webHidden/>
          </w:rPr>
          <w:fldChar w:fldCharType="separate"/>
        </w:r>
        <w:r w:rsidR="00845FE3">
          <w:rPr>
            <w:noProof/>
            <w:webHidden/>
          </w:rPr>
          <w:t>6</w:t>
        </w:r>
        <w:r>
          <w:rPr>
            <w:noProof/>
            <w:webHidden/>
          </w:rPr>
          <w:fldChar w:fldCharType="end"/>
        </w:r>
      </w:hyperlink>
    </w:p>
    <w:p w14:paraId="74D2E567" w14:textId="77777777" w:rsidR="00653EE1" w:rsidRDefault="00653EE1" w:rsidP="00653EE1">
      <w:pPr>
        <w:pStyle w:val="TDC1"/>
        <w:spacing w:before="0" w:after="0"/>
        <w:rPr>
          <w:rFonts w:asciiTheme="minorHAnsi" w:eastAsiaTheme="minorEastAsia" w:hAnsiTheme="minorHAnsi" w:cstheme="minorBidi"/>
          <w:smallCaps w:val="0"/>
          <w:noProof/>
          <w:szCs w:val="22"/>
        </w:rPr>
      </w:pPr>
      <w:hyperlink w:anchor="_Toc182464259" w:history="1">
        <w:r w:rsidRPr="006B21AD">
          <w:rPr>
            <w:rStyle w:val="Hipervnculo"/>
            <w:noProof/>
          </w:rPr>
          <w:t>IV. Fundamento de la opinión</w:t>
        </w:r>
        <w:r>
          <w:rPr>
            <w:noProof/>
            <w:webHidden/>
          </w:rPr>
          <w:tab/>
        </w:r>
        <w:r>
          <w:rPr>
            <w:noProof/>
            <w:webHidden/>
          </w:rPr>
          <w:fldChar w:fldCharType="begin"/>
        </w:r>
        <w:r>
          <w:rPr>
            <w:noProof/>
            <w:webHidden/>
          </w:rPr>
          <w:instrText xml:space="preserve"> PAGEREF _Toc182464259 \h </w:instrText>
        </w:r>
        <w:r>
          <w:rPr>
            <w:noProof/>
            <w:webHidden/>
          </w:rPr>
        </w:r>
        <w:r>
          <w:rPr>
            <w:noProof/>
            <w:webHidden/>
          </w:rPr>
          <w:fldChar w:fldCharType="separate"/>
        </w:r>
        <w:r w:rsidR="00845FE3">
          <w:rPr>
            <w:noProof/>
            <w:webHidden/>
          </w:rPr>
          <w:t>7</w:t>
        </w:r>
        <w:r>
          <w:rPr>
            <w:noProof/>
            <w:webHidden/>
          </w:rPr>
          <w:fldChar w:fldCharType="end"/>
        </w:r>
      </w:hyperlink>
    </w:p>
    <w:p w14:paraId="59B79FDF" w14:textId="77777777" w:rsidR="00653EE1" w:rsidRDefault="00653EE1" w:rsidP="00653EE1">
      <w:pPr>
        <w:pStyle w:val="TDC2"/>
        <w:rPr>
          <w:rFonts w:asciiTheme="minorHAnsi" w:eastAsiaTheme="minorEastAsia" w:hAnsiTheme="minorHAnsi" w:cstheme="minorBidi"/>
          <w:noProof/>
          <w:szCs w:val="22"/>
        </w:rPr>
      </w:pPr>
      <w:hyperlink w:anchor="_Toc182464260" w:history="1">
        <w:r w:rsidRPr="006B21AD">
          <w:rPr>
            <w:rStyle w:val="Hipervnculo"/>
            <w:noProof/>
          </w:rPr>
          <w:t>IV.1 Fundamento de la opinión de auditoría financiera con salvedades</w:t>
        </w:r>
        <w:r>
          <w:rPr>
            <w:noProof/>
            <w:webHidden/>
          </w:rPr>
          <w:tab/>
        </w:r>
        <w:r>
          <w:rPr>
            <w:noProof/>
            <w:webHidden/>
          </w:rPr>
          <w:fldChar w:fldCharType="begin"/>
        </w:r>
        <w:r>
          <w:rPr>
            <w:noProof/>
            <w:webHidden/>
          </w:rPr>
          <w:instrText xml:space="preserve"> PAGEREF _Toc182464260 \h </w:instrText>
        </w:r>
        <w:r>
          <w:rPr>
            <w:noProof/>
            <w:webHidden/>
          </w:rPr>
        </w:r>
        <w:r>
          <w:rPr>
            <w:noProof/>
            <w:webHidden/>
          </w:rPr>
          <w:fldChar w:fldCharType="separate"/>
        </w:r>
        <w:r w:rsidR="00845FE3">
          <w:rPr>
            <w:noProof/>
            <w:webHidden/>
          </w:rPr>
          <w:t>7</w:t>
        </w:r>
        <w:r>
          <w:rPr>
            <w:noProof/>
            <w:webHidden/>
          </w:rPr>
          <w:fldChar w:fldCharType="end"/>
        </w:r>
      </w:hyperlink>
    </w:p>
    <w:p w14:paraId="747D06CD" w14:textId="77777777" w:rsidR="00653EE1" w:rsidRDefault="00653EE1" w:rsidP="00653EE1">
      <w:pPr>
        <w:pStyle w:val="TDC2"/>
        <w:rPr>
          <w:rFonts w:asciiTheme="minorHAnsi" w:eastAsiaTheme="minorEastAsia" w:hAnsiTheme="minorHAnsi" w:cstheme="minorBidi"/>
          <w:noProof/>
          <w:szCs w:val="22"/>
        </w:rPr>
      </w:pPr>
      <w:hyperlink w:anchor="_Toc182464261" w:history="1">
        <w:r w:rsidRPr="006B21AD">
          <w:rPr>
            <w:rStyle w:val="Hipervnculo"/>
            <w:noProof/>
          </w:rPr>
          <w:t>IV.2 Fundamento de la opinión de legalidad con salvedades</w:t>
        </w:r>
        <w:r>
          <w:rPr>
            <w:noProof/>
            <w:webHidden/>
          </w:rPr>
          <w:tab/>
        </w:r>
        <w:r>
          <w:rPr>
            <w:noProof/>
            <w:webHidden/>
          </w:rPr>
          <w:fldChar w:fldCharType="begin"/>
        </w:r>
        <w:r>
          <w:rPr>
            <w:noProof/>
            <w:webHidden/>
          </w:rPr>
          <w:instrText xml:space="preserve"> PAGEREF _Toc182464261 \h </w:instrText>
        </w:r>
        <w:r>
          <w:rPr>
            <w:noProof/>
            <w:webHidden/>
          </w:rPr>
        </w:r>
        <w:r>
          <w:rPr>
            <w:noProof/>
            <w:webHidden/>
          </w:rPr>
          <w:fldChar w:fldCharType="separate"/>
        </w:r>
        <w:r w:rsidR="00845FE3">
          <w:rPr>
            <w:noProof/>
            <w:webHidden/>
          </w:rPr>
          <w:t>8</w:t>
        </w:r>
        <w:r>
          <w:rPr>
            <w:noProof/>
            <w:webHidden/>
          </w:rPr>
          <w:fldChar w:fldCharType="end"/>
        </w:r>
      </w:hyperlink>
    </w:p>
    <w:p w14:paraId="7B7AC9AD" w14:textId="77777777" w:rsidR="00653EE1" w:rsidRDefault="00653EE1" w:rsidP="00653EE1">
      <w:pPr>
        <w:pStyle w:val="TDC1"/>
        <w:spacing w:before="0" w:after="0"/>
        <w:rPr>
          <w:rFonts w:asciiTheme="minorHAnsi" w:eastAsiaTheme="minorEastAsia" w:hAnsiTheme="minorHAnsi" w:cstheme="minorBidi"/>
          <w:smallCaps w:val="0"/>
          <w:noProof/>
          <w:szCs w:val="22"/>
        </w:rPr>
      </w:pPr>
      <w:hyperlink w:anchor="_Toc182464262" w:history="1">
        <w:r w:rsidRPr="006B21AD">
          <w:rPr>
            <w:rStyle w:val="Hipervnculo"/>
            <w:noProof/>
          </w:rPr>
          <w:t>V. Cuestiones clave de auditoría</w:t>
        </w:r>
        <w:r>
          <w:rPr>
            <w:noProof/>
            <w:webHidden/>
          </w:rPr>
          <w:tab/>
        </w:r>
        <w:r>
          <w:rPr>
            <w:noProof/>
            <w:webHidden/>
          </w:rPr>
          <w:fldChar w:fldCharType="begin"/>
        </w:r>
        <w:r>
          <w:rPr>
            <w:noProof/>
            <w:webHidden/>
          </w:rPr>
          <w:instrText xml:space="preserve"> PAGEREF _Toc182464262 \h </w:instrText>
        </w:r>
        <w:r>
          <w:rPr>
            <w:noProof/>
            <w:webHidden/>
          </w:rPr>
        </w:r>
        <w:r>
          <w:rPr>
            <w:noProof/>
            <w:webHidden/>
          </w:rPr>
          <w:fldChar w:fldCharType="separate"/>
        </w:r>
        <w:r w:rsidR="00845FE3">
          <w:rPr>
            <w:noProof/>
            <w:webHidden/>
          </w:rPr>
          <w:t>9</w:t>
        </w:r>
        <w:r>
          <w:rPr>
            <w:noProof/>
            <w:webHidden/>
          </w:rPr>
          <w:fldChar w:fldCharType="end"/>
        </w:r>
      </w:hyperlink>
    </w:p>
    <w:p w14:paraId="3097DE92" w14:textId="77777777" w:rsidR="00653EE1" w:rsidRDefault="00653EE1" w:rsidP="00653EE1">
      <w:pPr>
        <w:pStyle w:val="TDC1"/>
        <w:spacing w:before="0" w:after="0"/>
        <w:rPr>
          <w:rFonts w:asciiTheme="minorHAnsi" w:eastAsiaTheme="minorEastAsia" w:hAnsiTheme="minorHAnsi" w:cstheme="minorBidi"/>
          <w:smallCaps w:val="0"/>
          <w:noProof/>
          <w:szCs w:val="22"/>
        </w:rPr>
      </w:pPr>
      <w:hyperlink w:anchor="_Toc182464263" w:history="1">
        <w:r w:rsidRPr="006B21AD">
          <w:rPr>
            <w:rStyle w:val="Hipervnculo"/>
            <w:noProof/>
          </w:rPr>
          <w:t>VI. Párrafo de énfasis</w:t>
        </w:r>
        <w:r>
          <w:rPr>
            <w:noProof/>
            <w:webHidden/>
          </w:rPr>
          <w:tab/>
        </w:r>
        <w:r>
          <w:rPr>
            <w:noProof/>
            <w:webHidden/>
          </w:rPr>
          <w:fldChar w:fldCharType="begin"/>
        </w:r>
        <w:r>
          <w:rPr>
            <w:noProof/>
            <w:webHidden/>
          </w:rPr>
          <w:instrText xml:space="preserve"> PAGEREF _Toc182464263 \h </w:instrText>
        </w:r>
        <w:r>
          <w:rPr>
            <w:noProof/>
            <w:webHidden/>
          </w:rPr>
        </w:r>
        <w:r>
          <w:rPr>
            <w:noProof/>
            <w:webHidden/>
          </w:rPr>
          <w:fldChar w:fldCharType="separate"/>
        </w:r>
        <w:r w:rsidR="00845FE3">
          <w:rPr>
            <w:noProof/>
            <w:webHidden/>
          </w:rPr>
          <w:t>10</w:t>
        </w:r>
        <w:r>
          <w:rPr>
            <w:noProof/>
            <w:webHidden/>
          </w:rPr>
          <w:fldChar w:fldCharType="end"/>
        </w:r>
      </w:hyperlink>
    </w:p>
    <w:p w14:paraId="4D425018" w14:textId="77777777" w:rsidR="00653EE1" w:rsidRDefault="00653EE1" w:rsidP="00653EE1">
      <w:pPr>
        <w:pStyle w:val="TDC1"/>
        <w:spacing w:before="0" w:after="0"/>
        <w:rPr>
          <w:rFonts w:asciiTheme="minorHAnsi" w:eastAsiaTheme="minorEastAsia" w:hAnsiTheme="minorHAnsi" w:cstheme="minorBidi"/>
          <w:smallCaps w:val="0"/>
          <w:noProof/>
          <w:szCs w:val="22"/>
        </w:rPr>
      </w:pPr>
      <w:hyperlink w:anchor="_Toc182464264" w:history="1">
        <w:r w:rsidRPr="006B21AD">
          <w:rPr>
            <w:rStyle w:val="Hipervnculo"/>
            <w:noProof/>
          </w:rPr>
          <w:t>VII. Párrafo de otras cuestiones</w:t>
        </w:r>
        <w:r>
          <w:rPr>
            <w:noProof/>
            <w:webHidden/>
          </w:rPr>
          <w:tab/>
        </w:r>
        <w:r>
          <w:rPr>
            <w:noProof/>
            <w:webHidden/>
          </w:rPr>
          <w:fldChar w:fldCharType="begin"/>
        </w:r>
        <w:r>
          <w:rPr>
            <w:noProof/>
            <w:webHidden/>
          </w:rPr>
          <w:instrText xml:space="preserve"> PAGEREF _Toc182464264 \h </w:instrText>
        </w:r>
        <w:r>
          <w:rPr>
            <w:noProof/>
            <w:webHidden/>
          </w:rPr>
        </w:r>
        <w:r>
          <w:rPr>
            <w:noProof/>
            <w:webHidden/>
          </w:rPr>
          <w:fldChar w:fldCharType="separate"/>
        </w:r>
        <w:r w:rsidR="00845FE3">
          <w:rPr>
            <w:noProof/>
            <w:webHidden/>
          </w:rPr>
          <w:t>11</w:t>
        </w:r>
        <w:r>
          <w:rPr>
            <w:noProof/>
            <w:webHidden/>
          </w:rPr>
          <w:fldChar w:fldCharType="end"/>
        </w:r>
      </w:hyperlink>
    </w:p>
    <w:p w14:paraId="04078662" w14:textId="77777777" w:rsidR="00653EE1" w:rsidRDefault="00653EE1" w:rsidP="00653EE1">
      <w:pPr>
        <w:pStyle w:val="TDC1"/>
        <w:spacing w:before="0" w:after="0"/>
        <w:rPr>
          <w:rFonts w:asciiTheme="minorHAnsi" w:eastAsiaTheme="minorEastAsia" w:hAnsiTheme="minorHAnsi" w:cstheme="minorBidi"/>
          <w:smallCaps w:val="0"/>
          <w:noProof/>
          <w:szCs w:val="22"/>
        </w:rPr>
      </w:pPr>
      <w:hyperlink w:anchor="_Toc182464265" w:history="1">
        <w:r w:rsidRPr="006B21AD">
          <w:rPr>
            <w:rStyle w:val="Hipervnculo"/>
            <w:noProof/>
          </w:rPr>
          <w:t>VIII. Responsabilidad del Gobierno de Navarra</w:t>
        </w:r>
        <w:r>
          <w:rPr>
            <w:noProof/>
            <w:webHidden/>
          </w:rPr>
          <w:tab/>
        </w:r>
        <w:r>
          <w:rPr>
            <w:noProof/>
            <w:webHidden/>
          </w:rPr>
          <w:fldChar w:fldCharType="begin"/>
        </w:r>
        <w:r>
          <w:rPr>
            <w:noProof/>
            <w:webHidden/>
          </w:rPr>
          <w:instrText xml:space="preserve"> PAGEREF _Toc182464265 \h </w:instrText>
        </w:r>
        <w:r>
          <w:rPr>
            <w:noProof/>
            <w:webHidden/>
          </w:rPr>
        </w:r>
        <w:r>
          <w:rPr>
            <w:noProof/>
            <w:webHidden/>
          </w:rPr>
          <w:fldChar w:fldCharType="separate"/>
        </w:r>
        <w:r w:rsidR="00845FE3">
          <w:rPr>
            <w:noProof/>
            <w:webHidden/>
          </w:rPr>
          <w:t>15</w:t>
        </w:r>
        <w:r>
          <w:rPr>
            <w:noProof/>
            <w:webHidden/>
          </w:rPr>
          <w:fldChar w:fldCharType="end"/>
        </w:r>
      </w:hyperlink>
    </w:p>
    <w:p w14:paraId="2FBB1307" w14:textId="77777777" w:rsidR="00653EE1" w:rsidRDefault="00653EE1" w:rsidP="00653EE1">
      <w:pPr>
        <w:pStyle w:val="TDC1"/>
        <w:spacing w:before="0" w:after="0"/>
        <w:rPr>
          <w:rFonts w:asciiTheme="minorHAnsi" w:eastAsiaTheme="minorEastAsia" w:hAnsiTheme="minorHAnsi" w:cstheme="minorBidi"/>
          <w:smallCaps w:val="0"/>
          <w:noProof/>
          <w:szCs w:val="22"/>
        </w:rPr>
      </w:pPr>
      <w:hyperlink w:anchor="_Toc182464266" w:history="1">
        <w:r w:rsidRPr="006B21AD">
          <w:rPr>
            <w:rStyle w:val="Hipervnculo"/>
            <w:noProof/>
          </w:rPr>
          <w:t>IX. Responsabilidad de la Cámara de Comptos de Navarra</w:t>
        </w:r>
        <w:r>
          <w:rPr>
            <w:noProof/>
            <w:webHidden/>
          </w:rPr>
          <w:tab/>
        </w:r>
        <w:r>
          <w:rPr>
            <w:noProof/>
            <w:webHidden/>
          </w:rPr>
          <w:fldChar w:fldCharType="begin"/>
        </w:r>
        <w:r>
          <w:rPr>
            <w:noProof/>
            <w:webHidden/>
          </w:rPr>
          <w:instrText xml:space="preserve"> PAGEREF _Toc182464266 \h </w:instrText>
        </w:r>
        <w:r>
          <w:rPr>
            <w:noProof/>
            <w:webHidden/>
          </w:rPr>
        </w:r>
        <w:r>
          <w:rPr>
            <w:noProof/>
            <w:webHidden/>
          </w:rPr>
          <w:fldChar w:fldCharType="separate"/>
        </w:r>
        <w:r w:rsidR="00845FE3">
          <w:rPr>
            <w:noProof/>
            <w:webHidden/>
          </w:rPr>
          <w:t>16</w:t>
        </w:r>
        <w:r>
          <w:rPr>
            <w:noProof/>
            <w:webHidden/>
          </w:rPr>
          <w:fldChar w:fldCharType="end"/>
        </w:r>
      </w:hyperlink>
    </w:p>
    <w:p w14:paraId="36D5BA93" w14:textId="77777777" w:rsidR="00653EE1" w:rsidRDefault="00653EE1" w:rsidP="00653EE1">
      <w:pPr>
        <w:pStyle w:val="TDC1"/>
        <w:spacing w:before="0" w:after="0"/>
        <w:rPr>
          <w:rFonts w:asciiTheme="minorHAnsi" w:eastAsiaTheme="minorEastAsia" w:hAnsiTheme="minorHAnsi" w:cstheme="minorBidi"/>
          <w:smallCaps w:val="0"/>
          <w:noProof/>
          <w:szCs w:val="22"/>
        </w:rPr>
      </w:pPr>
      <w:hyperlink w:anchor="_Toc182464267" w:history="1">
        <w:r w:rsidRPr="006B21AD">
          <w:rPr>
            <w:rStyle w:val="Hipervnculo"/>
            <w:noProof/>
          </w:rPr>
          <w:t>X. Seguimiento de las recomendaciones emitidas en informes anteriores</w:t>
        </w:r>
        <w:r>
          <w:rPr>
            <w:noProof/>
            <w:webHidden/>
          </w:rPr>
          <w:tab/>
        </w:r>
        <w:r>
          <w:rPr>
            <w:noProof/>
            <w:webHidden/>
          </w:rPr>
          <w:fldChar w:fldCharType="begin"/>
        </w:r>
        <w:r>
          <w:rPr>
            <w:noProof/>
            <w:webHidden/>
          </w:rPr>
          <w:instrText xml:space="preserve"> PAGEREF _Toc182464267 \h </w:instrText>
        </w:r>
        <w:r>
          <w:rPr>
            <w:noProof/>
            <w:webHidden/>
          </w:rPr>
        </w:r>
        <w:r>
          <w:rPr>
            <w:noProof/>
            <w:webHidden/>
          </w:rPr>
          <w:fldChar w:fldCharType="separate"/>
        </w:r>
        <w:r w:rsidR="00845FE3">
          <w:rPr>
            <w:noProof/>
            <w:webHidden/>
          </w:rPr>
          <w:t>18</w:t>
        </w:r>
        <w:r>
          <w:rPr>
            <w:noProof/>
            <w:webHidden/>
          </w:rPr>
          <w:fldChar w:fldCharType="end"/>
        </w:r>
      </w:hyperlink>
    </w:p>
    <w:p w14:paraId="40637ABC" w14:textId="77777777" w:rsidR="00653EE1" w:rsidRDefault="00653EE1" w:rsidP="00653EE1">
      <w:pPr>
        <w:pStyle w:val="TDC1"/>
        <w:spacing w:before="0" w:after="0"/>
        <w:rPr>
          <w:rFonts w:asciiTheme="minorHAnsi" w:eastAsiaTheme="minorEastAsia" w:hAnsiTheme="minorHAnsi" w:cstheme="minorBidi"/>
          <w:smallCaps w:val="0"/>
          <w:noProof/>
          <w:szCs w:val="22"/>
        </w:rPr>
      </w:pPr>
      <w:hyperlink w:anchor="_Toc182464268" w:history="1">
        <w:r w:rsidRPr="006B21AD">
          <w:rPr>
            <w:rStyle w:val="Hipervnculo"/>
            <w:noProof/>
          </w:rPr>
          <w:t>Apéndice 1. Resumen de las cuentas de la Administración de la Comunidad Foral de Navarra y sus organismos autónomos, ejercicio 2023</w:t>
        </w:r>
        <w:r>
          <w:rPr>
            <w:noProof/>
            <w:webHidden/>
          </w:rPr>
          <w:tab/>
        </w:r>
        <w:r>
          <w:rPr>
            <w:noProof/>
            <w:webHidden/>
          </w:rPr>
          <w:fldChar w:fldCharType="begin"/>
        </w:r>
        <w:r>
          <w:rPr>
            <w:noProof/>
            <w:webHidden/>
          </w:rPr>
          <w:instrText xml:space="preserve"> PAGEREF _Toc182464268 \h </w:instrText>
        </w:r>
        <w:r>
          <w:rPr>
            <w:noProof/>
            <w:webHidden/>
          </w:rPr>
        </w:r>
        <w:r>
          <w:rPr>
            <w:noProof/>
            <w:webHidden/>
          </w:rPr>
          <w:fldChar w:fldCharType="separate"/>
        </w:r>
        <w:r w:rsidR="00845FE3">
          <w:rPr>
            <w:noProof/>
            <w:webHidden/>
          </w:rPr>
          <w:t>20</w:t>
        </w:r>
        <w:r>
          <w:rPr>
            <w:noProof/>
            <w:webHidden/>
          </w:rPr>
          <w:fldChar w:fldCharType="end"/>
        </w:r>
      </w:hyperlink>
    </w:p>
    <w:p w14:paraId="43685643" w14:textId="77777777" w:rsidR="00653EE1" w:rsidRDefault="00653EE1" w:rsidP="00653EE1">
      <w:pPr>
        <w:pStyle w:val="TDC1"/>
        <w:spacing w:before="0" w:after="0"/>
        <w:rPr>
          <w:rFonts w:asciiTheme="minorHAnsi" w:eastAsiaTheme="minorEastAsia" w:hAnsiTheme="minorHAnsi" w:cstheme="minorBidi"/>
          <w:smallCaps w:val="0"/>
          <w:noProof/>
          <w:szCs w:val="22"/>
        </w:rPr>
      </w:pPr>
      <w:hyperlink w:anchor="_Toc182464269" w:history="1">
        <w:r w:rsidRPr="006B21AD">
          <w:rPr>
            <w:rStyle w:val="Hipervnculo"/>
            <w:noProof/>
          </w:rPr>
          <w:t>Apéndice 2. Delimitación del Sector Público Foral de Navarra</w:t>
        </w:r>
        <w:r>
          <w:rPr>
            <w:noProof/>
            <w:webHidden/>
          </w:rPr>
          <w:tab/>
        </w:r>
        <w:r>
          <w:rPr>
            <w:noProof/>
            <w:webHidden/>
          </w:rPr>
          <w:fldChar w:fldCharType="begin"/>
        </w:r>
        <w:r>
          <w:rPr>
            <w:noProof/>
            <w:webHidden/>
          </w:rPr>
          <w:instrText xml:space="preserve"> PAGEREF _Toc182464269 \h </w:instrText>
        </w:r>
        <w:r>
          <w:rPr>
            <w:noProof/>
            <w:webHidden/>
          </w:rPr>
        </w:r>
        <w:r>
          <w:rPr>
            <w:noProof/>
            <w:webHidden/>
          </w:rPr>
          <w:fldChar w:fldCharType="separate"/>
        </w:r>
        <w:r w:rsidR="00845FE3">
          <w:rPr>
            <w:noProof/>
            <w:webHidden/>
          </w:rPr>
          <w:t>26</w:t>
        </w:r>
        <w:r>
          <w:rPr>
            <w:noProof/>
            <w:webHidden/>
          </w:rPr>
          <w:fldChar w:fldCharType="end"/>
        </w:r>
      </w:hyperlink>
    </w:p>
    <w:p w14:paraId="14C22B9F" w14:textId="77777777" w:rsidR="00653EE1" w:rsidRDefault="00653EE1" w:rsidP="00653EE1">
      <w:pPr>
        <w:pStyle w:val="TDC2"/>
        <w:rPr>
          <w:rFonts w:asciiTheme="minorHAnsi" w:eastAsiaTheme="minorEastAsia" w:hAnsiTheme="minorHAnsi" w:cstheme="minorBidi"/>
          <w:noProof/>
          <w:szCs w:val="22"/>
        </w:rPr>
      </w:pPr>
      <w:hyperlink w:anchor="_Toc182464270" w:history="1">
        <w:r w:rsidRPr="006B21AD">
          <w:rPr>
            <w:rStyle w:val="Hipervnculo"/>
            <w:noProof/>
          </w:rPr>
          <w:t>2.1 Sector Público Foral según la Ley Foral 13/2007, de 4 de abril, de la Hacienda Pública de Navarra</w:t>
        </w:r>
        <w:r>
          <w:rPr>
            <w:noProof/>
            <w:webHidden/>
          </w:rPr>
          <w:tab/>
        </w:r>
        <w:r>
          <w:rPr>
            <w:noProof/>
            <w:webHidden/>
          </w:rPr>
          <w:fldChar w:fldCharType="begin"/>
        </w:r>
        <w:r>
          <w:rPr>
            <w:noProof/>
            <w:webHidden/>
          </w:rPr>
          <w:instrText xml:space="preserve"> PAGEREF _Toc182464270 \h </w:instrText>
        </w:r>
        <w:r>
          <w:rPr>
            <w:noProof/>
            <w:webHidden/>
          </w:rPr>
        </w:r>
        <w:r>
          <w:rPr>
            <w:noProof/>
            <w:webHidden/>
          </w:rPr>
          <w:fldChar w:fldCharType="separate"/>
        </w:r>
        <w:r w:rsidR="00845FE3">
          <w:rPr>
            <w:noProof/>
            <w:webHidden/>
          </w:rPr>
          <w:t>26</w:t>
        </w:r>
        <w:r>
          <w:rPr>
            <w:noProof/>
            <w:webHidden/>
          </w:rPr>
          <w:fldChar w:fldCharType="end"/>
        </w:r>
      </w:hyperlink>
    </w:p>
    <w:p w14:paraId="78104016" w14:textId="77777777" w:rsidR="00653EE1" w:rsidRDefault="00653EE1" w:rsidP="00653EE1">
      <w:pPr>
        <w:pStyle w:val="TDC2"/>
        <w:rPr>
          <w:rFonts w:asciiTheme="minorHAnsi" w:eastAsiaTheme="minorEastAsia" w:hAnsiTheme="minorHAnsi" w:cstheme="minorBidi"/>
          <w:noProof/>
          <w:szCs w:val="22"/>
        </w:rPr>
      </w:pPr>
      <w:hyperlink w:anchor="_Toc182464271" w:history="1">
        <w:r w:rsidRPr="006B21AD">
          <w:rPr>
            <w:rStyle w:val="Hipervnculo"/>
            <w:noProof/>
          </w:rPr>
          <w:t>2.2 Sector Administración Pública de Navarra según la Ley Orgánica 2/2012, de 27 de abril, de Estabilidad Presupuestaria y Sostenibilidad Financiera</w:t>
        </w:r>
        <w:r>
          <w:rPr>
            <w:noProof/>
            <w:webHidden/>
          </w:rPr>
          <w:tab/>
        </w:r>
        <w:r>
          <w:rPr>
            <w:noProof/>
            <w:webHidden/>
          </w:rPr>
          <w:fldChar w:fldCharType="begin"/>
        </w:r>
        <w:r>
          <w:rPr>
            <w:noProof/>
            <w:webHidden/>
          </w:rPr>
          <w:instrText xml:space="preserve"> PAGEREF _Toc182464271 \h </w:instrText>
        </w:r>
        <w:r>
          <w:rPr>
            <w:noProof/>
            <w:webHidden/>
          </w:rPr>
        </w:r>
        <w:r>
          <w:rPr>
            <w:noProof/>
            <w:webHidden/>
          </w:rPr>
          <w:fldChar w:fldCharType="separate"/>
        </w:r>
        <w:r w:rsidR="00845FE3">
          <w:rPr>
            <w:noProof/>
            <w:webHidden/>
          </w:rPr>
          <w:t>30</w:t>
        </w:r>
        <w:r>
          <w:rPr>
            <w:noProof/>
            <w:webHidden/>
          </w:rPr>
          <w:fldChar w:fldCharType="end"/>
        </w:r>
      </w:hyperlink>
    </w:p>
    <w:p w14:paraId="22777737" w14:textId="77777777" w:rsidR="00653EE1" w:rsidRDefault="00653EE1" w:rsidP="00653EE1">
      <w:pPr>
        <w:pStyle w:val="TDC1"/>
        <w:spacing w:before="0" w:after="0"/>
        <w:rPr>
          <w:rFonts w:asciiTheme="minorHAnsi" w:eastAsiaTheme="minorEastAsia" w:hAnsiTheme="minorHAnsi" w:cstheme="minorBidi"/>
          <w:smallCaps w:val="0"/>
          <w:noProof/>
          <w:szCs w:val="22"/>
        </w:rPr>
      </w:pPr>
      <w:hyperlink w:anchor="_Toc182464272" w:history="1">
        <w:r w:rsidRPr="006B21AD">
          <w:rPr>
            <w:rStyle w:val="Hipervnculo"/>
            <w:noProof/>
          </w:rPr>
          <w:t>Apéndice 3. Marco regulador</w:t>
        </w:r>
        <w:r>
          <w:rPr>
            <w:noProof/>
            <w:webHidden/>
          </w:rPr>
          <w:tab/>
        </w:r>
        <w:r>
          <w:rPr>
            <w:noProof/>
            <w:webHidden/>
          </w:rPr>
          <w:fldChar w:fldCharType="begin"/>
        </w:r>
        <w:r>
          <w:rPr>
            <w:noProof/>
            <w:webHidden/>
          </w:rPr>
          <w:instrText xml:space="preserve"> PAGEREF _Toc182464272 \h </w:instrText>
        </w:r>
        <w:r>
          <w:rPr>
            <w:noProof/>
            <w:webHidden/>
          </w:rPr>
        </w:r>
        <w:r>
          <w:rPr>
            <w:noProof/>
            <w:webHidden/>
          </w:rPr>
          <w:fldChar w:fldCharType="separate"/>
        </w:r>
        <w:r w:rsidR="00845FE3">
          <w:rPr>
            <w:noProof/>
            <w:webHidden/>
          </w:rPr>
          <w:t>32</w:t>
        </w:r>
        <w:r>
          <w:rPr>
            <w:noProof/>
            <w:webHidden/>
          </w:rPr>
          <w:fldChar w:fldCharType="end"/>
        </w:r>
      </w:hyperlink>
    </w:p>
    <w:p w14:paraId="5C25501F" w14:textId="77777777" w:rsidR="00653EE1" w:rsidRDefault="00653EE1" w:rsidP="00653EE1">
      <w:pPr>
        <w:pStyle w:val="TDC1"/>
        <w:spacing w:before="0" w:after="0"/>
        <w:rPr>
          <w:rFonts w:asciiTheme="minorHAnsi" w:eastAsiaTheme="minorEastAsia" w:hAnsiTheme="minorHAnsi" w:cstheme="minorBidi"/>
          <w:smallCaps w:val="0"/>
          <w:noProof/>
          <w:szCs w:val="22"/>
        </w:rPr>
      </w:pPr>
      <w:hyperlink w:anchor="_Toc182464273" w:history="1">
        <w:r w:rsidRPr="006B21AD">
          <w:rPr>
            <w:rStyle w:val="Hipervnculo"/>
            <w:noProof/>
          </w:rPr>
          <w:t>Apéndice 4. Información adicional sobre las salvedades</w:t>
        </w:r>
        <w:r>
          <w:rPr>
            <w:noProof/>
            <w:webHidden/>
          </w:rPr>
          <w:tab/>
        </w:r>
        <w:r>
          <w:rPr>
            <w:noProof/>
            <w:webHidden/>
          </w:rPr>
          <w:fldChar w:fldCharType="begin"/>
        </w:r>
        <w:r>
          <w:rPr>
            <w:noProof/>
            <w:webHidden/>
          </w:rPr>
          <w:instrText xml:space="preserve"> PAGEREF _Toc182464273 \h </w:instrText>
        </w:r>
        <w:r>
          <w:rPr>
            <w:noProof/>
            <w:webHidden/>
          </w:rPr>
        </w:r>
        <w:r>
          <w:rPr>
            <w:noProof/>
            <w:webHidden/>
          </w:rPr>
          <w:fldChar w:fldCharType="separate"/>
        </w:r>
        <w:r w:rsidR="00845FE3">
          <w:rPr>
            <w:noProof/>
            <w:webHidden/>
          </w:rPr>
          <w:t>34</w:t>
        </w:r>
        <w:r>
          <w:rPr>
            <w:noProof/>
            <w:webHidden/>
          </w:rPr>
          <w:fldChar w:fldCharType="end"/>
        </w:r>
      </w:hyperlink>
    </w:p>
    <w:p w14:paraId="1E7F989E" w14:textId="77777777" w:rsidR="00653EE1" w:rsidRDefault="00653EE1" w:rsidP="00653EE1">
      <w:pPr>
        <w:pStyle w:val="TDC2"/>
        <w:rPr>
          <w:rFonts w:asciiTheme="minorHAnsi" w:eastAsiaTheme="minorEastAsia" w:hAnsiTheme="minorHAnsi" w:cstheme="minorBidi"/>
          <w:noProof/>
          <w:szCs w:val="22"/>
        </w:rPr>
      </w:pPr>
      <w:hyperlink w:anchor="_Toc182464274" w:history="1">
        <w:r w:rsidRPr="006B21AD">
          <w:rPr>
            <w:rStyle w:val="Hipervnculo"/>
            <w:noProof/>
          </w:rPr>
          <w:t>4.1 Integración sistemas CAT-SAP</w:t>
        </w:r>
        <w:r>
          <w:rPr>
            <w:noProof/>
            <w:webHidden/>
          </w:rPr>
          <w:tab/>
        </w:r>
        <w:r>
          <w:rPr>
            <w:noProof/>
            <w:webHidden/>
          </w:rPr>
          <w:fldChar w:fldCharType="begin"/>
        </w:r>
        <w:r>
          <w:rPr>
            <w:noProof/>
            <w:webHidden/>
          </w:rPr>
          <w:instrText xml:space="preserve"> PAGEREF _Toc182464274 \h </w:instrText>
        </w:r>
        <w:r>
          <w:rPr>
            <w:noProof/>
            <w:webHidden/>
          </w:rPr>
        </w:r>
        <w:r>
          <w:rPr>
            <w:noProof/>
            <w:webHidden/>
          </w:rPr>
          <w:fldChar w:fldCharType="separate"/>
        </w:r>
        <w:r w:rsidR="00845FE3">
          <w:rPr>
            <w:noProof/>
            <w:webHidden/>
          </w:rPr>
          <w:t>34</w:t>
        </w:r>
        <w:r>
          <w:rPr>
            <w:noProof/>
            <w:webHidden/>
          </w:rPr>
          <w:fldChar w:fldCharType="end"/>
        </w:r>
      </w:hyperlink>
    </w:p>
    <w:p w14:paraId="200EB9B2" w14:textId="77777777" w:rsidR="00653EE1" w:rsidRDefault="00653EE1" w:rsidP="00653EE1">
      <w:pPr>
        <w:pStyle w:val="TDC2"/>
        <w:rPr>
          <w:rFonts w:asciiTheme="minorHAnsi" w:eastAsiaTheme="minorEastAsia" w:hAnsiTheme="minorHAnsi" w:cstheme="minorBidi"/>
          <w:noProof/>
          <w:szCs w:val="22"/>
        </w:rPr>
      </w:pPr>
      <w:hyperlink w:anchor="_Toc182464275" w:history="1">
        <w:r w:rsidRPr="006B21AD">
          <w:rPr>
            <w:rStyle w:val="Hipervnculo"/>
            <w:noProof/>
          </w:rPr>
          <w:t>4.2 Prestación de servicios sin soporte contractual adecuado</w:t>
        </w:r>
        <w:r>
          <w:rPr>
            <w:noProof/>
            <w:webHidden/>
          </w:rPr>
          <w:tab/>
        </w:r>
        <w:r>
          <w:rPr>
            <w:noProof/>
            <w:webHidden/>
          </w:rPr>
          <w:fldChar w:fldCharType="begin"/>
        </w:r>
        <w:r>
          <w:rPr>
            <w:noProof/>
            <w:webHidden/>
          </w:rPr>
          <w:instrText xml:space="preserve"> PAGEREF _Toc182464275 \h </w:instrText>
        </w:r>
        <w:r>
          <w:rPr>
            <w:noProof/>
            <w:webHidden/>
          </w:rPr>
        </w:r>
        <w:r>
          <w:rPr>
            <w:noProof/>
            <w:webHidden/>
          </w:rPr>
          <w:fldChar w:fldCharType="separate"/>
        </w:r>
        <w:r w:rsidR="00845FE3">
          <w:rPr>
            <w:noProof/>
            <w:webHidden/>
          </w:rPr>
          <w:t>34</w:t>
        </w:r>
        <w:r>
          <w:rPr>
            <w:noProof/>
            <w:webHidden/>
          </w:rPr>
          <w:fldChar w:fldCharType="end"/>
        </w:r>
      </w:hyperlink>
    </w:p>
    <w:p w14:paraId="6FF6A266" w14:textId="77777777" w:rsidR="00653EE1" w:rsidRDefault="00653EE1" w:rsidP="00653EE1">
      <w:pPr>
        <w:pStyle w:val="TDC2"/>
        <w:rPr>
          <w:rFonts w:asciiTheme="minorHAnsi" w:eastAsiaTheme="minorEastAsia" w:hAnsiTheme="minorHAnsi" w:cstheme="minorBidi"/>
          <w:noProof/>
          <w:szCs w:val="22"/>
        </w:rPr>
      </w:pPr>
      <w:hyperlink w:anchor="_Toc182464276" w:history="1">
        <w:r w:rsidRPr="006B21AD">
          <w:rPr>
            <w:rStyle w:val="Hipervnculo"/>
            <w:noProof/>
          </w:rPr>
          <w:t>4.3 Creación de las sociedades públicas Bidean y Nafarbide</w:t>
        </w:r>
        <w:r>
          <w:rPr>
            <w:noProof/>
            <w:webHidden/>
          </w:rPr>
          <w:tab/>
        </w:r>
        <w:r>
          <w:rPr>
            <w:noProof/>
            <w:webHidden/>
          </w:rPr>
          <w:fldChar w:fldCharType="begin"/>
        </w:r>
        <w:r>
          <w:rPr>
            <w:noProof/>
            <w:webHidden/>
          </w:rPr>
          <w:instrText xml:space="preserve"> PAGEREF _Toc182464276 \h </w:instrText>
        </w:r>
        <w:r>
          <w:rPr>
            <w:noProof/>
            <w:webHidden/>
          </w:rPr>
        </w:r>
        <w:r>
          <w:rPr>
            <w:noProof/>
            <w:webHidden/>
          </w:rPr>
          <w:fldChar w:fldCharType="separate"/>
        </w:r>
        <w:r w:rsidR="00845FE3">
          <w:rPr>
            <w:noProof/>
            <w:webHidden/>
          </w:rPr>
          <w:t>37</w:t>
        </w:r>
        <w:r>
          <w:rPr>
            <w:noProof/>
            <w:webHidden/>
          </w:rPr>
          <w:fldChar w:fldCharType="end"/>
        </w:r>
      </w:hyperlink>
    </w:p>
    <w:p w14:paraId="63C120DC" w14:textId="77777777" w:rsidR="00653EE1" w:rsidRDefault="00653EE1" w:rsidP="00653EE1">
      <w:pPr>
        <w:pStyle w:val="TDC2"/>
        <w:rPr>
          <w:rFonts w:asciiTheme="minorHAnsi" w:eastAsiaTheme="minorEastAsia" w:hAnsiTheme="minorHAnsi" w:cstheme="minorBidi"/>
          <w:noProof/>
          <w:szCs w:val="22"/>
        </w:rPr>
      </w:pPr>
      <w:hyperlink w:anchor="_Toc182464277" w:history="1">
        <w:r w:rsidRPr="006B21AD">
          <w:rPr>
            <w:rStyle w:val="Hipervnculo"/>
            <w:noProof/>
          </w:rPr>
          <w:t>4.4 Contrato de obra “Duplicación del Túnel de Belate”</w:t>
        </w:r>
        <w:r>
          <w:rPr>
            <w:noProof/>
            <w:webHidden/>
          </w:rPr>
          <w:tab/>
        </w:r>
        <w:r>
          <w:rPr>
            <w:noProof/>
            <w:webHidden/>
          </w:rPr>
          <w:fldChar w:fldCharType="begin"/>
        </w:r>
        <w:r>
          <w:rPr>
            <w:noProof/>
            <w:webHidden/>
          </w:rPr>
          <w:instrText xml:space="preserve"> PAGEREF _Toc182464277 \h </w:instrText>
        </w:r>
        <w:r>
          <w:rPr>
            <w:noProof/>
            <w:webHidden/>
          </w:rPr>
        </w:r>
        <w:r>
          <w:rPr>
            <w:noProof/>
            <w:webHidden/>
          </w:rPr>
          <w:fldChar w:fldCharType="separate"/>
        </w:r>
        <w:r w:rsidR="00845FE3">
          <w:rPr>
            <w:noProof/>
            <w:webHidden/>
          </w:rPr>
          <w:t>38</w:t>
        </w:r>
        <w:r>
          <w:rPr>
            <w:noProof/>
            <w:webHidden/>
          </w:rPr>
          <w:fldChar w:fldCharType="end"/>
        </w:r>
      </w:hyperlink>
    </w:p>
    <w:p w14:paraId="031670DE" w14:textId="77777777" w:rsidR="00653EE1" w:rsidRDefault="00653EE1" w:rsidP="00653EE1">
      <w:pPr>
        <w:pStyle w:val="TDC1"/>
        <w:spacing w:before="0" w:after="0"/>
        <w:rPr>
          <w:rFonts w:asciiTheme="minorHAnsi" w:eastAsiaTheme="minorEastAsia" w:hAnsiTheme="minorHAnsi" w:cstheme="minorBidi"/>
          <w:smallCaps w:val="0"/>
          <w:noProof/>
          <w:szCs w:val="22"/>
        </w:rPr>
      </w:pPr>
      <w:hyperlink w:anchor="_Toc182464278" w:history="1">
        <w:r w:rsidRPr="006B21AD">
          <w:rPr>
            <w:rStyle w:val="Hipervnculo"/>
            <w:noProof/>
          </w:rPr>
          <w:t>Apéndice 5. Observaciones y hallazgos adicionales de la fiscalización de regularidad</w:t>
        </w:r>
        <w:r>
          <w:rPr>
            <w:noProof/>
            <w:webHidden/>
          </w:rPr>
          <w:tab/>
        </w:r>
        <w:r>
          <w:rPr>
            <w:noProof/>
            <w:webHidden/>
          </w:rPr>
          <w:fldChar w:fldCharType="begin"/>
        </w:r>
        <w:r>
          <w:rPr>
            <w:noProof/>
            <w:webHidden/>
          </w:rPr>
          <w:instrText xml:space="preserve"> PAGEREF _Toc182464278 \h </w:instrText>
        </w:r>
        <w:r>
          <w:rPr>
            <w:noProof/>
            <w:webHidden/>
          </w:rPr>
        </w:r>
        <w:r>
          <w:rPr>
            <w:noProof/>
            <w:webHidden/>
          </w:rPr>
          <w:fldChar w:fldCharType="separate"/>
        </w:r>
        <w:r w:rsidR="00845FE3">
          <w:rPr>
            <w:noProof/>
            <w:webHidden/>
          </w:rPr>
          <w:t>40</w:t>
        </w:r>
        <w:r>
          <w:rPr>
            <w:noProof/>
            <w:webHidden/>
          </w:rPr>
          <w:fldChar w:fldCharType="end"/>
        </w:r>
      </w:hyperlink>
    </w:p>
    <w:p w14:paraId="0EF49911" w14:textId="77777777" w:rsidR="00653EE1" w:rsidRDefault="00653EE1" w:rsidP="00653EE1">
      <w:pPr>
        <w:pStyle w:val="TDC2"/>
        <w:rPr>
          <w:rFonts w:asciiTheme="minorHAnsi" w:eastAsiaTheme="minorEastAsia" w:hAnsiTheme="minorHAnsi" w:cstheme="minorBidi"/>
          <w:noProof/>
          <w:szCs w:val="22"/>
        </w:rPr>
      </w:pPr>
      <w:hyperlink w:anchor="_Toc182464279" w:history="1">
        <w:r w:rsidRPr="006B21AD">
          <w:rPr>
            <w:rStyle w:val="Hipervnculo"/>
            <w:noProof/>
          </w:rPr>
          <w:t>5.1 Presupuestos generales de Navarra 2023</w:t>
        </w:r>
        <w:r>
          <w:rPr>
            <w:noProof/>
            <w:webHidden/>
          </w:rPr>
          <w:tab/>
        </w:r>
        <w:r>
          <w:rPr>
            <w:noProof/>
            <w:webHidden/>
          </w:rPr>
          <w:fldChar w:fldCharType="begin"/>
        </w:r>
        <w:r>
          <w:rPr>
            <w:noProof/>
            <w:webHidden/>
          </w:rPr>
          <w:instrText xml:space="preserve"> PAGEREF _Toc182464279 \h </w:instrText>
        </w:r>
        <w:r>
          <w:rPr>
            <w:noProof/>
            <w:webHidden/>
          </w:rPr>
        </w:r>
        <w:r>
          <w:rPr>
            <w:noProof/>
            <w:webHidden/>
          </w:rPr>
          <w:fldChar w:fldCharType="separate"/>
        </w:r>
        <w:r w:rsidR="00845FE3">
          <w:rPr>
            <w:noProof/>
            <w:webHidden/>
          </w:rPr>
          <w:t>40</w:t>
        </w:r>
        <w:r>
          <w:rPr>
            <w:noProof/>
            <w:webHidden/>
          </w:rPr>
          <w:fldChar w:fldCharType="end"/>
        </w:r>
      </w:hyperlink>
    </w:p>
    <w:p w14:paraId="58A0DF4B" w14:textId="77777777" w:rsidR="00653EE1" w:rsidRDefault="00653EE1" w:rsidP="00653EE1">
      <w:pPr>
        <w:pStyle w:val="TDC2"/>
        <w:rPr>
          <w:rFonts w:asciiTheme="minorHAnsi" w:eastAsiaTheme="minorEastAsia" w:hAnsiTheme="minorHAnsi" w:cstheme="minorBidi"/>
          <w:noProof/>
          <w:szCs w:val="22"/>
        </w:rPr>
      </w:pPr>
      <w:hyperlink w:anchor="_Toc182464280" w:history="1">
        <w:r w:rsidRPr="006B21AD">
          <w:rPr>
            <w:rStyle w:val="Hipervnculo"/>
            <w:noProof/>
          </w:rPr>
          <w:t>5.2 Situación económico-financiera de la ACFN y sus OOAA a 31 de diciembre de 2023</w:t>
        </w:r>
        <w:r>
          <w:rPr>
            <w:noProof/>
            <w:webHidden/>
          </w:rPr>
          <w:tab/>
        </w:r>
        <w:r>
          <w:rPr>
            <w:noProof/>
            <w:webHidden/>
          </w:rPr>
          <w:fldChar w:fldCharType="begin"/>
        </w:r>
        <w:r>
          <w:rPr>
            <w:noProof/>
            <w:webHidden/>
          </w:rPr>
          <w:instrText xml:space="preserve"> PAGEREF _Toc182464280 \h </w:instrText>
        </w:r>
        <w:r>
          <w:rPr>
            <w:noProof/>
            <w:webHidden/>
          </w:rPr>
        </w:r>
        <w:r>
          <w:rPr>
            <w:noProof/>
            <w:webHidden/>
          </w:rPr>
          <w:fldChar w:fldCharType="separate"/>
        </w:r>
        <w:r w:rsidR="00845FE3">
          <w:rPr>
            <w:noProof/>
            <w:webHidden/>
          </w:rPr>
          <w:t>48</w:t>
        </w:r>
        <w:r>
          <w:rPr>
            <w:noProof/>
            <w:webHidden/>
          </w:rPr>
          <w:fldChar w:fldCharType="end"/>
        </w:r>
      </w:hyperlink>
    </w:p>
    <w:p w14:paraId="2EA320FB" w14:textId="77777777" w:rsidR="00653EE1" w:rsidRDefault="00653EE1" w:rsidP="00653EE1">
      <w:pPr>
        <w:pStyle w:val="TDC2"/>
        <w:rPr>
          <w:rFonts w:asciiTheme="minorHAnsi" w:eastAsiaTheme="minorEastAsia" w:hAnsiTheme="minorHAnsi" w:cstheme="minorBidi"/>
          <w:noProof/>
          <w:szCs w:val="22"/>
        </w:rPr>
      </w:pPr>
      <w:hyperlink w:anchor="_Toc182464281" w:history="1">
        <w:r w:rsidRPr="006B21AD">
          <w:rPr>
            <w:rStyle w:val="Hipervnculo"/>
            <w:noProof/>
          </w:rPr>
          <w:t>5.3 Principios de estabilidad presupuestaria y sostenibilidad financiera</w:t>
        </w:r>
        <w:r>
          <w:rPr>
            <w:noProof/>
            <w:webHidden/>
          </w:rPr>
          <w:tab/>
        </w:r>
        <w:r>
          <w:rPr>
            <w:noProof/>
            <w:webHidden/>
          </w:rPr>
          <w:fldChar w:fldCharType="begin"/>
        </w:r>
        <w:r>
          <w:rPr>
            <w:noProof/>
            <w:webHidden/>
          </w:rPr>
          <w:instrText xml:space="preserve"> PAGEREF _Toc182464281 \h </w:instrText>
        </w:r>
        <w:r>
          <w:rPr>
            <w:noProof/>
            <w:webHidden/>
          </w:rPr>
        </w:r>
        <w:r>
          <w:rPr>
            <w:noProof/>
            <w:webHidden/>
          </w:rPr>
          <w:fldChar w:fldCharType="separate"/>
        </w:r>
        <w:r w:rsidR="00845FE3">
          <w:rPr>
            <w:noProof/>
            <w:webHidden/>
          </w:rPr>
          <w:t>50</w:t>
        </w:r>
        <w:r>
          <w:rPr>
            <w:noProof/>
            <w:webHidden/>
          </w:rPr>
          <w:fldChar w:fldCharType="end"/>
        </w:r>
      </w:hyperlink>
    </w:p>
    <w:p w14:paraId="433503C4" w14:textId="77777777" w:rsidR="00653EE1" w:rsidRDefault="00653EE1" w:rsidP="00653EE1">
      <w:pPr>
        <w:pStyle w:val="TDC2"/>
        <w:rPr>
          <w:rFonts w:asciiTheme="minorHAnsi" w:eastAsiaTheme="minorEastAsia" w:hAnsiTheme="minorHAnsi" w:cstheme="minorBidi"/>
          <w:noProof/>
          <w:szCs w:val="22"/>
        </w:rPr>
      </w:pPr>
      <w:hyperlink w:anchor="_Toc182464282" w:history="1">
        <w:r w:rsidRPr="006B21AD">
          <w:rPr>
            <w:rStyle w:val="Hipervnculo"/>
            <w:noProof/>
          </w:rPr>
          <w:t>5.4 Gastos de personal</w:t>
        </w:r>
        <w:r>
          <w:rPr>
            <w:noProof/>
            <w:webHidden/>
          </w:rPr>
          <w:tab/>
        </w:r>
        <w:r>
          <w:rPr>
            <w:noProof/>
            <w:webHidden/>
          </w:rPr>
          <w:fldChar w:fldCharType="begin"/>
        </w:r>
        <w:r>
          <w:rPr>
            <w:noProof/>
            <w:webHidden/>
          </w:rPr>
          <w:instrText xml:space="preserve"> PAGEREF _Toc182464282 \h </w:instrText>
        </w:r>
        <w:r>
          <w:rPr>
            <w:noProof/>
            <w:webHidden/>
          </w:rPr>
        </w:r>
        <w:r>
          <w:rPr>
            <w:noProof/>
            <w:webHidden/>
          </w:rPr>
          <w:fldChar w:fldCharType="separate"/>
        </w:r>
        <w:r w:rsidR="00845FE3">
          <w:rPr>
            <w:noProof/>
            <w:webHidden/>
          </w:rPr>
          <w:t>53</w:t>
        </w:r>
        <w:r>
          <w:rPr>
            <w:noProof/>
            <w:webHidden/>
          </w:rPr>
          <w:fldChar w:fldCharType="end"/>
        </w:r>
      </w:hyperlink>
    </w:p>
    <w:p w14:paraId="63DE5416" w14:textId="77777777" w:rsidR="00653EE1" w:rsidRDefault="00653EE1" w:rsidP="00653EE1">
      <w:pPr>
        <w:pStyle w:val="TDC2"/>
        <w:rPr>
          <w:rFonts w:asciiTheme="minorHAnsi" w:eastAsiaTheme="minorEastAsia" w:hAnsiTheme="minorHAnsi" w:cstheme="minorBidi"/>
          <w:noProof/>
          <w:szCs w:val="22"/>
        </w:rPr>
      </w:pPr>
      <w:hyperlink w:anchor="_Toc182464283" w:history="1">
        <w:r w:rsidRPr="006B21AD">
          <w:rPr>
            <w:rStyle w:val="Hipervnculo"/>
            <w:noProof/>
          </w:rPr>
          <w:t>5.5 Contratación pública</w:t>
        </w:r>
        <w:r>
          <w:rPr>
            <w:noProof/>
            <w:webHidden/>
          </w:rPr>
          <w:tab/>
        </w:r>
        <w:r>
          <w:rPr>
            <w:noProof/>
            <w:webHidden/>
          </w:rPr>
          <w:fldChar w:fldCharType="begin"/>
        </w:r>
        <w:r>
          <w:rPr>
            <w:noProof/>
            <w:webHidden/>
          </w:rPr>
          <w:instrText xml:space="preserve"> PAGEREF _Toc182464283 \h </w:instrText>
        </w:r>
        <w:r>
          <w:rPr>
            <w:noProof/>
            <w:webHidden/>
          </w:rPr>
        </w:r>
        <w:r>
          <w:rPr>
            <w:noProof/>
            <w:webHidden/>
          </w:rPr>
          <w:fldChar w:fldCharType="separate"/>
        </w:r>
        <w:r w:rsidR="00845FE3">
          <w:rPr>
            <w:noProof/>
            <w:webHidden/>
          </w:rPr>
          <w:t>64</w:t>
        </w:r>
        <w:r>
          <w:rPr>
            <w:noProof/>
            <w:webHidden/>
          </w:rPr>
          <w:fldChar w:fldCharType="end"/>
        </w:r>
      </w:hyperlink>
    </w:p>
    <w:p w14:paraId="634CC0AF" w14:textId="77777777" w:rsidR="00653EE1" w:rsidRDefault="00653EE1" w:rsidP="00653EE1">
      <w:pPr>
        <w:pStyle w:val="TDC2"/>
        <w:rPr>
          <w:rFonts w:asciiTheme="minorHAnsi" w:eastAsiaTheme="minorEastAsia" w:hAnsiTheme="minorHAnsi" w:cstheme="minorBidi"/>
          <w:noProof/>
          <w:szCs w:val="22"/>
        </w:rPr>
      </w:pPr>
      <w:hyperlink w:anchor="_Toc182464284" w:history="1">
        <w:r w:rsidRPr="006B21AD">
          <w:rPr>
            <w:rStyle w:val="Hipervnculo"/>
            <w:noProof/>
          </w:rPr>
          <w:t>5.6 Gastos de transferencias corrientes y de capital</w:t>
        </w:r>
        <w:r>
          <w:rPr>
            <w:noProof/>
            <w:webHidden/>
          </w:rPr>
          <w:tab/>
        </w:r>
        <w:r>
          <w:rPr>
            <w:noProof/>
            <w:webHidden/>
          </w:rPr>
          <w:fldChar w:fldCharType="begin"/>
        </w:r>
        <w:r>
          <w:rPr>
            <w:noProof/>
            <w:webHidden/>
          </w:rPr>
          <w:instrText xml:space="preserve"> PAGEREF _Toc182464284 \h </w:instrText>
        </w:r>
        <w:r>
          <w:rPr>
            <w:noProof/>
            <w:webHidden/>
          </w:rPr>
        </w:r>
        <w:r>
          <w:rPr>
            <w:noProof/>
            <w:webHidden/>
          </w:rPr>
          <w:fldChar w:fldCharType="separate"/>
        </w:r>
        <w:r w:rsidR="00845FE3">
          <w:rPr>
            <w:noProof/>
            <w:webHidden/>
          </w:rPr>
          <w:t>76</w:t>
        </w:r>
        <w:r>
          <w:rPr>
            <w:noProof/>
            <w:webHidden/>
          </w:rPr>
          <w:fldChar w:fldCharType="end"/>
        </w:r>
      </w:hyperlink>
    </w:p>
    <w:p w14:paraId="1288DA9C" w14:textId="77777777" w:rsidR="00653EE1" w:rsidRDefault="00653EE1" w:rsidP="00653EE1">
      <w:pPr>
        <w:pStyle w:val="TDC2"/>
        <w:rPr>
          <w:rFonts w:asciiTheme="minorHAnsi" w:eastAsiaTheme="minorEastAsia" w:hAnsiTheme="minorHAnsi" w:cstheme="minorBidi"/>
          <w:noProof/>
          <w:szCs w:val="22"/>
        </w:rPr>
      </w:pPr>
      <w:hyperlink w:anchor="_Toc182464285" w:history="1">
        <w:r w:rsidRPr="006B21AD">
          <w:rPr>
            <w:rStyle w:val="Hipervnculo"/>
            <w:noProof/>
          </w:rPr>
          <w:t>5.7. Impuestos, tasas, precios públicos y otros ingresos</w:t>
        </w:r>
        <w:r>
          <w:rPr>
            <w:noProof/>
            <w:webHidden/>
          </w:rPr>
          <w:tab/>
        </w:r>
        <w:r>
          <w:rPr>
            <w:noProof/>
            <w:webHidden/>
          </w:rPr>
          <w:fldChar w:fldCharType="begin"/>
        </w:r>
        <w:r>
          <w:rPr>
            <w:noProof/>
            <w:webHidden/>
          </w:rPr>
          <w:instrText xml:space="preserve"> PAGEREF _Toc182464285 \h </w:instrText>
        </w:r>
        <w:r>
          <w:rPr>
            <w:noProof/>
            <w:webHidden/>
          </w:rPr>
        </w:r>
        <w:r>
          <w:rPr>
            <w:noProof/>
            <w:webHidden/>
          </w:rPr>
          <w:fldChar w:fldCharType="separate"/>
        </w:r>
        <w:r w:rsidR="00845FE3">
          <w:rPr>
            <w:noProof/>
            <w:webHidden/>
          </w:rPr>
          <w:t>85</w:t>
        </w:r>
        <w:r>
          <w:rPr>
            <w:noProof/>
            <w:webHidden/>
          </w:rPr>
          <w:fldChar w:fldCharType="end"/>
        </w:r>
      </w:hyperlink>
    </w:p>
    <w:p w14:paraId="27374EC4" w14:textId="77777777" w:rsidR="00653EE1" w:rsidRDefault="00653EE1" w:rsidP="00653EE1">
      <w:pPr>
        <w:pStyle w:val="TDC2"/>
        <w:rPr>
          <w:rFonts w:asciiTheme="minorHAnsi" w:eastAsiaTheme="minorEastAsia" w:hAnsiTheme="minorHAnsi" w:cstheme="minorBidi"/>
          <w:noProof/>
          <w:szCs w:val="22"/>
        </w:rPr>
      </w:pPr>
      <w:hyperlink w:anchor="_Toc182464286" w:history="1">
        <w:r w:rsidRPr="006B21AD">
          <w:rPr>
            <w:rStyle w:val="Hipervnculo"/>
            <w:noProof/>
          </w:rPr>
          <w:t>5.8. Otros ingresos</w:t>
        </w:r>
        <w:r>
          <w:rPr>
            <w:noProof/>
            <w:webHidden/>
          </w:rPr>
          <w:tab/>
        </w:r>
        <w:r>
          <w:rPr>
            <w:noProof/>
            <w:webHidden/>
          </w:rPr>
          <w:fldChar w:fldCharType="begin"/>
        </w:r>
        <w:r>
          <w:rPr>
            <w:noProof/>
            <w:webHidden/>
          </w:rPr>
          <w:instrText xml:space="preserve"> PAGEREF _Toc182464286 \h </w:instrText>
        </w:r>
        <w:r>
          <w:rPr>
            <w:noProof/>
            <w:webHidden/>
          </w:rPr>
        </w:r>
        <w:r>
          <w:rPr>
            <w:noProof/>
            <w:webHidden/>
          </w:rPr>
          <w:fldChar w:fldCharType="separate"/>
        </w:r>
        <w:r w:rsidR="00845FE3">
          <w:rPr>
            <w:noProof/>
            <w:webHidden/>
          </w:rPr>
          <w:t>90</w:t>
        </w:r>
        <w:r>
          <w:rPr>
            <w:noProof/>
            <w:webHidden/>
          </w:rPr>
          <w:fldChar w:fldCharType="end"/>
        </w:r>
      </w:hyperlink>
    </w:p>
    <w:p w14:paraId="0FD5829B" w14:textId="77777777" w:rsidR="00653EE1" w:rsidRDefault="00653EE1" w:rsidP="00653EE1">
      <w:pPr>
        <w:pStyle w:val="TDC2"/>
        <w:rPr>
          <w:rFonts w:asciiTheme="minorHAnsi" w:eastAsiaTheme="minorEastAsia" w:hAnsiTheme="minorHAnsi" w:cstheme="minorBidi"/>
          <w:noProof/>
          <w:szCs w:val="22"/>
        </w:rPr>
      </w:pPr>
      <w:hyperlink w:anchor="_Toc182464287" w:history="1">
        <w:r w:rsidRPr="006B21AD">
          <w:rPr>
            <w:rStyle w:val="Hipervnculo"/>
            <w:noProof/>
          </w:rPr>
          <w:t>5.9 Deudores y acreedores a corto plazo</w:t>
        </w:r>
        <w:r>
          <w:rPr>
            <w:noProof/>
            <w:webHidden/>
          </w:rPr>
          <w:tab/>
        </w:r>
        <w:r>
          <w:rPr>
            <w:noProof/>
            <w:webHidden/>
          </w:rPr>
          <w:fldChar w:fldCharType="begin"/>
        </w:r>
        <w:r>
          <w:rPr>
            <w:noProof/>
            <w:webHidden/>
          </w:rPr>
          <w:instrText xml:space="preserve"> PAGEREF _Toc182464287 \h </w:instrText>
        </w:r>
        <w:r>
          <w:rPr>
            <w:noProof/>
            <w:webHidden/>
          </w:rPr>
        </w:r>
        <w:r>
          <w:rPr>
            <w:noProof/>
            <w:webHidden/>
          </w:rPr>
          <w:fldChar w:fldCharType="separate"/>
        </w:r>
        <w:r w:rsidR="00845FE3">
          <w:rPr>
            <w:noProof/>
            <w:webHidden/>
          </w:rPr>
          <w:t>92</w:t>
        </w:r>
        <w:r>
          <w:rPr>
            <w:noProof/>
            <w:webHidden/>
          </w:rPr>
          <w:fldChar w:fldCharType="end"/>
        </w:r>
      </w:hyperlink>
    </w:p>
    <w:p w14:paraId="0D004024" w14:textId="77777777" w:rsidR="00653EE1" w:rsidRDefault="00653EE1" w:rsidP="00653EE1">
      <w:pPr>
        <w:pStyle w:val="TDC2"/>
        <w:rPr>
          <w:rFonts w:asciiTheme="minorHAnsi" w:eastAsiaTheme="minorEastAsia" w:hAnsiTheme="minorHAnsi" w:cstheme="minorBidi"/>
          <w:noProof/>
          <w:szCs w:val="22"/>
        </w:rPr>
      </w:pPr>
      <w:hyperlink w:anchor="_Toc182464288" w:history="1">
        <w:r w:rsidRPr="006B21AD">
          <w:rPr>
            <w:rStyle w:val="Hipervnculo"/>
            <w:noProof/>
          </w:rPr>
          <w:t>5.10 Tesorería</w:t>
        </w:r>
        <w:r>
          <w:rPr>
            <w:noProof/>
            <w:webHidden/>
          </w:rPr>
          <w:tab/>
        </w:r>
        <w:r>
          <w:rPr>
            <w:noProof/>
            <w:webHidden/>
          </w:rPr>
          <w:fldChar w:fldCharType="begin"/>
        </w:r>
        <w:r>
          <w:rPr>
            <w:noProof/>
            <w:webHidden/>
          </w:rPr>
          <w:instrText xml:space="preserve"> PAGEREF _Toc182464288 \h </w:instrText>
        </w:r>
        <w:r>
          <w:rPr>
            <w:noProof/>
            <w:webHidden/>
          </w:rPr>
        </w:r>
        <w:r>
          <w:rPr>
            <w:noProof/>
            <w:webHidden/>
          </w:rPr>
          <w:fldChar w:fldCharType="separate"/>
        </w:r>
        <w:r w:rsidR="00845FE3">
          <w:rPr>
            <w:noProof/>
            <w:webHidden/>
          </w:rPr>
          <w:t>94</w:t>
        </w:r>
        <w:r>
          <w:rPr>
            <w:noProof/>
            <w:webHidden/>
          </w:rPr>
          <w:fldChar w:fldCharType="end"/>
        </w:r>
      </w:hyperlink>
    </w:p>
    <w:p w14:paraId="5DA951A9" w14:textId="77777777" w:rsidR="00653EE1" w:rsidRDefault="00653EE1" w:rsidP="00653EE1">
      <w:pPr>
        <w:pStyle w:val="TDC2"/>
        <w:rPr>
          <w:rFonts w:asciiTheme="minorHAnsi" w:eastAsiaTheme="minorEastAsia" w:hAnsiTheme="minorHAnsi" w:cstheme="minorBidi"/>
          <w:noProof/>
          <w:szCs w:val="22"/>
        </w:rPr>
      </w:pPr>
      <w:hyperlink w:anchor="_Toc182464289" w:history="1">
        <w:r w:rsidRPr="006B21AD">
          <w:rPr>
            <w:rStyle w:val="Hipervnculo"/>
            <w:noProof/>
          </w:rPr>
          <w:t>5.11 Endeudamiento y otras operaciones financieras</w:t>
        </w:r>
        <w:r>
          <w:rPr>
            <w:noProof/>
            <w:webHidden/>
          </w:rPr>
          <w:tab/>
        </w:r>
        <w:r>
          <w:rPr>
            <w:noProof/>
            <w:webHidden/>
          </w:rPr>
          <w:fldChar w:fldCharType="begin"/>
        </w:r>
        <w:r>
          <w:rPr>
            <w:noProof/>
            <w:webHidden/>
          </w:rPr>
          <w:instrText xml:space="preserve"> PAGEREF _Toc182464289 \h </w:instrText>
        </w:r>
        <w:r>
          <w:rPr>
            <w:noProof/>
            <w:webHidden/>
          </w:rPr>
        </w:r>
        <w:r>
          <w:rPr>
            <w:noProof/>
            <w:webHidden/>
          </w:rPr>
          <w:fldChar w:fldCharType="separate"/>
        </w:r>
        <w:r w:rsidR="00845FE3">
          <w:rPr>
            <w:noProof/>
            <w:webHidden/>
          </w:rPr>
          <w:t>95</w:t>
        </w:r>
        <w:r>
          <w:rPr>
            <w:noProof/>
            <w:webHidden/>
          </w:rPr>
          <w:fldChar w:fldCharType="end"/>
        </w:r>
      </w:hyperlink>
    </w:p>
    <w:p w14:paraId="43AE9D28" w14:textId="77777777" w:rsidR="00653EE1" w:rsidRDefault="00653EE1" w:rsidP="00653EE1">
      <w:pPr>
        <w:pStyle w:val="TDC2"/>
        <w:rPr>
          <w:rFonts w:asciiTheme="minorHAnsi" w:eastAsiaTheme="minorEastAsia" w:hAnsiTheme="minorHAnsi" w:cstheme="minorBidi"/>
          <w:noProof/>
          <w:szCs w:val="22"/>
        </w:rPr>
      </w:pPr>
      <w:hyperlink w:anchor="_Toc182464290" w:history="1">
        <w:r w:rsidRPr="006B21AD">
          <w:rPr>
            <w:rStyle w:val="Hipervnculo"/>
            <w:noProof/>
          </w:rPr>
          <w:t>5.12 Sociedades Públicas y Fundaciones Públicas</w:t>
        </w:r>
        <w:r>
          <w:rPr>
            <w:noProof/>
            <w:webHidden/>
          </w:rPr>
          <w:tab/>
        </w:r>
        <w:r>
          <w:rPr>
            <w:noProof/>
            <w:webHidden/>
          </w:rPr>
          <w:fldChar w:fldCharType="begin"/>
        </w:r>
        <w:r>
          <w:rPr>
            <w:noProof/>
            <w:webHidden/>
          </w:rPr>
          <w:instrText xml:space="preserve"> PAGEREF _Toc182464290 \h </w:instrText>
        </w:r>
        <w:r>
          <w:rPr>
            <w:noProof/>
            <w:webHidden/>
          </w:rPr>
        </w:r>
        <w:r>
          <w:rPr>
            <w:noProof/>
            <w:webHidden/>
          </w:rPr>
          <w:fldChar w:fldCharType="separate"/>
        </w:r>
        <w:r w:rsidR="00845FE3">
          <w:rPr>
            <w:noProof/>
            <w:webHidden/>
          </w:rPr>
          <w:t>99</w:t>
        </w:r>
        <w:r>
          <w:rPr>
            <w:noProof/>
            <w:webHidden/>
          </w:rPr>
          <w:fldChar w:fldCharType="end"/>
        </w:r>
      </w:hyperlink>
    </w:p>
    <w:p w14:paraId="1CCFDC6D" w14:textId="77777777" w:rsidR="00653EE1" w:rsidRDefault="00653EE1" w:rsidP="00653EE1">
      <w:pPr>
        <w:pStyle w:val="TDC1"/>
        <w:spacing w:before="0" w:after="0"/>
        <w:rPr>
          <w:rFonts w:asciiTheme="minorHAnsi" w:eastAsiaTheme="minorEastAsia" w:hAnsiTheme="minorHAnsi" w:cstheme="minorBidi"/>
          <w:smallCaps w:val="0"/>
          <w:noProof/>
          <w:szCs w:val="22"/>
        </w:rPr>
      </w:pPr>
      <w:hyperlink w:anchor="_Toc182464291" w:history="1">
        <w:r w:rsidRPr="006B21AD">
          <w:rPr>
            <w:rStyle w:val="Hipervnculo"/>
            <w:noProof/>
          </w:rPr>
          <w:t>Apéndice 6. Contrato de obra “Duplicación del Túnel de Belate”</w:t>
        </w:r>
        <w:r>
          <w:rPr>
            <w:noProof/>
            <w:webHidden/>
          </w:rPr>
          <w:tab/>
        </w:r>
        <w:r>
          <w:rPr>
            <w:noProof/>
            <w:webHidden/>
          </w:rPr>
          <w:fldChar w:fldCharType="begin"/>
        </w:r>
        <w:r>
          <w:rPr>
            <w:noProof/>
            <w:webHidden/>
          </w:rPr>
          <w:instrText xml:space="preserve"> PAGEREF _Toc182464291 \h </w:instrText>
        </w:r>
        <w:r>
          <w:rPr>
            <w:noProof/>
            <w:webHidden/>
          </w:rPr>
        </w:r>
        <w:r>
          <w:rPr>
            <w:noProof/>
            <w:webHidden/>
          </w:rPr>
          <w:fldChar w:fldCharType="separate"/>
        </w:r>
        <w:r w:rsidR="00845FE3">
          <w:rPr>
            <w:noProof/>
            <w:webHidden/>
          </w:rPr>
          <w:t>116</w:t>
        </w:r>
        <w:r>
          <w:rPr>
            <w:noProof/>
            <w:webHidden/>
          </w:rPr>
          <w:fldChar w:fldCharType="end"/>
        </w:r>
      </w:hyperlink>
    </w:p>
    <w:p w14:paraId="6D4813B7" w14:textId="77777777" w:rsidR="00653EE1" w:rsidRDefault="00653EE1" w:rsidP="00653EE1">
      <w:pPr>
        <w:pStyle w:val="TDC1"/>
        <w:spacing w:before="0" w:after="0"/>
        <w:rPr>
          <w:rStyle w:val="Hipervnculo"/>
          <w:noProof/>
        </w:rPr>
      </w:pPr>
      <w:hyperlink w:anchor="_Toc182464292" w:history="1">
        <w:r w:rsidRPr="006B21AD">
          <w:rPr>
            <w:rStyle w:val="Hipervnculo"/>
            <w:noProof/>
          </w:rPr>
          <w:t>Apéndice 7. Muestra de expedientes de contratación</w:t>
        </w:r>
        <w:r>
          <w:rPr>
            <w:noProof/>
            <w:webHidden/>
          </w:rPr>
          <w:tab/>
        </w:r>
        <w:r>
          <w:rPr>
            <w:noProof/>
            <w:webHidden/>
          </w:rPr>
          <w:fldChar w:fldCharType="begin"/>
        </w:r>
        <w:r>
          <w:rPr>
            <w:noProof/>
            <w:webHidden/>
          </w:rPr>
          <w:instrText xml:space="preserve"> PAGEREF _Toc182464292 \h </w:instrText>
        </w:r>
        <w:r>
          <w:rPr>
            <w:noProof/>
            <w:webHidden/>
          </w:rPr>
        </w:r>
        <w:r>
          <w:rPr>
            <w:noProof/>
            <w:webHidden/>
          </w:rPr>
          <w:fldChar w:fldCharType="separate"/>
        </w:r>
        <w:r w:rsidR="00845FE3">
          <w:rPr>
            <w:noProof/>
            <w:webHidden/>
          </w:rPr>
          <w:t>124</w:t>
        </w:r>
        <w:r>
          <w:rPr>
            <w:noProof/>
            <w:webHidden/>
          </w:rPr>
          <w:fldChar w:fldCharType="end"/>
        </w:r>
      </w:hyperlink>
    </w:p>
    <w:p w14:paraId="012956AF" w14:textId="77777777" w:rsidR="00653EE1" w:rsidRPr="00653EE1" w:rsidRDefault="00653EE1" w:rsidP="00653EE1">
      <w:pPr>
        <w:rPr>
          <w:rFonts w:eastAsiaTheme="minorEastAsia"/>
        </w:rPr>
      </w:pPr>
    </w:p>
    <w:p w14:paraId="29EF2D26" w14:textId="77777777" w:rsidR="00653EE1" w:rsidRDefault="00653EE1" w:rsidP="00653EE1">
      <w:pPr>
        <w:pStyle w:val="TDC1"/>
        <w:spacing w:before="0" w:after="0"/>
        <w:rPr>
          <w:rFonts w:asciiTheme="minorHAnsi" w:eastAsiaTheme="minorEastAsia" w:hAnsiTheme="minorHAnsi" w:cstheme="minorBidi"/>
          <w:smallCaps w:val="0"/>
          <w:noProof/>
          <w:szCs w:val="22"/>
        </w:rPr>
      </w:pPr>
      <w:hyperlink w:anchor="_Toc182464293" w:history="1">
        <w:r w:rsidRPr="006B21AD">
          <w:rPr>
            <w:rStyle w:val="Hipervnculo"/>
            <w:noProof/>
          </w:rPr>
          <w:t>Alegaciones formuladas al Informe Provisional</w:t>
        </w:r>
        <w:r>
          <w:rPr>
            <w:noProof/>
            <w:webHidden/>
          </w:rPr>
          <w:tab/>
        </w:r>
      </w:hyperlink>
    </w:p>
    <w:p w14:paraId="57A3DFC6" w14:textId="77777777" w:rsidR="00653EE1" w:rsidRDefault="00653EE1" w:rsidP="00653EE1">
      <w:pPr>
        <w:pStyle w:val="TDC1"/>
        <w:spacing w:before="0" w:after="0"/>
        <w:rPr>
          <w:rFonts w:asciiTheme="minorHAnsi" w:eastAsiaTheme="minorEastAsia" w:hAnsiTheme="minorHAnsi" w:cstheme="minorBidi"/>
          <w:smallCaps w:val="0"/>
          <w:noProof/>
          <w:szCs w:val="22"/>
        </w:rPr>
      </w:pPr>
      <w:hyperlink w:anchor="_Toc182464294" w:history="1">
        <w:r w:rsidRPr="006B21AD">
          <w:rPr>
            <w:rStyle w:val="Hipervnculo"/>
            <w:noProof/>
          </w:rPr>
          <w:t>Contestación de la Cámara de Comptos a las alegaciones presentadas al Informe Provisional</w:t>
        </w:r>
        <w:r>
          <w:rPr>
            <w:noProof/>
            <w:webHidden/>
          </w:rPr>
          <w:tab/>
        </w:r>
      </w:hyperlink>
    </w:p>
    <w:p w14:paraId="44CC9385" w14:textId="77777777" w:rsidR="00653EE1" w:rsidRDefault="00653EE1" w:rsidP="00653EE1">
      <w:pPr>
        <w:pStyle w:val="TDC1"/>
        <w:spacing w:before="0" w:after="0"/>
        <w:rPr>
          <w:rFonts w:asciiTheme="minorHAnsi" w:eastAsiaTheme="minorEastAsia" w:hAnsiTheme="minorHAnsi" w:cstheme="minorBidi"/>
          <w:smallCaps w:val="0"/>
          <w:noProof/>
          <w:szCs w:val="22"/>
        </w:rPr>
      </w:pPr>
      <w:hyperlink w:anchor="_Toc182464295" w:history="1">
        <w:r w:rsidRPr="006B21AD">
          <w:rPr>
            <w:rStyle w:val="Hipervnculo"/>
            <w:noProof/>
          </w:rPr>
          <w:t>Resumen de la Memoria de la Cuenta General de 2023</w:t>
        </w:r>
        <w:r>
          <w:rPr>
            <w:noProof/>
            <w:webHidden/>
          </w:rPr>
          <w:tab/>
        </w:r>
      </w:hyperlink>
    </w:p>
    <w:p w14:paraId="77443CB7" w14:textId="77777777" w:rsidR="008E3FFE" w:rsidRDefault="0014728F" w:rsidP="00653EE1">
      <w:pPr>
        <w:pStyle w:val="texto"/>
        <w:sectPr w:rsidR="008E3FFE" w:rsidSect="00160F66">
          <w:type w:val="oddPage"/>
          <w:pgSz w:w="11907" w:h="16840" w:code="9"/>
          <w:pgMar w:top="2109" w:right="1559" w:bottom="1644" w:left="1559" w:header="369" w:footer="402" w:gutter="0"/>
          <w:pgNumType w:start="3"/>
          <w:cols w:space="720"/>
          <w:docGrid w:linePitch="360"/>
        </w:sectPr>
      </w:pPr>
      <w:r>
        <w:fldChar w:fldCharType="end"/>
      </w:r>
    </w:p>
    <w:p w14:paraId="0FDA2BCC" w14:textId="77777777" w:rsidR="00614DC4" w:rsidRDefault="001728D0" w:rsidP="00614DC4">
      <w:pPr>
        <w:pStyle w:val="atitulo1"/>
      </w:pPr>
      <w:r>
        <w:lastRenderedPageBreak/>
        <w:t xml:space="preserve"> </w:t>
      </w:r>
      <w:bookmarkStart w:id="0" w:name="_Toc146471220"/>
      <w:bookmarkStart w:id="1" w:name="_Toc52267351"/>
      <w:bookmarkStart w:id="2" w:name="_Toc182464254"/>
      <w:r w:rsidR="00614DC4">
        <w:t>I. Introducción</w:t>
      </w:r>
      <w:bookmarkEnd w:id="0"/>
      <w:bookmarkEnd w:id="1"/>
      <w:bookmarkEnd w:id="2"/>
      <w:r w:rsidR="00614DC4">
        <w:t xml:space="preserve"> </w:t>
      </w:r>
    </w:p>
    <w:p w14:paraId="3FCEF991" w14:textId="77777777" w:rsidR="00614DC4" w:rsidRPr="00676DCB" w:rsidRDefault="00614DC4" w:rsidP="00AF3506">
      <w:pPr>
        <w:pStyle w:val="texto"/>
        <w:spacing w:after="120"/>
        <w:jc w:val="both"/>
      </w:pPr>
      <w:r w:rsidRPr="00676DCB">
        <w:t>La Cámara de Comptos, de conformidad con la Ley Foral 19/1984, de 20 de diciembre, y de acuerdo con su programa de actuación para 202</w:t>
      </w:r>
      <w:r w:rsidR="00802F88" w:rsidRPr="00676DCB">
        <w:t>4</w:t>
      </w:r>
      <w:r w:rsidRPr="00676DCB">
        <w:t>, ha fiscalizado las Cuentas Generales en combinación con una fiscalización del cumplimiento de legalidad de la Administración de la Comunidad Foral de Navarra (ACFN en adelante) y sus entes dependientes correspondiente al ejercicio 202</w:t>
      </w:r>
      <w:r w:rsidR="00802F88" w:rsidRPr="00676DCB">
        <w:t>3</w:t>
      </w:r>
      <w:r w:rsidRPr="00676DCB">
        <w:t>.</w:t>
      </w:r>
    </w:p>
    <w:p w14:paraId="0248FBF5" w14:textId="77777777" w:rsidR="00614DC4" w:rsidRDefault="00614DC4" w:rsidP="002D27FA">
      <w:pPr>
        <w:pStyle w:val="texto"/>
        <w:spacing w:after="120"/>
        <w:jc w:val="both"/>
      </w:pPr>
      <w:r>
        <w:t xml:space="preserve">El trabajo de campo lo realizó entre </w:t>
      </w:r>
      <w:r w:rsidR="00542B26">
        <w:t xml:space="preserve">junio </w:t>
      </w:r>
      <w:r>
        <w:t>y septiembre de 202</w:t>
      </w:r>
      <w:r w:rsidR="00802F88">
        <w:t>4</w:t>
      </w:r>
      <w:r>
        <w:t xml:space="preserve"> un equipo dirigido por un auditor en el </w:t>
      </w:r>
      <w:r w:rsidR="00680EE5">
        <w:t>que han participado seis técnic</w:t>
      </w:r>
      <w:r>
        <w:t>as de auditoría, un técnico superior y un</w:t>
      </w:r>
      <w:r w:rsidR="003F4319">
        <w:t>a</w:t>
      </w:r>
      <w:r>
        <w:t xml:space="preserve"> </w:t>
      </w:r>
      <w:r w:rsidR="00DD722E">
        <w:t xml:space="preserve">técnica </w:t>
      </w:r>
      <w:r>
        <w:t>de grado medio en sistemas informáticos. También se ha contado con la colaboración de los servicios jurídicos y administrativos de la Cámara.</w:t>
      </w:r>
    </w:p>
    <w:p w14:paraId="44F69608" w14:textId="77777777" w:rsidR="00750A0E" w:rsidRPr="005E2D29" w:rsidRDefault="00750A0E" w:rsidP="002D27FA">
      <w:pPr>
        <w:pStyle w:val="texto"/>
        <w:spacing w:after="120"/>
        <w:jc w:val="both"/>
      </w:pPr>
      <w:r w:rsidRPr="005E2D29">
        <w:t xml:space="preserve">Los resultados de esta actuación se pusieron de manifiesto al consejero del Departamento de Economía y Hacienda del Gobierno de Navarra para que </w:t>
      </w:r>
      <w:proofErr w:type="spellStart"/>
      <w:r w:rsidRPr="005E2D29">
        <w:t>for</w:t>
      </w:r>
      <w:proofErr w:type="spellEnd"/>
      <w:r w:rsidRPr="005E2D29">
        <w:t xml:space="preserve"> </w:t>
      </w:r>
      <w:proofErr w:type="spellStart"/>
      <w:r w:rsidRPr="005E2D29">
        <w:t>mulase</w:t>
      </w:r>
      <w:r w:rsidR="002C091C">
        <w:t>n</w:t>
      </w:r>
      <w:proofErr w:type="spellEnd"/>
      <w:r w:rsidRPr="005E2D29">
        <w:t xml:space="preserve">, en su caso, las alegaciones que estimase oportunas, de conformidad con lo previsto en el art. 11.2 de la Ley Foral 19/1984, </w:t>
      </w:r>
      <w:r w:rsidR="005E2D29" w:rsidRPr="005E2D29">
        <w:t xml:space="preserve">de 20 de diciembre, </w:t>
      </w:r>
      <w:r w:rsidRPr="005E2D29">
        <w:t xml:space="preserve">de la Cámara de Comptos de Navarra. </w:t>
      </w:r>
    </w:p>
    <w:p w14:paraId="42E69B4F" w14:textId="77777777" w:rsidR="00750A0E" w:rsidRPr="005E2D29" w:rsidRDefault="00750A0E" w:rsidP="002D27FA">
      <w:pPr>
        <w:pStyle w:val="texto"/>
        <w:spacing w:after="120"/>
        <w:jc w:val="both"/>
      </w:pPr>
      <w:r w:rsidRPr="005E2D29">
        <w:t>Transcurrido el plazo fijado ha</w:t>
      </w:r>
      <w:r w:rsidR="005E2D29" w:rsidRPr="005E2D29">
        <w:t>n presentado alegaciones la Secretaría General T</w:t>
      </w:r>
      <w:r w:rsidRPr="005E2D29">
        <w:t>écnica del citado departamento, el Servicio Navarro de Salud-</w:t>
      </w:r>
      <w:proofErr w:type="spellStart"/>
      <w:r w:rsidRPr="005E2D29">
        <w:t>Osansubidea</w:t>
      </w:r>
      <w:proofErr w:type="spellEnd"/>
      <w:r w:rsidRPr="005E2D29">
        <w:t xml:space="preserve"> del Departamento de Salud y la Corporación Pública Empresarial de Navarra, las cuales se incorporan a este informe junto con la respuesta de esta Cámara. </w:t>
      </w:r>
    </w:p>
    <w:p w14:paraId="23E0ED7C" w14:textId="77777777" w:rsidR="00614DC4" w:rsidRDefault="00614DC4" w:rsidP="002D27FA">
      <w:pPr>
        <w:pStyle w:val="texto"/>
        <w:spacing w:after="120"/>
        <w:jc w:val="both"/>
      </w:pPr>
      <w:r>
        <w:t>Agradecemos al personal de la ACFN, de sus organismos autónomos (</w:t>
      </w:r>
      <w:r w:rsidR="00DD722E">
        <w:t xml:space="preserve">en adelante </w:t>
      </w:r>
      <w:r>
        <w:t xml:space="preserve">OOAA), </w:t>
      </w:r>
      <w:proofErr w:type="gramStart"/>
      <w:r>
        <w:t>sociedades públicas y fundaciones públicas</w:t>
      </w:r>
      <w:proofErr w:type="gramEnd"/>
      <w:r>
        <w:t xml:space="preserve"> la colaboración prestada en la realización del presente trabajo.</w:t>
      </w:r>
    </w:p>
    <w:p w14:paraId="070361FA" w14:textId="77777777" w:rsidR="00614DC4" w:rsidRDefault="00614DC4" w:rsidP="00286F49">
      <w:pPr>
        <w:pStyle w:val="texto"/>
        <w:jc w:val="both"/>
      </w:pPr>
      <w:r>
        <w:t>En relación con los importes monetarios del informe, se ha efectuado un redondeo para no mostrar los céntimos. Los datos representan siempre el redondeo de cada valor exacto y no la suma de datos redondeados. Los porcentajes también se calculan sobre los valores exactos y no sobre los redondeos.</w:t>
      </w:r>
    </w:p>
    <w:p w14:paraId="27D26294" w14:textId="77777777" w:rsidR="00614DC4" w:rsidRDefault="00614DC4" w:rsidP="00286F49">
      <w:pPr>
        <w:jc w:val="both"/>
        <w:rPr>
          <w:spacing w:val="6"/>
          <w:sz w:val="26"/>
        </w:rPr>
      </w:pPr>
      <w:r>
        <w:br w:type="page"/>
      </w:r>
    </w:p>
    <w:p w14:paraId="4D1C886E" w14:textId="77777777" w:rsidR="00614DC4" w:rsidRDefault="00614DC4" w:rsidP="00286F49">
      <w:pPr>
        <w:pStyle w:val="atitulo1"/>
        <w:jc w:val="both"/>
      </w:pPr>
      <w:bookmarkStart w:id="3" w:name="_Toc525907428"/>
      <w:bookmarkStart w:id="4" w:name="_Toc146471221"/>
      <w:bookmarkStart w:id="5" w:name="_Toc52267356"/>
      <w:bookmarkStart w:id="6" w:name="_Toc182464255"/>
      <w:bookmarkStart w:id="7" w:name="_Toc52267352"/>
      <w:bookmarkStart w:id="8" w:name="_Toc525907426"/>
      <w:r>
        <w:lastRenderedPageBreak/>
        <w:t xml:space="preserve">II. </w:t>
      </w:r>
      <w:bookmarkEnd w:id="3"/>
      <w:r>
        <w:t>Objetivo y alcance</w:t>
      </w:r>
      <w:bookmarkEnd w:id="4"/>
      <w:bookmarkEnd w:id="5"/>
      <w:bookmarkEnd w:id="6"/>
    </w:p>
    <w:p w14:paraId="5AAAB46F" w14:textId="77777777" w:rsidR="00614DC4" w:rsidRDefault="00614DC4" w:rsidP="00676DCB">
      <w:pPr>
        <w:pStyle w:val="texto"/>
        <w:spacing w:after="120"/>
        <w:jc w:val="both"/>
      </w:pPr>
      <w:r>
        <w:t>El objetivo de nuestro trabajo ha sido emitir una opinión sobre:</w:t>
      </w:r>
    </w:p>
    <w:p w14:paraId="61D8E34F" w14:textId="77777777" w:rsidR="00614DC4" w:rsidRPr="009A38AE"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9A38AE">
        <w:rPr>
          <w:rFonts w:cs="Arial"/>
          <w:lang w:val="es-ES_tradnl" w:eastAsia="en-US"/>
        </w:rPr>
        <w:t>Si las Cuentas Generales de la ACFN y sus OOAA correspondientes al ejercicio 202</w:t>
      </w:r>
      <w:r w:rsidR="00802F88" w:rsidRPr="009A38AE">
        <w:rPr>
          <w:rFonts w:cs="Arial"/>
          <w:lang w:val="es-ES_tradnl" w:eastAsia="en-US"/>
        </w:rPr>
        <w:t>3</w:t>
      </w:r>
      <w:r w:rsidRPr="009A38AE">
        <w:rPr>
          <w:rFonts w:cs="Arial"/>
          <w:lang w:val="es-ES_tradnl" w:eastAsia="en-US"/>
        </w:rPr>
        <w:t xml:space="preserve"> expresan, en todos sus aspectos significativos, la imagen fiel del patrimonio, de la situación financiera, de la liquidación del presupuesto y del resultado económico a 31 de diciembre de 202</w:t>
      </w:r>
      <w:r w:rsidR="00802F88" w:rsidRPr="009A38AE">
        <w:rPr>
          <w:rFonts w:cs="Arial"/>
          <w:lang w:val="es-ES_tradnl" w:eastAsia="en-US"/>
        </w:rPr>
        <w:t>3</w:t>
      </w:r>
      <w:r w:rsidRPr="009A38AE">
        <w:rPr>
          <w:rFonts w:cs="Arial"/>
          <w:lang w:val="es-ES_tradnl" w:eastAsia="en-US"/>
        </w:rPr>
        <w:t xml:space="preserve"> de conformidad con el marco normativo que resulta de aplicación y, en particular, con los principios y criterios contables y presupuestarios contenidos en el mismo. </w:t>
      </w:r>
    </w:p>
    <w:p w14:paraId="5895377F" w14:textId="77777777" w:rsidR="009A38AE" w:rsidRPr="009A38AE"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9A38AE">
        <w:rPr>
          <w:rFonts w:cs="Arial"/>
          <w:lang w:val="es-ES_tradnl" w:eastAsia="en-US"/>
        </w:rPr>
        <w:t>Si las actividades, operaciones presupuestarias y financieras realizadas por la ACFN y sus entes dependien</w:t>
      </w:r>
      <w:r w:rsidR="00802F88" w:rsidRPr="009A38AE">
        <w:rPr>
          <w:rFonts w:cs="Arial"/>
          <w:lang w:val="es-ES_tradnl" w:eastAsia="en-US"/>
        </w:rPr>
        <w:t>tes durante el ejercicio de 2023</w:t>
      </w:r>
      <w:r w:rsidRPr="009A38AE">
        <w:rPr>
          <w:rFonts w:cs="Arial"/>
          <w:lang w:val="es-ES_tradnl" w:eastAsia="en-US"/>
        </w:rPr>
        <w:t xml:space="preserve"> y la información reflejada en las Cuentas Generales resultan conformes, en todos los aspectos significativos, con las normas aplicables a la gestión de los fondos públicos.</w:t>
      </w:r>
    </w:p>
    <w:p w14:paraId="6F7EEF41" w14:textId="77777777" w:rsidR="00614DC4" w:rsidRPr="00A208A5" w:rsidRDefault="00614DC4" w:rsidP="00676DCB">
      <w:pPr>
        <w:pStyle w:val="texto"/>
        <w:spacing w:after="120"/>
        <w:jc w:val="both"/>
      </w:pPr>
      <w:r w:rsidRPr="00A208A5">
        <w:t>El alcance del trabajo lo han formado las Cuentas Generales del ejercicio 202</w:t>
      </w:r>
      <w:r w:rsidR="00802F88" w:rsidRPr="00A208A5">
        <w:t>3</w:t>
      </w:r>
      <w:r w:rsidRPr="00A208A5">
        <w:t xml:space="preserve"> y las operaciones relacionadas con las muestras indicadas en el Apéndice 5.</w:t>
      </w:r>
    </w:p>
    <w:p w14:paraId="73AD94EF" w14:textId="77777777" w:rsidR="00B21024" w:rsidRDefault="00B21024" w:rsidP="00676DCB">
      <w:pPr>
        <w:pStyle w:val="texto"/>
        <w:spacing w:after="120"/>
        <w:jc w:val="both"/>
      </w:pPr>
      <w:r>
        <w:t>Asimismo, forman parte del alcance de esta fiscalización las siguientes peticiones parlamentarias presentadas por el Grupo Parlamentario Unión del Pueblo</w:t>
      </w:r>
      <w:r w:rsidR="00575C94">
        <w:t xml:space="preserve"> Navarro (UPN) y que esta Cámara ha decidido analizarlas en el contexto de las Cuentas Generales: </w:t>
      </w:r>
    </w:p>
    <w:p w14:paraId="65378CA2" w14:textId="77777777" w:rsidR="00A208A5" w:rsidRPr="00575C94" w:rsidRDefault="00501AE4" w:rsidP="00676DCB">
      <w:pPr>
        <w:pStyle w:val="texto"/>
        <w:spacing w:after="120"/>
        <w:jc w:val="both"/>
      </w:pPr>
      <w:r w:rsidRPr="00575C94">
        <w:t xml:space="preserve">- </w:t>
      </w:r>
      <w:r w:rsidR="00A208A5" w:rsidRPr="00575C94">
        <w:t xml:space="preserve">Cuentas del Servicio Navarro de Salud </w:t>
      </w:r>
      <w:r w:rsidR="00A208A5">
        <w:t xml:space="preserve">(en adelante SNS-O) </w:t>
      </w:r>
      <w:r w:rsidR="00A208A5" w:rsidRPr="00575C94">
        <w:t>e</w:t>
      </w:r>
      <w:r w:rsidR="00A208A5">
        <w:t xml:space="preserve">n relación con la productividad, que se analiza en el apartado 5.4 del Apéndice 5 del informe. </w:t>
      </w:r>
    </w:p>
    <w:p w14:paraId="1F1B0DC7" w14:textId="77777777" w:rsidR="00B21024" w:rsidRPr="00575C94" w:rsidRDefault="00A208A5" w:rsidP="00676DCB">
      <w:pPr>
        <w:pStyle w:val="texto"/>
        <w:spacing w:after="120"/>
        <w:jc w:val="both"/>
      </w:pPr>
      <w:r>
        <w:t xml:space="preserve">- </w:t>
      </w:r>
      <w:r w:rsidR="00B21024" w:rsidRPr="00575C94">
        <w:t xml:space="preserve">Grado de cumplimiento del artículo 36 de la Ley Foral 2/2018, de 13 </w:t>
      </w:r>
      <w:r w:rsidR="001B1F5B">
        <w:t>d</w:t>
      </w:r>
      <w:r w:rsidR="00DD722E">
        <w:t xml:space="preserve">e abril, de Contratos Públicos, que se analiza en el apartado 5.5 del Apéndice 5 del informe. </w:t>
      </w:r>
    </w:p>
    <w:p w14:paraId="6BEC467C" w14:textId="77777777" w:rsidR="00501AE4" w:rsidRPr="00575C94" w:rsidRDefault="00501AE4" w:rsidP="00676DCB">
      <w:pPr>
        <w:pStyle w:val="texto"/>
        <w:spacing w:after="120"/>
        <w:jc w:val="both"/>
      </w:pPr>
      <w:r w:rsidRPr="00575C94">
        <w:t xml:space="preserve">- La creación y puesta en marcha de la </w:t>
      </w:r>
      <w:r w:rsidR="00DD722E">
        <w:t xml:space="preserve">sociedad pública </w:t>
      </w:r>
      <w:proofErr w:type="spellStart"/>
      <w:r w:rsidR="00DD722E">
        <w:t>Nafarbide</w:t>
      </w:r>
      <w:proofErr w:type="spellEnd"/>
      <w:r w:rsidR="00DD722E">
        <w:t xml:space="preserve">, que se analiza en el apartado 5.12 del Apéndice 5 del informe. </w:t>
      </w:r>
    </w:p>
    <w:p w14:paraId="6258EFEA" w14:textId="77777777" w:rsidR="00614DC4" w:rsidRDefault="00614DC4" w:rsidP="00676DCB">
      <w:pPr>
        <w:pStyle w:val="texto"/>
        <w:spacing w:after="120"/>
        <w:jc w:val="both"/>
      </w:pPr>
      <w:r>
        <w:t>El alcance temporal del trabajo ha sido el ejercicio 202</w:t>
      </w:r>
      <w:r w:rsidR="00802F88">
        <w:t>3</w:t>
      </w:r>
      <w:r>
        <w:t>, si bien se han efectuado, en su caso, aquellas comprobaciones necesarias sobre otros ejercicios para una mejor consecución de los objetivos establecidos.</w:t>
      </w:r>
    </w:p>
    <w:p w14:paraId="08F8E15E" w14:textId="77777777" w:rsidR="00614DC4" w:rsidRDefault="00614DC4" w:rsidP="00676DCB">
      <w:pPr>
        <w:pStyle w:val="texto"/>
        <w:spacing w:after="120"/>
        <w:jc w:val="both"/>
      </w:pPr>
      <w:r>
        <w:t>Para determinar el alcance de nuestra revisión hemos considerado lo siguiente:</w:t>
      </w:r>
    </w:p>
    <w:p w14:paraId="4EEA8234" w14:textId="77777777" w:rsidR="00614DC4" w:rsidRPr="00E0331B"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E0331B">
        <w:rPr>
          <w:rFonts w:cs="Arial"/>
          <w:lang w:val="es-ES_tradnl" w:eastAsia="en-US"/>
        </w:rPr>
        <w:t>El plan de control interno de la Dirección General de Intervención para 202</w:t>
      </w:r>
      <w:r w:rsidR="00802F88" w:rsidRPr="00E0331B">
        <w:rPr>
          <w:rFonts w:cs="Arial"/>
          <w:lang w:val="es-ES_tradnl" w:eastAsia="en-US"/>
        </w:rPr>
        <w:t>4</w:t>
      </w:r>
      <w:r w:rsidRPr="00E0331B">
        <w:rPr>
          <w:rFonts w:cs="Arial"/>
          <w:lang w:val="es-ES_tradnl" w:eastAsia="en-US"/>
        </w:rPr>
        <w:t xml:space="preserve"> contemplaba los siguientes aspectos referidos a 202</w:t>
      </w:r>
      <w:r w:rsidR="00802F88" w:rsidRPr="00E0331B">
        <w:rPr>
          <w:rFonts w:cs="Arial"/>
          <w:lang w:val="es-ES_tradnl" w:eastAsia="en-US"/>
        </w:rPr>
        <w:t>3</w:t>
      </w:r>
      <w:r w:rsidRPr="00E0331B">
        <w:rPr>
          <w:rFonts w:cs="Arial"/>
          <w:lang w:val="es-ES_tradnl" w:eastAsia="en-US"/>
        </w:rPr>
        <w:t xml:space="preserve">: </w:t>
      </w:r>
    </w:p>
    <w:p w14:paraId="1591E16E" w14:textId="77777777" w:rsidR="00614DC4" w:rsidRDefault="00610592" w:rsidP="00676DCB">
      <w:pPr>
        <w:pStyle w:val="texto"/>
        <w:spacing w:after="120"/>
        <w:jc w:val="both"/>
      </w:pPr>
      <w:r>
        <w:t xml:space="preserve">a) </w:t>
      </w:r>
      <w:r w:rsidR="00614DC4" w:rsidRPr="00E0331B">
        <w:t xml:space="preserve">Realización del control financiero permanente de los gastos y contratos </w:t>
      </w:r>
      <w:r w:rsidR="00E0331B" w:rsidRPr="00E0331B">
        <w:t xml:space="preserve">en régimen de menor cuantía </w:t>
      </w:r>
      <w:r w:rsidR="00614DC4" w:rsidRPr="00E0331B">
        <w:t xml:space="preserve">(tanto del capítulo 2 como del 6) exentos de fiscalización por </w:t>
      </w:r>
      <w:r w:rsidR="009B06E3">
        <w:t xml:space="preserve">127,88 </w:t>
      </w:r>
      <w:r w:rsidR="00614DC4" w:rsidRPr="00E0331B">
        <w:t>millones.</w:t>
      </w:r>
    </w:p>
    <w:p w14:paraId="1881F8F4" w14:textId="77777777" w:rsidR="00614DC4" w:rsidRPr="00E0331B" w:rsidRDefault="00610592" w:rsidP="00676DCB">
      <w:pPr>
        <w:pStyle w:val="texto"/>
        <w:spacing w:after="120"/>
        <w:jc w:val="both"/>
      </w:pPr>
      <w:r>
        <w:t xml:space="preserve">b) </w:t>
      </w:r>
      <w:r w:rsidR="00614DC4" w:rsidRPr="00E0331B">
        <w:t>Análisis de los siguientes gastos declarados exentos de intervención previa: ayudas en materia de viviend</w:t>
      </w:r>
      <w:r w:rsidR="00E0331B" w:rsidRPr="00E0331B">
        <w:t>a y fomento de la edificación (51,22</w:t>
      </w:r>
      <w:r w:rsidR="00614DC4" w:rsidRPr="00E0331B">
        <w:t xml:space="preserve"> millones) y </w:t>
      </w:r>
      <w:r w:rsidR="00614DC4" w:rsidRPr="00E0331B">
        <w:lastRenderedPageBreak/>
        <w:t>ayudas económicas directas a personas físicas reguladas como prestaciones garantizadas (</w:t>
      </w:r>
      <w:r w:rsidR="00E0331B" w:rsidRPr="00E0331B">
        <w:t xml:space="preserve">161,61 </w:t>
      </w:r>
      <w:r w:rsidR="00DD722E">
        <w:t xml:space="preserve">millones). </w:t>
      </w:r>
      <w:r w:rsidR="00614DC4" w:rsidRPr="00E0331B">
        <w:t>Asimismo, revisión de subvenciones menores</w:t>
      </w:r>
      <w:r w:rsidR="00DD722E">
        <w:rPr>
          <w:rStyle w:val="Refdenotaalpie"/>
        </w:rPr>
        <w:footnoteReference w:id="2"/>
      </w:r>
      <w:r w:rsidR="00614DC4" w:rsidRPr="00E0331B">
        <w:t xml:space="preserve"> </w:t>
      </w:r>
      <w:r w:rsidR="00E0331B" w:rsidRPr="00E0331B">
        <w:t xml:space="preserve">137,88 </w:t>
      </w:r>
      <w:r w:rsidR="00614DC4" w:rsidRPr="00E0331B">
        <w:t xml:space="preserve">millones y operaciones de endeudamiento. </w:t>
      </w:r>
    </w:p>
    <w:p w14:paraId="4D3860C3" w14:textId="77777777" w:rsidR="00614DC4" w:rsidRPr="00E0331B"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E0331B">
        <w:rPr>
          <w:rFonts w:cs="Arial"/>
          <w:lang w:val="es-ES_tradnl" w:eastAsia="en-US"/>
        </w:rPr>
        <w:t>Las cuentas anuales de 202</w:t>
      </w:r>
      <w:r w:rsidR="00802F88" w:rsidRPr="00E0331B">
        <w:rPr>
          <w:rFonts w:cs="Arial"/>
          <w:lang w:val="es-ES_tradnl" w:eastAsia="en-US"/>
        </w:rPr>
        <w:t>3</w:t>
      </w:r>
      <w:r w:rsidRPr="00E0331B">
        <w:rPr>
          <w:rFonts w:cs="Arial"/>
          <w:lang w:val="es-ES_tradnl" w:eastAsia="en-US"/>
        </w:rPr>
        <w:t xml:space="preserve"> del Parlamento de Navarra, del Defensor del Pueblo</w:t>
      </w:r>
      <w:r w:rsidR="00802F88" w:rsidRPr="00E0331B">
        <w:rPr>
          <w:rFonts w:cs="Arial"/>
          <w:lang w:val="es-ES_tradnl" w:eastAsia="en-US"/>
        </w:rPr>
        <w:t xml:space="preserve">, </w:t>
      </w:r>
      <w:r w:rsidRPr="00E0331B">
        <w:rPr>
          <w:rFonts w:cs="Arial"/>
          <w:lang w:val="es-ES_tradnl" w:eastAsia="en-US"/>
        </w:rPr>
        <w:t xml:space="preserve">del Consejo de Navarra </w:t>
      </w:r>
      <w:r w:rsidR="00802F88" w:rsidRPr="00E0331B">
        <w:rPr>
          <w:rFonts w:cs="Arial"/>
          <w:lang w:val="es-ES_tradnl" w:eastAsia="en-US"/>
        </w:rPr>
        <w:t xml:space="preserve">y de la </w:t>
      </w:r>
      <w:r w:rsidR="00680EE5" w:rsidRPr="00E0331B">
        <w:rPr>
          <w:rFonts w:cs="Arial"/>
          <w:lang w:val="es-ES_tradnl" w:eastAsia="en-US"/>
        </w:rPr>
        <w:t xml:space="preserve">Oficina de Buenas Prácticas y Anticorrupción de la Comunidad Foral de Navarra </w:t>
      </w:r>
      <w:r w:rsidRPr="00E0331B">
        <w:rPr>
          <w:rFonts w:cs="Arial"/>
          <w:lang w:val="es-ES_tradnl" w:eastAsia="en-US"/>
        </w:rPr>
        <w:t>han sido fiscalizadas por esta Cámara.</w:t>
      </w:r>
    </w:p>
    <w:p w14:paraId="06E4F48E" w14:textId="77777777" w:rsidR="00614DC4" w:rsidRPr="00E0331B"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E0331B">
        <w:rPr>
          <w:rFonts w:cs="Arial"/>
          <w:lang w:val="es-ES_tradnl" w:eastAsia="en-US"/>
        </w:rPr>
        <w:t>Las cuentas anuales de 202</w:t>
      </w:r>
      <w:r w:rsidR="00802F88" w:rsidRPr="00E0331B">
        <w:rPr>
          <w:rFonts w:cs="Arial"/>
          <w:lang w:val="es-ES_tradnl" w:eastAsia="en-US"/>
        </w:rPr>
        <w:t>3</w:t>
      </w:r>
      <w:r w:rsidRPr="00E0331B">
        <w:rPr>
          <w:rFonts w:cs="Arial"/>
          <w:lang w:val="es-ES_tradnl" w:eastAsia="en-US"/>
        </w:rPr>
        <w:t xml:space="preserve"> de la propia Cámara de </w:t>
      </w:r>
      <w:proofErr w:type="gramStart"/>
      <w:r w:rsidRPr="00E0331B">
        <w:rPr>
          <w:rFonts w:cs="Arial"/>
          <w:lang w:val="es-ES_tradnl" w:eastAsia="en-US"/>
        </w:rPr>
        <w:t>Comptos,</w:t>
      </w:r>
      <w:proofErr w:type="gramEnd"/>
      <w:r w:rsidRPr="00E0331B">
        <w:rPr>
          <w:rFonts w:cs="Arial"/>
          <w:lang w:val="es-ES_tradnl" w:eastAsia="en-US"/>
        </w:rPr>
        <w:t xml:space="preserve"> </w:t>
      </w:r>
      <w:r w:rsidR="00802F88" w:rsidRPr="00E0331B">
        <w:rPr>
          <w:rFonts w:cs="Arial"/>
          <w:lang w:val="es-ES_tradnl" w:eastAsia="en-US"/>
        </w:rPr>
        <w:t xml:space="preserve">han sido </w:t>
      </w:r>
      <w:r w:rsidRPr="00E0331B">
        <w:rPr>
          <w:rFonts w:cs="Arial"/>
          <w:lang w:val="es-ES_tradnl" w:eastAsia="en-US"/>
        </w:rPr>
        <w:t>fiscalizadas por</w:t>
      </w:r>
      <w:r w:rsidR="00933342" w:rsidRPr="00E0331B">
        <w:rPr>
          <w:rFonts w:cs="Arial"/>
          <w:lang w:val="es-ES_tradnl" w:eastAsia="en-US"/>
        </w:rPr>
        <w:t xml:space="preserve"> una firma privada de auditoria.</w:t>
      </w:r>
    </w:p>
    <w:p w14:paraId="1886ABA7"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Las cuentas anuales y el cumplimiento de la legalidad de las sociedades y fundaciones públicas de 202</w:t>
      </w:r>
      <w:r w:rsidR="00802F88" w:rsidRPr="003D09D7">
        <w:rPr>
          <w:rFonts w:cs="Arial"/>
          <w:lang w:val="es-ES_tradnl" w:eastAsia="en-US"/>
        </w:rPr>
        <w:t>3</w:t>
      </w:r>
      <w:r w:rsidRPr="003D09D7">
        <w:rPr>
          <w:rFonts w:cs="Arial"/>
          <w:lang w:val="es-ES_tradnl" w:eastAsia="en-US"/>
        </w:rPr>
        <w:t xml:space="preserve"> son auditadas bajo la tutela de la Dirección General de Intervención por firmas privadas de auditoría. </w:t>
      </w:r>
    </w:p>
    <w:p w14:paraId="0173E4C3"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La Cámara de Comptos ha emitido o está realizando actualmente el trabajo referido a los siguientes aspectos:</w:t>
      </w:r>
    </w:p>
    <w:p w14:paraId="561BBE11" w14:textId="77777777" w:rsidR="00553E5A" w:rsidRPr="00DD722E" w:rsidRDefault="00610592" w:rsidP="00676DCB">
      <w:pPr>
        <w:pStyle w:val="texto"/>
        <w:tabs>
          <w:tab w:val="clear" w:pos="2835"/>
          <w:tab w:val="clear" w:pos="3969"/>
          <w:tab w:val="clear" w:pos="5103"/>
          <w:tab w:val="clear" w:pos="6237"/>
          <w:tab w:val="clear" w:pos="7371"/>
          <w:tab w:val="left" w:pos="480"/>
          <w:tab w:val="num" w:pos="600"/>
          <w:tab w:val="num" w:pos="720"/>
          <w:tab w:val="num" w:pos="786"/>
          <w:tab w:val="num" w:pos="1320"/>
          <w:tab w:val="num" w:pos="2062"/>
          <w:tab w:val="num" w:pos="4472"/>
        </w:tabs>
        <w:spacing w:after="120"/>
        <w:jc w:val="both"/>
        <w:rPr>
          <w:szCs w:val="26"/>
        </w:rPr>
      </w:pPr>
      <w:r w:rsidRPr="00DD722E">
        <w:rPr>
          <w:szCs w:val="26"/>
        </w:rPr>
        <w:t xml:space="preserve">a) </w:t>
      </w:r>
      <w:r w:rsidR="00DD722E" w:rsidRPr="00DD722E">
        <w:rPr>
          <w:szCs w:val="26"/>
        </w:rPr>
        <w:t>Renta garantizada: obligaciones de las unidades familiares perceptoras e impacto en el empleo (2019-2023)</w:t>
      </w:r>
      <w:r w:rsidR="00553E5A" w:rsidRPr="00DD722E">
        <w:rPr>
          <w:szCs w:val="26"/>
        </w:rPr>
        <w:t>.</w:t>
      </w:r>
    </w:p>
    <w:p w14:paraId="015778FC" w14:textId="77777777" w:rsidR="00553E5A" w:rsidRPr="00553E5A" w:rsidRDefault="00DD722E" w:rsidP="00676DCB">
      <w:pPr>
        <w:pStyle w:val="texto"/>
        <w:tabs>
          <w:tab w:val="clear" w:pos="2835"/>
          <w:tab w:val="clear" w:pos="3969"/>
          <w:tab w:val="clear" w:pos="5103"/>
          <w:tab w:val="clear" w:pos="6237"/>
          <w:tab w:val="clear" w:pos="7371"/>
          <w:tab w:val="left" w:pos="480"/>
          <w:tab w:val="num" w:pos="600"/>
          <w:tab w:val="num" w:pos="720"/>
          <w:tab w:val="num" w:pos="786"/>
          <w:tab w:val="num" w:pos="1320"/>
          <w:tab w:val="num" w:pos="2062"/>
          <w:tab w:val="num" w:pos="4472"/>
        </w:tabs>
        <w:spacing w:after="120"/>
        <w:jc w:val="both"/>
        <w:rPr>
          <w:szCs w:val="26"/>
        </w:rPr>
      </w:pPr>
      <w:r>
        <w:rPr>
          <w:szCs w:val="26"/>
        </w:rPr>
        <w:t>b</w:t>
      </w:r>
      <w:r w:rsidR="00610592">
        <w:rPr>
          <w:szCs w:val="26"/>
        </w:rPr>
        <w:t xml:space="preserve">) </w:t>
      </w:r>
      <w:r w:rsidR="00553E5A" w:rsidRPr="00553E5A">
        <w:rPr>
          <w:szCs w:val="26"/>
        </w:rPr>
        <w:t>Accesibilidad de la ciudadanía a la Atención Primaria (2018-2023)</w:t>
      </w:r>
    </w:p>
    <w:p w14:paraId="13C8FC38" w14:textId="77777777" w:rsidR="00553E5A" w:rsidRPr="00553E5A" w:rsidRDefault="00DD722E" w:rsidP="00676DCB">
      <w:pPr>
        <w:pStyle w:val="texto"/>
        <w:tabs>
          <w:tab w:val="clear" w:pos="2835"/>
          <w:tab w:val="clear" w:pos="3969"/>
          <w:tab w:val="clear" w:pos="5103"/>
          <w:tab w:val="clear" w:pos="6237"/>
          <w:tab w:val="clear" w:pos="7371"/>
          <w:tab w:val="left" w:pos="480"/>
          <w:tab w:val="num" w:pos="600"/>
          <w:tab w:val="num" w:pos="720"/>
          <w:tab w:val="num" w:pos="786"/>
          <w:tab w:val="num" w:pos="1320"/>
          <w:tab w:val="num" w:pos="2062"/>
          <w:tab w:val="num" w:pos="4472"/>
        </w:tabs>
        <w:spacing w:after="120"/>
        <w:jc w:val="both"/>
        <w:rPr>
          <w:szCs w:val="26"/>
        </w:rPr>
      </w:pPr>
      <w:r>
        <w:rPr>
          <w:szCs w:val="26"/>
        </w:rPr>
        <w:t>c</w:t>
      </w:r>
      <w:r w:rsidR="00610592">
        <w:rPr>
          <w:szCs w:val="26"/>
        </w:rPr>
        <w:t xml:space="preserve">) </w:t>
      </w:r>
      <w:r w:rsidR="00553E5A" w:rsidRPr="00553E5A">
        <w:rPr>
          <w:szCs w:val="26"/>
        </w:rPr>
        <w:t>Lucha contra la despoblación en Navarra: medidas adoptadas por la Administración Foral</w:t>
      </w:r>
      <w:r w:rsidR="00553E5A">
        <w:rPr>
          <w:szCs w:val="26"/>
        </w:rPr>
        <w:t>.</w:t>
      </w:r>
    </w:p>
    <w:p w14:paraId="2080AB51" w14:textId="77777777" w:rsidR="00553E5A" w:rsidRPr="00553E5A" w:rsidRDefault="00DD722E" w:rsidP="00676DCB">
      <w:pPr>
        <w:pStyle w:val="texto"/>
        <w:tabs>
          <w:tab w:val="clear" w:pos="2835"/>
          <w:tab w:val="clear" w:pos="3969"/>
          <w:tab w:val="clear" w:pos="5103"/>
          <w:tab w:val="clear" w:pos="6237"/>
          <w:tab w:val="clear" w:pos="7371"/>
          <w:tab w:val="left" w:pos="480"/>
          <w:tab w:val="num" w:pos="600"/>
          <w:tab w:val="num" w:pos="720"/>
          <w:tab w:val="num" w:pos="786"/>
          <w:tab w:val="num" w:pos="1320"/>
          <w:tab w:val="num" w:pos="2062"/>
          <w:tab w:val="num" w:pos="4472"/>
        </w:tabs>
        <w:spacing w:after="120"/>
        <w:jc w:val="both"/>
        <w:rPr>
          <w:szCs w:val="26"/>
        </w:rPr>
      </w:pPr>
      <w:r>
        <w:t>d</w:t>
      </w:r>
      <w:r w:rsidR="00610592">
        <w:t xml:space="preserve">) </w:t>
      </w:r>
      <w:r w:rsidR="00553E5A" w:rsidRPr="00676DCB">
        <w:rPr>
          <w:szCs w:val="26"/>
        </w:rPr>
        <w:t>Aportaciones</w:t>
      </w:r>
      <w:r w:rsidR="00553E5A" w:rsidRPr="00553E5A">
        <w:rPr>
          <w:szCs w:val="26"/>
        </w:rPr>
        <w:t xml:space="preserve"> financieras de </w:t>
      </w:r>
      <w:proofErr w:type="spellStart"/>
      <w:r w:rsidR="00553E5A" w:rsidRPr="00553E5A">
        <w:rPr>
          <w:szCs w:val="26"/>
        </w:rPr>
        <w:t>Sodena</w:t>
      </w:r>
      <w:proofErr w:type="spellEnd"/>
      <w:r w:rsidR="00553E5A" w:rsidRPr="00553E5A">
        <w:rPr>
          <w:szCs w:val="26"/>
        </w:rPr>
        <w:t xml:space="preserve"> a </w:t>
      </w:r>
      <w:proofErr w:type="spellStart"/>
      <w:r w:rsidR="00553E5A" w:rsidRPr="00553E5A">
        <w:rPr>
          <w:szCs w:val="26"/>
        </w:rPr>
        <w:t>Parquenasa</w:t>
      </w:r>
      <w:proofErr w:type="spellEnd"/>
      <w:r w:rsidR="00553E5A" w:rsidRPr="00553E5A">
        <w:rPr>
          <w:szCs w:val="26"/>
        </w:rPr>
        <w:t xml:space="preserve"> (2001-2023)</w:t>
      </w:r>
    </w:p>
    <w:p w14:paraId="0338FF89" w14:textId="77777777" w:rsidR="00553E5A" w:rsidRPr="00553E5A" w:rsidRDefault="00DD722E" w:rsidP="00676DCB">
      <w:pPr>
        <w:pStyle w:val="texto"/>
        <w:tabs>
          <w:tab w:val="clear" w:pos="2835"/>
          <w:tab w:val="clear" w:pos="3969"/>
          <w:tab w:val="clear" w:pos="5103"/>
          <w:tab w:val="clear" w:pos="6237"/>
          <w:tab w:val="clear" w:pos="7371"/>
          <w:tab w:val="left" w:pos="480"/>
          <w:tab w:val="num" w:pos="600"/>
          <w:tab w:val="num" w:pos="720"/>
          <w:tab w:val="num" w:pos="786"/>
          <w:tab w:val="num" w:pos="1320"/>
          <w:tab w:val="num" w:pos="2062"/>
          <w:tab w:val="num" w:pos="4472"/>
        </w:tabs>
        <w:spacing w:after="120"/>
        <w:jc w:val="both"/>
        <w:rPr>
          <w:szCs w:val="26"/>
        </w:rPr>
      </w:pPr>
      <w:r>
        <w:rPr>
          <w:szCs w:val="26"/>
        </w:rPr>
        <w:t>e</w:t>
      </w:r>
      <w:r w:rsidR="00610592">
        <w:rPr>
          <w:szCs w:val="26"/>
        </w:rPr>
        <w:t xml:space="preserve">) </w:t>
      </w:r>
      <w:r w:rsidR="00750A0E">
        <w:rPr>
          <w:szCs w:val="26"/>
        </w:rPr>
        <w:t xml:space="preserve">Análisis de riesgos en la </w:t>
      </w:r>
      <w:r w:rsidR="00553E5A" w:rsidRPr="00553E5A">
        <w:rPr>
          <w:szCs w:val="26"/>
        </w:rPr>
        <w:t xml:space="preserve">contratación pública en la Administración de la Comunidad Foral y sus organismos autónomos. </w:t>
      </w:r>
    </w:p>
    <w:p w14:paraId="3CAFCFF9" w14:textId="77777777" w:rsidR="00E0331B" w:rsidRDefault="00E0331B">
      <w:pPr>
        <w:rPr>
          <w:rFonts w:ascii="Arial" w:hAnsi="Arial"/>
          <w:b/>
          <w:color w:val="000000"/>
          <w:kern w:val="28"/>
          <w:sz w:val="25"/>
          <w:szCs w:val="26"/>
        </w:rPr>
      </w:pPr>
      <w:bookmarkStart w:id="9" w:name="_Toc52267357"/>
      <w:bookmarkStart w:id="10" w:name="_Toc146471222"/>
      <w:bookmarkEnd w:id="7"/>
      <w:bookmarkEnd w:id="8"/>
      <w:r>
        <w:rPr>
          <w:rFonts w:ascii="Arial" w:hAnsi="Arial"/>
          <w:b/>
          <w:color w:val="000000"/>
          <w:kern w:val="28"/>
          <w:sz w:val="25"/>
          <w:szCs w:val="26"/>
        </w:rPr>
        <w:br w:type="page"/>
      </w:r>
    </w:p>
    <w:p w14:paraId="3FCA5133" w14:textId="77777777" w:rsidR="00614DC4" w:rsidRDefault="00614DC4" w:rsidP="00286F49">
      <w:pPr>
        <w:pStyle w:val="atitulo1"/>
        <w:jc w:val="both"/>
      </w:pPr>
      <w:bookmarkStart w:id="11" w:name="_Toc182464256"/>
      <w:r>
        <w:lastRenderedPageBreak/>
        <w:t>III. Opinión</w:t>
      </w:r>
      <w:bookmarkEnd w:id="9"/>
      <w:bookmarkEnd w:id="10"/>
      <w:bookmarkEnd w:id="11"/>
    </w:p>
    <w:p w14:paraId="4F99DA22" w14:textId="77777777" w:rsidR="00614DC4" w:rsidRDefault="00614DC4" w:rsidP="00286F49">
      <w:pPr>
        <w:pStyle w:val="texto"/>
        <w:jc w:val="both"/>
      </w:pPr>
      <w:bookmarkStart w:id="12" w:name="_Toc52267358"/>
      <w:bookmarkStart w:id="13" w:name="_Toc525907429"/>
      <w:bookmarkStart w:id="14" w:name="_Toc494270372"/>
      <w:bookmarkStart w:id="15" w:name="_Toc463350238"/>
      <w:bookmarkStart w:id="16" w:name="_Toc339016605"/>
      <w:bookmarkStart w:id="17" w:name="_Toc309383716"/>
      <w:bookmarkStart w:id="18" w:name="_Toc303592533"/>
      <w:bookmarkStart w:id="19" w:name="_Toc188167196"/>
      <w:bookmarkStart w:id="20" w:name="_Toc402180175"/>
      <w:r>
        <w:t>La Cámara de Comptos de Navarra, en uso de las competencias que le atribuye la Ley Foral 19/1984, de 20 de diciembre, ha fiscalizado las Cuentas Generales de la ACFN y sus OOAA, que comprenden el balance a 31 de diciembre de 202</w:t>
      </w:r>
      <w:r w:rsidR="00802F88">
        <w:t>3</w:t>
      </w:r>
      <w:r>
        <w:t>, la cuenta del resultado económico-patrimonial, el estado de liquidación del presupuesto de 202</w:t>
      </w:r>
      <w:r w:rsidR="00802F88">
        <w:t>3</w:t>
      </w:r>
      <w:r>
        <w:t xml:space="preserve"> y la memoria correspondiente al ejercicio terminado en dicha fecha. Asimismo, en virtud de la normativa citada ha realizado una fiscalización de cumplimiento de legalidad de la ACFN y sus entes dependientes en el ejercicio de 202</w:t>
      </w:r>
      <w:r w:rsidR="00802F88">
        <w:t>3</w:t>
      </w:r>
      <w:r>
        <w:t>.</w:t>
      </w:r>
    </w:p>
    <w:p w14:paraId="5C522490" w14:textId="77777777" w:rsidR="00614DC4" w:rsidRDefault="00614DC4" w:rsidP="00286F49">
      <w:pPr>
        <w:pStyle w:val="atitulo2"/>
        <w:spacing w:before="240"/>
        <w:jc w:val="both"/>
        <w:rPr>
          <w:bCs w:val="0"/>
          <w:iCs w:val="0"/>
        </w:rPr>
      </w:pPr>
      <w:bookmarkStart w:id="21" w:name="_Toc146471223"/>
      <w:bookmarkStart w:id="22" w:name="_Toc182464257"/>
      <w:r>
        <w:rPr>
          <w:bCs w:val="0"/>
          <w:iCs w:val="0"/>
        </w:rPr>
        <w:t xml:space="preserve">III.1 Opinión de auditoría financiera sobre las cuentas anuales de </w:t>
      </w:r>
      <w:bookmarkEnd w:id="12"/>
      <w:bookmarkEnd w:id="13"/>
      <w:bookmarkEnd w:id="14"/>
      <w:bookmarkEnd w:id="15"/>
      <w:r>
        <w:rPr>
          <w:bCs w:val="0"/>
          <w:iCs w:val="0"/>
        </w:rPr>
        <w:t>202</w:t>
      </w:r>
      <w:bookmarkEnd w:id="21"/>
      <w:r w:rsidR="00802F88">
        <w:rPr>
          <w:bCs w:val="0"/>
          <w:iCs w:val="0"/>
        </w:rPr>
        <w:t>3</w:t>
      </w:r>
      <w:bookmarkEnd w:id="22"/>
    </w:p>
    <w:p w14:paraId="56519CD3" w14:textId="77777777" w:rsidR="00614DC4" w:rsidRDefault="00614DC4" w:rsidP="00286F49">
      <w:pPr>
        <w:pStyle w:val="texto"/>
        <w:jc w:val="both"/>
      </w:pPr>
      <w:r>
        <w:t>En nuestra opinión, excepto por los efectos de las cuestiones descritas en la sección “Fundamento de la opinión de auditoría financiera con salvedades” de nuestro informe, las Cuentas Generales</w:t>
      </w:r>
      <w:r>
        <w:rPr>
          <w:color w:val="FF0000"/>
        </w:rPr>
        <w:t xml:space="preserve"> </w:t>
      </w:r>
      <w:r>
        <w:t>expresan, en todos los aspectos significativos, la imagen fiel del patrimonio, de la situación financiera de la ACFN y sus OOAA a 31 de diciembre de 202</w:t>
      </w:r>
      <w:r w:rsidR="00802F88">
        <w:t>3</w:t>
      </w:r>
      <w:r>
        <w:t xml:space="preserve"> y de sus resultados económicos y presupuestarios correspondientes al ejercicio terminado en dicha fecha, de conformidad con el marco normativo de información financiera pública aplicable (que se identifica en el documento de “Aspectos generales de la las Cuentas de la Administración de la Comunidad Foral” de la memoria) y, en particular, con los principios y criterios contables y presupuestarios contenidos en el mismo.</w:t>
      </w:r>
    </w:p>
    <w:p w14:paraId="13FA35CE" w14:textId="77777777" w:rsidR="00614DC4" w:rsidRDefault="00614DC4" w:rsidP="00286F49">
      <w:pPr>
        <w:pStyle w:val="atitulo2"/>
        <w:spacing w:before="240"/>
        <w:jc w:val="both"/>
      </w:pPr>
      <w:bookmarkStart w:id="23" w:name="_Toc146471224"/>
      <w:bookmarkStart w:id="24" w:name="_Toc182464258"/>
      <w:r>
        <w:t>III.2 Opinión de fiscalización de cumplimiento de legalidad</w:t>
      </w:r>
      <w:bookmarkEnd w:id="23"/>
      <w:bookmarkEnd w:id="24"/>
    </w:p>
    <w:p w14:paraId="00EEC993" w14:textId="77777777" w:rsidR="00614DC4" w:rsidRDefault="00614DC4" w:rsidP="00286F49">
      <w:pPr>
        <w:pStyle w:val="texto"/>
        <w:jc w:val="both"/>
      </w:pPr>
      <w:r>
        <w:t xml:space="preserve">En nuestra opinión, excepto por los efectos de las cuestiones descritas en la sección “Fundamento de la opinión de legalidad con salvedades” de nuestro informe, y teniendo en cuenta el alcance del trabajo realizado, las actividades, operaciones presupuestarias y financieras y la información reflejada en las Cuentas Generales de la ACFN, sus OOAA, </w:t>
      </w:r>
      <w:r w:rsidRPr="00F321BA">
        <w:t xml:space="preserve">sus sociedades y fundaciones públicas </w:t>
      </w:r>
      <w:r>
        <w:t>del ejercicio 202</w:t>
      </w:r>
      <w:r w:rsidR="00802F88">
        <w:t>3</w:t>
      </w:r>
      <w:r>
        <w:t xml:space="preserve"> resultan conformes, en todos los aspectos significativos, con la normativa aplicable a la gestión de los fondos públicos.</w:t>
      </w:r>
    </w:p>
    <w:p w14:paraId="63B7C68B" w14:textId="77777777" w:rsidR="00614DC4" w:rsidRDefault="00614DC4" w:rsidP="00286F49">
      <w:pPr>
        <w:jc w:val="both"/>
        <w:rPr>
          <w:spacing w:val="6"/>
          <w:sz w:val="26"/>
        </w:rPr>
      </w:pPr>
      <w:r>
        <w:br w:type="page"/>
      </w:r>
    </w:p>
    <w:p w14:paraId="1C48C0E7" w14:textId="77777777" w:rsidR="00614DC4" w:rsidRDefault="00614DC4" w:rsidP="00286F49">
      <w:pPr>
        <w:pStyle w:val="atitulo1"/>
        <w:jc w:val="both"/>
      </w:pPr>
      <w:bookmarkStart w:id="25" w:name="_Toc146471225"/>
      <w:bookmarkStart w:id="26" w:name="_Toc182464259"/>
      <w:bookmarkStart w:id="27" w:name="_Toc52267360"/>
      <w:bookmarkStart w:id="28" w:name="_Toc525907431"/>
      <w:bookmarkStart w:id="29" w:name="_Toc494270374"/>
      <w:bookmarkStart w:id="30" w:name="_Toc463350240"/>
      <w:bookmarkEnd w:id="16"/>
      <w:bookmarkEnd w:id="17"/>
      <w:bookmarkEnd w:id="18"/>
      <w:bookmarkEnd w:id="19"/>
      <w:bookmarkEnd w:id="20"/>
      <w:r>
        <w:lastRenderedPageBreak/>
        <w:t>IV. Fundamento de la opinión</w:t>
      </w:r>
      <w:bookmarkEnd w:id="25"/>
      <w:bookmarkEnd w:id="26"/>
    </w:p>
    <w:p w14:paraId="2E1D2D45" w14:textId="77777777" w:rsidR="00614DC4" w:rsidRDefault="00614DC4" w:rsidP="00676DCB">
      <w:pPr>
        <w:pStyle w:val="texto"/>
        <w:spacing w:after="120"/>
        <w:jc w:val="both"/>
      </w:pPr>
      <w:r>
        <w:t xml:space="preserve">Hemos llevado a cabo nuestra fiscalización de conformidad con los principios fundamentales de fiscalización de las instituciones públicas de control externo y más en concreto, con la ISSAI-ES 200 y la 400 referidas a las fiscalizaciones financieras y de cumplimiento de legalidad, así como con las Guías Prácticas de Fiscalización de los órganos de control externo. Nuestras responsabilidades de acuerdo con dichas normas se describen más adelante en la sección “Responsabilidades de la Cámara de Comptos” en relación con la fiscalización de las Cuentas Generales y de cumplimiento de legalidad de nuestro informe. </w:t>
      </w:r>
    </w:p>
    <w:p w14:paraId="305E7141" w14:textId="77777777" w:rsidR="00614DC4" w:rsidRDefault="00614DC4" w:rsidP="00676DCB">
      <w:pPr>
        <w:pStyle w:val="texto"/>
        <w:spacing w:after="120"/>
        <w:jc w:val="both"/>
      </w:pPr>
      <w:r>
        <w:t xml:space="preserve">Somos independientes de la entidad fiscalizada, de conformidad con los requerimientos de ética y protección de la independencia que son aplicables a nuestra fiscalización de las Cuentas Generales según lo exigido por la normativa reguladora de la actividad de fiscalización pública. </w:t>
      </w:r>
    </w:p>
    <w:p w14:paraId="322BA581" w14:textId="77777777" w:rsidR="00614DC4" w:rsidRDefault="00614DC4" w:rsidP="00676DCB">
      <w:pPr>
        <w:pStyle w:val="texto"/>
        <w:spacing w:after="120"/>
        <w:jc w:val="both"/>
        <w:rPr>
          <w:i/>
          <w:szCs w:val="20"/>
        </w:rPr>
      </w:pPr>
      <w:r>
        <w:t>Consideramos que la evidencia de auditoría que hemos obtenido proporciona una base suficiente y adecuada para nuestra opinión financiera y de legalidad con salvedades</w:t>
      </w:r>
      <w:r>
        <w:rPr>
          <w:i/>
          <w:szCs w:val="20"/>
        </w:rPr>
        <w:t>.</w:t>
      </w:r>
    </w:p>
    <w:p w14:paraId="4F790600" w14:textId="77777777" w:rsidR="00614DC4" w:rsidRDefault="00614DC4" w:rsidP="00286F49">
      <w:pPr>
        <w:pStyle w:val="atitulo2"/>
        <w:spacing w:before="240"/>
        <w:jc w:val="both"/>
        <w:rPr>
          <w:bCs w:val="0"/>
          <w:iCs w:val="0"/>
        </w:rPr>
      </w:pPr>
      <w:bookmarkStart w:id="31" w:name="_Toc146471226"/>
      <w:bookmarkStart w:id="32" w:name="_Toc182464260"/>
      <w:r>
        <w:rPr>
          <w:bCs w:val="0"/>
          <w:iCs w:val="0"/>
        </w:rPr>
        <w:t>IV.1 Fundamento de la opinión de auditoría financiera con salvedades</w:t>
      </w:r>
      <w:bookmarkEnd w:id="31"/>
      <w:bookmarkEnd w:id="32"/>
    </w:p>
    <w:p w14:paraId="70E81A6B" w14:textId="77777777" w:rsidR="00614DC4" w:rsidRDefault="00614DC4" w:rsidP="00676DCB">
      <w:pPr>
        <w:pStyle w:val="texto"/>
        <w:spacing w:after="120"/>
        <w:jc w:val="both"/>
      </w:pPr>
      <w:r>
        <w:t xml:space="preserve">a) No se aplican en toda su extensión las cuentas, criterios y principios que el Plan General de Contabilidad Pública de 2010 contiene para el tratamiento contable adecuado de los impuestos, deudores y acreedores tributarios e inmovilizado principalmente. Este hecho unido a que existen errores de menor relevancia </w:t>
      </w:r>
      <w:r w:rsidR="00DD722E">
        <w:t xml:space="preserve">en la </w:t>
      </w:r>
      <w:r>
        <w:t xml:space="preserve">clasificación de cuentas o </w:t>
      </w:r>
      <w:proofErr w:type="gramStart"/>
      <w:r>
        <w:t>epígrafes,</w:t>
      </w:r>
      <w:proofErr w:type="gramEnd"/>
      <w:r>
        <w:t xml:space="preserve"> implica que la estructura de</w:t>
      </w:r>
      <w:r w:rsidR="00DD722E">
        <w:t xml:space="preserve"> </w:t>
      </w:r>
      <w:r>
        <w:t>l</w:t>
      </w:r>
      <w:r w:rsidR="00DD722E">
        <w:t>os</w:t>
      </w:r>
      <w:r>
        <w:t xml:space="preserve"> estado</w:t>
      </w:r>
      <w:r w:rsidR="00DD722E">
        <w:t>s</w:t>
      </w:r>
      <w:r>
        <w:t xml:space="preserve"> de liquidación d</w:t>
      </w:r>
      <w:r w:rsidR="00A208A5">
        <w:t xml:space="preserve">el presupuesto de ingresos, </w:t>
      </w:r>
      <w:r>
        <w:t>resultado presupuestari</w:t>
      </w:r>
      <w:r w:rsidR="00A208A5">
        <w:t xml:space="preserve">o, remanente de tesorería y </w:t>
      </w:r>
      <w:r>
        <w:t>balance, no se adecúe a los modelos establecidos e</w:t>
      </w:r>
      <w:r w:rsidR="00390C89">
        <w:t>n la normativa contable citada. A</w:t>
      </w:r>
      <w:r>
        <w:t>simismo, no se presenta el Estado de Cambios en el Patrimonio Neto ni el Estado de Flujos de Efectivo.</w:t>
      </w:r>
    </w:p>
    <w:p w14:paraId="134A74B5" w14:textId="77777777" w:rsidR="00614DC4" w:rsidRDefault="00614DC4" w:rsidP="00676DCB">
      <w:pPr>
        <w:pStyle w:val="texto"/>
        <w:spacing w:after="120"/>
        <w:jc w:val="both"/>
      </w:pPr>
      <w:r>
        <w:t xml:space="preserve">b) No existe un traspaso adecuado de la información contenida en la contabilidad auxiliar de terceros y gestión tributaria (CAT) al sistema contable SAPGE21 relativa a los cobros recibidos en el ejercicio, de los cuales no se puede identificar si corresponden a ingresos devengados en el ejercicio o en años anteriores. Esto motiva que la recaudación neta del estado de liquidación del presupuesto de ingresos de los capítulos 1 y 2 pueda contener cobros procedentes de derechos generados en otros ejercicios. </w:t>
      </w:r>
    </w:p>
    <w:p w14:paraId="2A6C04B8" w14:textId="77777777" w:rsidR="00614DC4" w:rsidRDefault="00614DC4" w:rsidP="00676DCB">
      <w:pPr>
        <w:pStyle w:val="texto"/>
        <w:spacing w:after="120"/>
        <w:jc w:val="both"/>
      </w:pPr>
      <w:r>
        <w:t>Este hecho tiene, asimismo, consecuencias en el epígrafe de derechos pendientes de cobro del remanente de tesorería y en el de deudores presupuestarios del balance; si bien las cifras globales serían correctas, no existe evidencia de que el desglose de su composición sea razonable.</w:t>
      </w:r>
    </w:p>
    <w:p w14:paraId="0CFDCCD5" w14:textId="77777777" w:rsidR="00614DC4" w:rsidRDefault="00614DC4" w:rsidP="00676DCB">
      <w:pPr>
        <w:pStyle w:val="texto"/>
        <w:spacing w:after="120"/>
        <w:jc w:val="both"/>
      </w:pPr>
      <w:r>
        <w:lastRenderedPageBreak/>
        <w:t>c) No se registran en el balance, ni la memoria contiene información sobre las obligaciones actuariales generadas por el montepío del personal funcionario activo y pasivo de la ACFN y sus OOAA. De acuerdo con los estudios y valoraciones realizados por la ACFN, el valor actual del coste derivado de las prestaciones de dicho montepío para el periodo 202</w:t>
      </w:r>
      <w:r w:rsidR="00785A84">
        <w:t>4</w:t>
      </w:r>
      <w:r>
        <w:t>-2087 se estima en torno a 1.</w:t>
      </w:r>
      <w:r w:rsidR="00785A84">
        <w:t xml:space="preserve">484 </w:t>
      </w:r>
      <w:r>
        <w:t>millones constantes.</w:t>
      </w:r>
    </w:p>
    <w:p w14:paraId="7FA7AD84" w14:textId="77777777" w:rsidR="001B1F5B" w:rsidRPr="00BA6CB8" w:rsidRDefault="00614DC4" w:rsidP="00286F49">
      <w:pPr>
        <w:pStyle w:val="texto"/>
        <w:spacing w:after="120"/>
        <w:jc w:val="both"/>
        <w:rPr>
          <w:b/>
          <w:bCs/>
        </w:rPr>
      </w:pPr>
      <w:r w:rsidRPr="00BA6CB8">
        <w:t>d) En el balance de situación no ha sido posible obtener evidencia de la razonabilidad del saldo contable de algunos componentes del epígrafe de Inmovilizado que, a 31 de diciembre de 202</w:t>
      </w:r>
      <w:r w:rsidR="00390C89">
        <w:t>3</w:t>
      </w:r>
      <w:r w:rsidRPr="00BA6CB8">
        <w:t xml:space="preserve">, asciende a </w:t>
      </w:r>
      <w:r w:rsidR="00BA6CB8" w:rsidRPr="00BA6CB8">
        <w:t>1.369,18</w:t>
      </w:r>
      <w:r w:rsidR="00BA6CB8" w:rsidRPr="00BA6CB8">
        <w:rPr>
          <w:rFonts w:ascii="Arial" w:hAnsi="Arial" w:cs="Arial"/>
          <w:b/>
          <w:bCs/>
          <w:i/>
          <w:iCs/>
        </w:rPr>
        <w:t xml:space="preserve"> </w:t>
      </w:r>
      <w:r w:rsidRPr="00BA6CB8">
        <w:t>millones, dado que el mismo no está respaldado por un inventario general de bienes adecuadamente valorado de acuerdo con los principios y criterios contables aplicables.</w:t>
      </w:r>
    </w:p>
    <w:p w14:paraId="5EB88C40" w14:textId="77777777" w:rsidR="00614DC4" w:rsidRDefault="00614DC4" w:rsidP="00676DCB">
      <w:pPr>
        <w:pStyle w:val="texto"/>
        <w:spacing w:after="120"/>
        <w:jc w:val="both"/>
        <w:rPr>
          <w:rFonts w:cs="Arial"/>
        </w:rPr>
      </w:pPr>
      <w:r>
        <w:rPr>
          <w:rFonts w:cs="Arial"/>
        </w:rPr>
        <w:t xml:space="preserve">Esta Cámara llama la atención sobre la reiteración en el tiempo de las salvedades a), b), c) y d) puestas de manifiesto desde que esta institución auditó por primera vez las </w:t>
      </w:r>
      <w:r w:rsidRPr="00676DCB">
        <w:t>cuentas</w:t>
      </w:r>
      <w:r>
        <w:rPr>
          <w:rFonts w:cs="Arial"/>
        </w:rPr>
        <w:t xml:space="preserve"> anuales de la ACFN de 1981. Si bien se ha hecho un esfuerzo significativo para resolver las deficiencias puestas de manifiesto en el apartado b) y d), no se ha conseguido solucionarlas completamente a la fecha de redacción de este informe.</w:t>
      </w:r>
    </w:p>
    <w:p w14:paraId="68E95148" w14:textId="77777777" w:rsidR="00614DC4" w:rsidRDefault="00614DC4" w:rsidP="00286F49">
      <w:pPr>
        <w:pStyle w:val="atitulo2"/>
        <w:spacing w:before="240"/>
        <w:jc w:val="both"/>
        <w:rPr>
          <w:bCs w:val="0"/>
          <w:iCs w:val="0"/>
        </w:rPr>
      </w:pPr>
      <w:bookmarkStart w:id="33" w:name="_Toc146471227"/>
      <w:bookmarkStart w:id="34" w:name="_Toc182464261"/>
      <w:r>
        <w:rPr>
          <w:bCs w:val="0"/>
          <w:iCs w:val="0"/>
        </w:rPr>
        <w:t>IV.2 Fundamento de la opinión de legalidad con salvedades</w:t>
      </w:r>
      <w:bookmarkEnd w:id="33"/>
      <w:bookmarkEnd w:id="34"/>
    </w:p>
    <w:p w14:paraId="59E035C9" w14:textId="77777777" w:rsidR="00614173" w:rsidRPr="00231201"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1633BF">
        <w:rPr>
          <w:rFonts w:cs="Arial"/>
          <w:lang w:val="es-ES_tradnl" w:eastAsia="en-US"/>
        </w:rPr>
        <w:t xml:space="preserve">Según la información proporcionada por los departamentos de la ACFN a la Dirección General de Intervención y Contabilidad, el </w:t>
      </w:r>
      <w:r w:rsidR="00475A53" w:rsidRPr="001633BF">
        <w:rPr>
          <w:rFonts w:cs="Arial"/>
          <w:lang w:val="es-ES_tradnl" w:eastAsia="en-US"/>
        </w:rPr>
        <w:t>23</w:t>
      </w:r>
      <w:r w:rsidRPr="001633BF">
        <w:rPr>
          <w:rFonts w:cs="Arial"/>
          <w:lang w:val="es-ES_tradnl" w:eastAsia="en-US"/>
        </w:rPr>
        <w:t xml:space="preserve"> por ciento del gasto corriente correspondiente al capítulo 2 de bienes y servicios (2</w:t>
      </w:r>
      <w:r w:rsidR="00475A53" w:rsidRPr="001633BF">
        <w:rPr>
          <w:rFonts w:cs="Arial"/>
          <w:lang w:val="es-ES_tradnl" w:eastAsia="en-US"/>
        </w:rPr>
        <w:t>11,10</w:t>
      </w:r>
      <w:r w:rsidRPr="001633BF">
        <w:rPr>
          <w:rFonts w:cs="Arial"/>
          <w:lang w:val="es-ES_tradnl" w:eastAsia="en-US"/>
        </w:rPr>
        <w:t xml:space="preserve"> millones), así como </w:t>
      </w:r>
      <w:r w:rsidR="00475A53" w:rsidRPr="001633BF">
        <w:rPr>
          <w:rFonts w:cs="Arial"/>
          <w:lang w:val="es-ES_tradnl" w:eastAsia="en-US"/>
        </w:rPr>
        <w:t xml:space="preserve">10,78 </w:t>
      </w:r>
      <w:r w:rsidRPr="001633BF">
        <w:rPr>
          <w:rFonts w:cs="Arial"/>
          <w:lang w:val="es-ES_tradnl" w:eastAsia="en-US"/>
        </w:rPr>
        <w:t xml:space="preserve">millones del capítulo 6 de inversiones y </w:t>
      </w:r>
      <w:r w:rsidR="00475A53" w:rsidRPr="001633BF">
        <w:rPr>
          <w:rFonts w:cs="Arial"/>
          <w:lang w:val="es-ES_tradnl" w:eastAsia="en-US"/>
        </w:rPr>
        <w:t>93.429</w:t>
      </w:r>
      <w:r w:rsidRPr="001633BF">
        <w:rPr>
          <w:rFonts w:cs="Arial"/>
          <w:lang w:val="es-ES_tradnl" w:eastAsia="en-US"/>
        </w:rPr>
        <w:t xml:space="preserve"> euros del capítulo </w:t>
      </w:r>
      <w:r w:rsidRPr="00231201">
        <w:rPr>
          <w:rFonts w:cs="Arial"/>
          <w:lang w:val="es-ES_tradnl" w:eastAsia="en-US"/>
        </w:rPr>
        <w:t>4 de transferencias corrientes, corresponden a prestaciones abonadas según contratos cuya vigencia ha finalizado, o para las cuales no consta soporte contractual.</w:t>
      </w:r>
    </w:p>
    <w:p w14:paraId="097C38D0" w14:textId="77777777" w:rsidR="001455FA" w:rsidRPr="004124AD" w:rsidRDefault="001455FA"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4124AD">
        <w:rPr>
          <w:rFonts w:cs="Arial"/>
          <w:lang w:val="es-ES_tradnl" w:eastAsia="en-US"/>
        </w:rPr>
        <w:t xml:space="preserve">La autorización </w:t>
      </w:r>
      <w:r w:rsidR="00542B26" w:rsidRPr="004124AD">
        <w:rPr>
          <w:rFonts w:cs="Arial"/>
          <w:lang w:val="es-ES_tradnl" w:eastAsia="en-US"/>
        </w:rPr>
        <w:t xml:space="preserve">por </w:t>
      </w:r>
      <w:r w:rsidR="00DC7AE2" w:rsidRPr="004124AD">
        <w:rPr>
          <w:rFonts w:cs="Arial"/>
          <w:lang w:val="es-ES_tradnl" w:eastAsia="en-US"/>
        </w:rPr>
        <w:t xml:space="preserve">el Gobierno de Navarra de </w:t>
      </w:r>
      <w:r w:rsidRPr="004124AD">
        <w:rPr>
          <w:rFonts w:cs="Arial"/>
          <w:lang w:val="es-ES_tradnl" w:eastAsia="en-US"/>
        </w:rPr>
        <w:t>la creación de las sociedades p</w:t>
      </w:r>
      <w:r w:rsidR="00296E9F" w:rsidRPr="004124AD">
        <w:rPr>
          <w:rFonts w:cs="Arial"/>
          <w:lang w:val="es-ES_tradnl" w:eastAsia="en-US"/>
        </w:rPr>
        <w:t xml:space="preserve">úblicas </w:t>
      </w:r>
      <w:proofErr w:type="spellStart"/>
      <w:r w:rsidR="00296E9F" w:rsidRPr="004124AD">
        <w:rPr>
          <w:rFonts w:cs="Arial"/>
          <w:lang w:val="es-ES_tradnl" w:eastAsia="en-US"/>
        </w:rPr>
        <w:t>Bidean</w:t>
      </w:r>
      <w:proofErr w:type="spellEnd"/>
      <w:r w:rsidR="00296E9F" w:rsidRPr="004124AD">
        <w:rPr>
          <w:rFonts w:cs="Arial"/>
          <w:lang w:val="es-ES_tradnl" w:eastAsia="en-US"/>
        </w:rPr>
        <w:t xml:space="preserve"> y </w:t>
      </w:r>
      <w:proofErr w:type="spellStart"/>
      <w:r w:rsidR="00296E9F" w:rsidRPr="004124AD">
        <w:rPr>
          <w:rFonts w:cs="Arial"/>
          <w:lang w:val="es-ES_tradnl" w:eastAsia="en-US"/>
        </w:rPr>
        <w:t>Nafarbide</w:t>
      </w:r>
      <w:proofErr w:type="spellEnd"/>
      <w:r w:rsidR="00296E9F" w:rsidRPr="004124AD">
        <w:rPr>
          <w:rFonts w:cs="Arial"/>
          <w:lang w:val="es-ES_tradnl" w:eastAsia="en-US"/>
        </w:rPr>
        <w:t xml:space="preserve">, no ha respetado </w:t>
      </w:r>
      <w:r w:rsidRPr="004124AD">
        <w:rPr>
          <w:rFonts w:cs="Arial"/>
          <w:lang w:val="es-ES_tradnl" w:eastAsia="en-US"/>
        </w:rPr>
        <w:t>los principios de eficacia y eficiencia</w:t>
      </w:r>
      <w:r w:rsidR="00642EBB" w:rsidRPr="004124AD">
        <w:rPr>
          <w:rFonts w:cs="Arial"/>
          <w:lang w:val="es-ES_tradnl" w:eastAsia="en-US"/>
        </w:rPr>
        <w:t xml:space="preserve"> en la asignación de recursos públicos, </w:t>
      </w:r>
      <w:r w:rsidRPr="004124AD">
        <w:rPr>
          <w:rFonts w:cs="Arial"/>
          <w:lang w:val="es-ES_tradnl" w:eastAsia="en-US"/>
        </w:rPr>
        <w:t>como principios generales de organización y funcionamiento exigidos en la normativa para la A</w:t>
      </w:r>
      <w:r w:rsidR="0097215A">
        <w:rPr>
          <w:rFonts w:cs="Arial"/>
          <w:lang w:val="es-ES_tradnl" w:eastAsia="en-US"/>
        </w:rPr>
        <w:t>CFN</w:t>
      </w:r>
      <w:r w:rsidR="003C1F18" w:rsidRPr="004124AD">
        <w:rPr>
          <w:rFonts w:cs="Arial"/>
          <w:lang w:val="es-ES_tradnl" w:eastAsia="en-US"/>
        </w:rPr>
        <w:t xml:space="preserve">. </w:t>
      </w:r>
    </w:p>
    <w:p w14:paraId="7D9C4067" w14:textId="77777777" w:rsidR="004124AD" w:rsidRPr="004124AD" w:rsidRDefault="004124AD"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4124AD">
        <w:t>En el proce</w:t>
      </w:r>
      <w:r w:rsidR="006F6089">
        <w:t>dimiento l</w:t>
      </w:r>
      <w:r w:rsidRPr="004124AD">
        <w:t>levado a cabo para la adjudicación del contrato de obra</w:t>
      </w:r>
      <w:r w:rsidR="00FF053D">
        <w:t>s “Duplicación del Túnel de Belat</w:t>
      </w:r>
      <w:r w:rsidRPr="004124AD">
        <w:t xml:space="preserve">e” adjudicado en 76,09 millones (IVA incluido), hemos observado </w:t>
      </w:r>
      <w:r w:rsidR="00FF053D">
        <w:t>aspectos significativo</w:t>
      </w:r>
      <w:r w:rsidRPr="004124AD">
        <w:t>s que impiden garantizar de forma suficiente el cumplimiento de los principios de transparencia e igualdad de trato, debido principalmente a la insuficiente concreción en los pliegos de los criterios de valoración sometidos a juicio de valor y al procedimiento seguido en la formulación de las valoraciones, según se detalla en el apéndice “Información adicional sobre salvedades”.</w:t>
      </w:r>
    </w:p>
    <w:p w14:paraId="6E5F9C23" w14:textId="77777777" w:rsidR="009A38AE" w:rsidRDefault="009A38AE">
      <w:pPr>
        <w:rPr>
          <w:rFonts w:ascii="Arial" w:hAnsi="Arial"/>
          <w:b/>
          <w:color w:val="000000"/>
          <w:kern w:val="28"/>
          <w:sz w:val="25"/>
          <w:szCs w:val="26"/>
        </w:rPr>
      </w:pPr>
      <w:bookmarkStart w:id="35" w:name="_Toc146471228"/>
      <w:r>
        <w:br w:type="page"/>
      </w:r>
    </w:p>
    <w:p w14:paraId="64F5DA22" w14:textId="77777777" w:rsidR="00614DC4" w:rsidRDefault="00614DC4" w:rsidP="00286F49">
      <w:pPr>
        <w:pStyle w:val="atitulo1"/>
        <w:jc w:val="both"/>
      </w:pPr>
      <w:bookmarkStart w:id="36" w:name="_Toc182464262"/>
      <w:r>
        <w:lastRenderedPageBreak/>
        <w:t>V. Cuestiones clave de auditoría</w:t>
      </w:r>
      <w:bookmarkEnd w:id="35"/>
      <w:bookmarkEnd w:id="36"/>
    </w:p>
    <w:p w14:paraId="46BE2816" w14:textId="77777777" w:rsidR="00614DC4" w:rsidRDefault="00614DC4" w:rsidP="00676DCB">
      <w:pPr>
        <w:pStyle w:val="texto"/>
        <w:spacing w:after="120"/>
        <w:jc w:val="both"/>
      </w:pPr>
      <w:r>
        <w:t>Las cuestiones clave de la auditoría son aquellas que, según nuestro juicio profesional, han sido de la mayor significatividad en nuestra fiscalización de las Cuentas Generales del periodo actual. Estas cuestiones han sido tratadas en el contexto de nuestra auditoría de las Cuentas Generales en su conjunto y en la formación de nuestra opinión sobre estas, y no expresamos una opinión por separado sobre esas cuestiones.</w:t>
      </w:r>
    </w:p>
    <w:p w14:paraId="0814B6C0" w14:textId="77777777" w:rsidR="00614DC4" w:rsidRDefault="00614DC4" w:rsidP="00676DCB">
      <w:pPr>
        <w:pStyle w:val="texto"/>
        <w:spacing w:after="120"/>
        <w:jc w:val="both"/>
      </w:pPr>
      <w:r>
        <w:t xml:space="preserve">Excepto por las cuestiones descritas en la sección de “Fundamento de la opinión de auditoría financiera con salvedades” y “Fundamento de la opinión de legalidad con </w:t>
      </w:r>
      <w:r w:rsidRPr="00676DCB">
        <w:rPr>
          <w:rFonts w:cs="Arial"/>
        </w:rPr>
        <w:t>salvedades</w:t>
      </w:r>
      <w:r>
        <w:t>” de este informe, no comunicamos ninguna cuestión considerada como clave en nuestra fiscalización.</w:t>
      </w:r>
    </w:p>
    <w:p w14:paraId="1DB3A6AA" w14:textId="77777777" w:rsidR="00614DC4" w:rsidRDefault="00614DC4" w:rsidP="00286F49">
      <w:pPr>
        <w:jc w:val="both"/>
        <w:rPr>
          <w:rFonts w:ascii="Arial" w:hAnsi="Arial"/>
          <w:b/>
          <w:color w:val="000000"/>
          <w:kern w:val="28"/>
          <w:sz w:val="25"/>
          <w:szCs w:val="26"/>
        </w:rPr>
      </w:pPr>
      <w:r>
        <w:br w:type="page"/>
      </w:r>
    </w:p>
    <w:p w14:paraId="100D831B" w14:textId="77777777" w:rsidR="00614DC4" w:rsidRDefault="00614DC4" w:rsidP="00286F49">
      <w:pPr>
        <w:pStyle w:val="atitulo1"/>
        <w:jc w:val="both"/>
      </w:pPr>
      <w:bookmarkStart w:id="37" w:name="_Toc146471229"/>
      <w:bookmarkStart w:id="38" w:name="_Toc182464263"/>
      <w:r>
        <w:lastRenderedPageBreak/>
        <w:t>VI. Párrafo de énfasis</w:t>
      </w:r>
      <w:bookmarkEnd w:id="37"/>
      <w:bookmarkEnd w:id="38"/>
    </w:p>
    <w:p w14:paraId="716B50E3" w14:textId="77777777" w:rsidR="00614DC4" w:rsidRDefault="00614DC4" w:rsidP="00676DCB">
      <w:pPr>
        <w:pStyle w:val="texto"/>
        <w:spacing w:after="120"/>
        <w:jc w:val="both"/>
      </w:pPr>
      <w:r>
        <w:t xml:space="preserve">Llamamos la atención sobre los siguientes aspectos incluidos en la memoria de las Cuentas </w:t>
      </w:r>
      <w:r w:rsidRPr="00676DCB">
        <w:rPr>
          <w:rFonts w:cs="Arial"/>
        </w:rPr>
        <w:t>Generales</w:t>
      </w:r>
      <w:r>
        <w:t>:</w:t>
      </w:r>
    </w:p>
    <w:p w14:paraId="3D0B0981" w14:textId="77777777" w:rsidR="004B417F" w:rsidRPr="004B417F"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4B417F">
        <w:rPr>
          <w:rFonts w:cs="Arial"/>
          <w:lang w:val="es-ES_tradnl" w:eastAsia="en-US"/>
        </w:rPr>
        <w:t xml:space="preserve"> La evolución positiva de </w:t>
      </w:r>
      <w:r w:rsidR="004B417F">
        <w:rPr>
          <w:rFonts w:cs="Arial"/>
          <w:lang w:val="es-ES_tradnl" w:eastAsia="en-US"/>
        </w:rPr>
        <w:t xml:space="preserve">los siguientes </w:t>
      </w:r>
      <w:r w:rsidRPr="004B417F">
        <w:rPr>
          <w:rFonts w:cs="Arial"/>
          <w:lang w:val="es-ES_tradnl" w:eastAsia="en-US"/>
        </w:rPr>
        <w:t>indicadores de la situación económico-financiera respecto a 202</w:t>
      </w:r>
      <w:r w:rsidR="004B417F">
        <w:rPr>
          <w:rFonts w:cs="Arial"/>
          <w:lang w:val="es-ES_tradnl" w:eastAsia="en-US"/>
        </w:rPr>
        <w:t>2</w:t>
      </w:r>
      <w:r w:rsidRPr="004B417F">
        <w:rPr>
          <w:rFonts w:cs="Arial"/>
          <w:lang w:val="es-ES_tradnl" w:eastAsia="en-US"/>
        </w:rPr>
        <w:t xml:space="preserve"> mostrada en el documento “Análisis de indicadore</w:t>
      </w:r>
      <w:r w:rsidR="004B417F">
        <w:rPr>
          <w:rFonts w:cs="Arial"/>
          <w:lang w:val="es-ES_tradnl" w:eastAsia="en-US"/>
        </w:rPr>
        <w:t xml:space="preserve">s financieros y patrimoniales”: </w:t>
      </w:r>
    </w:p>
    <w:tbl>
      <w:tblPr>
        <w:tblW w:w="5050" w:type="pct"/>
        <w:tblLayout w:type="fixed"/>
        <w:tblCellMar>
          <w:left w:w="70" w:type="dxa"/>
          <w:right w:w="70" w:type="dxa"/>
        </w:tblCellMar>
        <w:tblLook w:val="04A0" w:firstRow="1" w:lastRow="0" w:firstColumn="1" w:lastColumn="0" w:noHBand="0" w:noVBand="1"/>
      </w:tblPr>
      <w:tblGrid>
        <w:gridCol w:w="4253"/>
        <w:gridCol w:w="1297"/>
        <w:gridCol w:w="16"/>
        <w:gridCol w:w="1634"/>
        <w:gridCol w:w="21"/>
        <w:gridCol w:w="1545"/>
        <w:gridCol w:w="85"/>
        <w:gridCol w:w="26"/>
      </w:tblGrid>
      <w:tr w:rsidR="004B417F" w14:paraId="0569242C" w14:textId="77777777" w:rsidTr="00E82E97">
        <w:trPr>
          <w:gridAfter w:val="2"/>
          <w:wAfter w:w="111" w:type="dxa"/>
          <w:trHeight w:val="198"/>
        </w:trPr>
        <w:tc>
          <w:tcPr>
            <w:tcW w:w="8766" w:type="dxa"/>
            <w:gridSpan w:val="6"/>
            <w:tcBorders>
              <w:top w:val="nil"/>
              <w:left w:val="nil"/>
              <w:bottom w:val="single" w:sz="2" w:space="0" w:color="auto"/>
              <w:right w:val="nil"/>
            </w:tcBorders>
            <w:noWrap/>
            <w:vAlign w:val="center"/>
            <w:hideMark/>
          </w:tcPr>
          <w:p w14:paraId="6B786936" w14:textId="77777777" w:rsidR="004B417F" w:rsidRPr="00E87A6C" w:rsidRDefault="004B417F" w:rsidP="00E82E97">
            <w:pPr>
              <w:keepLines/>
              <w:tabs>
                <w:tab w:val="right" w:pos="2835"/>
                <w:tab w:val="right" w:pos="3969"/>
                <w:tab w:val="right" w:pos="5103"/>
                <w:tab w:val="right" w:pos="6237"/>
                <w:tab w:val="right" w:pos="7371"/>
              </w:tabs>
              <w:ind w:right="-56"/>
              <w:jc w:val="right"/>
              <w:rPr>
                <w:rFonts w:ascii="Arial Narrow" w:hAnsi="Arial Narrow" w:cs="Arial"/>
                <w:spacing w:val="6"/>
                <w:sz w:val="17"/>
                <w:szCs w:val="17"/>
              </w:rPr>
            </w:pPr>
            <w:r w:rsidRPr="00E87A6C">
              <w:rPr>
                <w:rFonts w:ascii="Arial Narrow" w:hAnsi="Arial Narrow" w:cs="Arial"/>
                <w:spacing w:val="6"/>
                <w:sz w:val="17"/>
                <w:szCs w:val="17"/>
              </w:rPr>
              <w:t>(en miles)</w:t>
            </w:r>
          </w:p>
        </w:tc>
      </w:tr>
      <w:tr w:rsidR="004B417F" w14:paraId="08C02BC1" w14:textId="77777777" w:rsidTr="002D27FA">
        <w:trPr>
          <w:trHeight w:val="255"/>
        </w:trPr>
        <w:tc>
          <w:tcPr>
            <w:tcW w:w="4253" w:type="dxa"/>
            <w:tcBorders>
              <w:top w:val="single" w:sz="4" w:space="0" w:color="auto"/>
              <w:left w:val="nil"/>
              <w:bottom w:val="single" w:sz="4" w:space="0" w:color="auto"/>
              <w:right w:val="nil"/>
            </w:tcBorders>
            <w:shd w:val="clear" w:color="auto" w:fill="8DB3E2" w:themeFill="text2" w:themeFillTint="66"/>
            <w:noWrap/>
            <w:vAlign w:val="center"/>
            <w:hideMark/>
          </w:tcPr>
          <w:p w14:paraId="2D9D60A9" w14:textId="77777777" w:rsidR="004B417F" w:rsidRDefault="004B417F" w:rsidP="00E82E97">
            <w:pPr>
              <w:pStyle w:val="cuadroCabe"/>
            </w:pPr>
            <w:r>
              <w:t>Indicadores</w:t>
            </w:r>
          </w:p>
        </w:tc>
        <w:tc>
          <w:tcPr>
            <w:tcW w:w="1313" w:type="dxa"/>
            <w:gridSpan w:val="2"/>
            <w:tcBorders>
              <w:top w:val="single" w:sz="4" w:space="0" w:color="auto"/>
              <w:left w:val="nil"/>
              <w:bottom w:val="single" w:sz="4" w:space="0" w:color="auto"/>
              <w:right w:val="nil"/>
            </w:tcBorders>
            <w:shd w:val="clear" w:color="auto" w:fill="8DB3E2" w:themeFill="text2" w:themeFillTint="66"/>
            <w:vAlign w:val="center"/>
            <w:hideMark/>
          </w:tcPr>
          <w:p w14:paraId="09920179" w14:textId="77777777" w:rsidR="004B417F" w:rsidRDefault="004B417F" w:rsidP="00E82E97">
            <w:pPr>
              <w:pStyle w:val="cuadroCabe"/>
              <w:jc w:val="right"/>
            </w:pPr>
            <w:r>
              <w:t>2022</w:t>
            </w:r>
          </w:p>
        </w:tc>
        <w:tc>
          <w:tcPr>
            <w:tcW w:w="1655" w:type="dxa"/>
            <w:gridSpan w:val="2"/>
            <w:tcBorders>
              <w:top w:val="single" w:sz="4" w:space="0" w:color="auto"/>
              <w:left w:val="nil"/>
              <w:bottom w:val="single" w:sz="4" w:space="0" w:color="auto"/>
              <w:right w:val="nil"/>
            </w:tcBorders>
            <w:shd w:val="clear" w:color="auto" w:fill="8DB3E2" w:themeFill="text2" w:themeFillTint="66"/>
            <w:noWrap/>
            <w:vAlign w:val="center"/>
            <w:hideMark/>
          </w:tcPr>
          <w:p w14:paraId="414F3CC6" w14:textId="77777777" w:rsidR="004B417F" w:rsidRDefault="004B417F" w:rsidP="00E82E97">
            <w:pPr>
              <w:pStyle w:val="cuadroCabe"/>
              <w:jc w:val="right"/>
            </w:pPr>
            <w:r>
              <w:t>2023</w:t>
            </w:r>
          </w:p>
        </w:tc>
        <w:tc>
          <w:tcPr>
            <w:tcW w:w="1656" w:type="dxa"/>
            <w:gridSpan w:val="3"/>
            <w:tcBorders>
              <w:top w:val="single" w:sz="4" w:space="0" w:color="auto"/>
              <w:left w:val="nil"/>
              <w:bottom w:val="single" w:sz="4" w:space="0" w:color="auto"/>
              <w:right w:val="nil"/>
            </w:tcBorders>
            <w:shd w:val="clear" w:color="auto" w:fill="8DB3E2" w:themeFill="text2" w:themeFillTint="66"/>
            <w:noWrap/>
            <w:vAlign w:val="center"/>
            <w:hideMark/>
          </w:tcPr>
          <w:p w14:paraId="17DB4C27" w14:textId="77777777" w:rsidR="004B417F" w:rsidRDefault="004B417F" w:rsidP="00E82E97">
            <w:pPr>
              <w:pStyle w:val="cuadroCabe"/>
              <w:jc w:val="right"/>
            </w:pPr>
            <w:r>
              <w:t xml:space="preserve">% Variación </w:t>
            </w:r>
          </w:p>
          <w:p w14:paraId="53052DF0" w14:textId="77777777" w:rsidR="004B417F" w:rsidRDefault="004B417F" w:rsidP="00E82E97">
            <w:pPr>
              <w:pStyle w:val="cuadroCabe"/>
              <w:jc w:val="right"/>
            </w:pPr>
            <w:r>
              <w:t>2023/2022</w:t>
            </w:r>
          </w:p>
        </w:tc>
      </w:tr>
      <w:tr w:rsidR="004B417F" w:rsidRPr="00F56DF5" w14:paraId="6F14E434" w14:textId="77777777" w:rsidTr="00610592">
        <w:trPr>
          <w:gridAfter w:val="1"/>
          <w:wAfter w:w="26" w:type="dxa"/>
          <w:trHeight w:val="198"/>
        </w:trPr>
        <w:tc>
          <w:tcPr>
            <w:tcW w:w="4253" w:type="dxa"/>
            <w:tcBorders>
              <w:top w:val="single" w:sz="2" w:space="0" w:color="auto"/>
              <w:left w:val="nil"/>
              <w:bottom w:val="single" w:sz="2" w:space="0" w:color="auto"/>
              <w:right w:val="nil"/>
            </w:tcBorders>
            <w:noWrap/>
            <w:vAlign w:val="center"/>
            <w:hideMark/>
          </w:tcPr>
          <w:p w14:paraId="4F5B3D3D" w14:textId="77777777" w:rsidR="004B417F" w:rsidRPr="00F56DF5" w:rsidRDefault="004B417F" w:rsidP="00E82E97">
            <w:pPr>
              <w:pStyle w:val="cuatexto"/>
            </w:pPr>
            <w:r w:rsidRPr="00F56DF5">
              <w:t>Saldo presupuestario no financiero</w:t>
            </w:r>
          </w:p>
        </w:tc>
        <w:tc>
          <w:tcPr>
            <w:tcW w:w="1297" w:type="dxa"/>
            <w:tcBorders>
              <w:top w:val="nil"/>
              <w:left w:val="nil"/>
              <w:bottom w:val="single" w:sz="2" w:space="0" w:color="auto"/>
              <w:right w:val="nil"/>
            </w:tcBorders>
            <w:vAlign w:val="center"/>
          </w:tcPr>
          <w:p w14:paraId="7A493ADA" w14:textId="77777777" w:rsidR="004B417F" w:rsidRPr="00F56DF5" w:rsidRDefault="004B417F" w:rsidP="00E82E97">
            <w:pPr>
              <w:pStyle w:val="cuatexto"/>
              <w:jc w:val="right"/>
              <w:rPr>
                <w:rFonts w:cs="Calibri"/>
                <w:color w:val="000000"/>
              </w:rPr>
            </w:pPr>
            <w:r w:rsidRPr="00F56DF5">
              <w:rPr>
                <w:rFonts w:cs="Calibri"/>
                <w:color w:val="000000"/>
              </w:rPr>
              <w:t>303.857</w:t>
            </w:r>
          </w:p>
        </w:tc>
        <w:tc>
          <w:tcPr>
            <w:tcW w:w="1650" w:type="dxa"/>
            <w:gridSpan w:val="2"/>
            <w:tcBorders>
              <w:top w:val="nil"/>
              <w:left w:val="nil"/>
              <w:bottom w:val="single" w:sz="2" w:space="0" w:color="auto"/>
              <w:right w:val="nil"/>
            </w:tcBorders>
            <w:noWrap/>
            <w:vAlign w:val="bottom"/>
          </w:tcPr>
          <w:p w14:paraId="6663BA66" w14:textId="77777777" w:rsidR="004B417F" w:rsidRPr="00F56DF5" w:rsidRDefault="004B417F" w:rsidP="00E82E97">
            <w:pPr>
              <w:pStyle w:val="cuatexto"/>
              <w:jc w:val="right"/>
              <w:rPr>
                <w:rFonts w:cs="Calibri"/>
                <w:color w:val="000000"/>
              </w:rPr>
            </w:pPr>
            <w:r w:rsidRPr="00F56DF5">
              <w:rPr>
                <w:rFonts w:cs="Calibri"/>
                <w:color w:val="000000"/>
              </w:rPr>
              <w:t>329.006</w:t>
            </w:r>
          </w:p>
        </w:tc>
        <w:tc>
          <w:tcPr>
            <w:tcW w:w="1651" w:type="dxa"/>
            <w:gridSpan w:val="3"/>
            <w:tcBorders>
              <w:top w:val="nil"/>
              <w:left w:val="nil"/>
              <w:bottom w:val="single" w:sz="2" w:space="0" w:color="auto"/>
              <w:right w:val="nil"/>
            </w:tcBorders>
            <w:noWrap/>
            <w:vAlign w:val="center"/>
          </w:tcPr>
          <w:p w14:paraId="1AF2C8FA" w14:textId="77777777" w:rsidR="004B417F" w:rsidRPr="00F56DF5" w:rsidRDefault="004B417F" w:rsidP="00E82E97">
            <w:pPr>
              <w:pStyle w:val="cuatexto"/>
              <w:jc w:val="right"/>
              <w:rPr>
                <w:rFonts w:cs="Calibri"/>
              </w:rPr>
            </w:pPr>
            <w:r w:rsidRPr="00F56DF5">
              <w:rPr>
                <w:rFonts w:cs="Calibri"/>
              </w:rPr>
              <w:t>8</w:t>
            </w:r>
          </w:p>
        </w:tc>
      </w:tr>
      <w:tr w:rsidR="004B417F" w:rsidRPr="00F56DF5" w14:paraId="547F3C35" w14:textId="77777777" w:rsidTr="00E82E97">
        <w:trPr>
          <w:gridAfter w:val="1"/>
          <w:wAfter w:w="26" w:type="dxa"/>
          <w:trHeight w:val="198"/>
        </w:trPr>
        <w:tc>
          <w:tcPr>
            <w:tcW w:w="4253" w:type="dxa"/>
            <w:tcBorders>
              <w:top w:val="single" w:sz="2" w:space="0" w:color="auto"/>
              <w:left w:val="nil"/>
              <w:bottom w:val="single" w:sz="2" w:space="0" w:color="auto"/>
              <w:right w:val="nil"/>
            </w:tcBorders>
            <w:noWrap/>
            <w:vAlign w:val="center"/>
            <w:hideMark/>
          </w:tcPr>
          <w:p w14:paraId="0F838060" w14:textId="77777777" w:rsidR="004B417F" w:rsidRPr="00F56DF5" w:rsidRDefault="004B417F" w:rsidP="00E82E97">
            <w:pPr>
              <w:pStyle w:val="cuatexto"/>
            </w:pPr>
            <w:r w:rsidRPr="00F56DF5">
              <w:t>Resultado presupuestario ajustado</w:t>
            </w:r>
          </w:p>
        </w:tc>
        <w:tc>
          <w:tcPr>
            <w:tcW w:w="1297" w:type="dxa"/>
            <w:tcBorders>
              <w:top w:val="single" w:sz="2" w:space="0" w:color="auto"/>
              <w:left w:val="nil"/>
              <w:bottom w:val="single" w:sz="2" w:space="0" w:color="auto"/>
              <w:right w:val="nil"/>
            </w:tcBorders>
            <w:vAlign w:val="center"/>
          </w:tcPr>
          <w:p w14:paraId="42E0A27D" w14:textId="77777777" w:rsidR="004B417F" w:rsidRPr="00F56DF5" w:rsidRDefault="004B417F" w:rsidP="00E82E97">
            <w:pPr>
              <w:pStyle w:val="cuatexto"/>
              <w:jc w:val="right"/>
              <w:rPr>
                <w:rFonts w:cs="Calibri"/>
                <w:color w:val="000000"/>
              </w:rPr>
            </w:pPr>
            <w:r w:rsidRPr="00F56DF5">
              <w:rPr>
                <w:rFonts w:cs="Calibri"/>
                <w:color w:val="000000"/>
              </w:rPr>
              <w:t>295.271</w:t>
            </w:r>
          </w:p>
        </w:tc>
        <w:tc>
          <w:tcPr>
            <w:tcW w:w="1650" w:type="dxa"/>
            <w:gridSpan w:val="2"/>
            <w:tcBorders>
              <w:top w:val="single" w:sz="2" w:space="0" w:color="auto"/>
              <w:left w:val="nil"/>
              <w:bottom w:val="single" w:sz="2" w:space="0" w:color="auto"/>
              <w:right w:val="nil"/>
            </w:tcBorders>
            <w:noWrap/>
            <w:vAlign w:val="center"/>
          </w:tcPr>
          <w:p w14:paraId="3EC6776B" w14:textId="77777777" w:rsidR="004B417F" w:rsidRPr="00F56DF5" w:rsidRDefault="004B417F" w:rsidP="00E82E97">
            <w:pPr>
              <w:pStyle w:val="cuatexto"/>
              <w:jc w:val="right"/>
              <w:rPr>
                <w:rFonts w:cs="Calibri"/>
                <w:color w:val="000000"/>
              </w:rPr>
            </w:pPr>
            <w:r w:rsidRPr="00F56DF5">
              <w:rPr>
                <w:rFonts w:cs="Calibri"/>
                <w:color w:val="000000"/>
              </w:rPr>
              <w:t>96.473</w:t>
            </w:r>
          </w:p>
        </w:tc>
        <w:tc>
          <w:tcPr>
            <w:tcW w:w="1651" w:type="dxa"/>
            <w:gridSpan w:val="3"/>
            <w:tcBorders>
              <w:top w:val="single" w:sz="2" w:space="0" w:color="auto"/>
              <w:left w:val="nil"/>
              <w:bottom w:val="single" w:sz="2" w:space="0" w:color="auto"/>
              <w:right w:val="nil"/>
            </w:tcBorders>
            <w:noWrap/>
          </w:tcPr>
          <w:p w14:paraId="5EE00DD3" w14:textId="77777777" w:rsidR="004B417F" w:rsidRPr="00F56DF5" w:rsidRDefault="004B417F" w:rsidP="00E82E97">
            <w:pPr>
              <w:pStyle w:val="cuatexto"/>
              <w:jc w:val="right"/>
              <w:rPr>
                <w:rFonts w:cs="Calibri"/>
              </w:rPr>
            </w:pPr>
            <w:r w:rsidRPr="00F56DF5">
              <w:rPr>
                <w:rFonts w:cs="Calibri"/>
              </w:rPr>
              <w:t>-67</w:t>
            </w:r>
          </w:p>
        </w:tc>
      </w:tr>
      <w:tr w:rsidR="004B417F" w:rsidRPr="00F56DF5" w14:paraId="1238AE47" w14:textId="77777777" w:rsidTr="00E82E97">
        <w:trPr>
          <w:gridAfter w:val="1"/>
          <w:wAfter w:w="26" w:type="dxa"/>
          <w:trHeight w:val="198"/>
        </w:trPr>
        <w:tc>
          <w:tcPr>
            <w:tcW w:w="4253" w:type="dxa"/>
            <w:tcBorders>
              <w:top w:val="single" w:sz="2" w:space="0" w:color="auto"/>
              <w:left w:val="nil"/>
              <w:bottom w:val="single" w:sz="2" w:space="0" w:color="auto"/>
              <w:right w:val="nil"/>
            </w:tcBorders>
            <w:noWrap/>
            <w:vAlign w:val="center"/>
            <w:hideMark/>
          </w:tcPr>
          <w:p w14:paraId="30358DF4" w14:textId="77777777" w:rsidR="004B417F" w:rsidRPr="00F56DF5" w:rsidRDefault="004B417F" w:rsidP="00E82E97">
            <w:pPr>
              <w:pStyle w:val="cuatexto"/>
            </w:pPr>
            <w:r w:rsidRPr="00F56DF5">
              <w:t>Ahorro Bruto</w:t>
            </w:r>
          </w:p>
        </w:tc>
        <w:tc>
          <w:tcPr>
            <w:tcW w:w="1297" w:type="dxa"/>
            <w:tcBorders>
              <w:top w:val="single" w:sz="2" w:space="0" w:color="auto"/>
              <w:left w:val="nil"/>
              <w:bottom w:val="single" w:sz="2" w:space="0" w:color="auto"/>
              <w:right w:val="nil"/>
            </w:tcBorders>
            <w:vAlign w:val="center"/>
          </w:tcPr>
          <w:p w14:paraId="1193952C" w14:textId="77777777" w:rsidR="004B417F" w:rsidRPr="00F56DF5" w:rsidRDefault="004B417F" w:rsidP="00E82E97">
            <w:pPr>
              <w:pStyle w:val="cuatexto"/>
              <w:jc w:val="right"/>
              <w:rPr>
                <w:rFonts w:cs="Calibri"/>
                <w:color w:val="000000"/>
              </w:rPr>
            </w:pPr>
            <w:r w:rsidRPr="00F56DF5">
              <w:rPr>
                <w:rFonts w:cs="Calibri"/>
                <w:color w:val="000000"/>
              </w:rPr>
              <w:t>553.565</w:t>
            </w:r>
          </w:p>
        </w:tc>
        <w:tc>
          <w:tcPr>
            <w:tcW w:w="1650" w:type="dxa"/>
            <w:gridSpan w:val="2"/>
            <w:tcBorders>
              <w:top w:val="single" w:sz="2" w:space="0" w:color="auto"/>
              <w:left w:val="nil"/>
              <w:bottom w:val="single" w:sz="2" w:space="0" w:color="auto"/>
              <w:right w:val="nil"/>
            </w:tcBorders>
            <w:noWrap/>
            <w:vAlign w:val="center"/>
          </w:tcPr>
          <w:p w14:paraId="65CE700E" w14:textId="77777777" w:rsidR="004B417F" w:rsidRPr="00F56DF5" w:rsidRDefault="004B417F" w:rsidP="00E82E97">
            <w:pPr>
              <w:pStyle w:val="cuatexto"/>
              <w:jc w:val="right"/>
              <w:rPr>
                <w:rFonts w:cs="Calibri"/>
                <w:color w:val="000000"/>
              </w:rPr>
            </w:pPr>
            <w:r w:rsidRPr="00F56DF5">
              <w:rPr>
                <w:rFonts w:cs="Calibri"/>
                <w:color w:val="000000"/>
              </w:rPr>
              <w:t>687.540</w:t>
            </w:r>
          </w:p>
        </w:tc>
        <w:tc>
          <w:tcPr>
            <w:tcW w:w="1651" w:type="dxa"/>
            <w:gridSpan w:val="3"/>
            <w:tcBorders>
              <w:top w:val="single" w:sz="2" w:space="0" w:color="auto"/>
              <w:left w:val="nil"/>
              <w:bottom w:val="single" w:sz="2" w:space="0" w:color="auto"/>
              <w:right w:val="nil"/>
            </w:tcBorders>
            <w:noWrap/>
          </w:tcPr>
          <w:p w14:paraId="3BADB655" w14:textId="77777777" w:rsidR="004B417F" w:rsidRPr="00F56DF5" w:rsidRDefault="004B417F" w:rsidP="00E82E97">
            <w:pPr>
              <w:pStyle w:val="cuatexto"/>
              <w:jc w:val="right"/>
              <w:rPr>
                <w:rFonts w:cs="Calibri"/>
              </w:rPr>
            </w:pPr>
            <w:r w:rsidRPr="00F56DF5">
              <w:rPr>
                <w:rFonts w:cs="Calibri"/>
              </w:rPr>
              <w:t>24</w:t>
            </w:r>
          </w:p>
        </w:tc>
      </w:tr>
      <w:tr w:rsidR="004B417F" w:rsidRPr="00F56DF5" w14:paraId="1B47E979" w14:textId="77777777" w:rsidTr="00E82E97">
        <w:trPr>
          <w:gridAfter w:val="1"/>
          <w:wAfter w:w="26" w:type="dxa"/>
          <w:trHeight w:val="198"/>
        </w:trPr>
        <w:tc>
          <w:tcPr>
            <w:tcW w:w="4253" w:type="dxa"/>
            <w:tcBorders>
              <w:top w:val="single" w:sz="2" w:space="0" w:color="auto"/>
              <w:left w:val="nil"/>
              <w:bottom w:val="single" w:sz="2" w:space="0" w:color="auto"/>
              <w:right w:val="nil"/>
            </w:tcBorders>
            <w:noWrap/>
            <w:vAlign w:val="center"/>
            <w:hideMark/>
          </w:tcPr>
          <w:p w14:paraId="238293A4" w14:textId="77777777" w:rsidR="004B417F" w:rsidRPr="00F56DF5" w:rsidRDefault="004B417F" w:rsidP="00E82E97">
            <w:pPr>
              <w:pStyle w:val="cuatexto"/>
            </w:pPr>
            <w:r w:rsidRPr="00F56DF5">
              <w:t>Carga Financiera (cap. 3 y 9)</w:t>
            </w:r>
          </w:p>
        </w:tc>
        <w:tc>
          <w:tcPr>
            <w:tcW w:w="1297" w:type="dxa"/>
            <w:tcBorders>
              <w:top w:val="single" w:sz="2" w:space="0" w:color="auto"/>
              <w:left w:val="nil"/>
              <w:bottom w:val="single" w:sz="2" w:space="0" w:color="auto"/>
              <w:right w:val="nil"/>
            </w:tcBorders>
            <w:vAlign w:val="center"/>
          </w:tcPr>
          <w:p w14:paraId="6366B6BE" w14:textId="77777777" w:rsidR="004B417F" w:rsidRPr="00F56DF5" w:rsidRDefault="004B417F" w:rsidP="00E82E97">
            <w:pPr>
              <w:pStyle w:val="cuatexto"/>
              <w:jc w:val="right"/>
              <w:rPr>
                <w:rFonts w:cs="Calibri"/>
                <w:color w:val="000000"/>
              </w:rPr>
            </w:pPr>
            <w:r w:rsidRPr="00F56DF5">
              <w:rPr>
                <w:rFonts w:cs="Calibri"/>
                <w:color w:val="000000"/>
              </w:rPr>
              <w:t>425.108</w:t>
            </w:r>
          </w:p>
        </w:tc>
        <w:tc>
          <w:tcPr>
            <w:tcW w:w="1650" w:type="dxa"/>
            <w:gridSpan w:val="2"/>
            <w:tcBorders>
              <w:top w:val="single" w:sz="2" w:space="0" w:color="auto"/>
              <w:left w:val="nil"/>
              <w:bottom w:val="single" w:sz="2" w:space="0" w:color="auto"/>
              <w:right w:val="nil"/>
            </w:tcBorders>
            <w:noWrap/>
            <w:vAlign w:val="center"/>
          </w:tcPr>
          <w:p w14:paraId="767D91C1" w14:textId="77777777" w:rsidR="004B417F" w:rsidRPr="00F56DF5" w:rsidRDefault="004B417F" w:rsidP="00E82E97">
            <w:pPr>
              <w:pStyle w:val="cuatexto"/>
              <w:jc w:val="right"/>
              <w:rPr>
                <w:rFonts w:cs="Calibri"/>
                <w:color w:val="000000"/>
              </w:rPr>
            </w:pPr>
            <w:r w:rsidRPr="00F56DF5">
              <w:rPr>
                <w:rFonts w:cs="Calibri"/>
                <w:color w:val="000000"/>
              </w:rPr>
              <w:t>266.351</w:t>
            </w:r>
          </w:p>
        </w:tc>
        <w:tc>
          <w:tcPr>
            <w:tcW w:w="1651" w:type="dxa"/>
            <w:gridSpan w:val="3"/>
            <w:tcBorders>
              <w:top w:val="single" w:sz="2" w:space="0" w:color="auto"/>
              <w:left w:val="nil"/>
              <w:bottom w:val="single" w:sz="2" w:space="0" w:color="auto"/>
              <w:right w:val="nil"/>
            </w:tcBorders>
            <w:noWrap/>
          </w:tcPr>
          <w:p w14:paraId="4A4D872F" w14:textId="77777777" w:rsidR="004B417F" w:rsidRPr="00F56DF5" w:rsidRDefault="004B417F" w:rsidP="00E82E97">
            <w:pPr>
              <w:pStyle w:val="cuatexto"/>
              <w:jc w:val="right"/>
              <w:rPr>
                <w:rFonts w:cs="Calibri"/>
              </w:rPr>
            </w:pPr>
            <w:r w:rsidRPr="00F56DF5">
              <w:rPr>
                <w:rFonts w:cs="Calibri"/>
              </w:rPr>
              <w:t>-37</w:t>
            </w:r>
          </w:p>
        </w:tc>
      </w:tr>
      <w:tr w:rsidR="004B417F" w:rsidRPr="00F56DF5" w14:paraId="1BD66EB0" w14:textId="77777777" w:rsidTr="00E82E97">
        <w:trPr>
          <w:gridAfter w:val="1"/>
          <w:wAfter w:w="26" w:type="dxa"/>
          <w:trHeight w:val="198"/>
        </w:trPr>
        <w:tc>
          <w:tcPr>
            <w:tcW w:w="4253" w:type="dxa"/>
            <w:tcBorders>
              <w:top w:val="single" w:sz="2" w:space="0" w:color="auto"/>
              <w:left w:val="nil"/>
              <w:bottom w:val="single" w:sz="2" w:space="0" w:color="auto"/>
              <w:right w:val="nil"/>
            </w:tcBorders>
            <w:noWrap/>
            <w:vAlign w:val="center"/>
            <w:hideMark/>
          </w:tcPr>
          <w:p w14:paraId="30D480CE" w14:textId="77777777" w:rsidR="004B417F" w:rsidRPr="00F56DF5" w:rsidRDefault="004B417F" w:rsidP="00E82E97">
            <w:pPr>
              <w:pStyle w:val="cuatexto"/>
            </w:pPr>
            <w:r w:rsidRPr="00F56DF5">
              <w:t xml:space="preserve">Ahorro Neto </w:t>
            </w:r>
          </w:p>
        </w:tc>
        <w:tc>
          <w:tcPr>
            <w:tcW w:w="1297" w:type="dxa"/>
            <w:tcBorders>
              <w:top w:val="single" w:sz="2" w:space="0" w:color="auto"/>
              <w:left w:val="nil"/>
              <w:bottom w:val="single" w:sz="2" w:space="0" w:color="auto"/>
              <w:right w:val="nil"/>
            </w:tcBorders>
            <w:vAlign w:val="center"/>
          </w:tcPr>
          <w:p w14:paraId="635E1B00" w14:textId="77777777" w:rsidR="004B417F" w:rsidRPr="00F56DF5" w:rsidRDefault="004B417F" w:rsidP="00E82E97">
            <w:pPr>
              <w:pStyle w:val="cuatexto"/>
              <w:jc w:val="right"/>
              <w:rPr>
                <w:rFonts w:cs="Calibri"/>
                <w:color w:val="000000"/>
              </w:rPr>
            </w:pPr>
            <w:r w:rsidRPr="00F56DF5">
              <w:rPr>
                <w:rFonts w:cs="Calibri"/>
                <w:color w:val="000000"/>
              </w:rPr>
              <w:t>128.457</w:t>
            </w:r>
          </w:p>
        </w:tc>
        <w:tc>
          <w:tcPr>
            <w:tcW w:w="1650" w:type="dxa"/>
            <w:gridSpan w:val="2"/>
            <w:tcBorders>
              <w:top w:val="single" w:sz="2" w:space="0" w:color="auto"/>
              <w:left w:val="nil"/>
              <w:bottom w:val="single" w:sz="2" w:space="0" w:color="auto"/>
              <w:right w:val="nil"/>
            </w:tcBorders>
            <w:noWrap/>
            <w:vAlign w:val="center"/>
          </w:tcPr>
          <w:p w14:paraId="2C3EC9BC" w14:textId="77777777" w:rsidR="004B417F" w:rsidRPr="00F56DF5" w:rsidRDefault="004B417F" w:rsidP="00E82E97">
            <w:pPr>
              <w:pStyle w:val="cuatexto"/>
              <w:jc w:val="right"/>
              <w:rPr>
                <w:rFonts w:cs="Calibri"/>
                <w:color w:val="000000"/>
              </w:rPr>
            </w:pPr>
            <w:r w:rsidRPr="00F56DF5">
              <w:rPr>
                <w:rFonts w:cs="Calibri"/>
                <w:color w:val="000000"/>
              </w:rPr>
              <w:t>421.189</w:t>
            </w:r>
          </w:p>
        </w:tc>
        <w:tc>
          <w:tcPr>
            <w:tcW w:w="1651" w:type="dxa"/>
            <w:gridSpan w:val="3"/>
            <w:tcBorders>
              <w:top w:val="single" w:sz="2" w:space="0" w:color="auto"/>
              <w:left w:val="nil"/>
              <w:bottom w:val="single" w:sz="2" w:space="0" w:color="auto"/>
              <w:right w:val="nil"/>
            </w:tcBorders>
            <w:noWrap/>
          </w:tcPr>
          <w:p w14:paraId="7FCDF900" w14:textId="77777777" w:rsidR="004B417F" w:rsidRPr="00F56DF5" w:rsidRDefault="004B417F" w:rsidP="00E82E97">
            <w:pPr>
              <w:pStyle w:val="cuatexto"/>
              <w:jc w:val="right"/>
              <w:rPr>
                <w:rFonts w:cs="Calibri"/>
              </w:rPr>
            </w:pPr>
            <w:r w:rsidRPr="00F56DF5">
              <w:rPr>
                <w:rFonts w:cs="Calibri"/>
              </w:rPr>
              <w:t>228</w:t>
            </w:r>
          </w:p>
        </w:tc>
      </w:tr>
      <w:tr w:rsidR="004B417F" w:rsidRPr="00CD47DD" w14:paraId="638FF4BF" w14:textId="77777777" w:rsidTr="00053346">
        <w:trPr>
          <w:gridAfter w:val="1"/>
          <w:wAfter w:w="26" w:type="dxa"/>
          <w:trHeight w:val="198"/>
        </w:trPr>
        <w:tc>
          <w:tcPr>
            <w:tcW w:w="4253" w:type="dxa"/>
            <w:tcBorders>
              <w:top w:val="single" w:sz="2" w:space="0" w:color="auto"/>
              <w:left w:val="nil"/>
              <w:bottom w:val="single" w:sz="4" w:space="0" w:color="auto"/>
              <w:right w:val="nil"/>
            </w:tcBorders>
            <w:noWrap/>
            <w:vAlign w:val="center"/>
            <w:hideMark/>
          </w:tcPr>
          <w:p w14:paraId="0C6108D1" w14:textId="77777777" w:rsidR="004B417F" w:rsidRPr="00CD47DD" w:rsidRDefault="004B417F" w:rsidP="00E82E97">
            <w:pPr>
              <w:pStyle w:val="cuatexto"/>
            </w:pPr>
            <w:r w:rsidRPr="00CD47DD">
              <w:t>Deuda financiera *</w:t>
            </w:r>
          </w:p>
        </w:tc>
        <w:tc>
          <w:tcPr>
            <w:tcW w:w="1297" w:type="dxa"/>
            <w:tcBorders>
              <w:top w:val="single" w:sz="2" w:space="0" w:color="auto"/>
              <w:left w:val="nil"/>
              <w:bottom w:val="single" w:sz="4" w:space="0" w:color="auto"/>
              <w:right w:val="nil"/>
            </w:tcBorders>
            <w:vAlign w:val="center"/>
          </w:tcPr>
          <w:p w14:paraId="019BFA38" w14:textId="77777777" w:rsidR="004B417F" w:rsidRPr="00CD47DD" w:rsidRDefault="004B417F" w:rsidP="00E82E97">
            <w:pPr>
              <w:pStyle w:val="cuatexto"/>
              <w:jc w:val="right"/>
              <w:rPr>
                <w:rFonts w:cs="Calibri"/>
              </w:rPr>
            </w:pPr>
            <w:r w:rsidRPr="00CD47DD">
              <w:rPr>
                <w:rFonts w:cs="Calibri"/>
              </w:rPr>
              <w:t>2.867.732</w:t>
            </w:r>
          </w:p>
        </w:tc>
        <w:tc>
          <w:tcPr>
            <w:tcW w:w="1650" w:type="dxa"/>
            <w:gridSpan w:val="2"/>
            <w:tcBorders>
              <w:top w:val="single" w:sz="2" w:space="0" w:color="auto"/>
              <w:left w:val="nil"/>
              <w:bottom w:val="single" w:sz="4" w:space="0" w:color="auto"/>
              <w:right w:val="nil"/>
            </w:tcBorders>
            <w:noWrap/>
            <w:vAlign w:val="center"/>
          </w:tcPr>
          <w:p w14:paraId="57DAE3F9" w14:textId="77777777" w:rsidR="004B417F" w:rsidRPr="00AB7407" w:rsidRDefault="00AB7407" w:rsidP="00E82E97">
            <w:pPr>
              <w:pStyle w:val="cuatexto"/>
              <w:jc w:val="right"/>
              <w:rPr>
                <w:rFonts w:cs="Calibri"/>
                <w:color w:val="000000"/>
              </w:rPr>
            </w:pPr>
            <w:r w:rsidRPr="00AB7407">
              <w:rPr>
                <w:rFonts w:cs="Calibri"/>
                <w:color w:val="000000"/>
              </w:rPr>
              <w:t>2.695.268</w:t>
            </w:r>
          </w:p>
        </w:tc>
        <w:tc>
          <w:tcPr>
            <w:tcW w:w="1651" w:type="dxa"/>
            <w:gridSpan w:val="3"/>
            <w:tcBorders>
              <w:top w:val="single" w:sz="2" w:space="0" w:color="auto"/>
              <w:left w:val="nil"/>
              <w:bottom w:val="single" w:sz="4" w:space="0" w:color="auto"/>
              <w:right w:val="nil"/>
            </w:tcBorders>
            <w:noWrap/>
          </w:tcPr>
          <w:p w14:paraId="0368B90E" w14:textId="77777777" w:rsidR="004B417F" w:rsidRPr="00CD47DD" w:rsidRDefault="004B417F" w:rsidP="00E82E97">
            <w:pPr>
              <w:pStyle w:val="cuatexto"/>
              <w:jc w:val="right"/>
              <w:rPr>
                <w:rFonts w:cs="Calibri"/>
              </w:rPr>
            </w:pPr>
            <w:r w:rsidRPr="00CD47DD">
              <w:rPr>
                <w:rFonts w:cs="Calibri"/>
              </w:rPr>
              <w:t>-6</w:t>
            </w:r>
          </w:p>
        </w:tc>
      </w:tr>
      <w:tr w:rsidR="004B417F" w:rsidRPr="00F56DF5" w14:paraId="0E647652" w14:textId="77777777" w:rsidTr="00053346">
        <w:trPr>
          <w:gridAfter w:val="1"/>
          <w:wAfter w:w="26" w:type="dxa"/>
          <w:trHeight w:val="198"/>
        </w:trPr>
        <w:tc>
          <w:tcPr>
            <w:tcW w:w="4253" w:type="dxa"/>
            <w:tcBorders>
              <w:top w:val="single" w:sz="4" w:space="0" w:color="auto"/>
              <w:left w:val="nil"/>
              <w:bottom w:val="single" w:sz="4" w:space="0" w:color="auto"/>
              <w:right w:val="nil"/>
            </w:tcBorders>
            <w:noWrap/>
            <w:vAlign w:val="center"/>
            <w:hideMark/>
          </w:tcPr>
          <w:p w14:paraId="24AD391A" w14:textId="77777777" w:rsidR="004B417F" w:rsidRPr="00F56DF5" w:rsidRDefault="004B417F" w:rsidP="00E82E97">
            <w:pPr>
              <w:pStyle w:val="cuatexto"/>
            </w:pPr>
            <w:r w:rsidRPr="00F56DF5">
              <w:t>Porcentaje deuda sobre ingresos corrientes</w:t>
            </w:r>
          </w:p>
        </w:tc>
        <w:tc>
          <w:tcPr>
            <w:tcW w:w="1297" w:type="dxa"/>
            <w:tcBorders>
              <w:top w:val="single" w:sz="4" w:space="0" w:color="auto"/>
              <w:left w:val="nil"/>
              <w:bottom w:val="single" w:sz="4" w:space="0" w:color="auto"/>
              <w:right w:val="nil"/>
            </w:tcBorders>
            <w:vAlign w:val="center"/>
          </w:tcPr>
          <w:p w14:paraId="24745BA3" w14:textId="77777777" w:rsidR="004B417F" w:rsidRPr="00F56DF5" w:rsidRDefault="004B417F" w:rsidP="00E82E97">
            <w:pPr>
              <w:pStyle w:val="cuatexto"/>
              <w:jc w:val="right"/>
              <w:rPr>
                <w:rFonts w:cs="Calibri"/>
                <w:color w:val="000000"/>
              </w:rPr>
            </w:pPr>
            <w:r w:rsidRPr="00F56DF5">
              <w:rPr>
                <w:rFonts w:cs="Calibri"/>
                <w:color w:val="000000"/>
              </w:rPr>
              <w:t>54</w:t>
            </w:r>
          </w:p>
        </w:tc>
        <w:tc>
          <w:tcPr>
            <w:tcW w:w="1650" w:type="dxa"/>
            <w:gridSpan w:val="2"/>
            <w:tcBorders>
              <w:top w:val="single" w:sz="4" w:space="0" w:color="auto"/>
              <w:left w:val="nil"/>
              <w:bottom w:val="single" w:sz="4" w:space="0" w:color="auto"/>
              <w:right w:val="nil"/>
            </w:tcBorders>
            <w:noWrap/>
            <w:vAlign w:val="center"/>
          </w:tcPr>
          <w:p w14:paraId="1EEC30BE" w14:textId="77777777" w:rsidR="004B417F" w:rsidRPr="00F56DF5" w:rsidRDefault="004B417F" w:rsidP="00E82E97">
            <w:pPr>
              <w:pStyle w:val="cuatexto"/>
              <w:jc w:val="right"/>
              <w:rPr>
                <w:rFonts w:cs="Calibri"/>
                <w:color w:val="000000"/>
              </w:rPr>
            </w:pPr>
            <w:r>
              <w:rPr>
                <w:rFonts w:cs="Calibri"/>
                <w:color w:val="000000"/>
              </w:rPr>
              <w:t>48</w:t>
            </w:r>
          </w:p>
        </w:tc>
        <w:tc>
          <w:tcPr>
            <w:tcW w:w="1651" w:type="dxa"/>
            <w:gridSpan w:val="3"/>
            <w:tcBorders>
              <w:top w:val="single" w:sz="4" w:space="0" w:color="auto"/>
              <w:left w:val="nil"/>
              <w:bottom w:val="single" w:sz="4" w:space="0" w:color="auto"/>
              <w:right w:val="nil"/>
            </w:tcBorders>
            <w:noWrap/>
          </w:tcPr>
          <w:p w14:paraId="6616A929" w14:textId="77777777" w:rsidR="004B417F" w:rsidRPr="00F56DF5" w:rsidRDefault="004B417F" w:rsidP="00E82E97">
            <w:pPr>
              <w:pStyle w:val="cuatexto"/>
              <w:jc w:val="right"/>
              <w:rPr>
                <w:rFonts w:cs="Calibri"/>
              </w:rPr>
            </w:pPr>
            <w:r>
              <w:rPr>
                <w:rFonts w:cs="Calibri"/>
              </w:rPr>
              <w:t>-11</w:t>
            </w:r>
          </w:p>
        </w:tc>
      </w:tr>
    </w:tbl>
    <w:p w14:paraId="3F1BD4E5" w14:textId="77777777" w:rsidR="00614DC4" w:rsidRPr="00E94523" w:rsidRDefault="00614DC4" w:rsidP="003A3B89">
      <w:pPr>
        <w:pStyle w:val="texto"/>
        <w:tabs>
          <w:tab w:val="clear" w:pos="2835"/>
          <w:tab w:val="clear" w:pos="3969"/>
          <w:tab w:val="left" w:pos="480"/>
          <w:tab w:val="num" w:pos="600"/>
          <w:tab w:val="num" w:pos="720"/>
          <w:tab w:val="num" w:pos="1320"/>
          <w:tab w:val="num" w:pos="1948"/>
          <w:tab w:val="num" w:pos="2062"/>
          <w:tab w:val="num" w:pos="4472"/>
        </w:tabs>
        <w:spacing w:before="60"/>
        <w:ind w:firstLine="0"/>
        <w:rPr>
          <w:rFonts w:ascii="Arial" w:hAnsi="Arial" w:cs="Arial"/>
          <w:spacing w:val="0"/>
          <w:sz w:val="16"/>
          <w:szCs w:val="16"/>
        </w:rPr>
      </w:pPr>
      <w:r w:rsidRPr="00E94523">
        <w:rPr>
          <w:rFonts w:ascii="Arial" w:hAnsi="Arial" w:cs="Arial"/>
          <w:spacing w:val="0"/>
          <w:sz w:val="16"/>
          <w:szCs w:val="16"/>
        </w:rPr>
        <w:t>*Valorado a coste amortizado</w:t>
      </w:r>
      <w:r w:rsidR="00053346">
        <w:rPr>
          <w:rFonts w:ascii="Arial" w:hAnsi="Arial" w:cs="Arial"/>
          <w:spacing w:val="0"/>
          <w:sz w:val="16"/>
          <w:szCs w:val="16"/>
        </w:rPr>
        <w:t>.</w:t>
      </w:r>
    </w:p>
    <w:p w14:paraId="29C33C5F" w14:textId="77777777" w:rsidR="00AB7407" w:rsidRDefault="00AB7407">
      <w:pPr>
        <w:rPr>
          <w:rFonts w:ascii="Arial" w:hAnsi="Arial"/>
          <w:b/>
          <w:color w:val="FF0000"/>
          <w:spacing w:val="6"/>
          <w:kern w:val="28"/>
          <w:sz w:val="25"/>
          <w:szCs w:val="26"/>
        </w:rPr>
      </w:pPr>
      <w:r>
        <w:rPr>
          <w:rFonts w:ascii="Arial" w:hAnsi="Arial"/>
          <w:b/>
          <w:color w:val="FF0000"/>
          <w:kern w:val="28"/>
          <w:sz w:val="25"/>
          <w:szCs w:val="26"/>
        </w:rPr>
        <w:br w:type="page"/>
      </w:r>
    </w:p>
    <w:p w14:paraId="41EFC08F" w14:textId="77777777" w:rsidR="007E0575" w:rsidRPr="007E0575" w:rsidRDefault="00614DC4" w:rsidP="007E0575">
      <w:pPr>
        <w:pStyle w:val="atitulo1"/>
      </w:pPr>
      <w:bookmarkStart w:id="39" w:name="_Toc146471230"/>
      <w:bookmarkStart w:id="40" w:name="_Toc182464264"/>
      <w:r>
        <w:lastRenderedPageBreak/>
        <w:t>VII. Párrafo de otras cuestiones</w:t>
      </w:r>
      <w:bookmarkEnd w:id="39"/>
      <w:bookmarkEnd w:id="40"/>
      <w:r>
        <w:t xml:space="preserve"> </w:t>
      </w:r>
      <w:r>
        <w:rPr>
          <w:color w:val="FF0000"/>
        </w:rPr>
        <w:t xml:space="preserve"> </w:t>
      </w:r>
    </w:p>
    <w:p w14:paraId="25BB02B2" w14:textId="77777777" w:rsidR="007E0575" w:rsidRDefault="007E0575" w:rsidP="002D27FA">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240"/>
        <w:ind w:left="0" w:firstLine="289"/>
        <w:jc w:val="both"/>
        <w:rPr>
          <w:rFonts w:cs="Arial"/>
          <w:lang w:val="es-ES_tradnl" w:eastAsia="en-US"/>
        </w:rPr>
      </w:pPr>
      <w:r w:rsidRPr="007E0575">
        <w:rPr>
          <w:rFonts w:cs="Arial"/>
          <w:lang w:val="es-ES_tradnl" w:eastAsia="en-US"/>
        </w:rPr>
        <w:t xml:space="preserve">Destacamos que la </w:t>
      </w:r>
      <w:r w:rsidR="007161B3">
        <w:rPr>
          <w:rFonts w:cs="Arial"/>
          <w:lang w:val="es-ES_tradnl" w:eastAsia="en-US"/>
        </w:rPr>
        <w:t>reactivación d</w:t>
      </w:r>
      <w:r w:rsidRPr="007E0575">
        <w:rPr>
          <w:rFonts w:cs="Arial"/>
          <w:lang w:val="es-ES_tradnl" w:eastAsia="en-US"/>
        </w:rPr>
        <w:t xml:space="preserve">e las reglas fiscales en materia de estabilidad presupuestaria y sostenibilidad </w:t>
      </w:r>
      <w:proofErr w:type="gramStart"/>
      <w:r w:rsidRPr="007E0575">
        <w:rPr>
          <w:rFonts w:cs="Arial"/>
          <w:lang w:val="es-ES_tradnl" w:eastAsia="en-US"/>
        </w:rPr>
        <w:t>financiera,</w:t>
      </w:r>
      <w:proofErr w:type="gramEnd"/>
      <w:r w:rsidRPr="007E0575">
        <w:rPr>
          <w:rFonts w:cs="Arial"/>
          <w:lang w:val="es-ES_tradnl" w:eastAsia="en-US"/>
        </w:rPr>
        <w:t xml:space="preserve"> va a limitar la política expansiva del gasto público que ha tenido la A</w:t>
      </w:r>
      <w:r w:rsidR="007161B3">
        <w:rPr>
          <w:rFonts w:cs="Arial"/>
          <w:lang w:val="es-ES_tradnl" w:eastAsia="en-US"/>
        </w:rPr>
        <w:t>CFN</w:t>
      </w:r>
      <w:r w:rsidR="009079F8">
        <w:rPr>
          <w:rFonts w:cs="Arial"/>
          <w:lang w:val="es-ES_tradnl" w:eastAsia="en-US"/>
        </w:rPr>
        <w:t xml:space="preserve">. </w:t>
      </w:r>
      <w:r w:rsidRPr="007E0575">
        <w:rPr>
          <w:rFonts w:cs="Arial"/>
          <w:lang w:val="es-ES_tradnl" w:eastAsia="en-US"/>
        </w:rPr>
        <w:t>Sobre esta cuestión llamamos la ate</w:t>
      </w:r>
      <w:r w:rsidR="00060DBC">
        <w:rPr>
          <w:rFonts w:cs="Arial"/>
          <w:lang w:val="es-ES_tradnl" w:eastAsia="en-US"/>
        </w:rPr>
        <w:t xml:space="preserve">nción de </w:t>
      </w:r>
      <w:r w:rsidRPr="007E0575">
        <w:rPr>
          <w:rFonts w:cs="Arial"/>
          <w:lang w:val="es-ES_tradnl" w:eastAsia="en-US"/>
        </w:rPr>
        <w:t>la evolución de los siguientes datos en el periodo 20</w:t>
      </w:r>
      <w:r w:rsidR="00060DBC">
        <w:rPr>
          <w:rFonts w:cs="Arial"/>
          <w:lang w:val="es-ES_tradnl" w:eastAsia="en-US"/>
        </w:rPr>
        <w:t xml:space="preserve">15 a </w:t>
      </w:r>
      <w:r>
        <w:rPr>
          <w:rFonts w:cs="Arial"/>
          <w:lang w:val="es-ES_tradnl" w:eastAsia="en-US"/>
        </w:rPr>
        <w:t>2023</w:t>
      </w:r>
      <w:r w:rsidRPr="007E0575">
        <w:rPr>
          <w:rFonts w:cs="Arial"/>
          <w:lang w:val="es-ES_tradnl" w:eastAsia="en-US"/>
        </w:rPr>
        <w:t xml:space="preserve">:   </w:t>
      </w:r>
    </w:p>
    <w:tbl>
      <w:tblPr>
        <w:tblW w:w="8789" w:type="dxa"/>
        <w:tblCellMar>
          <w:left w:w="70" w:type="dxa"/>
          <w:right w:w="70" w:type="dxa"/>
        </w:tblCellMar>
        <w:tblLook w:val="04A0" w:firstRow="1" w:lastRow="0" w:firstColumn="1" w:lastColumn="0" w:noHBand="0" w:noVBand="1"/>
      </w:tblPr>
      <w:tblGrid>
        <w:gridCol w:w="4720"/>
        <w:gridCol w:w="667"/>
        <w:gridCol w:w="1134"/>
        <w:gridCol w:w="2268"/>
      </w:tblGrid>
      <w:tr w:rsidR="004C19AC" w:rsidRPr="004C19AC" w14:paraId="7F5CC8DF" w14:textId="77777777" w:rsidTr="00E50CDE">
        <w:trPr>
          <w:trHeight w:val="261"/>
        </w:trPr>
        <w:tc>
          <w:tcPr>
            <w:tcW w:w="4720" w:type="dxa"/>
            <w:tcBorders>
              <w:top w:val="single" w:sz="4" w:space="0" w:color="auto"/>
              <w:left w:val="nil"/>
              <w:bottom w:val="single" w:sz="4" w:space="0" w:color="auto"/>
              <w:right w:val="nil"/>
            </w:tcBorders>
            <w:shd w:val="clear" w:color="000000" w:fill="8DB3E2"/>
            <w:vAlign w:val="center"/>
            <w:hideMark/>
          </w:tcPr>
          <w:p w14:paraId="12632ADA" w14:textId="77777777" w:rsidR="004C19AC" w:rsidRPr="004C19AC" w:rsidRDefault="004C19AC">
            <w:pPr>
              <w:rPr>
                <w:rFonts w:ascii="Arial" w:hAnsi="Arial" w:cs="Arial"/>
                <w:color w:val="000000"/>
                <w:sz w:val="18"/>
                <w:szCs w:val="18"/>
              </w:rPr>
            </w:pPr>
            <w:r w:rsidRPr="004C19AC">
              <w:rPr>
                <w:rFonts w:ascii="Arial" w:hAnsi="Arial" w:cs="Arial"/>
                <w:color w:val="000000"/>
                <w:sz w:val="18"/>
                <w:szCs w:val="18"/>
              </w:rPr>
              <w:t> </w:t>
            </w:r>
          </w:p>
        </w:tc>
        <w:tc>
          <w:tcPr>
            <w:tcW w:w="667" w:type="dxa"/>
            <w:tcBorders>
              <w:top w:val="single" w:sz="4" w:space="0" w:color="auto"/>
              <w:left w:val="nil"/>
              <w:bottom w:val="single" w:sz="4" w:space="0" w:color="auto"/>
              <w:right w:val="nil"/>
            </w:tcBorders>
            <w:shd w:val="clear" w:color="000000" w:fill="8DB3E2"/>
            <w:vAlign w:val="center"/>
            <w:hideMark/>
          </w:tcPr>
          <w:p w14:paraId="016FABEA" w14:textId="77777777" w:rsidR="004C19AC" w:rsidRPr="004C19AC" w:rsidRDefault="004C19AC">
            <w:pPr>
              <w:jc w:val="right"/>
              <w:rPr>
                <w:rFonts w:ascii="Arial" w:hAnsi="Arial" w:cs="Arial"/>
                <w:color w:val="000000"/>
                <w:sz w:val="18"/>
                <w:szCs w:val="18"/>
              </w:rPr>
            </w:pPr>
            <w:r w:rsidRPr="004C19AC">
              <w:rPr>
                <w:rFonts w:ascii="Arial" w:hAnsi="Arial" w:cs="Arial"/>
                <w:color w:val="000000"/>
                <w:sz w:val="18"/>
                <w:szCs w:val="18"/>
              </w:rPr>
              <w:t>2015</w:t>
            </w:r>
          </w:p>
        </w:tc>
        <w:tc>
          <w:tcPr>
            <w:tcW w:w="1134" w:type="dxa"/>
            <w:tcBorders>
              <w:top w:val="single" w:sz="4" w:space="0" w:color="auto"/>
              <w:left w:val="nil"/>
              <w:bottom w:val="single" w:sz="4" w:space="0" w:color="auto"/>
              <w:right w:val="nil"/>
            </w:tcBorders>
            <w:shd w:val="clear" w:color="000000" w:fill="8DB3E2"/>
            <w:vAlign w:val="center"/>
            <w:hideMark/>
          </w:tcPr>
          <w:p w14:paraId="3422E4C2" w14:textId="77777777" w:rsidR="004C19AC" w:rsidRPr="004C19AC" w:rsidRDefault="004C19AC">
            <w:pPr>
              <w:jc w:val="right"/>
              <w:rPr>
                <w:rFonts w:ascii="Arial" w:hAnsi="Arial" w:cs="Arial"/>
                <w:color w:val="000000"/>
                <w:sz w:val="18"/>
                <w:szCs w:val="18"/>
              </w:rPr>
            </w:pPr>
            <w:r w:rsidRPr="004C19AC">
              <w:rPr>
                <w:rFonts w:ascii="Arial" w:hAnsi="Arial" w:cs="Arial"/>
                <w:color w:val="000000"/>
                <w:sz w:val="18"/>
                <w:szCs w:val="18"/>
              </w:rPr>
              <w:t>2023</w:t>
            </w:r>
          </w:p>
        </w:tc>
        <w:tc>
          <w:tcPr>
            <w:tcW w:w="2268" w:type="dxa"/>
            <w:tcBorders>
              <w:top w:val="single" w:sz="4" w:space="0" w:color="auto"/>
              <w:left w:val="nil"/>
              <w:bottom w:val="single" w:sz="4" w:space="0" w:color="auto"/>
              <w:right w:val="nil"/>
            </w:tcBorders>
            <w:shd w:val="clear" w:color="000000" w:fill="8DB3E2"/>
            <w:noWrap/>
            <w:vAlign w:val="center"/>
            <w:hideMark/>
          </w:tcPr>
          <w:p w14:paraId="39AEBB86" w14:textId="77777777" w:rsidR="004C19AC" w:rsidRPr="004C19AC" w:rsidRDefault="004C19AC" w:rsidP="001E7F78">
            <w:pPr>
              <w:jc w:val="right"/>
              <w:rPr>
                <w:rFonts w:ascii="Arial" w:hAnsi="Arial" w:cs="Arial"/>
                <w:color w:val="000000"/>
                <w:sz w:val="18"/>
                <w:szCs w:val="18"/>
              </w:rPr>
            </w:pPr>
            <w:r w:rsidRPr="004C19AC">
              <w:rPr>
                <w:rFonts w:ascii="Arial" w:hAnsi="Arial" w:cs="Arial"/>
                <w:color w:val="000000"/>
                <w:sz w:val="18"/>
                <w:szCs w:val="18"/>
              </w:rPr>
              <w:t xml:space="preserve">% </w:t>
            </w:r>
            <w:r w:rsidR="001E7F78">
              <w:rPr>
                <w:rFonts w:ascii="Arial" w:hAnsi="Arial" w:cs="Arial"/>
                <w:color w:val="000000"/>
                <w:sz w:val="18"/>
                <w:szCs w:val="18"/>
              </w:rPr>
              <w:t>V</w:t>
            </w:r>
            <w:r w:rsidRPr="004C19AC">
              <w:rPr>
                <w:rFonts w:ascii="Arial" w:hAnsi="Arial" w:cs="Arial"/>
                <w:color w:val="000000"/>
                <w:sz w:val="18"/>
                <w:szCs w:val="18"/>
              </w:rPr>
              <w:t xml:space="preserve">ariación 2023/2015 </w:t>
            </w:r>
          </w:p>
        </w:tc>
      </w:tr>
      <w:tr w:rsidR="004C19AC" w:rsidRPr="004C19AC" w14:paraId="610B48B9" w14:textId="77777777" w:rsidTr="00E50CDE">
        <w:trPr>
          <w:trHeight w:val="198"/>
        </w:trPr>
        <w:tc>
          <w:tcPr>
            <w:tcW w:w="4720" w:type="dxa"/>
            <w:tcBorders>
              <w:top w:val="single" w:sz="4" w:space="0" w:color="auto"/>
              <w:left w:val="nil"/>
              <w:bottom w:val="single" w:sz="2" w:space="0" w:color="auto"/>
              <w:right w:val="nil"/>
            </w:tcBorders>
            <w:shd w:val="clear" w:color="auto" w:fill="auto"/>
            <w:noWrap/>
            <w:vAlign w:val="center"/>
            <w:hideMark/>
          </w:tcPr>
          <w:p w14:paraId="25931C95" w14:textId="77777777" w:rsidR="004C19AC" w:rsidRPr="004C19AC" w:rsidRDefault="004C19AC">
            <w:pPr>
              <w:rPr>
                <w:rFonts w:ascii="Arial Narrow" w:hAnsi="Arial Narrow" w:cs="Calibri"/>
                <w:color w:val="000000"/>
                <w:sz w:val="20"/>
                <w:szCs w:val="20"/>
              </w:rPr>
            </w:pPr>
            <w:r w:rsidRPr="004C19AC">
              <w:rPr>
                <w:rFonts w:ascii="Arial Narrow" w:hAnsi="Arial Narrow" w:cs="Calibri"/>
                <w:color w:val="000000"/>
                <w:sz w:val="20"/>
                <w:szCs w:val="20"/>
              </w:rPr>
              <w:t>Gasto total presupuestario</w:t>
            </w:r>
          </w:p>
        </w:tc>
        <w:tc>
          <w:tcPr>
            <w:tcW w:w="667" w:type="dxa"/>
            <w:tcBorders>
              <w:top w:val="single" w:sz="4" w:space="0" w:color="auto"/>
              <w:left w:val="nil"/>
              <w:bottom w:val="single" w:sz="2" w:space="0" w:color="auto"/>
              <w:right w:val="nil"/>
            </w:tcBorders>
            <w:shd w:val="clear" w:color="auto" w:fill="auto"/>
            <w:noWrap/>
            <w:vAlign w:val="center"/>
            <w:hideMark/>
          </w:tcPr>
          <w:p w14:paraId="17BC467D" w14:textId="77777777" w:rsidR="004C19AC" w:rsidRPr="004C19AC" w:rsidRDefault="004C19AC">
            <w:pPr>
              <w:jc w:val="right"/>
              <w:rPr>
                <w:rFonts w:ascii="Arial Narrow" w:hAnsi="Arial Narrow" w:cs="Calibri"/>
                <w:color w:val="000000"/>
                <w:sz w:val="20"/>
                <w:szCs w:val="20"/>
              </w:rPr>
            </w:pPr>
            <w:r w:rsidRPr="004C19AC">
              <w:rPr>
                <w:rFonts w:ascii="Arial Narrow" w:hAnsi="Arial Narrow" w:cs="Calibri"/>
                <w:color w:val="000000"/>
                <w:sz w:val="20"/>
                <w:szCs w:val="20"/>
              </w:rPr>
              <w:t>3.914</w:t>
            </w:r>
          </w:p>
        </w:tc>
        <w:tc>
          <w:tcPr>
            <w:tcW w:w="1134" w:type="dxa"/>
            <w:tcBorders>
              <w:top w:val="single" w:sz="4" w:space="0" w:color="auto"/>
              <w:left w:val="nil"/>
              <w:bottom w:val="single" w:sz="2" w:space="0" w:color="auto"/>
              <w:right w:val="nil"/>
            </w:tcBorders>
            <w:shd w:val="clear" w:color="auto" w:fill="auto"/>
            <w:noWrap/>
            <w:vAlign w:val="center"/>
            <w:hideMark/>
          </w:tcPr>
          <w:p w14:paraId="2CE8F264" w14:textId="77777777" w:rsidR="004C19AC" w:rsidRPr="004C19AC" w:rsidRDefault="004C19AC">
            <w:pPr>
              <w:jc w:val="right"/>
              <w:rPr>
                <w:rFonts w:ascii="Arial Narrow" w:hAnsi="Arial Narrow" w:cs="Calibri"/>
                <w:color w:val="000000"/>
                <w:sz w:val="20"/>
                <w:szCs w:val="20"/>
              </w:rPr>
            </w:pPr>
            <w:r w:rsidRPr="004C19AC">
              <w:rPr>
                <w:rFonts w:ascii="Arial Narrow" w:hAnsi="Arial Narrow" w:cs="Calibri"/>
                <w:color w:val="000000"/>
                <w:sz w:val="20"/>
                <w:szCs w:val="20"/>
              </w:rPr>
              <w:t>5.782</w:t>
            </w:r>
          </w:p>
        </w:tc>
        <w:tc>
          <w:tcPr>
            <w:tcW w:w="2268" w:type="dxa"/>
            <w:tcBorders>
              <w:top w:val="single" w:sz="4" w:space="0" w:color="auto"/>
              <w:left w:val="nil"/>
              <w:bottom w:val="single" w:sz="2" w:space="0" w:color="auto"/>
              <w:right w:val="nil"/>
            </w:tcBorders>
            <w:shd w:val="clear" w:color="auto" w:fill="auto"/>
            <w:noWrap/>
            <w:vAlign w:val="center"/>
            <w:hideMark/>
          </w:tcPr>
          <w:p w14:paraId="7FA7BD04" w14:textId="77777777" w:rsidR="004C19AC" w:rsidRPr="004C19AC" w:rsidRDefault="004C19AC" w:rsidP="004C19AC">
            <w:pPr>
              <w:jc w:val="right"/>
              <w:rPr>
                <w:rFonts w:ascii="Arial Narrow" w:hAnsi="Arial Narrow" w:cs="Calibri"/>
                <w:color w:val="000000"/>
                <w:sz w:val="20"/>
                <w:szCs w:val="20"/>
              </w:rPr>
            </w:pPr>
            <w:r w:rsidRPr="004C19AC">
              <w:rPr>
                <w:rFonts w:ascii="Arial Narrow" w:hAnsi="Arial Narrow" w:cs="Calibri"/>
                <w:color w:val="000000"/>
                <w:sz w:val="20"/>
                <w:szCs w:val="20"/>
              </w:rPr>
              <w:t>48</w:t>
            </w:r>
          </w:p>
        </w:tc>
      </w:tr>
      <w:tr w:rsidR="004C19AC" w:rsidRPr="004C19AC" w14:paraId="584735F5" w14:textId="77777777" w:rsidTr="00E50CDE">
        <w:trPr>
          <w:trHeight w:val="198"/>
        </w:trPr>
        <w:tc>
          <w:tcPr>
            <w:tcW w:w="4720" w:type="dxa"/>
            <w:tcBorders>
              <w:top w:val="single" w:sz="2" w:space="0" w:color="auto"/>
              <w:left w:val="nil"/>
              <w:bottom w:val="single" w:sz="2" w:space="0" w:color="auto"/>
              <w:right w:val="nil"/>
            </w:tcBorders>
            <w:shd w:val="clear" w:color="auto" w:fill="auto"/>
            <w:noWrap/>
            <w:vAlign w:val="center"/>
            <w:hideMark/>
          </w:tcPr>
          <w:p w14:paraId="08F1CE3B" w14:textId="77777777" w:rsidR="004C19AC" w:rsidRPr="004C19AC" w:rsidRDefault="004C19AC">
            <w:pPr>
              <w:rPr>
                <w:rFonts w:ascii="Arial Narrow" w:hAnsi="Arial Narrow" w:cs="Calibri"/>
                <w:color w:val="000000"/>
                <w:sz w:val="20"/>
                <w:szCs w:val="20"/>
              </w:rPr>
            </w:pPr>
            <w:r w:rsidRPr="004C19AC">
              <w:rPr>
                <w:rFonts w:ascii="Arial Narrow" w:hAnsi="Arial Narrow" w:cs="Calibri"/>
                <w:color w:val="000000"/>
                <w:sz w:val="20"/>
                <w:szCs w:val="20"/>
              </w:rPr>
              <w:t>Gasto personal de la ACFN</w:t>
            </w:r>
          </w:p>
        </w:tc>
        <w:tc>
          <w:tcPr>
            <w:tcW w:w="667" w:type="dxa"/>
            <w:tcBorders>
              <w:top w:val="single" w:sz="2" w:space="0" w:color="auto"/>
              <w:left w:val="nil"/>
              <w:bottom w:val="single" w:sz="2" w:space="0" w:color="auto"/>
              <w:right w:val="nil"/>
            </w:tcBorders>
            <w:shd w:val="clear" w:color="auto" w:fill="auto"/>
            <w:noWrap/>
            <w:vAlign w:val="center"/>
            <w:hideMark/>
          </w:tcPr>
          <w:p w14:paraId="3F816BED" w14:textId="77777777" w:rsidR="004C19AC" w:rsidRPr="004C19AC" w:rsidRDefault="004C19AC">
            <w:pPr>
              <w:jc w:val="right"/>
              <w:rPr>
                <w:rFonts w:ascii="Arial Narrow" w:hAnsi="Arial Narrow" w:cs="Calibri"/>
                <w:color w:val="000000"/>
                <w:sz w:val="20"/>
                <w:szCs w:val="20"/>
              </w:rPr>
            </w:pPr>
            <w:r w:rsidRPr="004C19AC">
              <w:rPr>
                <w:rFonts w:ascii="Arial Narrow" w:hAnsi="Arial Narrow" w:cs="Calibri"/>
                <w:color w:val="000000"/>
                <w:sz w:val="20"/>
                <w:szCs w:val="20"/>
              </w:rPr>
              <w:t>1.138</w:t>
            </w:r>
          </w:p>
        </w:tc>
        <w:tc>
          <w:tcPr>
            <w:tcW w:w="1134" w:type="dxa"/>
            <w:tcBorders>
              <w:top w:val="single" w:sz="2" w:space="0" w:color="auto"/>
              <w:left w:val="nil"/>
              <w:bottom w:val="single" w:sz="2" w:space="0" w:color="auto"/>
              <w:right w:val="nil"/>
            </w:tcBorders>
            <w:shd w:val="clear" w:color="auto" w:fill="auto"/>
            <w:noWrap/>
            <w:vAlign w:val="center"/>
            <w:hideMark/>
          </w:tcPr>
          <w:p w14:paraId="6316294E" w14:textId="77777777" w:rsidR="004C19AC" w:rsidRPr="004C19AC" w:rsidRDefault="004C19AC">
            <w:pPr>
              <w:jc w:val="right"/>
              <w:rPr>
                <w:rFonts w:ascii="Arial Narrow" w:hAnsi="Arial Narrow" w:cs="Calibri"/>
                <w:color w:val="000000"/>
                <w:sz w:val="20"/>
                <w:szCs w:val="20"/>
              </w:rPr>
            </w:pPr>
            <w:r w:rsidRPr="004C19AC">
              <w:rPr>
                <w:rFonts w:ascii="Arial Narrow" w:hAnsi="Arial Narrow" w:cs="Calibri"/>
                <w:color w:val="000000"/>
                <w:sz w:val="20"/>
                <w:szCs w:val="20"/>
              </w:rPr>
              <w:t>1.734</w:t>
            </w:r>
          </w:p>
        </w:tc>
        <w:tc>
          <w:tcPr>
            <w:tcW w:w="2268" w:type="dxa"/>
            <w:tcBorders>
              <w:top w:val="single" w:sz="2" w:space="0" w:color="auto"/>
              <w:left w:val="nil"/>
              <w:bottom w:val="single" w:sz="2" w:space="0" w:color="auto"/>
              <w:right w:val="nil"/>
            </w:tcBorders>
            <w:shd w:val="clear" w:color="auto" w:fill="auto"/>
            <w:noWrap/>
            <w:vAlign w:val="center"/>
            <w:hideMark/>
          </w:tcPr>
          <w:p w14:paraId="643B76BE" w14:textId="77777777" w:rsidR="004C19AC" w:rsidRPr="004C19AC" w:rsidRDefault="004C19AC">
            <w:pPr>
              <w:jc w:val="right"/>
              <w:rPr>
                <w:rFonts w:ascii="Arial Narrow" w:hAnsi="Arial Narrow" w:cs="Calibri"/>
                <w:color w:val="000000"/>
                <w:sz w:val="20"/>
                <w:szCs w:val="20"/>
              </w:rPr>
            </w:pPr>
            <w:r w:rsidRPr="004C19AC">
              <w:rPr>
                <w:rFonts w:ascii="Arial Narrow" w:hAnsi="Arial Narrow" w:cs="Calibri"/>
                <w:color w:val="000000"/>
                <w:sz w:val="20"/>
                <w:szCs w:val="20"/>
              </w:rPr>
              <w:t>52</w:t>
            </w:r>
          </w:p>
        </w:tc>
      </w:tr>
      <w:tr w:rsidR="004C19AC" w:rsidRPr="004C19AC" w14:paraId="6D86433D" w14:textId="77777777" w:rsidTr="00E50CDE">
        <w:trPr>
          <w:trHeight w:val="198"/>
        </w:trPr>
        <w:tc>
          <w:tcPr>
            <w:tcW w:w="4720" w:type="dxa"/>
            <w:tcBorders>
              <w:top w:val="single" w:sz="2" w:space="0" w:color="auto"/>
              <w:left w:val="nil"/>
              <w:bottom w:val="single" w:sz="2" w:space="0" w:color="auto"/>
              <w:right w:val="nil"/>
            </w:tcBorders>
            <w:shd w:val="clear" w:color="auto" w:fill="auto"/>
            <w:noWrap/>
            <w:vAlign w:val="center"/>
            <w:hideMark/>
          </w:tcPr>
          <w:p w14:paraId="3EEDD72A" w14:textId="77777777" w:rsidR="004C19AC" w:rsidRPr="004C19AC" w:rsidRDefault="004C19AC">
            <w:pPr>
              <w:rPr>
                <w:rFonts w:ascii="Arial Narrow" w:hAnsi="Arial Narrow" w:cs="Calibri"/>
                <w:color w:val="000000"/>
                <w:sz w:val="20"/>
                <w:szCs w:val="20"/>
              </w:rPr>
            </w:pPr>
            <w:r w:rsidRPr="004C19AC">
              <w:rPr>
                <w:rFonts w:ascii="Arial Narrow" w:hAnsi="Arial Narrow" w:cs="Calibri"/>
                <w:color w:val="000000"/>
                <w:sz w:val="20"/>
                <w:szCs w:val="20"/>
              </w:rPr>
              <w:t xml:space="preserve">Número efectivo personal </w:t>
            </w:r>
            <w:r>
              <w:rPr>
                <w:rFonts w:ascii="Arial Narrow" w:hAnsi="Arial Narrow" w:cs="Calibri"/>
                <w:color w:val="000000"/>
                <w:sz w:val="20"/>
                <w:szCs w:val="20"/>
              </w:rPr>
              <w:t xml:space="preserve">de la </w:t>
            </w:r>
            <w:r w:rsidRPr="004C19AC">
              <w:rPr>
                <w:rFonts w:ascii="Arial Narrow" w:hAnsi="Arial Narrow" w:cs="Calibri"/>
                <w:color w:val="000000"/>
                <w:sz w:val="20"/>
                <w:szCs w:val="20"/>
              </w:rPr>
              <w:t>ACFN</w:t>
            </w:r>
          </w:p>
        </w:tc>
        <w:tc>
          <w:tcPr>
            <w:tcW w:w="667" w:type="dxa"/>
            <w:tcBorders>
              <w:top w:val="single" w:sz="2" w:space="0" w:color="auto"/>
              <w:left w:val="nil"/>
              <w:bottom w:val="single" w:sz="2" w:space="0" w:color="auto"/>
              <w:right w:val="nil"/>
            </w:tcBorders>
            <w:shd w:val="clear" w:color="auto" w:fill="auto"/>
            <w:noWrap/>
            <w:vAlign w:val="center"/>
            <w:hideMark/>
          </w:tcPr>
          <w:p w14:paraId="456433F5" w14:textId="77777777" w:rsidR="004C19AC" w:rsidRPr="004C19AC" w:rsidRDefault="004C19AC">
            <w:pPr>
              <w:jc w:val="right"/>
              <w:rPr>
                <w:rFonts w:ascii="Arial Narrow" w:hAnsi="Arial Narrow" w:cs="Calibri"/>
                <w:color w:val="000000"/>
                <w:sz w:val="20"/>
                <w:szCs w:val="20"/>
              </w:rPr>
            </w:pPr>
            <w:r w:rsidRPr="004C19AC">
              <w:rPr>
                <w:rFonts w:ascii="Arial Narrow" w:hAnsi="Arial Narrow" w:cs="Calibri"/>
                <w:color w:val="000000"/>
                <w:sz w:val="20"/>
                <w:szCs w:val="20"/>
              </w:rPr>
              <w:t>23.055</w:t>
            </w:r>
          </w:p>
        </w:tc>
        <w:tc>
          <w:tcPr>
            <w:tcW w:w="1134" w:type="dxa"/>
            <w:tcBorders>
              <w:top w:val="single" w:sz="2" w:space="0" w:color="auto"/>
              <w:left w:val="nil"/>
              <w:bottom w:val="single" w:sz="2" w:space="0" w:color="auto"/>
              <w:right w:val="nil"/>
            </w:tcBorders>
            <w:shd w:val="clear" w:color="auto" w:fill="auto"/>
            <w:noWrap/>
            <w:vAlign w:val="center"/>
            <w:hideMark/>
          </w:tcPr>
          <w:p w14:paraId="302A25B5" w14:textId="77777777" w:rsidR="004C19AC" w:rsidRPr="004C19AC" w:rsidRDefault="004C19AC">
            <w:pPr>
              <w:jc w:val="right"/>
              <w:rPr>
                <w:rFonts w:ascii="Arial Narrow" w:hAnsi="Arial Narrow" w:cs="Calibri"/>
                <w:color w:val="000000"/>
                <w:sz w:val="20"/>
                <w:szCs w:val="20"/>
              </w:rPr>
            </w:pPr>
            <w:r w:rsidRPr="004C19AC">
              <w:rPr>
                <w:rFonts w:ascii="Arial Narrow" w:hAnsi="Arial Narrow" w:cs="Calibri"/>
                <w:color w:val="000000"/>
                <w:sz w:val="20"/>
                <w:szCs w:val="20"/>
              </w:rPr>
              <w:t>31.950</w:t>
            </w:r>
          </w:p>
        </w:tc>
        <w:tc>
          <w:tcPr>
            <w:tcW w:w="2268" w:type="dxa"/>
            <w:tcBorders>
              <w:top w:val="single" w:sz="2" w:space="0" w:color="auto"/>
              <w:left w:val="nil"/>
              <w:bottom w:val="single" w:sz="2" w:space="0" w:color="auto"/>
              <w:right w:val="nil"/>
            </w:tcBorders>
            <w:shd w:val="clear" w:color="auto" w:fill="auto"/>
            <w:noWrap/>
            <w:vAlign w:val="center"/>
            <w:hideMark/>
          </w:tcPr>
          <w:p w14:paraId="5BF55337" w14:textId="77777777" w:rsidR="004C19AC" w:rsidRPr="004C19AC" w:rsidRDefault="004C19AC">
            <w:pPr>
              <w:jc w:val="right"/>
              <w:rPr>
                <w:rFonts w:ascii="Arial Narrow" w:hAnsi="Arial Narrow" w:cs="Calibri"/>
                <w:color w:val="000000"/>
                <w:sz w:val="20"/>
                <w:szCs w:val="20"/>
              </w:rPr>
            </w:pPr>
            <w:r w:rsidRPr="004C19AC">
              <w:rPr>
                <w:rFonts w:ascii="Arial Narrow" w:hAnsi="Arial Narrow" w:cs="Calibri"/>
                <w:color w:val="000000"/>
                <w:sz w:val="20"/>
                <w:szCs w:val="20"/>
              </w:rPr>
              <w:t>39</w:t>
            </w:r>
          </w:p>
        </w:tc>
      </w:tr>
      <w:tr w:rsidR="004C19AC" w:rsidRPr="004C19AC" w14:paraId="1060111B" w14:textId="77777777" w:rsidTr="00E50CDE">
        <w:trPr>
          <w:trHeight w:val="198"/>
        </w:trPr>
        <w:tc>
          <w:tcPr>
            <w:tcW w:w="4720" w:type="dxa"/>
            <w:tcBorders>
              <w:top w:val="single" w:sz="2" w:space="0" w:color="auto"/>
              <w:left w:val="nil"/>
              <w:bottom w:val="single" w:sz="2" w:space="0" w:color="auto"/>
              <w:right w:val="nil"/>
            </w:tcBorders>
            <w:shd w:val="clear" w:color="auto" w:fill="auto"/>
            <w:noWrap/>
            <w:vAlign w:val="center"/>
            <w:hideMark/>
          </w:tcPr>
          <w:p w14:paraId="52CE6854" w14:textId="77777777" w:rsidR="004C19AC" w:rsidRPr="004C19AC" w:rsidRDefault="004C19AC">
            <w:pPr>
              <w:rPr>
                <w:rFonts w:ascii="Arial Narrow" w:hAnsi="Arial Narrow" w:cs="Calibri"/>
                <w:color w:val="000000"/>
                <w:sz w:val="20"/>
                <w:szCs w:val="20"/>
              </w:rPr>
            </w:pPr>
            <w:r w:rsidRPr="004C19AC">
              <w:rPr>
                <w:rFonts w:ascii="Arial Narrow" w:hAnsi="Arial Narrow" w:cs="Calibri"/>
                <w:color w:val="000000"/>
                <w:sz w:val="20"/>
                <w:szCs w:val="20"/>
              </w:rPr>
              <w:t>Número medio personal de las Sociedades Públicas</w:t>
            </w:r>
          </w:p>
        </w:tc>
        <w:tc>
          <w:tcPr>
            <w:tcW w:w="667" w:type="dxa"/>
            <w:tcBorders>
              <w:top w:val="single" w:sz="2" w:space="0" w:color="auto"/>
              <w:left w:val="nil"/>
              <w:bottom w:val="single" w:sz="2" w:space="0" w:color="auto"/>
              <w:right w:val="nil"/>
            </w:tcBorders>
            <w:shd w:val="clear" w:color="auto" w:fill="auto"/>
            <w:vAlign w:val="center"/>
            <w:hideMark/>
          </w:tcPr>
          <w:p w14:paraId="53855161" w14:textId="77777777" w:rsidR="004C19AC" w:rsidRPr="004C19AC" w:rsidRDefault="004C19AC">
            <w:pPr>
              <w:jc w:val="right"/>
              <w:rPr>
                <w:rFonts w:ascii="Arial Narrow" w:hAnsi="Arial Narrow" w:cs="Calibri"/>
                <w:color w:val="000000"/>
                <w:sz w:val="20"/>
                <w:szCs w:val="20"/>
              </w:rPr>
            </w:pPr>
            <w:r w:rsidRPr="004C19AC">
              <w:rPr>
                <w:rFonts w:ascii="Arial Narrow" w:hAnsi="Arial Narrow" w:cs="Arial"/>
                <w:color w:val="000000"/>
                <w:sz w:val="20"/>
                <w:szCs w:val="20"/>
              </w:rPr>
              <w:t>1.061</w:t>
            </w:r>
          </w:p>
        </w:tc>
        <w:tc>
          <w:tcPr>
            <w:tcW w:w="1134" w:type="dxa"/>
            <w:tcBorders>
              <w:top w:val="single" w:sz="2" w:space="0" w:color="auto"/>
              <w:left w:val="nil"/>
              <w:bottom w:val="single" w:sz="2" w:space="0" w:color="auto"/>
              <w:right w:val="nil"/>
            </w:tcBorders>
            <w:shd w:val="clear" w:color="auto" w:fill="auto"/>
            <w:vAlign w:val="center"/>
            <w:hideMark/>
          </w:tcPr>
          <w:p w14:paraId="3C8FE189" w14:textId="77777777" w:rsidR="004C19AC" w:rsidRPr="004C19AC" w:rsidRDefault="004C19AC">
            <w:pPr>
              <w:jc w:val="right"/>
              <w:rPr>
                <w:rFonts w:ascii="Arial Narrow" w:hAnsi="Arial Narrow" w:cs="Calibri"/>
                <w:color w:val="000000"/>
                <w:sz w:val="20"/>
                <w:szCs w:val="20"/>
              </w:rPr>
            </w:pPr>
            <w:r w:rsidRPr="004C19AC">
              <w:rPr>
                <w:rFonts w:ascii="Arial Narrow" w:hAnsi="Arial Narrow" w:cs="Arial"/>
                <w:color w:val="000000"/>
                <w:sz w:val="20"/>
                <w:szCs w:val="20"/>
              </w:rPr>
              <w:t>1.604</w:t>
            </w:r>
          </w:p>
        </w:tc>
        <w:tc>
          <w:tcPr>
            <w:tcW w:w="2268" w:type="dxa"/>
            <w:tcBorders>
              <w:top w:val="single" w:sz="2" w:space="0" w:color="auto"/>
              <w:left w:val="nil"/>
              <w:bottom w:val="single" w:sz="2" w:space="0" w:color="auto"/>
              <w:right w:val="nil"/>
            </w:tcBorders>
            <w:shd w:val="clear" w:color="auto" w:fill="auto"/>
            <w:noWrap/>
            <w:vAlign w:val="center"/>
            <w:hideMark/>
          </w:tcPr>
          <w:p w14:paraId="76CC22CD" w14:textId="77777777" w:rsidR="004C19AC" w:rsidRPr="004C19AC" w:rsidRDefault="004C19AC">
            <w:pPr>
              <w:jc w:val="right"/>
              <w:rPr>
                <w:rFonts w:ascii="Arial Narrow" w:hAnsi="Arial Narrow" w:cs="Calibri"/>
                <w:color w:val="000000"/>
                <w:sz w:val="20"/>
                <w:szCs w:val="20"/>
              </w:rPr>
            </w:pPr>
            <w:r w:rsidRPr="004C19AC">
              <w:rPr>
                <w:rFonts w:ascii="Arial Narrow" w:hAnsi="Arial Narrow" w:cs="Calibri"/>
                <w:color w:val="000000"/>
                <w:sz w:val="20"/>
                <w:szCs w:val="20"/>
              </w:rPr>
              <w:t>51</w:t>
            </w:r>
          </w:p>
        </w:tc>
      </w:tr>
      <w:tr w:rsidR="004C19AC" w:rsidRPr="004C19AC" w14:paraId="4F787CDE" w14:textId="77777777" w:rsidTr="00E94523">
        <w:trPr>
          <w:trHeight w:val="80"/>
        </w:trPr>
        <w:tc>
          <w:tcPr>
            <w:tcW w:w="4720" w:type="dxa"/>
            <w:tcBorders>
              <w:top w:val="single" w:sz="2" w:space="0" w:color="auto"/>
              <w:left w:val="nil"/>
              <w:bottom w:val="single" w:sz="4" w:space="0" w:color="auto"/>
              <w:right w:val="nil"/>
            </w:tcBorders>
            <w:shd w:val="clear" w:color="auto" w:fill="auto"/>
            <w:noWrap/>
            <w:vAlign w:val="center"/>
            <w:hideMark/>
          </w:tcPr>
          <w:p w14:paraId="507CEB62" w14:textId="77777777" w:rsidR="004C19AC" w:rsidRPr="004C19AC" w:rsidRDefault="004C19AC">
            <w:pPr>
              <w:rPr>
                <w:rFonts w:ascii="Arial Narrow" w:hAnsi="Arial Narrow" w:cs="Calibri"/>
                <w:color w:val="000000"/>
                <w:sz w:val="20"/>
                <w:szCs w:val="20"/>
              </w:rPr>
            </w:pPr>
            <w:r w:rsidRPr="004C19AC">
              <w:rPr>
                <w:rFonts w:ascii="Arial Narrow" w:hAnsi="Arial Narrow" w:cs="Calibri"/>
                <w:color w:val="000000"/>
                <w:sz w:val="20"/>
                <w:szCs w:val="20"/>
              </w:rPr>
              <w:t>Número medio personal de las Fundaciones Públicas</w:t>
            </w:r>
          </w:p>
        </w:tc>
        <w:tc>
          <w:tcPr>
            <w:tcW w:w="667" w:type="dxa"/>
            <w:tcBorders>
              <w:top w:val="single" w:sz="2" w:space="0" w:color="auto"/>
              <w:left w:val="nil"/>
              <w:bottom w:val="single" w:sz="4" w:space="0" w:color="auto"/>
              <w:right w:val="nil"/>
            </w:tcBorders>
            <w:shd w:val="clear" w:color="auto" w:fill="auto"/>
            <w:vAlign w:val="center"/>
            <w:hideMark/>
          </w:tcPr>
          <w:p w14:paraId="635EFFBE" w14:textId="77777777" w:rsidR="004C19AC" w:rsidRPr="004C19AC" w:rsidRDefault="004C19AC">
            <w:pPr>
              <w:jc w:val="right"/>
              <w:rPr>
                <w:rFonts w:ascii="Arial Narrow" w:hAnsi="Arial Narrow" w:cs="Calibri"/>
                <w:color w:val="000000"/>
                <w:sz w:val="20"/>
                <w:szCs w:val="20"/>
              </w:rPr>
            </w:pPr>
            <w:r w:rsidRPr="004C19AC">
              <w:rPr>
                <w:rFonts w:ascii="Arial Narrow" w:hAnsi="Arial Narrow" w:cs="Arial"/>
                <w:color w:val="000000"/>
                <w:sz w:val="20"/>
                <w:szCs w:val="20"/>
              </w:rPr>
              <w:t>78</w:t>
            </w:r>
          </w:p>
        </w:tc>
        <w:tc>
          <w:tcPr>
            <w:tcW w:w="1134" w:type="dxa"/>
            <w:tcBorders>
              <w:top w:val="single" w:sz="2" w:space="0" w:color="auto"/>
              <w:left w:val="nil"/>
              <w:bottom w:val="single" w:sz="4" w:space="0" w:color="auto"/>
              <w:right w:val="nil"/>
            </w:tcBorders>
            <w:shd w:val="clear" w:color="auto" w:fill="auto"/>
            <w:vAlign w:val="center"/>
            <w:hideMark/>
          </w:tcPr>
          <w:p w14:paraId="4E860080" w14:textId="77777777" w:rsidR="004C19AC" w:rsidRPr="004C19AC" w:rsidRDefault="004C19AC">
            <w:pPr>
              <w:jc w:val="right"/>
              <w:rPr>
                <w:rFonts w:ascii="Arial Narrow" w:hAnsi="Arial Narrow" w:cs="Calibri"/>
                <w:color w:val="000000"/>
                <w:sz w:val="20"/>
                <w:szCs w:val="20"/>
              </w:rPr>
            </w:pPr>
            <w:r w:rsidRPr="004C19AC">
              <w:rPr>
                <w:rFonts w:ascii="Arial Narrow" w:hAnsi="Arial Narrow" w:cs="Calibri"/>
                <w:color w:val="000000"/>
                <w:sz w:val="20"/>
                <w:szCs w:val="20"/>
              </w:rPr>
              <w:t>461</w:t>
            </w:r>
          </w:p>
        </w:tc>
        <w:tc>
          <w:tcPr>
            <w:tcW w:w="2268" w:type="dxa"/>
            <w:tcBorders>
              <w:top w:val="single" w:sz="2" w:space="0" w:color="auto"/>
              <w:left w:val="nil"/>
              <w:bottom w:val="single" w:sz="4" w:space="0" w:color="auto"/>
              <w:right w:val="nil"/>
            </w:tcBorders>
            <w:shd w:val="clear" w:color="auto" w:fill="auto"/>
            <w:noWrap/>
            <w:vAlign w:val="center"/>
            <w:hideMark/>
          </w:tcPr>
          <w:p w14:paraId="05CE1E99" w14:textId="77777777" w:rsidR="004C19AC" w:rsidRPr="004C19AC" w:rsidRDefault="004C19AC">
            <w:pPr>
              <w:jc w:val="right"/>
              <w:rPr>
                <w:rFonts w:ascii="Arial Narrow" w:hAnsi="Arial Narrow" w:cs="Calibri"/>
                <w:color w:val="000000"/>
                <w:sz w:val="20"/>
                <w:szCs w:val="20"/>
              </w:rPr>
            </w:pPr>
            <w:r w:rsidRPr="004C19AC">
              <w:rPr>
                <w:rFonts w:ascii="Arial Narrow" w:hAnsi="Arial Narrow" w:cs="Calibri"/>
                <w:color w:val="000000"/>
                <w:sz w:val="20"/>
                <w:szCs w:val="20"/>
              </w:rPr>
              <w:t>491</w:t>
            </w:r>
          </w:p>
        </w:tc>
      </w:tr>
    </w:tbl>
    <w:p w14:paraId="5C5B2DB5" w14:textId="77777777" w:rsidR="004C19AC" w:rsidRPr="004C19AC" w:rsidRDefault="004C19AC" w:rsidP="00CA3BE1">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before="240" w:after="240"/>
        <w:ind w:left="0" w:firstLine="284"/>
        <w:jc w:val="both"/>
        <w:rPr>
          <w:rFonts w:cstheme="minorHAnsi"/>
          <w:lang w:val="es-ES_tradnl"/>
        </w:rPr>
      </w:pPr>
      <w:r w:rsidRPr="004C19AC">
        <w:rPr>
          <w:iCs/>
          <w:spacing w:val="10"/>
          <w:kern w:val="28"/>
          <w:szCs w:val="26"/>
        </w:rPr>
        <w:t xml:space="preserve">En septiembre de 2023, esta Cámara emitió un informe sobre las </w:t>
      </w:r>
      <w:r w:rsidR="00BA61EA">
        <w:rPr>
          <w:iCs/>
          <w:spacing w:val="10"/>
          <w:kern w:val="28"/>
          <w:szCs w:val="26"/>
        </w:rPr>
        <w:t>“</w:t>
      </w:r>
      <w:r w:rsidR="00BA61EA" w:rsidRPr="00BA61EA">
        <w:rPr>
          <w:i/>
          <w:iCs/>
          <w:spacing w:val="10"/>
          <w:kern w:val="28"/>
          <w:szCs w:val="26"/>
        </w:rPr>
        <w:t>S</w:t>
      </w:r>
      <w:r w:rsidRPr="00BA61EA">
        <w:rPr>
          <w:i/>
          <w:iCs/>
          <w:spacing w:val="10"/>
          <w:kern w:val="28"/>
          <w:szCs w:val="26"/>
        </w:rPr>
        <w:t>ubvenciones nominativas en los Presupuestos Generales de Navarra (2019-2022)</w:t>
      </w:r>
      <w:r w:rsidR="00BA61EA">
        <w:rPr>
          <w:iCs/>
          <w:spacing w:val="10"/>
          <w:kern w:val="28"/>
          <w:szCs w:val="26"/>
        </w:rPr>
        <w:t>”</w:t>
      </w:r>
      <w:r w:rsidRPr="004C19AC">
        <w:rPr>
          <w:iCs/>
          <w:spacing w:val="10"/>
          <w:kern w:val="28"/>
          <w:szCs w:val="26"/>
        </w:rPr>
        <w:t>. En el citado informe</w:t>
      </w:r>
      <w:r w:rsidR="00BA61EA">
        <w:rPr>
          <w:iCs/>
          <w:spacing w:val="10"/>
          <w:kern w:val="28"/>
          <w:szCs w:val="26"/>
        </w:rPr>
        <w:t xml:space="preserve">, entre otras cuestiones, </w:t>
      </w:r>
      <w:r w:rsidRPr="004C19AC">
        <w:rPr>
          <w:iCs/>
          <w:spacing w:val="10"/>
          <w:kern w:val="28"/>
          <w:szCs w:val="26"/>
        </w:rPr>
        <w:t>se puso de manifiesto un significativo aumento en la inclusión de partidas nominativas de subvenciones en los presupuestos generales de Navarra. En la fiscalización de estas Cuentas Generales, además de revisar la situación en 2023, como hecho posterior, hemos compr</w:t>
      </w:r>
      <w:r>
        <w:rPr>
          <w:iCs/>
          <w:spacing w:val="10"/>
          <w:kern w:val="28"/>
          <w:szCs w:val="26"/>
        </w:rPr>
        <w:t xml:space="preserve">obado </w:t>
      </w:r>
      <w:r w:rsidRPr="004C19AC">
        <w:rPr>
          <w:iCs/>
          <w:spacing w:val="10"/>
          <w:kern w:val="28"/>
          <w:szCs w:val="26"/>
        </w:rPr>
        <w:t xml:space="preserve">la situación en los presupuestos de 2024, siendo el resultado el siguiente: </w:t>
      </w:r>
    </w:p>
    <w:tbl>
      <w:tblPr>
        <w:tblW w:w="8789" w:type="dxa"/>
        <w:jc w:val="center"/>
        <w:tblLayout w:type="fixed"/>
        <w:tblCellMar>
          <w:left w:w="70" w:type="dxa"/>
          <w:right w:w="70" w:type="dxa"/>
        </w:tblCellMar>
        <w:tblLook w:val="04A0" w:firstRow="1" w:lastRow="0" w:firstColumn="1" w:lastColumn="0" w:noHBand="0" w:noVBand="1"/>
      </w:tblPr>
      <w:tblGrid>
        <w:gridCol w:w="2268"/>
        <w:gridCol w:w="709"/>
        <w:gridCol w:w="567"/>
        <w:gridCol w:w="567"/>
        <w:gridCol w:w="567"/>
        <w:gridCol w:w="567"/>
        <w:gridCol w:w="567"/>
        <w:gridCol w:w="850"/>
        <w:gridCol w:w="567"/>
        <w:gridCol w:w="992"/>
        <w:gridCol w:w="568"/>
      </w:tblGrid>
      <w:tr w:rsidR="004C19AC" w:rsidRPr="00CB602B" w14:paraId="529123CC" w14:textId="77777777" w:rsidTr="00E50CDE">
        <w:trPr>
          <w:trHeight w:val="255"/>
          <w:jc w:val="center"/>
        </w:trPr>
        <w:tc>
          <w:tcPr>
            <w:tcW w:w="2268" w:type="dxa"/>
            <w:tcBorders>
              <w:top w:val="single" w:sz="4" w:space="0" w:color="auto"/>
              <w:bottom w:val="single" w:sz="4" w:space="0" w:color="auto"/>
            </w:tcBorders>
            <w:shd w:val="clear" w:color="000000" w:fill="9BC2E6"/>
            <w:noWrap/>
            <w:vAlign w:val="center"/>
            <w:hideMark/>
          </w:tcPr>
          <w:p w14:paraId="30F56986" w14:textId="77777777" w:rsidR="004C19AC" w:rsidRPr="00CB602B" w:rsidRDefault="004C19AC" w:rsidP="00CA3BE1">
            <w:pPr>
              <w:rPr>
                <w:rFonts w:ascii="Arial" w:hAnsi="Arial" w:cs="Arial"/>
                <w:color w:val="000000"/>
                <w:sz w:val="16"/>
                <w:szCs w:val="16"/>
              </w:rPr>
            </w:pPr>
            <w:r w:rsidRPr="00CB602B">
              <w:rPr>
                <w:rFonts w:ascii="Arial" w:hAnsi="Arial" w:cs="Arial"/>
                <w:color w:val="000000"/>
                <w:sz w:val="16"/>
                <w:szCs w:val="16"/>
                <w:lang w:val="es-ES_tradnl"/>
              </w:rPr>
              <w:t>Número de partidas</w:t>
            </w:r>
          </w:p>
        </w:tc>
        <w:tc>
          <w:tcPr>
            <w:tcW w:w="709" w:type="dxa"/>
            <w:tcBorders>
              <w:top w:val="single" w:sz="4" w:space="0" w:color="auto"/>
              <w:bottom w:val="single" w:sz="4" w:space="0" w:color="auto"/>
            </w:tcBorders>
            <w:shd w:val="clear" w:color="000000" w:fill="9BC2E6"/>
            <w:noWrap/>
            <w:vAlign w:val="center"/>
            <w:hideMark/>
          </w:tcPr>
          <w:p w14:paraId="51DDFB51" w14:textId="77777777" w:rsidR="004C19AC" w:rsidRPr="00CB602B" w:rsidRDefault="004C19AC" w:rsidP="00CA3BE1">
            <w:pPr>
              <w:jc w:val="right"/>
              <w:rPr>
                <w:rFonts w:ascii="Arial" w:hAnsi="Arial" w:cs="Arial"/>
                <w:color w:val="000000"/>
                <w:sz w:val="16"/>
                <w:szCs w:val="16"/>
              </w:rPr>
            </w:pPr>
            <w:r w:rsidRPr="00CB602B">
              <w:rPr>
                <w:rFonts w:ascii="Arial" w:hAnsi="Arial" w:cs="Arial"/>
                <w:color w:val="000000"/>
                <w:sz w:val="16"/>
                <w:szCs w:val="16"/>
                <w:lang w:val="es-ES_tradnl"/>
              </w:rPr>
              <w:t>2019</w:t>
            </w:r>
          </w:p>
        </w:tc>
        <w:tc>
          <w:tcPr>
            <w:tcW w:w="567" w:type="dxa"/>
            <w:tcBorders>
              <w:top w:val="single" w:sz="4" w:space="0" w:color="auto"/>
              <w:bottom w:val="single" w:sz="4" w:space="0" w:color="auto"/>
            </w:tcBorders>
            <w:shd w:val="clear" w:color="000000" w:fill="9BC2E6"/>
            <w:noWrap/>
            <w:vAlign w:val="center"/>
            <w:hideMark/>
          </w:tcPr>
          <w:p w14:paraId="4BFF30C3" w14:textId="77777777" w:rsidR="004C19AC" w:rsidRPr="00CB602B" w:rsidRDefault="004C19AC" w:rsidP="00CA3BE1">
            <w:pPr>
              <w:jc w:val="right"/>
              <w:rPr>
                <w:rFonts w:ascii="Arial" w:hAnsi="Arial" w:cs="Arial"/>
                <w:color w:val="000000"/>
                <w:sz w:val="16"/>
                <w:szCs w:val="16"/>
              </w:rPr>
            </w:pPr>
            <w:r w:rsidRPr="00CB602B">
              <w:rPr>
                <w:rFonts w:ascii="Arial" w:hAnsi="Arial" w:cs="Arial"/>
                <w:color w:val="000000"/>
                <w:sz w:val="16"/>
                <w:szCs w:val="16"/>
                <w:lang w:val="es-ES_tradnl"/>
              </w:rPr>
              <w:t>2020</w:t>
            </w:r>
          </w:p>
        </w:tc>
        <w:tc>
          <w:tcPr>
            <w:tcW w:w="567" w:type="dxa"/>
            <w:tcBorders>
              <w:top w:val="single" w:sz="4" w:space="0" w:color="auto"/>
              <w:bottom w:val="single" w:sz="4" w:space="0" w:color="auto"/>
            </w:tcBorders>
            <w:shd w:val="clear" w:color="000000" w:fill="9BC2E6"/>
            <w:noWrap/>
            <w:vAlign w:val="center"/>
            <w:hideMark/>
          </w:tcPr>
          <w:p w14:paraId="17FE769E" w14:textId="77777777" w:rsidR="004C19AC" w:rsidRPr="00CB602B" w:rsidRDefault="004C19AC" w:rsidP="00CA3BE1">
            <w:pPr>
              <w:jc w:val="right"/>
              <w:rPr>
                <w:rFonts w:ascii="Arial" w:hAnsi="Arial" w:cs="Arial"/>
                <w:color w:val="000000"/>
                <w:sz w:val="16"/>
                <w:szCs w:val="16"/>
              </w:rPr>
            </w:pPr>
            <w:r w:rsidRPr="00CB602B">
              <w:rPr>
                <w:rFonts w:ascii="Arial" w:hAnsi="Arial" w:cs="Arial"/>
                <w:color w:val="000000"/>
                <w:sz w:val="16"/>
                <w:szCs w:val="16"/>
                <w:lang w:val="es-ES_tradnl"/>
              </w:rPr>
              <w:t>2021</w:t>
            </w:r>
          </w:p>
        </w:tc>
        <w:tc>
          <w:tcPr>
            <w:tcW w:w="567" w:type="dxa"/>
            <w:tcBorders>
              <w:top w:val="single" w:sz="4" w:space="0" w:color="auto"/>
              <w:bottom w:val="single" w:sz="4" w:space="0" w:color="auto"/>
            </w:tcBorders>
            <w:shd w:val="clear" w:color="000000" w:fill="9BC2E6"/>
            <w:vAlign w:val="center"/>
            <w:hideMark/>
          </w:tcPr>
          <w:p w14:paraId="181953B5" w14:textId="77777777" w:rsidR="004C19AC" w:rsidRPr="00CB602B" w:rsidRDefault="004C19AC" w:rsidP="00CA3BE1">
            <w:pPr>
              <w:jc w:val="right"/>
              <w:rPr>
                <w:rFonts w:ascii="Arial" w:hAnsi="Arial" w:cs="Arial"/>
                <w:color w:val="000000"/>
                <w:sz w:val="16"/>
                <w:szCs w:val="16"/>
              </w:rPr>
            </w:pPr>
            <w:r w:rsidRPr="00CB602B">
              <w:rPr>
                <w:rFonts w:ascii="Arial" w:hAnsi="Arial" w:cs="Arial"/>
                <w:color w:val="000000"/>
                <w:sz w:val="16"/>
                <w:szCs w:val="16"/>
                <w:lang w:val="es-ES_tradnl"/>
              </w:rPr>
              <w:t>2022</w:t>
            </w:r>
          </w:p>
        </w:tc>
        <w:tc>
          <w:tcPr>
            <w:tcW w:w="567" w:type="dxa"/>
            <w:tcBorders>
              <w:top w:val="single" w:sz="4" w:space="0" w:color="auto"/>
              <w:bottom w:val="single" w:sz="4" w:space="0" w:color="auto"/>
            </w:tcBorders>
            <w:shd w:val="clear" w:color="000000" w:fill="9BC2E6"/>
            <w:noWrap/>
            <w:vAlign w:val="center"/>
            <w:hideMark/>
          </w:tcPr>
          <w:p w14:paraId="1EAD0519" w14:textId="77777777" w:rsidR="004C19AC" w:rsidRPr="00CB602B" w:rsidRDefault="004C19AC" w:rsidP="00CA3BE1">
            <w:pPr>
              <w:jc w:val="right"/>
              <w:rPr>
                <w:rFonts w:ascii="Arial" w:hAnsi="Arial" w:cs="Arial"/>
                <w:color w:val="000000"/>
                <w:sz w:val="16"/>
                <w:szCs w:val="16"/>
              </w:rPr>
            </w:pPr>
            <w:r w:rsidRPr="00CB602B">
              <w:rPr>
                <w:rFonts w:ascii="Arial" w:hAnsi="Arial" w:cs="Arial"/>
                <w:color w:val="000000"/>
                <w:sz w:val="16"/>
                <w:szCs w:val="16"/>
                <w:lang w:val="es-ES_tradnl"/>
              </w:rPr>
              <w:t>2023</w:t>
            </w:r>
          </w:p>
        </w:tc>
        <w:tc>
          <w:tcPr>
            <w:tcW w:w="567" w:type="dxa"/>
            <w:tcBorders>
              <w:top w:val="single" w:sz="4" w:space="0" w:color="auto"/>
              <w:bottom w:val="single" w:sz="4" w:space="0" w:color="auto"/>
            </w:tcBorders>
            <w:shd w:val="clear" w:color="000000" w:fill="9BC2E6"/>
            <w:noWrap/>
            <w:vAlign w:val="center"/>
            <w:hideMark/>
          </w:tcPr>
          <w:p w14:paraId="6EA9485A" w14:textId="77777777" w:rsidR="004C19AC" w:rsidRPr="00CB602B" w:rsidRDefault="004C19AC" w:rsidP="00CA3BE1">
            <w:pPr>
              <w:jc w:val="right"/>
              <w:rPr>
                <w:rFonts w:ascii="Arial" w:hAnsi="Arial" w:cs="Arial"/>
                <w:color w:val="000000"/>
                <w:sz w:val="16"/>
                <w:szCs w:val="16"/>
              </w:rPr>
            </w:pPr>
            <w:r w:rsidRPr="00CB602B">
              <w:rPr>
                <w:rFonts w:ascii="Arial" w:hAnsi="Arial" w:cs="Arial"/>
                <w:color w:val="000000"/>
                <w:sz w:val="16"/>
                <w:szCs w:val="16"/>
              </w:rPr>
              <w:t>2024</w:t>
            </w:r>
          </w:p>
        </w:tc>
        <w:tc>
          <w:tcPr>
            <w:tcW w:w="850" w:type="dxa"/>
            <w:tcBorders>
              <w:top w:val="single" w:sz="4" w:space="0" w:color="auto"/>
              <w:bottom w:val="single" w:sz="4" w:space="0" w:color="auto"/>
            </w:tcBorders>
            <w:shd w:val="clear" w:color="000000" w:fill="9BC2E6"/>
            <w:noWrap/>
            <w:vAlign w:val="center"/>
            <w:hideMark/>
          </w:tcPr>
          <w:p w14:paraId="6F498E57" w14:textId="77777777" w:rsidR="004C19AC" w:rsidRPr="00CB602B" w:rsidRDefault="004C19AC" w:rsidP="005E12CC">
            <w:pPr>
              <w:jc w:val="right"/>
              <w:rPr>
                <w:rFonts w:ascii="Arial" w:hAnsi="Arial" w:cs="Arial"/>
                <w:color w:val="000000"/>
                <w:sz w:val="16"/>
                <w:szCs w:val="16"/>
              </w:rPr>
            </w:pPr>
            <w:r w:rsidRPr="00CB602B">
              <w:rPr>
                <w:rFonts w:ascii="Arial" w:hAnsi="Arial" w:cs="Arial"/>
                <w:color w:val="000000"/>
                <w:sz w:val="16"/>
                <w:szCs w:val="16"/>
              </w:rPr>
              <w:t xml:space="preserve">Variación </w:t>
            </w:r>
          </w:p>
          <w:p w14:paraId="73E6A44D" w14:textId="77777777" w:rsidR="004C19AC" w:rsidRPr="00CB602B" w:rsidRDefault="004C19AC" w:rsidP="005E12CC">
            <w:pPr>
              <w:jc w:val="right"/>
              <w:rPr>
                <w:rFonts w:ascii="Arial" w:hAnsi="Arial" w:cs="Arial"/>
                <w:color w:val="000000"/>
                <w:sz w:val="16"/>
                <w:szCs w:val="16"/>
              </w:rPr>
            </w:pPr>
            <w:r w:rsidRPr="00CB602B">
              <w:rPr>
                <w:rFonts w:ascii="Arial" w:hAnsi="Arial" w:cs="Arial"/>
                <w:color w:val="000000"/>
                <w:sz w:val="16"/>
                <w:szCs w:val="16"/>
              </w:rPr>
              <w:t>2023/201</w:t>
            </w:r>
          </w:p>
        </w:tc>
        <w:tc>
          <w:tcPr>
            <w:tcW w:w="567" w:type="dxa"/>
            <w:tcBorders>
              <w:top w:val="single" w:sz="4" w:space="0" w:color="auto"/>
              <w:bottom w:val="single" w:sz="4" w:space="0" w:color="auto"/>
            </w:tcBorders>
            <w:shd w:val="clear" w:color="000000" w:fill="9BC2E6"/>
            <w:noWrap/>
            <w:vAlign w:val="center"/>
            <w:hideMark/>
          </w:tcPr>
          <w:p w14:paraId="723A122F" w14:textId="77777777" w:rsidR="004C19AC" w:rsidRPr="00CB602B" w:rsidRDefault="004C19AC" w:rsidP="00E54163">
            <w:pPr>
              <w:jc w:val="right"/>
              <w:rPr>
                <w:rFonts w:ascii="Arial" w:hAnsi="Arial" w:cs="Arial"/>
                <w:color w:val="000000"/>
                <w:sz w:val="16"/>
                <w:szCs w:val="16"/>
              </w:rPr>
            </w:pPr>
            <w:r w:rsidRPr="00CB602B">
              <w:rPr>
                <w:rFonts w:ascii="Arial" w:hAnsi="Arial" w:cs="Arial"/>
                <w:color w:val="000000"/>
                <w:sz w:val="16"/>
                <w:szCs w:val="16"/>
              </w:rPr>
              <w:t xml:space="preserve">% </w:t>
            </w:r>
          </w:p>
        </w:tc>
        <w:tc>
          <w:tcPr>
            <w:tcW w:w="992" w:type="dxa"/>
            <w:tcBorders>
              <w:top w:val="single" w:sz="4" w:space="0" w:color="auto"/>
              <w:bottom w:val="single" w:sz="4" w:space="0" w:color="auto"/>
            </w:tcBorders>
            <w:shd w:val="clear" w:color="000000" w:fill="9BC2E6"/>
            <w:noWrap/>
            <w:vAlign w:val="center"/>
            <w:hideMark/>
          </w:tcPr>
          <w:p w14:paraId="38D88ACA" w14:textId="77777777" w:rsidR="004C19AC" w:rsidRPr="00CB602B" w:rsidRDefault="004C19AC" w:rsidP="005E12CC">
            <w:pPr>
              <w:jc w:val="right"/>
              <w:rPr>
                <w:rFonts w:ascii="Arial" w:hAnsi="Arial" w:cs="Arial"/>
                <w:color w:val="000000"/>
                <w:sz w:val="16"/>
                <w:szCs w:val="16"/>
              </w:rPr>
            </w:pPr>
            <w:r w:rsidRPr="00CB602B">
              <w:rPr>
                <w:rFonts w:ascii="Arial" w:hAnsi="Arial" w:cs="Arial"/>
                <w:color w:val="000000"/>
                <w:sz w:val="16"/>
                <w:szCs w:val="16"/>
                <w:lang w:val="es-ES_tradnl"/>
              </w:rPr>
              <w:t>Variación 2024/20</w:t>
            </w:r>
            <w:r>
              <w:rPr>
                <w:rFonts w:ascii="Arial" w:hAnsi="Arial" w:cs="Arial"/>
                <w:color w:val="000000"/>
                <w:sz w:val="16"/>
                <w:szCs w:val="16"/>
                <w:lang w:val="es-ES_tradnl"/>
              </w:rPr>
              <w:t>19</w:t>
            </w:r>
          </w:p>
        </w:tc>
        <w:tc>
          <w:tcPr>
            <w:tcW w:w="568" w:type="dxa"/>
            <w:tcBorders>
              <w:top w:val="single" w:sz="4" w:space="0" w:color="auto"/>
              <w:bottom w:val="single" w:sz="4" w:space="0" w:color="auto"/>
            </w:tcBorders>
            <w:shd w:val="clear" w:color="000000" w:fill="9BC2E6"/>
            <w:noWrap/>
            <w:vAlign w:val="center"/>
            <w:hideMark/>
          </w:tcPr>
          <w:p w14:paraId="665128A5" w14:textId="77777777" w:rsidR="004C19AC" w:rsidRPr="00CB602B" w:rsidRDefault="004C19AC" w:rsidP="00CA3BE1">
            <w:pPr>
              <w:jc w:val="right"/>
              <w:rPr>
                <w:rFonts w:ascii="Arial" w:hAnsi="Arial" w:cs="Arial"/>
                <w:color w:val="000000"/>
                <w:sz w:val="16"/>
                <w:szCs w:val="16"/>
              </w:rPr>
            </w:pPr>
            <w:r w:rsidRPr="00CB602B">
              <w:rPr>
                <w:rFonts w:ascii="Arial" w:hAnsi="Arial" w:cs="Arial"/>
                <w:color w:val="000000"/>
                <w:sz w:val="16"/>
                <w:szCs w:val="16"/>
              </w:rPr>
              <w:t>%</w:t>
            </w:r>
          </w:p>
        </w:tc>
      </w:tr>
      <w:tr w:rsidR="004C19AC" w:rsidRPr="00EF771F" w14:paraId="30FBC97D" w14:textId="77777777" w:rsidTr="00E50CDE">
        <w:trPr>
          <w:trHeight w:val="198"/>
          <w:jc w:val="center"/>
        </w:trPr>
        <w:tc>
          <w:tcPr>
            <w:tcW w:w="2268" w:type="dxa"/>
            <w:tcBorders>
              <w:top w:val="single" w:sz="4" w:space="0" w:color="auto"/>
              <w:bottom w:val="single" w:sz="2" w:space="0" w:color="auto"/>
            </w:tcBorders>
            <w:shd w:val="clear" w:color="auto" w:fill="auto"/>
            <w:noWrap/>
            <w:vAlign w:val="center"/>
            <w:hideMark/>
          </w:tcPr>
          <w:p w14:paraId="25172B7E" w14:textId="77777777" w:rsidR="004C19AC" w:rsidRPr="00EF771F" w:rsidRDefault="004C19AC" w:rsidP="00CA3BE1">
            <w:pPr>
              <w:jc w:val="both"/>
              <w:rPr>
                <w:rFonts w:ascii="Arial Narrow" w:hAnsi="Arial Narrow" w:cs="Calibri"/>
                <w:color w:val="000000"/>
                <w:sz w:val="16"/>
                <w:szCs w:val="16"/>
              </w:rPr>
            </w:pPr>
            <w:r w:rsidRPr="00EF771F">
              <w:rPr>
                <w:rFonts w:ascii="Arial Narrow" w:hAnsi="Arial Narrow" w:cs="Calibri"/>
                <w:color w:val="000000"/>
                <w:sz w:val="16"/>
                <w:szCs w:val="16"/>
                <w:lang w:val="es-ES_tradnl"/>
              </w:rPr>
              <w:t>Partidas incluidas por el G.N. en el P.L.F.P.G</w:t>
            </w:r>
            <w:r>
              <w:rPr>
                <w:rFonts w:ascii="Arial Narrow" w:hAnsi="Arial Narrow" w:cs="Calibri"/>
                <w:color w:val="000000"/>
                <w:sz w:val="16"/>
                <w:szCs w:val="16"/>
                <w:lang w:val="es-ES_tradnl"/>
              </w:rPr>
              <w:t>.N.</w:t>
            </w:r>
            <w:r>
              <w:rPr>
                <w:rStyle w:val="Refdenotaalpie"/>
                <w:rFonts w:ascii="Arial Narrow" w:hAnsi="Arial Narrow" w:cs="Calibri"/>
                <w:color w:val="000000"/>
                <w:sz w:val="16"/>
                <w:szCs w:val="16"/>
                <w:lang w:val="es-ES_tradnl"/>
              </w:rPr>
              <w:footnoteReference w:id="3"/>
            </w:r>
          </w:p>
        </w:tc>
        <w:tc>
          <w:tcPr>
            <w:tcW w:w="709" w:type="dxa"/>
            <w:tcBorders>
              <w:top w:val="single" w:sz="4" w:space="0" w:color="auto"/>
              <w:bottom w:val="single" w:sz="2" w:space="0" w:color="auto"/>
            </w:tcBorders>
            <w:shd w:val="clear" w:color="auto" w:fill="auto"/>
            <w:noWrap/>
            <w:vAlign w:val="center"/>
            <w:hideMark/>
          </w:tcPr>
          <w:p w14:paraId="04EC4736" w14:textId="77777777" w:rsidR="004C19AC" w:rsidRPr="00EF771F" w:rsidRDefault="004C19AC" w:rsidP="00CA3BE1">
            <w:pPr>
              <w:jc w:val="right"/>
              <w:rPr>
                <w:rFonts w:ascii="Arial Narrow" w:hAnsi="Arial Narrow" w:cs="Calibri"/>
                <w:color w:val="000000"/>
                <w:sz w:val="16"/>
                <w:szCs w:val="16"/>
              </w:rPr>
            </w:pPr>
            <w:r w:rsidRPr="00EF771F">
              <w:rPr>
                <w:rFonts w:ascii="Arial Narrow" w:hAnsi="Arial Narrow" w:cs="Calibri"/>
                <w:color w:val="000000"/>
                <w:sz w:val="16"/>
                <w:szCs w:val="16"/>
                <w:lang w:val="es-ES_tradnl"/>
              </w:rPr>
              <w:t>103</w:t>
            </w:r>
          </w:p>
        </w:tc>
        <w:tc>
          <w:tcPr>
            <w:tcW w:w="567" w:type="dxa"/>
            <w:tcBorders>
              <w:top w:val="single" w:sz="4" w:space="0" w:color="auto"/>
              <w:bottom w:val="single" w:sz="2" w:space="0" w:color="auto"/>
            </w:tcBorders>
            <w:shd w:val="clear" w:color="auto" w:fill="auto"/>
            <w:noWrap/>
            <w:vAlign w:val="center"/>
            <w:hideMark/>
          </w:tcPr>
          <w:p w14:paraId="77748C33" w14:textId="77777777" w:rsidR="004C19AC" w:rsidRPr="00EF771F" w:rsidRDefault="004C19AC" w:rsidP="00CA3BE1">
            <w:pPr>
              <w:jc w:val="right"/>
              <w:rPr>
                <w:rFonts w:ascii="Arial Narrow" w:hAnsi="Arial Narrow" w:cs="Calibri"/>
                <w:color w:val="000000"/>
                <w:sz w:val="16"/>
                <w:szCs w:val="16"/>
              </w:rPr>
            </w:pPr>
            <w:r w:rsidRPr="00EF771F">
              <w:rPr>
                <w:rFonts w:ascii="Arial Narrow" w:hAnsi="Arial Narrow" w:cs="Calibri"/>
                <w:color w:val="000000"/>
                <w:sz w:val="16"/>
                <w:szCs w:val="16"/>
                <w:lang w:val="es-ES_tradnl"/>
              </w:rPr>
              <w:t>117</w:t>
            </w:r>
          </w:p>
        </w:tc>
        <w:tc>
          <w:tcPr>
            <w:tcW w:w="567" w:type="dxa"/>
            <w:tcBorders>
              <w:top w:val="single" w:sz="4" w:space="0" w:color="auto"/>
              <w:bottom w:val="single" w:sz="2" w:space="0" w:color="auto"/>
            </w:tcBorders>
            <w:shd w:val="clear" w:color="auto" w:fill="auto"/>
            <w:noWrap/>
            <w:vAlign w:val="center"/>
            <w:hideMark/>
          </w:tcPr>
          <w:p w14:paraId="4D337976" w14:textId="77777777" w:rsidR="004C19AC" w:rsidRPr="00EF771F" w:rsidRDefault="004C19AC" w:rsidP="00CA3BE1">
            <w:pPr>
              <w:jc w:val="right"/>
              <w:rPr>
                <w:rFonts w:ascii="Arial Narrow" w:hAnsi="Arial Narrow" w:cs="Calibri"/>
                <w:color w:val="000000"/>
                <w:sz w:val="16"/>
                <w:szCs w:val="16"/>
              </w:rPr>
            </w:pPr>
            <w:r w:rsidRPr="00EF771F">
              <w:rPr>
                <w:rFonts w:ascii="Arial Narrow" w:hAnsi="Arial Narrow" w:cs="Calibri"/>
                <w:color w:val="000000"/>
                <w:sz w:val="16"/>
                <w:szCs w:val="16"/>
                <w:lang w:val="es-ES_tradnl"/>
              </w:rPr>
              <w:t>158</w:t>
            </w:r>
          </w:p>
        </w:tc>
        <w:tc>
          <w:tcPr>
            <w:tcW w:w="567" w:type="dxa"/>
            <w:tcBorders>
              <w:top w:val="single" w:sz="4" w:space="0" w:color="auto"/>
              <w:bottom w:val="single" w:sz="2" w:space="0" w:color="auto"/>
            </w:tcBorders>
            <w:shd w:val="clear" w:color="auto" w:fill="auto"/>
            <w:vAlign w:val="center"/>
            <w:hideMark/>
          </w:tcPr>
          <w:p w14:paraId="4AC7844D" w14:textId="77777777" w:rsidR="004C19AC" w:rsidRPr="00EF771F" w:rsidRDefault="004C19AC" w:rsidP="00CA3BE1">
            <w:pPr>
              <w:jc w:val="right"/>
              <w:rPr>
                <w:rFonts w:ascii="Arial Narrow" w:hAnsi="Arial Narrow" w:cs="Calibri"/>
                <w:color w:val="000000"/>
                <w:sz w:val="16"/>
                <w:szCs w:val="16"/>
              </w:rPr>
            </w:pPr>
            <w:r w:rsidRPr="00EF771F">
              <w:rPr>
                <w:rFonts w:ascii="Arial Narrow" w:hAnsi="Arial Narrow" w:cs="Calibri"/>
                <w:color w:val="000000"/>
                <w:sz w:val="16"/>
                <w:szCs w:val="16"/>
                <w:lang w:val="es-ES_tradnl"/>
              </w:rPr>
              <w:t>175</w:t>
            </w:r>
          </w:p>
        </w:tc>
        <w:tc>
          <w:tcPr>
            <w:tcW w:w="567" w:type="dxa"/>
            <w:tcBorders>
              <w:top w:val="single" w:sz="4" w:space="0" w:color="auto"/>
              <w:bottom w:val="single" w:sz="2" w:space="0" w:color="auto"/>
            </w:tcBorders>
            <w:shd w:val="clear" w:color="auto" w:fill="auto"/>
            <w:noWrap/>
            <w:vAlign w:val="center"/>
            <w:hideMark/>
          </w:tcPr>
          <w:p w14:paraId="632B4F0B" w14:textId="77777777" w:rsidR="004C19AC" w:rsidRPr="00EF771F" w:rsidRDefault="004C19AC" w:rsidP="00CA3BE1">
            <w:pPr>
              <w:jc w:val="right"/>
              <w:rPr>
                <w:rFonts w:ascii="Arial Narrow" w:hAnsi="Arial Narrow" w:cs="Calibri"/>
                <w:color w:val="000000"/>
                <w:sz w:val="16"/>
                <w:szCs w:val="16"/>
              </w:rPr>
            </w:pPr>
            <w:r w:rsidRPr="00EF771F">
              <w:rPr>
                <w:rFonts w:ascii="Arial Narrow" w:hAnsi="Arial Narrow" w:cs="Calibri"/>
                <w:color w:val="000000"/>
                <w:sz w:val="16"/>
                <w:szCs w:val="16"/>
                <w:lang w:val="es-ES_tradnl"/>
              </w:rPr>
              <w:t>177</w:t>
            </w:r>
          </w:p>
        </w:tc>
        <w:tc>
          <w:tcPr>
            <w:tcW w:w="567" w:type="dxa"/>
            <w:tcBorders>
              <w:top w:val="single" w:sz="4" w:space="0" w:color="auto"/>
              <w:bottom w:val="single" w:sz="2" w:space="0" w:color="auto"/>
            </w:tcBorders>
            <w:shd w:val="clear" w:color="auto" w:fill="auto"/>
            <w:vAlign w:val="center"/>
            <w:hideMark/>
          </w:tcPr>
          <w:p w14:paraId="0F84475E" w14:textId="77777777" w:rsidR="004C19AC" w:rsidRPr="00EF771F" w:rsidRDefault="004C19AC" w:rsidP="00CA3BE1">
            <w:pPr>
              <w:jc w:val="right"/>
              <w:rPr>
                <w:rFonts w:ascii="Arial Narrow" w:hAnsi="Arial Narrow" w:cs="Calibri"/>
                <w:color w:val="000000"/>
                <w:sz w:val="16"/>
                <w:szCs w:val="16"/>
              </w:rPr>
            </w:pPr>
            <w:r w:rsidRPr="00EF771F">
              <w:rPr>
                <w:rFonts w:ascii="Arial Narrow" w:hAnsi="Arial Narrow" w:cs="Calibri"/>
                <w:color w:val="000000"/>
                <w:sz w:val="16"/>
                <w:szCs w:val="16"/>
              </w:rPr>
              <w:t>180</w:t>
            </w:r>
          </w:p>
        </w:tc>
        <w:tc>
          <w:tcPr>
            <w:tcW w:w="850" w:type="dxa"/>
            <w:tcBorders>
              <w:top w:val="single" w:sz="4" w:space="0" w:color="auto"/>
              <w:bottom w:val="single" w:sz="2" w:space="0" w:color="auto"/>
            </w:tcBorders>
            <w:shd w:val="clear" w:color="auto" w:fill="auto"/>
            <w:noWrap/>
            <w:vAlign w:val="center"/>
            <w:hideMark/>
          </w:tcPr>
          <w:p w14:paraId="60B2A9FA" w14:textId="77777777" w:rsidR="004C19AC" w:rsidRPr="00EF771F" w:rsidRDefault="004C19AC" w:rsidP="005E12CC">
            <w:pPr>
              <w:jc w:val="right"/>
              <w:rPr>
                <w:rFonts w:ascii="Arial Narrow" w:hAnsi="Arial Narrow" w:cs="Calibri"/>
                <w:color w:val="000000"/>
                <w:sz w:val="16"/>
                <w:szCs w:val="16"/>
              </w:rPr>
            </w:pPr>
            <w:r w:rsidRPr="00EF771F">
              <w:rPr>
                <w:rFonts w:ascii="Arial Narrow" w:hAnsi="Arial Narrow" w:cs="Calibri"/>
                <w:color w:val="000000"/>
                <w:sz w:val="16"/>
                <w:szCs w:val="16"/>
              </w:rPr>
              <w:t>74</w:t>
            </w:r>
          </w:p>
        </w:tc>
        <w:tc>
          <w:tcPr>
            <w:tcW w:w="567" w:type="dxa"/>
            <w:tcBorders>
              <w:top w:val="single" w:sz="4" w:space="0" w:color="auto"/>
              <w:bottom w:val="single" w:sz="2" w:space="0" w:color="auto"/>
            </w:tcBorders>
            <w:shd w:val="clear" w:color="auto" w:fill="auto"/>
            <w:noWrap/>
            <w:vAlign w:val="center"/>
            <w:hideMark/>
          </w:tcPr>
          <w:p w14:paraId="412FCAF0" w14:textId="77777777" w:rsidR="004C19AC" w:rsidRPr="00EF771F" w:rsidRDefault="004C19AC" w:rsidP="00E54163">
            <w:pPr>
              <w:jc w:val="right"/>
              <w:rPr>
                <w:rFonts w:ascii="Arial Narrow" w:hAnsi="Arial Narrow" w:cs="Calibri"/>
                <w:color w:val="000000"/>
                <w:sz w:val="16"/>
                <w:szCs w:val="16"/>
              </w:rPr>
            </w:pPr>
            <w:r w:rsidRPr="00EF771F">
              <w:rPr>
                <w:rFonts w:ascii="Arial Narrow" w:hAnsi="Arial Narrow" w:cs="Calibri"/>
                <w:color w:val="000000"/>
                <w:sz w:val="16"/>
                <w:szCs w:val="16"/>
              </w:rPr>
              <w:t>72</w:t>
            </w:r>
          </w:p>
        </w:tc>
        <w:tc>
          <w:tcPr>
            <w:tcW w:w="992" w:type="dxa"/>
            <w:tcBorders>
              <w:top w:val="single" w:sz="4" w:space="0" w:color="auto"/>
              <w:bottom w:val="single" w:sz="2" w:space="0" w:color="auto"/>
            </w:tcBorders>
            <w:shd w:val="clear" w:color="auto" w:fill="auto"/>
            <w:noWrap/>
            <w:vAlign w:val="center"/>
            <w:hideMark/>
          </w:tcPr>
          <w:p w14:paraId="61894156" w14:textId="77777777" w:rsidR="004C19AC" w:rsidRPr="00EF771F" w:rsidRDefault="004C19AC" w:rsidP="005E12CC">
            <w:pPr>
              <w:jc w:val="right"/>
              <w:rPr>
                <w:rFonts w:ascii="Arial Narrow" w:hAnsi="Arial Narrow" w:cs="Calibri"/>
                <w:color w:val="000000"/>
                <w:sz w:val="16"/>
                <w:szCs w:val="16"/>
              </w:rPr>
            </w:pPr>
            <w:r w:rsidRPr="00EF771F">
              <w:rPr>
                <w:rFonts w:ascii="Arial Narrow" w:hAnsi="Arial Narrow" w:cs="Calibri"/>
                <w:color w:val="000000"/>
                <w:sz w:val="16"/>
                <w:szCs w:val="16"/>
                <w:lang w:val="es-ES_tradnl"/>
              </w:rPr>
              <w:t>77</w:t>
            </w:r>
          </w:p>
        </w:tc>
        <w:tc>
          <w:tcPr>
            <w:tcW w:w="568" w:type="dxa"/>
            <w:tcBorders>
              <w:top w:val="single" w:sz="4" w:space="0" w:color="auto"/>
              <w:bottom w:val="single" w:sz="2" w:space="0" w:color="auto"/>
            </w:tcBorders>
            <w:shd w:val="clear" w:color="auto" w:fill="auto"/>
            <w:noWrap/>
            <w:vAlign w:val="center"/>
            <w:hideMark/>
          </w:tcPr>
          <w:p w14:paraId="699C6C83" w14:textId="77777777" w:rsidR="004C19AC" w:rsidRPr="00EF771F" w:rsidRDefault="004C19AC" w:rsidP="00E54163">
            <w:pPr>
              <w:jc w:val="right"/>
              <w:rPr>
                <w:rFonts w:ascii="Arial Narrow" w:hAnsi="Arial Narrow" w:cs="Calibri"/>
                <w:color w:val="000000"/>
                <w:sz w:val="16"/>
                <w:szCs w:val="16"/>
              </w:rPr>
            </w:pPr>
            <w:r w:rsidRPr="00EF771F">
              <w:rPr>
                <w:rFonts w:ascii="Arial Narrow" w:hAnsi="Arial Narrow" w:cs="Calibri"/>
                <w:color w:val="000000"/>
                <w:sz w:val="16"/>
                <w:szCs w:val="16"/>
              </w:rPr>
              <w:t>75</w:t>
            </w:r>
          </w:p>
        </w:tc>
      </w:tr>
      <w:tr w:rsidR="004C19AC" w:rsidRPr="00EF771F" w14:paraId="0D1E9D55" w14:textId="77777777" w:rsidTr="001C71FC">
        <w:trPr>
          <w:trHeight w:val="198"/>
          <w:jc w:val="center"/>
        </w:trPr>
        <w:tc>
          <w:tcPr>
            <w:tcW w:w="2268" w:type="dxa"/>
            <w:tcBorders>
              <w:top w:val="single" w:sz="2" w:space="0" w:color="auto"/>
              <w:bottom w:val="single" w:sz="4" w:space="0" w:color="auto"/>
            </w:tcBorders>
            <w:shd w:val="clear" w:color="auto" w:fill="auto"/>
            <w:noWrap/>
            <w:vAlign w:val="center"/>
            <w:hideMark/>
          </w:tcPr>
          <w:p w14:paraId="466D8977" w14:textId="77777777" w:rsidR="004C19AC" w:rsidRPr="00EF771F" w:rsidRDefault="004C19AC" w:rsidP="00CA3BE1">
            <w:pPr>
              <w:jc w:val="both"/>
              <w:rPr>
                <w:rFonts w:ascii="Arial Narrow" w:hAnsi="Arial Narrow" w:cs="Calibri"/>
                <w:color w:val="000000"/>
                <w:sz w:val="16"/>
                <w:szCs w:val="16"/>
              </w:rPr>
            </w:pPr>
            <w:r w:rsidRPr="00EF771F">
              <w:rPr>
                <w:rFonts w:ascii="Arial Narrow" w:hAnsi="Arial Narrow" w:cs="Calibri"/>
                <w:color w:val="000000"/>
                <w:sz w:val="16"/>
                <w:szCs w:val="16"/>
                <w:lang w:val="es-ES_tradnl"/>
              </w:rPr>
              <w:t>Partidas incluidas en la L.F.P.G.</w:t>
            </w:r>
            <w:r>
              <w:rPr>
                <w:rFonts w:ascii="Arial Narrow" w:hAnsi="Arial Narrow" w:cs="Calibri"/>
                <w:color w:val="000000"/>
                <w:sz w:val="16"/>
                <w:szCs w:val="16"/>
                <w:lang w:val="es-ES_tradnl"/>
              </w:rPr>
              <w:t>N.</w:t>
            </w:r>
            <w:r>
              <w:rPr>
                <w:rStyle w:val="Refdenotaalpie"/>
                <w:rFonts w:ascii="Arial Narrow" w:hAnsi="Arial Narrow" w:cs="Calibri"/>
                <w:color w:val="000000"/>
                <w:sz w:val="16"/>
                <w:szCs w:val="16"/>
                <w:lang w:val="es-ES_tradnl"/>
              </w:rPr>
              <w:footnoteReference w:id="4"/>
            </w:r>
            <w:r w:rsidRPr="00EF771F">
              <w:rPr>
                <w:rFonts w:ascii="Arial Narrow" w:hAnsi="Arial Narrow" w:cs="Calibri"/>
                <w:color w:val="000000"/>
                <w:sz w:val="16"/>
                <w:szCs w:val="16"/>
                <w:lang w:val="es-ES_tradnl"/>
              </w:rPr>
              <w:t xml:space="preserve"> (</w:t>
            </w:r>
            <w:r>
              <w:rPr>
                <w:rFonts w:ascii="Arial Narrow" w:hAnsi="Arial Narrow" w:cs="Calibri"/>
                <w:color w:val="000000"/>
                <w:sz w:val="16"/>
                <w:szCs w:val="16"/>
                <w:lang w:val="es-ES_tradnl"/>
              </w:rPr>
              <w:t xml:space="preserve">a través de </w:t>
            </w:r>
            <w:r w:rsidRPr="00EF771F">
              <w:rPr>
                <w:rFonts w:ascii="Arial Narrow" w:hAnsi="Arial Narrow" w:cs="Calibri"/>
                <w:color w:val="000000"/>
                <w:sz w:val="16"/>
                <w:szCs w:val="16"/>
                <w:lang w:val="es-ES_tradnl"/>
              </w:rPr>
              <w:t>enmiendas G.P</w:t>
            </w:r>
            <w:r>
              <w:rPr>
                <w:rStyle w:val="Refdenotaalpie"/>
                <w:rFonts w:ascii="Arial Narrow" w:hAnsi="Arial Narrow" w:cs="Calibri"/>
                <w:color w:val="000000"/>
                <w:sz w:val="16"/>
                <w:szCs w:val="16"/>
                <w:lang w:val="es-ES_tradnl"/>
              </w:rPr>
              <w:footnoteReference w:id="5"/>
            </w:r>
            <w:r w:rsidRPr="00EF771F">
              <w:rPr>
                <w:rFonts w:ascii="Arial Narrow" w:hAnsi="Arial Narrow" w:cs="Calibri"/>
                <w:color w:val="000000"/>
                <w:sz w:val="16"/>
                <w:szCs w:val="16"/>
                <w:lang w:val="es-ES_tradnl"/>
              </w:rPr>
              <w:t>)</w:t>
            </w:r>
          </w:p>
        </w:tc>
        <w:tc>
          <w:tcPr>
            <w:tcW w:w="709" w:type="dxa"/>
            <w:tcBorders>
              <w:top w:val="single" w:sz="2" w:space="0" w:color="auto"/>
              <w:bottom w:val="single" w:sz="4" w:space="0" w:color="auto"/>
            </w:tcBorders>
            <w:shd w:val="clear" w:color="auto" w:fill="auto"/>
            <w:noWrap/>
            <w:vAlign w:val="center"/>
            <w:hideMark/>
          </w:tcPr>
          <w:p w14:paraId="733F77E3" w14:textId="77777777" w:rsidR="004C19AC" w:rsidRPr="00EF771F" w:rsidRDefault="004C19AC" w:rsidP="00CA3BE1">
            <w:pPr>
              <w:jc w:val="right"/>
              <w:rPr>
                <w:rFonts w:ascii="Arial Narrow" w:hAnsi="Arial Narrow" w:cs="Calibri"/>
                <w:color w:val="000000"/>
                <w:sz w:val="16"/>
                <w:szCs w:val="16"/>
              </w:rPr>
            </w:pPr>
            <w:r w:rsidRPr="00EF771F">
              <w:rPr>
                <w:rFonts w:ascii="Arial Narrow" w:hAnsi="Arial Narrow" w:cs="Calibri"/>
                <w:color w:val="000000"/>
                <w:sz w:val="16"/>
                <w:szCs w:val="16"/>
                <w:lang w:val="es-ES_tradnl"/>
              </w:rPr>
              <w:t>55</w:t>
            </w:r>
          </w:p>
        </w:tc>
        <w:tc>
          <w:tcPr>
            <w:tcW w:w="567" w:type="dxa"/>
            <w:tcBorders>
              <w:top w:val="single" w:sz="2" w:space="0" w:color="auto"/>
              <w:bottom w:val="single" w:sz="4" w:space="0" w:color="auto"/>
            </w:tcBorders>
            <w:shd w:val="clear" w:color="auto" w:fill="auto"/>
            <w:noWrap/>
            <w:vAlign w:val="center"/>
            <w:hideMark/>
          </w:tcPr>
          <w:p w14:paraId="64E7419D" w14:textId="77777777" w:rsidR="004C19AC" w:rsidRPr="00EF771F" w:rsidRDefault="004C19AC" w:rsidP="00CA3BE1">
            <w:pPr>
              <w:jc w:val="right"/>
              <w:rPr>
                <w:rFonts w:ascii="Arial Narrow" w:hAnsi="Arial Narrow" w:cs="Calibri"/>
                <w:color w:val="000000"/>
                <w:sz w:val="16"/>
                <w:szCs w:val="16"/>
              </w:rPr>
            </w:pPr>
            <w:r w:rsidRPr="00EF771F">
              <w:rPr>
                <w:rFonts w:ascii="Arial Narrow" w:hAnsi="Arial Narrow" w:cs="Calibri"/>
                <w:color w:val="000000"/>
                <w:sz w:val="16"/>
                <w:szCs w:val="16"/>
                <w:lang w:val="es-ES_tradnl"/>
              </w:rPr>
              <w:t>121</w:t>
            </w:r>
          </w:p>
        </w:tc>
        <w:tc>
          <w:tcPr>
            <w:tcW w:w="567" w:type="dxa"/>
            <w:tcBorders>
              <w:top w:val="single" w:sz="2" w:space="0" w:color="auto"/>
              <w:bottom w:val="single" w:sz="4" w:space="0" w:color="auto"/>
            </w:tcBorders>
            <w:shd w:val="clear" w:color="auto" w:fill="auto"/>
            <w:noWrap/>
            <w:vAlign w:val="center"/>
            <w:hideMark/>
          </w:tcPr>
          <w:p w14:paraId="16CD1182" w14:textId="77777777" w:rsidR="004C19AC" w:rsidRPr="00EF771F" w:rsidRDefault="004C19AC" w:rsidP="00CA3BE1">
            <w:pPr>
              <w:jc w:val="right"/>
              <w:rPr>
                <w:rFonts w:ascii="Arial Narrow" w:hAnsi="Arial Narrow" w:cs="Calibri"/>
                <w:color w:val="000000"/>
                <w:sz w:val="16"/>
                <w:szCs w:val="16"/>
              </w:rPr>
            </w:pPr>
            <w:r w:rsidRPr="00EF771F">
              <w:rPr>
                <w:rFonts w:ascii="Arial Narrow" w:hAnsi="Arial Narrow" w:cs="Calibri"/>
                <w:color w:val="000000"/>
                <w:sz w:val="16"/>
                <w:szCs w:val="16"/>
                <w:lang w:val="es-ES_tradnl"/>
              </w:rPr>
              <w:t>152</w:t>
            </w:r>
          </w:p>
        </w:tc>
        <w:tc>
          <w:tcPr>
            <w:tcW w:w="567" w:type="dxa"/>
            <w:tcBorders>
              <w:top w:val="single" w:sz="2" w:space="0" w:color="auto"/>
              <w:bottom w:val="single" w:sz="4" w:space="0" w:color="auto"/>
            </w:tcBorders>
            <w:shd w:val="clear" w:color="auto" w:fill="auto"/>
            <w:vAlign w:val="center"/>
            <w:hideMark/>
          </w:tcPr>
          <w:p w14:paraId="54256A2A" w14:textId="77777777" w:rsidR="004C19AC" w:rsidRPr="00EF771F" w:rsidRDefault="004C19AC" w:rsidP="00CA3BE1">
            <w:pPr>
              <w:jc w:val="right"/>
              <w:rPr>
                <w:rFonts w:ascii="Arial Narrow" w:hAnsi="Arial Narrow" w:cs="Calibri"/>
                <w:color w:val="000000"/>
                <w:sz w:val="16"/>
                <w:szCs w:val="16"/>
              </w:rPr>
            </w:pPr>
            <w:r w:rsidRPr="00EF771F">
              <w:rPr>
                <w:rFonts w:ascii="Arial Narrow" w:hAnsi="Arial Narrow" w:cs="Calibri"/>
                <w:color w:val="000000"/>
                <w:sz w:val="16"/>
                <w:szCs w:val="16"/>
                <w:lang w:val="es-ES_tradnl"/>
              </w:rPr>
              <w:t>241</w:t>
            </w:r>
          </w:p>
        </w:tc>
        <w:tc>
          <w:tcPr>
            <w:tcW w:w="567" w:type="dxa"/>
            <w:tcBorders>
              <w:top w:val="single" w:sz="2" w:space="0" w:color="auto"/>
              <w:bottom w:val="single" w:sz="4" w:space="0" w:color="auto"/>
            </w:tcBorders>
            <w:shd w:val="clear" w:color="auto" w:fill="auto"/>
            <w:noWrap/>
            <w:vAlign w:val="center"/>
            <w:hideMark/>
          </w:tcPr>
          <w:p w14:paraId="3A66A11A" w14:textId="77777777" w:rsidR="004C19AC" w:rsidRPr="00EF771F" w:rsidRDefault="004C19AC" w:rsidP="00CA3BE1">
            <w:pPr>
              <w:jc w:val="right"/>
              <w:rPr>
                <w:rFonts w:ascii="Arial Narrow" w:hAnsi="Arial Narrow" w:cs="Calibri"/>
                <w:color w:val="000000"/>
                <w:sz w:val="16"/>
                <w:szCs w:val="16"/>
              </w:rPr>
            </w:pPr>
            <w:r w:rsidRPr="00EF771F">
              <w:rPr>
                <w:rFonts w:ascii="Arial Narrow" w:hAnsi="Arial Narrow" w:cs="Calibri"/>
                <w:color w:val="000000"/>
                <w:sz w:val="16"/>
                <w:szCs w:val="16"/>
                <w:lang w:val="es-ES_tradnl"/>
              </w:rPr>
              <w:t>262</w:t>
            </w:r>
          </w:p>
        </w:tc>
        <w:tc>
          <w:tcPr>
            <w:tcW w:w="567" w:type="dxa"/>
            <w:tcBorders>
              <w:top w:val="single" w:sz="2" w:space="0" w:color="auto"/>
              <w:bottom w:val="single" w:sz="4" w:space="0" w:color="auto"/>
            </w:tcBorders>
            <w:shd w:val="clear" w:color="auto" w:fill="auto"/>
            <w:noWrap/>
            <w:vAlign w:val="center"/>
            <w:hideMark/>
          </w:tcPr>
          <w:p w14:paraId="0E3F461A" w14:textId="77777777" w:rsidR="004C19AC" w:rsidRPr="00EF771F" w:rsidRDefault="004C19AC" w:rsidP="00CA3BE1">
            <w:pPr>
              <w:jc w:val="right"/>
              <w:rPr>
                <w:rFonts w:ascii="Arial Narrow" w:hAnsi="Arial Narrow" w:cs="Calibri"/>
                <w:color w:val="000000"/>
                <w:sz w:val="16"/>
                <w:szCs w:val="16"/>
              </w:rPr>
            </w:pPr>
            <w:r w:rsidRPr="00EF771F">
              <w:rPr>
                <w:rFonts w:ascii="Arial Narrow" w:hAnsi="Arial Narrow" w:cs="Calibri"/>
                <w:color w:val="000000"/>
                <w:sz w:val="16"/>
                <w:szCs w:val="16"/>
              </w:rPr>
              <w:t>283</w:t>
            </w:r>
          </w:p>
        </w:tc>
        <w:tc>
          <w:tcPr>
            <w:tcW w:w="850" w:type="dxa"/>
            <w:tcBorders>
              <w:top w:val="single" w:sz="2" w:space="0" w:color="auto"/>
              <w:bottom w:val="single" w:sz="4" w:space="0" w:color="auto"/>
            </w:tcBorders>
            <w:shd w:val="clear" w:color="auto" w:fill="auto"/>
            <w:noWrap/>
            <w:vAlign w:val="center"/>
            <w:hideMark/>
          </w:tcPr>
          <w:p w14:paraId="2C711D40" w14:textId="77777777" w:rsidR="004C19AC" w:rsidRPr="00EF771F" w:rsidRDefault="004C19AC" w:rsidP="005E12CC">
            <w:pPr>
              <w:jc w:val="right"/>
              <w:rPr>
                <w:rFonts w:ascii="Arial Narrow" w:hAnsi="Arial Narrow" w:cs="Calibri"/>
                <w:color w:val="000000"/>
                <w:sz w:val="16"/>
                <w:szCs w:val="16"/>
              </w:rPr>
            </w:pPr>
            <w:r w:rsidRPr="00EF771F">
              <w:rPr>
                <w:rFonts w:ascii="Arial Narrow" w:hAnsi="Arial Narrow" w:cs="Calibri"/>
                <w:color w:val="000000"/>
                <w:sz w:val="16"/>
                <w:szCs w:val="16"/>
              </w:rPr>
              <w:t>207</w:t>
            </w:r>
          </w:p>
        </w:tc>
        <w:tc>
          <w:tcPr>
            <w:tcW w:w="567" w:type="dxa"/>
            <w:tcBorders>
              <w:top w:val="single" w:sz="2" w:space="0" w:color="auto"/>
              <w:bottom w:val="single" w:sz="4" w:space="0" w:color="auto"/>
            </w:tcBorders>
            <w:shd w:val="clear" w:color="auto" w:fill="auto"/>
            <w:noWrap/>
            <w:vAlign w:val="center"/>
            <w:hideMark/>
          </w:tcPr>
          <w:p w14:paraId="0A7BF6DF" w14:textId="77777777" w:rsidR="004C19AC" w:rsidRPr="00EF771F" w:rsidRDefault="004C19AC" w:rsidP="00E54163">
            <w:pPr>
              <w:jc w:val="right"/>
              <w:rPr>
                <w:rFonts w:ascii="Arial Narrow" w:hAnsi="Arial Narrow" w:cs="Calibri"/>
                <w:color w:val="000000"/>
                <w:sz w:val="16"/>
                <w:szCs w:val="16"/>
              </w:rPr>
            </w:pPr>
            <w:r w:rsidRPr="00EF771F">
              <w:rPr>
                <w:rFonts w:ascii="Arial Narrow" w:hAnsi="Arial Narrow" w:cs="Calibri"/>
                <w:color w:val="000000"/>
                <w:sz w:val="16"/>
                <w:szCs w:val="16"/>
              </w:rPr>
              <w:t>376</w:t>
            </w:r>
          </w:p>
        </w:tc>
        <w:tc>
          <w:tcPr>
            <w:tcW w:w="992" w:type="dxa"/>
            <w:tcBorders>
              <w:top w:val="single" w:sz="2" w:space="0" w:color="auto"/>
              <w:bottom w:val="single" w:sz="4" w:space="0" w:color="auto"/>
            </w:tcBorders>
            <w:shd w:val="clear" w:color="auto" w:fill="auto"/>
            <w:noWrap/>
            <w:vAlign w:val="center"/>
            <w:hideMark/>
          </w:tcPr>
          <w:p w14:paraId="50BA7B96" w14:textId="77777777" w:rsidR="004C19AC" w:rsidRPr="00EF771F" w:rsidRDefault="004C19AC" w:rsidP="005E12CC">
            <w:pPr>
              <w:jc w:val="right"/>
              <w:rPr>
                <w:rFonts w:ascii="Arial Narrow" w:hAnsi="Arial Narrow" w:cs="Calibri"/>
                <w:color w:val="000000"/>
                <w:sz w:val="16"/>
                <w:szCs w:val="16"/>
              </w:rPr>
            </w:pPr>
            <w:r w:rsidRPr="00EF771F">
              <w:rPr>
                <w:rFonts w:ascii="Arial Narrow" w:hAnsi="Arial Narrow" w:cs="Calibri"/>
                <w:color w:val="000000"/>
                <w:sz w:val="16"/>
                <w:szCs w:val="16"/>
                <w:lang w:val="es-ES_tradnl"/>
              </w:rPr>
              <w:t>228</w:t>
            </w:r>
          </w:p>
        </w:tc>
        <w:tc>
          <w:tcPr>
            <w:tcW w:w="568" w:type="dxa"/>
            <w:tcBorders>
              <w:top w:val="single" w:sz="2" w:space="0" w:color="auto"/>
              <w:bottom w:val="single" w:sz="4" w:space="0" w:color="auto"/>
            </w:tcBorders>
            <w:shd w:val="clear" w:color="auto" w:fill="auto"/>
            <w:noWrap/>
            <w:vAlign w:val="center"/>
            <w:hideMark/>
          </w:tcPr>
          <w:p w14:paraId="1D241AA3" w14:textId="77777777" w:rsidR="004C19AC" w:rsidRPr="00EF771F" w:rsidRDefault="004C19AC" w:rsidP="00E54163">
            <w:pPr>
              <w:jc w:val="right"/>
              <w:rPr>
                <w:rFonts w:ascii="Arial Narrow" w:hAnsi="Arial Narrow" w:cs="Calibri"/>
                <w:color w:val="000000"/>
                <w:sz w:val="16"/>
                <w:szCs w:val="16"/>
              </w:rPr>
            </w:pPr>
            <w:r w:rsidRPr="00EF771F">
              <w:rPr>
                <w:rFonts w:ascii="Arial Narrow" w:hAnsi="Arial Narrow" w:cs="Calibri"/>
                <w:color w:val="000000"/>
                <w:sz w:val="16"/>
                <w:szCs w:val="16"/>
              </w:rPr>
              <w:t>415</w:t>
            </w:r>
          </w:p>
        </w:tc>
      </w:tr>
      <w:tr w:rsidR="004C19AC" w:rsidRPr="00CB602B" w14:paraId="728C7526" w14:textId="77777777" w:rsidTr="00E50CDE">
        <w:trPr>
          <w:trHeight w:val="255"/>
          <w:jc w:val="center"/>
        </w:trPr>
        <w:tc>
          <w:tcPr>
            <w:tcW w:w="2268" w:type="dxa"/>
            <w:tcBorders>
              <w:top w:val="single" w:sz="4" w:space="0" w:color="auto"/>
              <w:bottom w:val="single" w:sz="4" w:space="0" w:color="auto"/>
            </w:tcBorders>
            <w:shd w:val="clear" w:color="000000" w:fill="9BC2E6"/>
            <w:noWrap/>
            <w:vAlign w:val="center"/>
            <w:hideMark/>
          </w:tcPr>
          <w:p w14:paraId="6A868F9B" w14:textId="77777777" w:rsidR="004C19AC" w:rsidRPr="00CB602B" w:rsidRDefault="004C19AC" w:rsidP="00CA3BE1">
            <w:pPr>
              <w:jc w:val="both"/>
              <w:rPr>
                <w:rFonts w:ascii="Arial" w:hAnsi="Arial" w:cs="Arial"/>
                <w:color w:val="000000"/>
                <w:sz w:val="16"/>
                <w:szCs w:val="16"/>
              </w:rPr>
            </w:pPr>
            <w:r w:rsidRPr="00CB602B">
              <w:rPr>
                <w:rFonts w:ascii="Arial" w:hAnsi="Arial" w:cs="Arial"/>
                <w:color w:val="000000"/>
                <w:sz w:val="16"/>
                <w:szCs w:val="16"/>
                <w:lang w:val="es-ES_tradnl"/>
              </w:rPr>
              <w:t xml:space="preserve">Total </w:t>
            </w:r>
          </w:p>
        </w:tc>
        <w:tc>
          <w:tcPr>
            <w:tcW w:w="709" w:type="dxa"/>
            <w:tcBorders>
              <w:top w:val="single" w:sz="4" w:space="0" w:color="auto"/>
              <w:bottom w:val="single" w:sz="4" w:space="0" w:color="auto"/>
            </w:tcBorders>
            <w:shd w:val="clear" w:color="000000" w:fill="9BC2E6"/>
            <w:noWrap/>
            <w:vAlign w:val="center"/>
            <w:hideMark/>
          </w:tcPr>
          <w:p w14:paraId="47402352" w14:textId="77777777" w:rsidR="004C19AC" w:rsidRPr="00CB602B" w:rsidRDefault="004C19AC" w:rsidP="00CA3BE1">
            <w:pPr>
              <w:jc w:val="right"/>
              <w:rPr>
                <w:rFonts w:ascii="Arial" w:hAnsi="Arial" w:cs="Arial"/>
                <w:color w:val="000000"/>
                <w:sz w:val="16"/>
                <w:szCs w:val="16"/>
              </w:rPr>
            </w:pPr>
            <w:r w:rsidRPr="00CB602B">
              <w:rPr>
                <w:rFonts w:ascii="Arial" w:hAnsi="Arial" w:cs="Arial"/>
                <w:color w:val="000000"/>
                <w:sz w:val="16"/>
                <w:szCs w:val="16"/>
                <w:lang w:val="es-ES_tradnl"/>
              </w:rPr>
              <w:t>158</w:t>
            </w:r>
          </w:p>
        </w:tc>
        <w:tc>
          <w:tcPr>
            <w:tcW w:w="567" w:type="dxa"/>
            <w:tcBorders>
              <w:top w:val="single" w:sz="4" w:space="0" w:color="auto"/>
              <w:bottom w:val="single" w:sz="4" w:space="0" w:color="auto"/>
            </w:tcBorders>
            <w:shd w:val="clear" w:color="000000" w:fill="9BC2E6"/>
            <w:noWrap/>
            <w:vAlign w:val="center"/>
            <w:hideMark/>
          </w:tcPr>
          <w:p w14:paraId="0297DDDB" w14:textId="77777777" w:rsidR="004C19AC" w:rsidRPr="00CB602B" w:rsidRDefault="004C19AC" w:rsidP="00CA3BE1">
            <w:pPr>
              <w:jc w:val="right"/>
              <w:rPr>
                <w:rFonts w:ascii="Arial" w:hAnsi="Arial" w:cs="Arial"/>
                <w:color w:val="000000"/>
                <w:sz w:val="16"/>
                <w:szCs w:val="16"/>
              </w:rPr>
            </w:pPr>
            <w:r w:rsidRPr="00CB602B">
              <w:rPr>
                <w:rFonts w:ascii="Arial" w:hAnsi="Arial" w:cs="Arial"/>
                <w:color w:val="000000"/>
                <w:sz w:val="16"/>
                <w:szCs w:val="16"/>
                <w:lang w:val="es-ES_tradnl"/>
              </w:rPr>
              <w:t>238</w:t>
            </w:r>
          </w:p>
        </w:tc>
        <w:tc>
          <w:tcPr>
            <w:tcW w:w="567" w:type="dxa"/>
            <w:tcBorders>
              <w:top w:val="single" w:sz="4" w:space="0" w:color="auto"/>
              <w:bottom w:val="single" w:sz="4" w:space="0" w:color="auto"/>
            </w:tcBorders>
            <w:shd w:val="clear" w:color="000000" w:fill="9BC2E6"/>
            <w:noWrap/>
            <w:vAlign w:val="center"/>
            <w:hideMark/>
          </w:tcPr>
          <w:p w14:paraId="1726BE9A" w14:textId="77777777" w:rsidR="004C19AC" w:rsidRPr="00CB602B" w:rsidRDefault="004C19AC" w:rsidP="00CA3BE1">
            <w:pPr>
              <w:jc w:val="right"/>
              <w:rPr>
                <w:rFonts w:ascii="Arial" w:hAnsi="Arial" w:cs="Arial"/>
                <w:color w:val="000000"/>
                <w:sz w:val="16"/>
                <w:szCs w:val="16"/>
              </w:rPr>
            </w:pPr>
            <w:r w:rsidRPr="00CB602B">
              <w:rPr>
                <w:rFonts w:ascii="Arial" w:hAnsi="Arial" w:cs="Arial"/>
                <w:color w:val="000000"/>
                <w:sz w:val="16"/>
                <w:szCs w:val="16"/>
                <w:lang w:val="es-ES_tradnl"/>
              </w:rPr>
              <w:t>310</w:t>
            </w:r>
          </w:p>
        </w:tc>
        <w:tc>
          <w:tcPr>
            <w:tcW w:w="567" w:type="dxa"/>
            <w:tcBorders>
              <w:top w:val="single" w:sz="4" w:space="0" w:color="auto"/>
              <w:bottom w:val="single" w:sz="4" w:space="0" w:color="auto"/>
            </w:tcBorders>
            <w:shd w:val="clear" w:color="000000" w:fill="9BC2E6"/>
            <w:vAlign w:val="center"/>
            <w:hideMark/>
          </w:tcPr>
          <w:p w14:paraId="446ADB96" w14:textId="77777777" w:rsidR="004C19AC" w:rsidRPr="00CB602B" w:rsidRDefault="004C19AC" w:rsidP="00CA3BE1">
            <w:pPr>
              <w:jc w:val="right"/>
              <w:rPr>
                <w:rFonts w:ascii="Arial" w:hAnsi="Arial" w:cs="Arial"/>
                <w:color w:val="000000"/>
                <w:sz w:val="16"/>
                <w:szCs w:val="16"/>
              </w:rPr>
            </w:pPr>
            <w:r w:rsidRPr="00CB602B">
              <w:rPr>
                <w:rFonts w:ascii="Arial" w:hAnsi="Arial" w:cs="Arial"/>
                <w:color w:val="000000"/>
                <w:sz w:val="16"/>
                <w:szCs w:val="16"/>
                <w:lang w:val="es-ES_tradnl"/>
              </w:rPr>
              <w:t>416</w:t>
            </w:r>
          </w:p>
        </w:tc>
        <w:tc>
          <w:tcPr>
            <w:tcW w:w="567" w:type="dxa"/>
            <w:tcBorders>
              <w:top w:val="single" w:sz="4" w:space="0" w:color="auto"/>
              <w:bottom w:val="single" w:sz="4" w:space="0" w:color="auto"/>
            </w:tcBorders>
            <w:shd w:val="clear" w:color="000000" w:fill="9BC2E6"/>
            <w:noWrap/>
            <w:vAlign w:val="center"/>
            <w:hideMark/>
          </w:tcPr>
          <w:p w14:paraId="5276D877" w14:textId="77777777" w:rsidR="004C19AC" w:rsidRPr="00CB602B" w:rsidRDefault="004C19AC" w:rsidP="00CA3BE1">
            <w:pPr>
              <w:jc w:val="right"/>
              <w:rPr>
                <w:rFonts w:ascii="Arial" w:hAnsi="Arial" w:cs="Arial"/>
                <w:color w:val="000000"/>
                <w:sz w:val="16"/>
                <w:szCs w:val="16"/>
              </w:rPr>
            </w:pPr>
            <w:r w:rsidRPr="00CB602B">
              <w:rPr>
                <w:rFonts w:ascii="Arial" w:hAnsi="Arial" w:cs="Arial"/>
                <w:color w:val="000000"/>
                <w:sz w:val="16"/>
                <w:szCs w:val="16"/>
                <w:lang w:val="es-ES_tradnl"/>
              </w:rPr>
              <w:t>439</w:t>
            </w:r>
          </w:p>
        </w:tc>
        <w:tc>
          <w:tcPr>
            <w:tcW w:w="567" w:type="dxa"/>
            <w:tcBorders>
              <w:top w:val="single" w:sz="4" w:space="0" w:color="auto"/>
              <w:bottom w:val="single" w:sz="4" w:space="0" w:color="auto"/>
            </w:tcBorders>
            <w:shd w:val="clear" w:color="000000" w:fill="9BC2E6"/>
            <w:noWrap/>
            <w:vAlign w:val="center"/>
            <w:hideMark/>
          </w:tcPr>
          <w:p w14:paraId="345B384E" w14:textId="77777777" w:rsidR="004C19AC" w:rsidRPr="00CB602B" w:rsidRDefault="004C19AC" w:rsidP="00CA3BE1">
            <w:pPr>
              <w:jc w:val="right"/>
              <w:rPr>
                <w:rFonts w:ascii="Arial" w:hAnsi="Arial" w:cs="Arial"/>
                <w:color w:val="000000"/>
                <w:sz w:val="16"/>
                <w:szCs w:val="16"/>
              </w:rPr>
            </w:pPr>
            <w:r w:rsidRPr="00CB602B">
              <w:rPr>
                <w:rFonts w:ascii="Arial" w:hAnsi="Arial" w:cs="Arial"/>
                <w:color w:val="000000"/>
                <w:sz w:val="16"/>
                <w:szCs w:val="16"/>
              </w:rPr>
              <w:t>463</w:t>
            </w:r>
          </w:p>
        </w:tc>
        <w:tc>
          <w:tcPr>
            <w:tcW w:w="850" w:type="dxa"/>
            <w:tcBorders>
              <w:top w:val="single" w:sz="4" w:space="0" w:color="auto"/>
              <w:bottom w:val="single" w:sz="4" w:space="0" w:color="auto"/>
            </w:tcBorders>
            <w:shd w:val="clear" w:color="000000" w:fill="9BC2E6"/>
            <w:noWrap/>
            <w:vAlign w:val="center"/>
            <w:hideMark/>
          </w:tcPr>
          <w:p w14:paraId="2A8BD178" w14:textId="77777777" w:rsidR="004C19AC" w:rsidRPr="00CB602B" w:rsidRDefault="004C19AC" w:rsidP="005E12CC">
            <w:pPr>
              <w:jc w:val="right"/>
              <w:rPr>
                <w:rFonts w:ascii="Arial" w:hAnsi="Arial" w:cs="Arial"/>
                <w:color w:val="000000"/>
                <w:sz w:val="16"/>
                <w:szCs w:val="16"/>
              </w:rPr>
            </w:pPr>
            <w:r w:rsidRPr="00CB602B">
              <w:rPr>
                <w:rFonts w:ascii="Arial" w:hAnsi="Arial" w:cs="Arial"/>
                <w:color w:val="000000"/>
                <w:sz w:val="16"/>
                <w:szCs w:val="16"/>
              </w:rPr>
              <w:t>281</w:t>
            </w:r>
          </w:p>
        </w:tc>
        <w:tc>
          <w:tcPr>
            <w:tcW w:w="567" w:type="dxa"/>
            <w:tcBorders>
              <w:top w:val="single" w:sz="4" w:space="0" w:color="auto"/>
              <w:bottom w:val="single" w:sz="4" w:space="0" w:color="auto"/>
            </w:tcBorders>
            <w:shd w:val="clear" w:color="000000" w:fill="9BC2E6"/>
            <w:noWrap/>
            <w:vAlign w:val="center"/>
            <w:hideMark/>
          </w:tcPr>
          <w:p w14:paraId="50EFA6DC" w14:textId="77777777" w:rsidR="004C19AC" w:rsidRPr="00CB602B" w:rsidRDefault="004C19AC" w:rsidP="00E54163">
            <w:pPr>
              <w:jc w:val="right"/>
              <w:rPr>
                <w:rFonts w:ascii="Arial" w:hAnsi="Arial" w:cs="Arial"/>
                <w:color w:val="000000"/>
                <w:sz w:val="16"/>
                <w:szCs w:val="16"/>
              </w:rPr>
            </w:pPr>
            <w:r w:rsidRPr="00CB602B">
              <w:rPr>
                <w:rFonts w:ascii="Arial" w:hAnsi="Arial" w:cs="Arial"/>
                <w:color w:val="000000"/>
                <w:sz w:val="16"/>
                <w:szCs w:val="16"/>
              </w:rPr>
              <w:t>178</w:t>
            </w:r>
          </w:p>
        </w:tc>
        <w:tc>
          <w:tcPr>
            <w:tcW w:w="992" w:type="dxa"/>
            <w:tcBorders>
              <w:top w:val="single" w:sz="4" w:space="0" w:color="auto"/>
              <w:bottom w:val="single" w:sz="4" w:space="0" w:color="auto"/>
            </w:tcBorders>
            <w:shd w:val="clear" w:color="000000" w:fill="9BC2E6"/>
            <w:noWrap/>
            <w:vAlign w:val="center"/>
            <w:hideMark/>
          </w:tcPr>
          <w:p w14:paraId="14E11D97" w14:textId="77777777" w:rsidR="004C19AC" w:rsidRPr="00CB602B" w:rsidRDefault="004C19AC" w:rsidP="005E12CC">
            <w:pPr>
              <w:jc w:val="right"/>
              <w:rPr>
                <w:rFonts w:ascii="Arial" w:hAnsi="Arial" w:cs="Arial"/>
                <w:color w:val="000000"/>
                <w:sz w:val="16"/>
                <w:szCs w:val="16"/>
              </w:rPr>
            </w:pPr>
            <w:r w:rsidRPr="00CB602B">
              <w:rPr>
                <w:rFonts w:ascii="Arial" w:hAnsi="Arial" w:cs="Arial"/>
                <w:color w:val="000000"/>
                <w:sz w:val="16"/>
                <w:szCs w:val="16"/>
                <w:lang w:val="es-ES_tradnl"/>
              </w:rPr>
              <w:t>305</w:t>
            </w:r>
          </w:p>
        </w:tc>
        <w:tc>
          <w:tcPr>
            <w:tcW w:w="568" w:type="dxa"/>
            <w:tcBorders>
              <w:top w:val="single" w:sz="4" w:space="0" w:color="auto"/>
              <w:bottom w:val="single" w:sz="4" w:space="0" w:color="auto"/>
            </w:tcBorders>
            <w:shd w:val="clear" w:color="000000" w:fill="9BC2E6"/>
            <w:noWrap/>
            <w:vAlign w:val="center"/>
            <w:hideMark/>
          </w:tcPr>
          <w:p w14:paraId="1B38F144" w14:textId="77777777" w:rsidR="004C19AC" w:rsidRPr="00CB602B" w:rsidRDefault="004C19AC" w:rsidP="00E54163">
            <w:pPr>
              <w:jc w:val="right"/>
              <w:rPr>
                <w:rFonts w:ascii="Arial" w:hAnsi="Arial" w:cs="Arial"/>
                <w:color w:val="000000"/>
                <w:sz w:val="16"/>
                <w:szCs w:val="16"/>
              </w:rPr>
            </w:pPr>
            <w:r w:rsidRPr="00CB602B">
              <w:rPr>
                <w:rFonts w:ascii="Arial" w:hAnsi="Arial" w:cs="Arial"/>
                <w:color w:val="000000"/>
                <w:sz w:val="16"/>
                <w:szCs w:val="16"/>
              </w:rPr>
              <w:t>193</w:t>
            </w:r>
          </w:p>
        </w:tc>
      </w:tr>
    </w:tbl>
    <w:p w14:paraId="11771C88" w14:textId="77777777" w:rsidR="004C19AC" w:rsidRDefault="004C19AC" w:rsidP="00714644">
      <w:pPr>
        <w:tabs>
          <w:tab w:val="left" w:pos="142"/>
          <w:tab w:val="center" w:pos="2835"/>
          <w:tab w:val="center" w:pos="3969"/>
          <w:tab w:val="center" w:pos="5103"/>
          <w:tab w:val="center" w:pos="6237"/>
          <w:tab w:val="center" w:pos="7371"/>
        </w:tabs>
        <w:ind w:firstLine="284"/>
        <w:jc w:val="both"/>
        <w:rPr>
          <w:rFonts w:cstheme="minorHAnsi"/>
          <w:spacing w:val="6"/>
          <w:lang w:val="es-ES_tradnl"/>
        </w:rPr>
      </w:pPr>
    </w:p>
    <w:p w14:paraId="218E4C46" w14:textId="77777777" w:rsidR="004C19AC" w:rsidRDefault="004C19AC" w:rsidP="00714644">
      <w:pPr>
        <w:tabs>
          <w:tab w:val="center" w:pos="2835"/>
          <w:tab w:val="center" w:pos="3969"/>
          <w:tab w:val="center" w:pos="5103"/>
          <w:tab w:val="center" w:pos="6237"/>
          <w:tab w:val="center" w:pos="7371"/>
        </w:tabs>
        <w:spacing w:after="120"/>
        <w:ind w:firstLine="142"/>
        <w:jc w:val="both"/>
        <w:rPr>
          <w:rFonts w:cstheme="minorHAnsi"/>
          <w:spacing w:val="6"/>
          <w:lang w:val="es-ES_tradnl"/>
        </w:rPr>
      </w:pPr>
      <w:r>
        <w:rPr>
          <w:noProof/>
        </w:rPr>
        <w:drawing>
          <wp:inline distT="0" distB="0" distL="0" distR="0" wp14:anchorId="1D9B7488" wp14:editId="6FD247B7">
            <wp:extent cx="5561140" cy="2122226"/>
            <wp:effectExtent l="0" t="0" r="1905" b="1143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10DC1D" w14:textId="77777777" w:rsidR="00714644" w:rsidRDefault="00714644" w:rsidP="00676DCB">
      <w:pPr>
        <w:pStyle w:val="texto"/>
        <w:spacing w:after="120"/>
        <w:jc w:val="both"/>
      </w:pPr>
    </w:p>
    <w:p w14:paraId="00D937B4" w14:textId="77777777" w:rsidR="004C19AC" w:rsidRPr="00BF70F5" w:rsidRDefault="004C19AC" w:rsidP="00676DCB">
      <w:pPr>
        <w:pStyle w:val="texto"/>
        <w:spacing w:after="120"/>
        <w:jc w:val="both"/>
      </w:pPr>
      <w:r w:rsidRPr="00BF70F5">
        <w:lastRenderedPageBreak/>
        <w:t xml:space="preserve">En nuestro informe del ejercicio anterior, consideramos que el crecimiento de este tipo </w:t>
      </w:r>
      <w:r w:rsidRPr="00676DCB">
        <w:rPr>
          <w:rFonts w:cs="Arial"/>
        </w:rPr>
        <w:t>de</w:t>
      </w:r>
      <w:r w:rsidRPr="00BF70F5">
        <w:t xml:space="preserve"> partidas no era razonable, dado que el aumento en el periodo 2019-2022, reflejaba un incremento del 168 por ciento al haberse aumentado de 158 partidas nominativas en 2019, a 416 en 2022. </w:t>
      </w:r>
    </w:p>
    <w:p w14:paraId="283AAEE9" w14:textId="77777777" w:rsidR="004C19AC" w:rsidRPr="003033F5" w:rsidRDefault="004C19AC" w:rsidP="00676DCB">
      <w:pPr>
        <w:pStyle w:val="texto"/>
        <w:spacing w:after="120"/>
        <w:jc w:val="both"/>
        <w:rPr>
          <w:iCs/>
          <w:spacing w:val="10"/>
          <w:kern w:val="28"/>
          <w:szCs w:val="26"/>
        </w:rPr>
      </w:pPr>
      <w:r w:rsidRPr="0040023C">
        <w:rPr>
          <w:iCs/>
          <w:spacing w:val="10"/>
          <w:kern w:val="28"/>
          <w:szCs w:val="26"/>
        </w:rPr>
        <w:t xml:space="preserve">Esta tendencia no se ha corregido, sino que se ha incrementado al pasar de un incremento de un 178 por ciento en el periodo 2019-2023, hasta un 193 por ciento, si tenemos en cuenta los presupuestos de 2024. </w:t>
      </w:r>
      <w:r w:rsidRPr="003033F5">
        <w:rPr>
          <w:iCs/>
          <w:spacing w:val="10"/>
          <w:kern w:val="28"/>
          <w:szCs w:val="26"/>
        </w:rPr>
        <w:t>Al igual que observamos en el ejercicio anterior, el mayor aumento se da en el proceso de introducción de enmiendas al proyecto de ley foral de presupuestos por los distintos grupos parlamentarios.</w:t>
      </w:r>
    </w:p>
    <w:p w14:paraId="6E54F52A" w14:textId="77777777" w:rsidR="004C19AC" w:rsidRPr="00714644" w:rsidRDefault="00060DBC" w:rsidP="00676DCB">
      <w:pPr>
        <w:pStyle w:val="texto"/>
        <w:spacing w:after="120"/>
        <w:jc w:val="both"/>
        <w:rPr>
          <w:b/>
          <w:iCs/>
          <w:spacing w:val="10"/>
          <w:kern w:val="28"/>
          <w:szCs w:val="26"/>
        </w:rPr>
      </w:pPr>
      <w:r>
        <w:rPr>
          <w:iCs/>
          <w:spacing w:val="10"/>
          <w:kern w:val="28"/>
          <w:szCs w:val="26"/>
        </w:rPr>
        <w:t>D</w:t>
      </w:r>
      <w:r w:rsidR="004C19AC">
        <w:rPr>
          <w:iCs/>
          <w:spacing w:val="10"/>
          <w:kern w:val="28"/>
          <w:szCs w:val="26"/>
        </w:rPr>
        <w:t xml:space="preserve">estacamos </w:t>
      </w:r>
      <w:r w:rsidR="004C19AC" w:rsidRPr="00676DCB">
        <w:rPr>
          <w:rFonts w:cs="Arial"/>
        </w:rPr>
        <w:t>las</w:t>
      </w:r>
      <w:r w:rsidR="004C19AC">
        <w:rPr>
          <w:iCs/>
          <w:spacing w:val="10"/>
          <w:kern w:val="28"/>
          <w:szCs w:val="26"/>
        </w:rPr>
        <w:t xml:space="preserve"> siguientes </w:t>
      </w:r>
      <w:r w:rsidR="004C19AC" w:rsidRPr="00714644">
        <w:rPr>
          <w:b/>
          <w:iCs/>
          <w:spacing w:val="10"/>
          <w:kern w:val="28"/>
          <w:szCs w:val="26"/>
        </w:rPr>
        <w:t xml:space="preserve">conclusiones: </w:t>
      </w:r>
    </w:p>
    <w:p w14:paraId="4C4E2D67" w14:textId="77777777" w:rsidR="004C19AC" w:rsidRPr="003033F5" w:rsidRDefault="004C19AC" w:rsidP="00AA5D4F">
      <w:pPr>
        <w:pStyle w:val="texto"/>
        <w:numPr>
          <w:ilvl w:val="0"/>
          <w:numId w:val="37"/>
        </w:numPr>
        <w:tabs>
          <w:tab w:val="left" w:pos="480"/>
          <w:tab w:val="num" w:pos="600"/>
        </w:tabs>
        <w:spacing w:after="120"/>
        <w:ind w:left="0" w:firstLine="284"/>
        <w:jc w:val="both"/>
      </w:pPr>
      <w:r w:rsidRPr="003033F5">
        <w:t xml:space="preserve">Las circunstancias y </w:t>
      </w:r>
      <w:proofErr w:type="gramStart"/>
      <w:r w:rsidRPr="003033F5">
        <w:t>consecuencias,</w:t>
      </w:r>
      <w:proofErr w:type="gramEnd"/>
      <w:r w:rsidRPr="003033F5">
        <w:t xml:space="preserve"> no han variado de forma significativa, respecto a</w:t>
      </w:r>
      <w:r w:rsidR="00BA61EA">
        <w:t>l informe anteriormente citado</w:t>
      </w:r>
      <w:r w:rsidRPr="003033F5">
        <w:t xml:space="preserve">, por lo que nos reiteramos en ellas. </w:t>
      </w:r>
    </w:p>
    <w:p w14:paraId="6E30A241" w14:textId="77777777" w:rsidR="004C19AC" w:rsidRPr="003033F5" w:rsidRDefault="004C19AC" w:rsidP="00AA5D4F">
      <w:pPr>
        <w:pStyle w:val="texto"/>
        <w:numPr>
          <w:ilvl w:val="0"/>
          <w:numId w:val="37"/>
        </w:numPr>
        <w:tabs>
          <w:tab w:val="left" w:pos="480"/>
          <w:tab w:val="num" w:pos="600"/>
        </w:tabs>
        <w:spacing w:after="120"/>
        <w:ind w:left="0" w:firstLine="284"/>
        <w:jc w:val="both"/>
      </w:pPr>
      <w:r>
        <w:t xml:space="preserve">En </w:t>
      </w:r>
      <w:r w:rsidRPr="003033F5">
        <w:t xml:space="preserve">el proceso de gestión de enmiendas parlamentarias, todas las peticiones remitidas desde el Parlamento de </w:t>
      </w:r>
      <w:proofErr w:type="gramStart"/>
      <w:r w:rsidRPr="003033F5">
        <w:t>Navarra,</w:t>
      </w:r>
      <w:proofErr w:type="gramEnd"/>
      <w:r w:rsidRPr="003033F5">
        <w:t xml:space="preserve"> se reciben en la Dirección General de Presupuestos, y posteriormente desde esta dirección, se remiten a cada departamento, para que den su conformidad o disconformidad a las citadas peticiones. En este proceso, no consta un elemento fundamental a nuestro juicio y es la necesaria información que debería suministrar cada departamento, sobre la existencia o no de convocatorias de ayudas recurrentes o previstas en las que pueda existir coincidencia con el objeto de las ayudas. </w:t>
      </w:r>
    </w:p>
    <w:p w14:paraId="5ACD8FA6" w14:textId="77777777" w:rsidR="004C19AC" w:rsidRPr="00B02371" w:rsidRDefault="004C19AC" w:rsidP="00AA5D4F">
      <w:pPr>
        <w:pStyle w:val="texto"/>
        <w:numPr>
          <w:ilvl w:val="0"/>
          <w:numId w:val="37"/>
        </w:numPr>
        <w:tabs>
          <w:tab w:val="left" w:pos="480"/>
          <w:tab w:val="num" w:pos="600"/>
        </w:tabs>
        <w:spacing w:after="120"/>
        <w:ind w:left="0" w:firstLine="284"/>
        <w:jc w:val="both"/>
        <w:rPr>
          <w:szCs w:val="26"/>
        </w:rPr>
      </w:pPr>
      <w:r w:rsidRPr="003033F5">
        <w:t xml:space="preserve">Con independencia del origen de las partidas nominativas, es decir que se incluyan por el </w:t>
      </w:r>
      <w:proofErr w:type="spellStart"/>
      <w:r w:rsidRPr="003033F5">
        <w:t>Go</w:t>
      </w:r>
      <w:proofErr w:type="spellEnd"/>
      <w:r w:rsidR="00AA5D4F">
        <w:tab/>
      </w:r>
      <w:proofErr w:type="spellStart"/>
      <w:r w:rsidRPr="003033F5">
        <w:t>bierno</w:t>
      </w:r>
      <w:proofErr w:type="spellEnd"/>
      <w:r w:rsidRPr="003033F5">
        <w:t xml:space="preserve"> de Navarra en su proyecto de ley foral de presupuestos, </w:t>
      </w:r>
      <w:r w:rsidRPr="00B02371">
        <w:rPr>
          <w:szCs w:val="26"/>
        </w:rPr>
        <w:t xml:space="preserve">o se originen en el proceso de debate de las enmiendas en sede parlamentaria, es necesario resaltar la necesidad de motivar de manera objetiva, razonable y proporcionada las razones excepcionales, que justifican el otorgamiento de las subvenciones nominativas, ya que el régimen de concesión directa de subvenciones es un régimen excepcional, en el que si bien se sacrifica el principio de concurrencia, en ningún caso debe ser discriminatorio. </w:t>
      </w:r>
    </w:p>
    <w:p w14:paraId="1B0CACD9" w14:textId="77777777" w:rsidR="00060DBC" w:rsidRDefault="000E121F" w:rsidP="003A3B89">
      <w:pPr>
        <w:pStyle w:val="texto"/>
      </w:pPr>
      <w:r w:rsidRPr="000E121F">
        <w:t>Por lo tanto</w:t>
      </w:r>
      <w:r>
        <w:t xml:space="preserve">, </w:t>
      </w:r>
      <w:r w:rsidR="004C19AC" w:rsidRPr="000E121F">
        <w:t>sigue sin garantizarse los principios de igualdad y no discriminación establecidos en la L</w:t>
      </w:r>
      <w:r>
        <w:t>ey Foral 11/2005, de 9 de noviembre de Subvenciones</w:t>
      </w:r>
      <w:r w:rsidR="004C19AC" w:rsidRPr="000E121F">
        <w:t>, en todas las subvenciones</w:t>
      </w:r>
      <w:r w:rsidR="00CA3BE1">
        <w:t xml:space="preserve"> nominativas en las que coincida</w:t>
      </w:r>
      <w:r w:rsidR="004C19AC" w:rsidRPr="000E121F">
        <w:t xml:space="preserve"> el objeto y finalidad de la ayuda con </w:t>
      </w:r>
      <w:r>
        <w:t xml:space="preserve">el previsto en </w:t>
      </w:r>
      <w:r w:rsidR="004C19AC" w:rsidRPr="000E121F">
        <w:t>convocatorias en régimen de concurrencia competitiva</w:t>
      </w:r>
      <w:r>
        <w:t>.</w:t>
      </w:r>
    </w:p>
    <w:p w14:paraId="504FB6A1" w14:textId="77777777" w:rsidR="00060DBC" w:rsidRDefault="00060DBC">
      <w:pPr>
        <w:rPr>
          <w:iCs/>
          <w:spacing w:val="10"/>
          <w:kern w:val="28"/>
          <w:sz w:val="26"/>
          <w:szCs w:val="26"/>
        </w:rPr>
      </w:pPr>
      <w:r>
        <w:rPr>
          <w:iCs/>
          <w:spacing w:val="10"/>
          <w:kern w:val="28"/>
          <w:sz w:val="26"/>
          <w:szCs w:val="26"/>
        </w:rPr>
        <w:br w:type="page"/>
      </w:r>
    </w:p>
    <w:p w14:paraId="1D1E285D" w14:textId="77777777" w:rsidR="000E121F" w:rsidRDefault="008317BB" w:rsidP="00CA3BE1">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pPr>
      <w:r>
        <w:lastRenderedPageBreak/>
        <w:t>E</w:t>
      </w:r>
      <w:r w:rsidR="0030408C">
        <w:t xml:space="preserve">n el siguiente cuadro reflejamos la evolución que ha tenido </w:t>
      </w:r>
      <w:r w:rsidR="000E121F">
        <w:t xml:space="preserve">la dotación al Fondo de Contingencia, </w:t>
      </w:r>
      <w:r w:rsidR="0030408C">
        <w:t>en el periodo 2019-2023, tanto en el proyecto de ley foral de presupuestos, como en su posterior aprobación como ley foral:</w:t>
      </w:r>
    </w:p>
    <w:p w14:paraId="28FF4483" w14:textId="77777777" w:rsidR="0030408C" w:rsidRPr="004B023A" w:rsidRDefault="0030408C" w:rsidP="004B023A">
      <w:pPr>
        <w:spacing w:after="60"/>
        <w:ind w:left="51" w:right="11"/>
        <w:jc w:val="right"/>
        <w:rPr>
          <w:rFonts w:ascii="Arial Narrow" w:hAnsi="Arial Narrow" w:cs="Arial"/>
          <w:bCs/>
          <w:sz w:val="20"/>
          <w:szCs w:val="20"/>
        </w:rPr>
      </w:pPr>
      <w:r w:rsidRPr="004B023A">
        <w:rPr>
          <w:sz w:val="20"/>
          <w:szCs w:val="20"/>
        </w:rPr>
        <w:t xml:space="preserve">                                                                                                          </w:t>
      </w:r>
      <w:r w:rsidRPr="004B023A">
        <w:rPr>
          <w:rFonts w:ascii="Arial Narrow" w:hAnsi="Arial Narrow" w:cs="Arial"/>
          <w:bCs/>
          <w:sz w:val="20"/>
          <w:szCs w:val="20"/>
        </w:rPr>
        <w:t>(en miles)</w:t>
      </w:r>
    </w:p>
    <w:tbl>
      <w:tblPr>
        <w:tblW w:w="8789" w:type="dxa"/>
        <w:tblCellMar>
          <w:left w:w="70" w:type="dxa"/>
          <w:right w:w="70" w:type="dxa"/>
        </w:tblCellMar>
        <w:tblLook w:val="04A0" w:firstRow="1" w:lastRow="0" w:firstColumn="1" w:lastColumn="0" w:noHBand="0" w:noVBand="1"/>
      </w:tblPr>
      <w:tblGrid>
        <w:gridCol w:w="5103"/>
        <w:gridCol w:w="851"/>
        <w:gridCol w:w="723"/>
        <w:gridCol w:w="708"/>
        <w:gridCol w:w="695"/>
        <w:gridCol w:w="709"/>
      </w:tblGrid>
      <w:tr w:rsidR="0030408C" w:rsidRPr="00817E1D" w14:paraId="215B0A24" w14:textId="77777777" w:rsidTr="00E50CDE">
        <w:trPr>
          <w:trHeight w:val="255"/>
        </w:trPr>
        <w:tc>
          <w:tcPr>
            <w:tcW w:w="5103" w:type="dxa"/>
            <w:tcBorders>
              <w:top w:val="single" w:sz="4" w:space="0" w:color="auto"/>
              <w:left w:val="nil"/>
              <w:bottom w:val="single" w:sz="2" w:space="0" w:color="auto"/>
              <w:right w:val="nil"/>
            </w:tcBorders>
            <w:shd w:val="clear" w:color="auto" w:fill="95B3D7" w:themeFill="accent1" w:themeFillTint="99"/>
            <w:noWrap/>
            <w:vAlign w:val="bottom"/>
            <w:hideMark/>
          </w:tcPr>
          <w:p w14:paraId="63F42F6D" w14:textId="77777777" w:rsidR="0030408C" w:rsidRPr="00817E1D" w:rsidRDefault="0030408C" w:rsidP="008601F6">
            <w:pPr>
              <w:pStyle w:val="cuadroCabe"/>
            </w:pPr>
            <w:r w:rsidRPr="00817E1D">
              <w:t> Fondo de Contingencia</w:t>
            </w:r>
          </w:p>
        </w:tc>
        <w:tc>
          <w:tcPr>
            <w:tcW w:w="851" w:type="dxa"/>
            <w:tcBorders>
              <w:top w:val="single" w:sz="4" w:space="0" w:color="auto"/>
              <w:left w:val="nil"/>
              <w:bottom w:val="single" w:sz="2" w:space="0" w:color="auto"/>
              <w:right w:val="nil"/>
            </w:tcBorders>
            <w:shd w:val="clear" w:color="auto" w:fill="95B3D7" w:themeFill="accent1" w:themeFillTint="99"/>
            <w:noWrap/>
            <w:vAlign w:val="bottom"/>
            <w:hideMark/>
          </w:tcPr>
          <w:p w14:paraId="29CC60A2" w14:textId="77777777" w:rsidR="0030408C" w:rsidRPr="00817E1D" w:rsidRDefault="0030408C" w:rsidP="008601F6">
            <w:pPr>
              <w:pStyle w:val="cuadroCabe"/>
              <w:jc w:val="right"/>
            </w:pPr>
            <w:r w:rsidRPr="00817E1D">
              <w:t>2019</w:t>
            </w:r>
          </w:p>
        </w:tc>
        <w:tc>
          <w:tcPr>
            <w:tcW w:w="723" w:type="dxa"/>
            <w:tcBorders>
              <w:top w:val="single" w:sz="4" w:space="0" w:color="auto"/>
              <w:left w:val="nil"/>
              <w:bottom w:val="single" w:sz="2" w:space="0" w:color="auto"/>
              <w:right w:val="nil"/>
            </w:tcBorders>
            <w:shd w:val="clear" w:color="auto" w:fill="95B3D7" w:themeFill="accent1" w:themeFillTint="99"/>
            <w:noWrap/>
            <w:vAlign w:val="bottom"/>
            <w:hideMark/>
          </w:tcPr>
          <w:p w14:paraId="20A4003E" w14:textId="77777777" w:rsidR="0030408C" w:rsidRPr="00817E1D" w:rsidRDefault="0030408C" w:rsidP="008601F6">
            <w:pPr>
              <w:pStyle w:val="cuadroCabe"/>
              <w:jc w:val="right"/>
            </w:pPr>
            <w:r w:rsidRPr="00817E1D">
              <w:t>2020</w:t>
            </w:r>
          </w:p>
        </w:tc>
        <w:tc>
          <w:tcPr>
            <w:tcW w:w="708" w:type="dxa"/>
            <w:tcBorders>
              <w:top w:val="single" w:sz="4" w:space="0" w:color="auto"/>
              <w:left w:val="nil"/>
              <w:bottom w:val="single" w:sz="2" w:space="0" w:color="auto"/>
              <w:right w:val="nil"/>
            </w:tcBorders>
            <w:shd w:val="clear" w:color="auto" w:fill="95B3D7" w:themeFill="accent1" w:themeFillTint="99"/>
            <w:noWrap/>
            <w:vAlign w:val="bottom"/>
            <w:hideMark/>
          </w:tcPr>
          <w:p w14:paraId="4EAA18BF" w14:textId="77777777" w:rsidR="0030408C" w:rsidRPr="00817E1D" w:rsidRDefault="0030408C" w:rsidP="008601F6">
            <w:pPr>
              <w:pStyle w:val="cuadroCabe"/>
              <w:jc w:val="right"/>
            </w:pPr>
            <w:r w:rsidRPr="00817E1D">
              <w:t>2021</w:t>
            </w:r>
          </w:p>
        </w:tc>
        <w:tc>
          <w:tcPr>
            <w:tcW w:w="695" w:type="dxa"/>
            <w:tcBorders>
              <w:top w:val="single" w:sz="4" w:space="0" w:color="auto"/>
              <w:left w:val="nil"/>
              <w:bottom w:val="single" w:sz="2" w:space="0" w:color="auto"/>
              <w:right w:val="nil"/>
            </w:tcBorders>
            <w:shd w:val="clear" w:color="auto" w:fill="95B3D7" w:themeFill="accent1" w:themeFillTint="99"/>
            <w:vAlign w:val="bottom"/>
          </w:tcPr>
          <w:p w14:paraId="6E844980" w14:textId="77777777" w:rsidR="0030408C" w:rsidRPr="00817E1D" w:rsidRDefault="0030408C" w:rsidP="008601F6">
            <w:pPr>
              <w:pStyle w:val="cuadroCabe"/>
              <w:jc w:val="right"/>
            </w:pPr>
            <w:r w:rsidRPr="00817E1D">
              <w:t>2022</w:t>
            </w:r>
          </w:p>
        </w:tc>
        <w:tc>
          <w:tcPr>
            <w:tcW w:w="709" w:type="dxa"/>
            <w:tcBorders>
              <w:top w:val="single" w:sz="4" w:space="0" w:color="auto"/>
              <w:left w:val="nil"/>
              <w:bottom w:val="single" w:sz="2" w:space="0" w:color="auto"/>
              <w:right w:val="nil"/>
            </w:tcBorders>
            <w:shd w:val="clear" w:color="auto" w:fill="95B3D7" w:themeFill="accent1" w:themeFillTint="99"/>
            <w:noWrap/>
            <w:vAlign w:val="bottom"/>
            <w:hideMark/>
          </w:tcPr>
          <w:p w14:paraId="6404A5D7" w14:textId="77777777" w:rsidR="0030408C" w:rsidRPr="00817E1D" w:rsidRDefault="0030408C" w:rsidP="008601F6">
            <w:pPr>
              <w:pStyle w:val="cuadroCabe"/>
              <w:jc w:val="right"/>
            </w:pPr>
            <w:r w:rsidRPr="00817E1D">
              <w:t>202</w:t>
            </w:r>
            <w:r>
              <w:t>3</w:t>
            </w:r>
          </w:p>
        </w:tc>
      </w:tr>
      <w:tr w:rsidR="0030408C" w14:paraId="0D36B19F" w14:textId="77777777" w:rsidTr="00E50CDE">
        <w:trPr>
          <w:trHeight w:val="198"/>
        </w:trPr>
        <w:tc>
          <w:tcPr>
            <w:tcW w:w="5103" w:type="dxa"/>
            <w:tcBorders>
              <w:top w:val="single" w:sz="2" w:space="0" w:color="auto"/>
              <w:left w:val="nil"/>
              <w:bottom w:val="single" w:sz="2" w:space="0" w:color="auto"/>
              <w:right w:val="nil"/>
            </w:tcBorders>
            <w:noWrap/>
            <w:vAlign w:val="bottom"/>
            <w:hideMark/>
          </w:tcPr>
          <w:p w14:paraId="3CA0C32C" w14:textId="77777777" w:rsidR="0030408C" w:rsidRDefault="0030408C" w:rsidP="008601F6">
            <w:pPr>
              <w:pStyle w:val="cuatexto"/>
            </w:pPr>
            <w:r>
              <w:t xml:space="preserve">Dotación inicial en el Proyecto de Ley Foral de Presupuestos </w:t>
            </w:r>
          </w:p>
        </w:tc>
        <w:tc>
          <w:tcPr>
            <w:tcW w:w="851" w:type="dxa"/>
            <w:tcBorders>
              <w:top w:val="single" w:sz="2" w:space="0" w:color="auto"/>
              <w:left w:val="nil"/>
              <w:bottom w:val="single" w:sz="2" w:space="0" w:color="auto"/>
              <w:right w:val="nil"/>
            </w:tcBorders>
            <w:noWrap/>
            <w:vAlign w:val="bottom"/>
            <w:hideMark/>
          </w:tcPr>
          <w:p w14:paraId="7E6C3C62" w14:textId="77777777" w:rsidR="0030408C" w:rsidRDefault="0030408C" w:rsidP="008601F6">
            <w:pPr>
              <w:pStyle w:val="cuatexto"/>
              <w:jc w:val="right"/>
            </w:pPr>
            <w:r>
              <w:t>15.123</w:t>
            </w:r>
          </w:p>
        </w:tc>
        <w:tc>
          <w:tcPr>
            <w:tcW w:w="723" w:type="dxa"/>
            <w:tcBorders>
              <w:top w:val="single" w:sz="2" w:space="0" w:color="auto"/>
              <w:left w:val="nil"/>
              <w:bottom w:val="single" w:sz="2" w:space="0" w:color="auto"/>
              <w:right w:val="nil"/>
            </w:tcBorders>
            <w:noWrap/>
            <w:vAlign w:val="bottom"/>
            <w:hideMark/>
          </w:tcPr>
          <w:p w14:paraId="19556DCC" w14:textId="77777777" w:rsidR="0030408C" w:rsidRDefault="0030408C" w:rsidP="008601F6">
            <w:pPr>
              <w:pStyle w:val="cuatexto"/>
              <w:jc w:val="right"/>
            </w:pPr>
            <w:r>
              <w:t>3.938</w:t>
            </w:r>
          </w:p>
        </w:tc>
        <w:tc>
          <w:tcPr>
            <w:tcW w:w="708" w:type="dxa"/>
            <w:tcBorders>
              <w:top w:val="single" w:sz="2" w:space="0" w:color="auto"/>
              <w:left w:val="nil"/>
              <w:bottom w:val="single" w:sz="2" w:space="0" w:color="auto"/>
              <w:right w:val="nil"/>
            </w:tcBorders>
            <w:noWrap/>
            <w:vAlign w:val="bottom"/>
            <w:hideMark/>
          </w:tcPr>
          <w:p w14:paraId="7D61D7B0" w14:textId="77777777" w:rsidR="0030408C" w:rsidRDefault="0030408C" w:rsidP="008601F6">
            <w:pPr>
              <w:pStyle w:val="cuatexto"/>
              <w:jc w:val="right"/>
            </w:pPr>
            <w:r>
              <w:t>21.049</w:t>
            </w:r>
          </w:p>
        </w:tc>
        <w:tc>
          <w:tcPr>
            <w:tcW w:w="695" w:type="dxa"/>
            <w:tcBorders>
              <w:top w:val="single" w:sz="2" w:space="0" w:color="auto"/>
              <w:left w:val="nil"/>
              <w:bottom w:val="single" w:sz="2" w:space="0" w:color="auto"/>
              <w:right w:val="nil"/>
            </w:tcBorders>
            <w:vAlign w:val="bottom"/>
          </w:tcPr>
          <w:p w14:paraId="2D9C7E10" w14:textId="77777777" w:rsidR="0030408C" w:rsidRDefault="0030408C" w:rsidP="008601F6">
            <w:pPr>
              <w:pStyle w:val="cuatexto"/>
              <w:jc w:val="right"/>
            </w:pPr>
            <w:r>
              <w:t>20.809</w:t>
            </w:r>
          </w:p>
        </w:tc>
        <w:tc>
          <w:tcPr>
            <w:tcW w:w="709" w:type="dxa"/>
            <w:tcBorders>
              <w:top w:val="single" w:sz="2" w:space="0" w:color="auto"/>
              <w:left w:val="nil"/>
              <w:bottom w:val="single" w:sz="2" w:space="0" w:color="auto"/>
              <w:right w:val="nil"/>
            </w:tcBorders>
            <w:noWrap/>
            <w:vAlign w:val="bottom"/>
          </w:tcPr>
          <w:p w14:paraId="679D00DB" w14:textId="77777777" w:rsidR="0030408C" w:rsidRDefault="0030408C" w:rsidP="008601F6">
            <w:pPr>
              <w:pStyle w:val="cuatexto"/>
              <w:jc w:val="right"/>
            </w:pPr>
            <w:r>
              <w:t>19.544</w:t>
            </w:r>
          </w:p>
        </w:tc>
      </w:tr>
      <w:tr w:rsidR="0030408C" w14:paraId="09F29B2D" w14:textId="77777777" w:rsidTr="00E50CDE">
        <w:trPr>
          <w:trHeight w:val="198"/>
        </w:trPr>
        <w:tc>
          <w:tcPr>
            <w:tcW w:w="5103" w:type="dxa"/>
            <w:tcBorders>
              <w:top w:val="single" w:sz="2" w:space="0" w:color="auto"/>
              <w:left w:val="nil"/>
              <w:bottom w:val="single" w:sz="2" w:space="0" w:color="auto"/>
              <w:right w:val="nil"/>
            </w:tcBorders>
            <w:noWrap/>
            <w:vAlign w:val="bottom"/>
            <w:hideMark/>
          </w:tcPr>
          <w:p w14:paraId="0648CEFF" w14:textId="77777777" w:rsidR="0030408C" w:rsidRDefault="0030408C" w:rsidP="008601F6">
            <w:pPr>
              <w:pStyle w:val="cuatexto"/>
            </w:pPr>
            <w:r>
              <w:t>Dotación final en la Ley Foral de Presupuestos</w:t>
            </w:r>
          </w:p>
        </w:tc>
        <w:tc>
          <w:tcPr>
            <w:tcW w:w="851" w:type="dxa"/>
            <w:tcBorders>
              <w:top w:val="single" w:sz="2" w:space="0" w:color="auto"/>
              <w:left w:val="nil"/>
              <w:bottom w:val="single" w:sz="2" w:space="0" w:color="auto"/>
              <w:right w:val="nil"/>
            </w:tcBorders>
            <w:noWrap/>
            <w:vAlign w:val="bottom"/>
            <w:hideMark/>
          </w:tcPr>
          <w:p w14:paraId="3239C2E3" w14:textId="77777777" w:rsidR="0030408C" w:rsidRDefault="0030408C" w:rsidP="008601F6">
            <w:pPr>
              <w:pStyle w:val="cuatexto"/>
              <w:jc w:val="right"/>
            </w:pPr>
            <w:r>
              <w:t>4.564</w:t>
            </w:r>
          </w:p>
        </w:tc>
        <w:tc>
          <w:tcPr>
            <w:tcW w:w="723" w:type="dxa"/>
            <w:tcBorders>
              <w:top w:val="single" w:sz="2" w:space="0" w:color="auto"/>
              <w:left w:val="nil"/>
              <w:bottom w:val="single" w:sz="2" w:space="0" w:color="auto"/>
              <w:right w:val="nil"/>
            </w:tcBorders>
            <w:noWrap/>
            <w:vAlign w:val="bottom"/>
            <w:hideMark/>
          </w:tcPr>
          <w:p w14:paraId="6CF6456B" w14:textId="77777777" w:rsidR="0030408C" w:rsidRDefault="0030408C" w:rsidP="008601F6">
            <w:pPr>
              <w:pStyle w:val="cuatexto"/>
              <w:jc w:val="right"/>
            </w:pPr>
            <w:r>
              <w:t>3.938</w:t>
            </w:r>
          </w:p>
        </w:tc>
        <w:tc>
          <w:tcPr>
            <w:tcW w:w="708" w:type="dxa"/>
            <w:tcBorders>
              <w:top w:val="single" w:sz="2" w:space="0" w:color="auto"/>
              <w:left w:val="nil"/>
              <w:bottom w:val="single" w:sz="2" w:space="0" w:color="auto"/>
              <w:right w:val="nil"/>
            </w:tcBorders>
            <w:noWrap/>
            <w:vAlign w:val="bottom"/>
            <w:hideMark/>
          </w:tcPr>
          <w:p w14:paraId="3ED21A99" w14:textId="77777777" w:rsidR="0030408C" w:rsidRDefault="0030408C" w:rsidP="008601F6">
            <w:pPr>
              <w:pStyle w:val="cuatexto"/>
              <w:jc w:val="right"/>
            </w:pPr>
            <w:r>
              <w:t>10.563</w:t>
            </w:r>
          </w:p>
        </w:tc>
        <w:tc>
          <w:tcPr>
            <w:tcW w:w="695" w:type="dxa"/>
            <w:tcBorders>
              <w:top w:val="single" w:sz="2" w:space="0" w:color="auto"/>
              <w:left w:val="nil"/>
              <w:bottom w:val="single" w:sz="2" w:space="0" w:color="auto"/>
              <w:right w:val="nil"/>
            </w:tcBorders>
            <w:vAlign w:val="center"/>
          </w:tcPr>
          <w:p w14:paraId="1D533BD2" w14:textId="77777777" w:rsidR="0030408C" w:rsidRDefault="0030408C" w:rsidP="008601F6">
            <w:pPr>
              <w:pStyle w:val="cuatexto"/>
              <w:jc w:val="right"/>
            </w:pPr>
            <w:r>
              <w:t>5.430</w:t>
            </w:r>
          </w:p>
        </w:tc>
        <w:tc>
          <w:tcPr>
            <w:tcW w:w="709" w:type="dxa"/>
            <w:tcBorders>
              <w:top w:val="single" w:sz="2" w:space="0" w:color="auto"/>
              <w:left w:val="nil"/>
              <w:bottom w:val="single" w:sz="2" w:space="0" w:color="auto"/>
              <w:right w:val="nil"/>
            </w:tcBorders>
            <w:vAlign w:val="center"/>
          </w:tcPr>
          <w:p w14:paraId="1D2AB1C5" w14:textId="77777777" w:rsidR="0030408C" w:rsidRDefault="0030408C" w:rsidP="008601F6">
            <w:pPr>
              <w:pStyle w:val="cuatexto"/>
              <w:jc w:val="right"/>
            </w:pPr>
            <w:r>
              <w:t>4.558</w:t>
            </w:r>
          </w:p>
        </w:tc>
      </w:tr>
      <w:tr w:rsidR="0030408C" w14:paraId="79F70D9F" w14:textId="77777777" w:rsidTr="00E50CDE">
        <w:trPr>
          <w:trHeight w:val="198"/>
        </w:trPr>
        <w:tc>
          <w:tcPr>
            <w:tcW w:w="5103" w:type="dxa"/>
            <w:tcBorders>
              <w:top w:val="single" w:sz="2" w:space="0" w:color="auto"/>
              <w:left w:val="nil"/>
              <w:bottom w:val="single" w:sz="2" w:space="0" w:color="auto"/>
              <w:right w:val="nil"/>
            </w:tcBorders>
            <w:noWrap/>
            <w:vAlign w:val="bottom"/>
            <w:hideMark/>
          </w:tcPr>
          <w:p w14:paraId="3B37C133" w14:textId="77777777" w:rsidR="0030408C" w:rsidRDefault="0030408C" w:rsidP="008601F6">
            <w:pPr>
              <w:pStyle w:val="cuatexto"/>
            </w:pPr>
            <w:r>
              <w:t>Diferencia</w:t>
            </w:r>
          </w:p>
        </w:tc>
        <w:tc>
          <w:tcPr>
            <w:tcW w:w="851" w:type="dxa"/>
            <w:tcBorders>
              <w:top w:val="single" w:sz="2" w:space="0" w:color="auto"/>
              <w:left w:val="nil"/>
              <w:bottom w:val="single" w:sz="2" w:space="0" w:color="auto"/>
              <w:right w:val="nil"/>
            </w:tcBorders>
            <w:noWrap/>
            <w:vAlign w:val="bottom"/>
            <w:hideMark/>
          </w:tcPr>
          <w:p w14:paraId="64FB8FAD" w14:textId="77777777" w:rsidR="0030408C" w:rsidRDefault="0030408C" w:rsidP="008601F6">
            <w:pPr>
              <w:pStyle w:val="cuatexto"/>
              <w:jc w:val="right"/>
            </w:pPr>
            <w:r>
              <w:t>10.559</w:t>
            </w:r>
          </w:p>
        </w:tc>
        <w:tc>
          <w:tcPr>
            <w:tcW w:w="723" w:type="dxa"/>
            <w:tcBorders>
              <w:top w:val="single" w:sz="2" w:space="0" w:color="auto"/>
              <w:left w:val="nil"/>
              <w:bottom w:val="single" w:sz="2" w:space="0" w:color="auto"/>
              <w:right w:val="nil"/>
            </w:tcBorders>
            <w:noWrap/>
            <w:vAlign w:val="bottom"/>
            <w:hideMark/>
          </w:tcPr>
          <w:p w14:paraId="21C3CAFF" w14:textId="77777777" w:rsidR="0030408C" w:rsidRDefault="0030408C" w:rsidP="008601F6">
            <w:pPr>
              <w:pStyle w:val="cuatexto"/>
              <w:jc w:val="right"/>
            </w:pPr>
            <w:r>
              <w:t>0</w:t>
            </w:r>
          </w:p>
        </w:tc>
        <w:tc>
          <w:tcPr>
            <w:tcW w:w="708" w:type="dxa"/>
            <w:tcBorders>
              <w:top w:val="single" w:sz="2" w:space="0" w:color="auto"/>
              <w:left w:val="nil"/>
              <w:bottom w:val="single" w:sz="2" w:space="0" w:color="auto"/>
              <w:right w:val="nil"/>
            </w:tcBorders>
            <w:noWrap/>
            <w:vAlign w:val="bottom"/>
            <w:hideMark/>
          </w:tcPr>
          <w:p w14:paraId="6F4F68BC" w14:textId="77777777" w:rsidR="0030408C" w:rsidRDefault="0030408C" w:rsidP="008601F6">
            <w:pPr>
              <w:pStyle w:val="cuatexto"/>
              <w:jc w:val="right"/>
            </w:pPr>
            <w:r>
              <w:t>10.486</w:t>
            </w:r>
          </w:p>
        </w:tc>
        <w:tc>
          <w:tcPr>
            <w:tcW w:w="695" w:type="dxa"/>
            <w:tcBorders>
              <w:top w:val="single" w:sz="2" w:space="0" w:color="auto"/>
              <w:left w:val="nil"/>
              <w:bottom w:val="single" w:sz="2" w:space="0" w:color="auto"/>
              <w:right w:val="nil"/>
            </w:tcBorders>
            <w:vAlign w:val="bottom"/>
          </w:tcPr>
          <w:p w14:paraId="5471D4CE" w14:textId="77777777" w:rsidR="0030408C" w:rsidRDefault="0030408C" w:rsidP="008601F6">
            <w:pPr>
              <w:pStyle w:val="cuatexto"/>
              <w:jc w:val="right"/>
            </w:pPr>
            <w:r>
              <w:t>15.379</w:t>
            </w:r>
          </w:p>
        </w:tc>
        <w:tc>
          <w:tcPr>
            <w:tcW w:w="709" w:type="dxa"/>
            <w:tcBorders>
              <w:top w:val="single" w:sz="2" w:space="0" w:color="auto"/>
              <w:left w:val="nil"/>
              <w:bottom w:val="single" w:sz="2" w:space="0" w:color="auto"/>
              <w:right w:val="nil"/>
            </w:tcBorders>
            <w:noWrap/>
            <w:vAlign w:val="bottom"/>
          </w:tcPr>
          <w:p w14:paraId="2DFDBAE1" w14:textId="77777777" w:rsidR="0030408C" w:rsidRDefault="0030408C" w:rsidP="008601F6">
            <w:pPr>
              <w:pStyle w:val="cuatexto"/>
              <w:jc w:val="right"/>
            </w:pPr>
            <w:r>
              <w:t>14.986</w:t>
            </w:r>
          </w:p>
        </w:tc>
      </w:tr>
      <w:tr w:rsidR="0030408C" w14:paraId="7CA61CFB" w14:textId="77777777" w:rsidTr="00E50CDE">
        <w:trPr>
          <w:trHeight w:val="198"/>
        </w:trPr>
        <w:tc>
          <w:tcPr>
            <w:tcW w:w="5103" w:type="dxa"/>
            <w:tcBorders>
              <w:top w:val="single" w:sz="2" w:space="0" w:color="auto"/>
              <w:left w:val="nil"/>
              <w:bottom w:val="single" w:sz="4" w:space="0" w:color="auto"/>
              <w:right w:val="nil"/>
            </w:tcBorders>
            <w:noWrap/>
            <w:vAlign w:val="bottom"/>
            <w:hideMark/>
          </w:tcPr>
          <w:p w14:paraId="15D27C55" w14:textId="77777777" w:rsidR="0030408C" w:rsidRDefault="0030408C" w:rsidP="008601F6">
            <w:pPr>
              <w:pStyle w:val="cuatexto"/>
            </w:pPr>
            <w:r>
              <w:t>% de la dotación inicial respecto al Proyecto de Ley Foral de Presupuestos</w:t>
            </w:r>
          </w:p>
        </w:tc>
        <w:tc>
          <w:tcPr>
            <w:tcW w:w="851" w:type="dxa"/>
            <w:tcBorders>
              <w:top w:val="single" w:sz="2" w:space="0" w:color="auto"/>
              <w:left w:val="nil"/>
              <w:bottom w:val="single" w:sz="4" w:space="0" w:color="auto"/>
              <w:right w:val="nil"/>
            </w:tcBorders>
            <w:noWrap/>
            <w:vAlign w:val="bottom"/>
            <w:hideMark/>
          </w:tcPr>
          <w:p w14:paraId="46F88E30" w14:textId="77777777" w:rsidR="0030408C" w:rsidRDefault="0030408C" w:rsidP="008601F6">
            <w:pPr>
              <w:pStyle w:val="cuatexto"/>
              <w:jc w:val="right"/>
            </w:pPr>
            <w:r>
              <w:t>0,4%</w:t>
            </w:r>
          </w:p>
        </w:tc>
        <w:tc>
          <w:tcPr>
            <w:tcW w:w="723" w:type="dxa"/>
            <w:tcBorders>
              <w:top w:val="single" w:sz="2" w:space="0" w:color="auto"/>
              <w:left w:val="nil"/>
              <w:bottom w:val="single" w:sz="4" w:space="0" w:color="auto"/>
              <w:right w:val="nil"/>
            </w:tcBorders>
            <w:noWrap/>
            <w:vAlign w:val="bottom"/>
            <w:hideMark/>
          </w:tcPr>
          <w:p w14:paraId="4873A1F3" w14:textId="77777777" w:rsidR="0030408C" w:rsidRDefault="0030408C" w:rsidP="008601F6">
            <w:pPr>
              <w:pStyle w:val="cuatexto"/>
              <w:jc w:val="right"/>
            </w:pPr>
            <w:r>
              <w:t>0,1%</w:t>
            </w:r>
          </w:p>
        </w:tc>
        <w:tc>
          <w:tcPr>
            <w:tcW w:w="708" w:type="dxa"/>
            <w:tcBorders>
              <w:top w:val="single" w:sz="2" w:space="0" w:color="auto"/>
              <w:left w:val="nil"/>
              <w:bottom w:val="single" w:sz="4" w:space="0" w:color="auto"/>
              <w:right w:val="nil"/>
            </w:tcBorders>
            <w:noWrap/>
            <w:vAlign w:val="bottom"/>
            <w:hideMark/>
          </w:tcPr>
          <w:p w14:paraId="1718D14E" w14:textId="77777777" w:rsidR="0030408C" w:rsidRDefault="0030408C" w:rsidP="008601F6">
            <w:pPr>
              <w:pStyle w:val="cuatexto"/>
              <w:jc w:val="right"/>
            </w:pPr>
            <w:r>
              <w:t>0,4%</w:t>
            </w:r>
          </w:p>
        </w:tc>
        <w:tc>
          <w:tcPr>
            <w:tcW w:w="695" w:type="dxa"/>
            <w:tcBorders>
              <w:top w:val="single" w:sz="2" w:space="0" w:color="auto"/>
              <w:left w:val="nil"/>
              <w:bottom w:val="single" w:sz="4" w:space="0" w:color="auto"/>
              <w:right w:val="nil"/>
            </w:tcBorders>
            <w:vAlign w:val="bottom"/>
          </w:tcPr>
          <w:p w14:paraId="2E2251A3" w14:textId="77777777" w:rsidR="0030408C" w:rsidRDefault="0030408C" w:rsidP="008601F6">
            <w:pPr>
              <w:pStyle w:val="cuatexto"/>
              <w:jc w:val="right"/>
            </w:pPr>
            <w:r>
              <w:t>0,4%</w:t>
            </w:r>
          </w:p>
        </w:tc>
        <w:tc>
          <w:tcPr>
            <w:tcW w:w="709" w:type="dxa"/>
            <w:tcBorders>
              <w:top w:val="single" w:sz="2" w:space="0" w:color="auto"/>
              <w:left w:val="nil"/>
              <w:bottom w:val="single" w:sz="4" w:space="0" w:color="auto"/>
              <w:right w:val="nil"/>
            </w:tcBorders>
            <w:noWrap/>
            <w:vAlign w:val="bottom"/>
          </w:tcPr>
          <w:p w14:paraId="75A2ABCF" w14:textId="77777777" w:rsidR="0030408C" w:rsidRDefault="0030408C" w:rsidP="008601F6">
            <w:pPr>
              <w:pStyle w:val="cuatexto"/>
              <w:jc w:val="right"/>
            </w:pPr>
            <w:r>
              <w:t>0,3%</w:t>
            </w:r>
          </w:p>
        </w:tc>
      </w:tr>
      <w:tr w:rsidR="0030408C" w14:paraId="4CA36D60" w14:textId="77777777" w:rsidTr="00E50CDE">
        <w:trPr>
          <w:trHeight w:val="198"/>
        </w:trPr>
        <w:tc>
          <w:tcPr>
            <w:tcW w:w="5103" w:type="dxa"/>
            <w:tcBorders>
              <w:top w:val="single" w:sz="4" w:space="0" w:color="auto"/>
              <w:left w:val="nil"/>
              <w:bottom w:val="single" w:sz="4" w:space="0" w:color="auto"/>
              <w:right w:val="nil"/>
            </w:tcBorders>
            <w:noWrap/>
            <w:vAlign w:val="bottom"/>
            <w:hideMark/>
          </w:tcPr>
          <w:p w14:paraId="0BB2C1E6" w14:textId="77777777" w:rsidR="0030408C" w:rsidRDefault="0030408C" w:rsidP="008601F6">
            <w:pPr>
              <w:pStyle w:val="cuatexto"/>
            </w:pPr>
            <w:r>
              <w:t>% de la dotación final respecto a la Ley Foral de Presupuestos</w:t>
            </w:r>
          </w:p>
        </w:tc>
        <w:tc>
          <w:tcPr>
            <w:tcW w:w="851" w:type="dxa"/>
            <w:tcBorders>
              <w:top w:val="single" w:sz="4" w:space="0" w:color="auto"/>
              <w:left w:val="nil"/>
              <w:bottom w:val="single" w:sz="4" w:space="0" w:color="auto"/>
              <w:right w:val="nil"/>
            </w:tcBorders>
            <w:noWrap/>
            <w:vAlign w:val="bottom"/>
            <w:hideMark/>
          </w:tcPr>
          <w:p w14:paraId="63C539A4" w14:textId="77777777" w:rsidR="0030408C" w:rsidRDefault="0030408C" w:rsidP="008601F6">
            <w:pPr>
              <w:pStyle w:val="cuatexto"/>
              <w:jc w:val="right"/>
            </w:pPr>
            <w:r>
              <w:t>0,1%</w:t>
            </w:r>
          </w:p>
        </w:tc>
        <w:tc>
          <w:tcPr>
            <w:tcW w:w="723" w:type="dxa"/>
            <w:tcBorders>
              <w:top w:val="single" w:sz="4" w:space="0" w:color="auto"/>
              <w:left w:val="nil"/>
              <w:bottom w:val="single" w:sz="4" w:space="0" w:color="auto"/>
              <w:right w:val="nil"/>
            </w:tcBorders>
            <w:noWrap/>
            <w:vAlign w:val="bottom"/>
            <w:hideMark/>
          </w:tcPr>
          <w:p w14:paraId="20414569" w14:textId="77777777" w:rsidR="0030408C" w:rsidRDefault="0030408C" w:rsidP="008601F6">
            <w:pPr>
              <w:pStyle w:val="cuatexto"/>
              <w:jc w:val="right"/>
            </w:pPr>
            <w:r>
              <w:t>0,1%</w:t>
            </w:r>
          </w:p>
        </w:tc>
        <w:tc>
          <w:tcPr>
            <w:tcW w:w="708" w:type="dxa"/>
            <w:tcBorders>
              <w:top w:val="single" w:sz="4" w:space="0" w:color="auto"/>
              <w:left w:val="nil"/>
              <w:bottom w:val="single" w:sz="4" w:space="0" w:color="auto"/>
              <w:right w:val="nil"/>
            </w:tcBorders>
            <w:noWrap/>
            <w:vAlign w:val="bottom"/>
            <w:hideMark/>
          </w:tcPr>
          <w:p w14:paraId="03109827" w14:textId="77777777" w:rsidR="0030408C" w:rsidRDefault="0030408C" w:rsidP="008601F6">
            <w:pPr>
              <w:pStyle w:val="cuatexto"/>
              <w:jc w:val="right"/>
            </w:pPr>
            <w:r>
              <w:t>0,2%</w:t>
            </w:r>
          </w:p>
        </w:tc>
        <w:tc>
          <w:tcPr>
            <w:tcW w:w="695" w:type="dxa"/>
            <w:tcBorders>
              <w:top w:val="single" w:sz="4" w:space="0" w:color="auto"/>
              <w:left w:val="nil"/>
              <w:bottom w:val="single" w:sz="4" w:space="0" w:color="auto"/>
              <w:right w:val="nil"/>
            </w:tcBorders>
            <w:vAlign w:val="bottom"/>
          </w:tcPr>
          <w:p w14:paraId="2EA9BCD4" w14:textId="77777777" w:rsidR="0030408C" w:rsidRDefault="0030408C" w:rsidP="008601F6">
            <w:pPr>
              <w:pStyle w:val="cuatexto"/>
              <w:jc w:val="right"/>
            </w:pPr>
            <w:r>
              <w:t>0,1%</w:t>
            </w:r>
          </w:p>
        </w:tc>
        <w:tc>
          <w:tcPr>
            <w:tcW w:w="709" w:type="dxa"/>
            <w:tcBorders>
              <w:top w:val="single" w:sz="4" w:space="0" w:color="auto"/>
              <w:left w:val="nil"/>
              <w:bottom w:val="single" w:sz="4" w:space="0" w:color="auto"/>
              <w:right w:val="nil"/>
            </w:tcBorders>
            <w:noWrap/>
            <w:vAlign w:val="bottom"/>
          </w:tcPr>
          <w:p w14:paraId="40BDCE62" w14:textId="77777777" w:rsidR="0030408C" w:rsidRDefault="0030408C" w:rsidP="008601F6">
            <w:pPr>
              <w:pStyle w:val="cuatexto"/>
              <w:jc w:val="right"/>
            </w:pPr>
            <w:r>
              <w:t>0,08%</w:t>
            </w:r>
          </w:p>
        </w:tc>
      </w:tr>
    </w:tbl>
    <w:p w14:paraId="34A7EBAB" w14:textId="77777777" w:rsidR="0030408C" w:rsidRDefault="0030408C" w:rsidP="00F11C4E">
      <w:pPr>
        <w:pStyle w:val="texto"/>
        <w:spacing w:before="240" w:after="120"/>
        <w:jc w:val="both"/>
      </w:pPr>
      <w:r>
        <w:t xml:space="preserve">Las diferencias observadas se producen en el proceso de debate de las enmiendas que presentan los grupos parlamentarios a los respectivos proyectos de presupuestos, </w:t>
      </w:r>
      <w:r w:rsidRPr="00676DCB">
        <w:rPr>
          <w:rFonts w:cs="Arial"/>
        </w:rPr>
        <w:t>como</w:t>
      </w:r>
      <w:r>
        <w:t xml:space="preserve"> paso previo a su aprobación por ley foral. </w:t>
      </w:r>
    </w:p>
    <w:p w14:paraId="2908D943" w14:textId="77777777" w:rsidR="0030408C" w:rsidRDefault="0030408C" w:rsidP="00676DCB">
      <w:pPr>
        <w:pStyle w:val="texto"/>
        <w:spacing w:after="120"/>
        <w:jc w:val="both"/>
      </w:pPr>
      <w:r>
        <w:t xml:space="preserve">Según consta en la documentación que acompaña al proyecto de </w:t>
      </w:r>
      <w:r w:rsidR="00BF1782">
        <w:t xml:space="preserve">ley foral de </w:t>
      </w:r>
      <w:r>
        <w:t xml:space="preserve">los presupuestos generales, las estimaciones </w:t>
      </w:r>
      <w:r w:rsidR="00BF1782">
        <w:t xml:space="preserve">de la dotación del Fondo de </w:t>
      </w:r>
      <w:proofErr w:type="gramStart"/>
      <w:r w:rsidR="00BF1782">
        <w:t>Contingencia,</w:t>
      </w:r>
      <w:proofErr w:type="gramEnd"/>
      <w:r w:rsidR="00BF1782">
        <w:t xml:space="preserve"> </w:t>
      </w:r>
      <w:r>
        <w:t>se realizan analizando las posibles contingencias, y siempre, con un criterio de prudencia dada la incertidumbre del momento. Dado que el</w:t>
      </w:r>
      <w:r w:rsidR="00BF1782">
        <w:t xml:space="preserve"> Fondo de C</w:t>
      </w:r>
      <w:r w:rsidR="000E121F">
        <w:t xml:space="preserve">ontingencia </w:t>
      </w:r>
      <w:r>
        <w:t>tiene la finalidad de d</w:t>
      </w:r>
      <w:r w:rsidR="00BF1782">
        <w:t>otar créditos para necesidades no previstas inicialmente en los presupuestos</w:t>
      </w:r>
      <w:r w:rsidR="000E121F">
        <w:rPr>
          <w:rStyle w:val="Refdenotaalpie"/>
        </w:rPr>
        <w:footnoteReference w:id="6"/>
      </w:r>
      <w:r>
        <w:t xml:space="preserve">, no es razonable que en el proceso de discusión del proyecto de </w:t>
      </w:r>
      <w:r w:rsidR="00BF1782">
        <w:t xml:space="preserve">ley foral de </w:t>
      </w:r>
      <w:r>
        <w:t>presupuestos</w:t>
      </w:r>
      <w:r w:rsidR="00BF1782">
        <w:t>,</w:t>
      </w:r>
      <w:r>
        <w:t xml:space="preserve"> se minore esa cu</w:t>
      </w:r>
      <w:r w:rsidR="00BF1782">
        <w:t xml:space="preserve">antía para financiar enmiendas, dado que se estaría desvirtuando su previsión legal. </w:t>
      </w:r>
    </w:p>
    <w:p w14:paraId="5383A685" w14:textId="77777777" w:rsidR="0030408C" w:rsidRDefault="00BF1782" w:rsidP="00F11C4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240"/>
        <w:ind w:left="0" w:firstLine="289"/>
        <w:jc w:val="both"/>
        <w:rPr>
          <w:rFonts w:cs="Arial"/>
          <w:lang w:val="es-ES_tradnl" w:eastAsia="en-US"/>
        </w:rPr>
      </w:pPr>
      <w:r>
        <w:rPr>
          <w:rFonts w:cs="Arial"/>
          <w:lang w:val="es-ES_tradnl" w:eastAsia="en-US"/>
        </w:rPr>
        <w:t xml:space="preserve">La ejecución de los ingresos y gastos de los Fondos Next </w:t>
      </w:r>
      <w:proofErr w:type="spellStart"/>
      <w:r>
        <w:rPr>
          <w:rFonts w:cs="Arial"/>
          <w:lang w:val="es-ES_tradnl" w:eastAsia="en-US"/>
        </w:rPr>
        <w:t>Generation</w:t>
      </w:r>
      <w:proofErr w:type="spellEnd"/>
      <w:r>
        <w:rPr>
          <w:rFonts w:cs="Arial"/>
          <w:lang w:val="es-ES_tradnl" w:eastAsia="en-US"/>
        </w:rPr>
        <w:t>, a</w:t>
      </w:r>
      <w:r w:rsidR="00614DC4" w:rsidRPr="0030408C">
        <w:rPr>
          <w:rFonts w:cs="Arial"/>
          <w:lang w:val="es-ES_tradnl" w:eastAsia="en-US"/>
        </w:rPr>
        <w:t>l cierre del ejercicio 202</w:t>
      </w:r>
      <w:r w:rsidR="00802F88" w:rsidRPr="0030408C">
        <w:rPr>
          <w:rFonts w:cs="Arial"/>
          <w:lang w:val="es-ES_tradnl" w:eastAsia="en-US"/>
        </w:rPr>
        <w:t>3</w:t>
      </w:r>
      <w:r w:rsidR="00614DC4" w:rsidRPr="0030408C">
        <w:rPr>
          <w:rFonts w:cs="Arial"/>
          <w:lang w:val="es-ES_tradnl" w:eastAsia="en-US"/>
        </w:rPr>
        <w:t>, se refleja en el siguiente cuadro:</w:t>
      </w:r>
    </w:p>
    <w:p w14:paraId="7C982B95" w14:textId="77777777" w:rsidR="009919AC" w:rsidRPr="004B023A" w:rsidRDefault="009919AC" w:rsidP="004B023A">
      <w:pPr>
        <w:spacing w:after="60"/>
        <w:ind w:left="51" w:right="11"/>
        <w:jc w:val="right"/>
        <w:rPr>
          <w:rFonts w:ascii="Arial Narrow" w:hAnsi="Arial Narrow" w:cs="Arial"/>
          <w:bCs/>
          <w:sz w:val="20"/>
          <w:szCs w:val="20"/>
        </w:rPr>
      </w:pPr>
      <w:r w:rsidRPr="004B023A">
        <w:rPr>
          <w:rFonts w:ascii="Arial Narrow" w:hAnsi="Arial Narrow" w:cs="Arial"/>
          <w:bCs/>
          <w:sz w:val="20"/>
          <w:szCs w:val="20"/>
        </w:rPr>
        <w:t xml:space="preserve">                                                              (en miles)</w:t>
      </w:r>
    </w:p>
    <w:tbl>
      <w:tblPr>
        <w:tblW w:w="8789" w:type="dxa"/>
        <w:tblCellMar>
          <w:left w:w="70" w:type="dxa"/>
          <w:right w:w="70" w:type="dxa"/>
        </w:tblCellMar>
        <w:tblLook w:val="04A0" w:firstRow="1" w:lastRow="0" w:firstColumn="1" w:lastColumn="0" w:noHBand="0" w:noVBand="1"/>
      </w:tblPr>
      <w:tblGrid>
        <w:gridCol w:w="4355"/>
        <w:gridCol w:w="748"/>
        <w:gridCol w:w="851"/>
        <w:gridCol w:w="850"/>
        <w:gridCol w:w="851"/>
        <w:gridCol w:w="1134"/>
      </w:tblGrid>
      <w:tr w:rsidR="009919AC" w14:paraId="62B0AE57" w14:textId="77777777" w:rsidTr="00053346">
        <w:trPr>
          <w:trHeight w:val="255"/>
        </w:trPr>
        <w:tc>
          <w:tcPr>
            <w:tcW w:w="4355" w:type="dxa"/>
            <w:tcBorders>
              <w:top w:val="single" w:sz="4" w:space="0" w:color="auto"/>
              <w:left w:val="nil"/>
              <w:bottom w:val="single" w:sz="4" w:space="0" w:color="auto"/>
              <w:right w:val="nil"/>
            </w:tcBorders>
            <w:shd w:val="clear" w:color="000000" w:fill="8DB3E2"/>
            <w:noWrap/>
            <w:vAlign w:val="center"/>
            <w:hideMark/>
          </w:tcPr>
          <w:p w14:paraId="74CCE937" w14:textId="77777777" w:rsidR="009919AC" w:rsidRDefault="009919AC" w:rsidP="00F11C4E">
            <w:pPr>
              <w:pStyle w:val="cuadroCabe"/>
            </w:pPr>
            <w:r>
              <w:rPr>
                <w:lang w:val="es-ES_tradnl"/>
              </w:rPr>
              <w:t xml:space="preserve">Gastos e ingresos de los fondos </w:t>
            </w:r>
            <w:r>
              <w:rPr>
                <w:i/>
                <w:iCs/>
                <w:lang w:val="es-ES_tradnl"/>
              </w:rPr>
              <w:t xml:space="preserve">Next </w:t>
            </w:r>
            <w:proofErr w:type="spellStart"/>
            <w:r>
              <w:rPr>
                <w:i/>
                <w:iCs/>
                <w:lang w:val="es-ES_tradnl"/>
              </w:rPr>
              <w:t>Generation</w:t>
            </w:r>
            <w:proofErr w:type="spellEnd"/>
          </w:p>
        </w:tc>
        <w:tc>
          <w:tcPr>
            <w:tcW w:w="748" w:type="dxa"/>
            <w:tcBorders>
              <w:top w:val="single" w:sz="4" w:space="0" w:color="auto"/>
              <w:left w:val="nil"/>
              <w:bottom w:val="single" w:sz="4" w:space="0" w:color="auto"/>
              <w:right w:val="nil"/>
            </w:tcBorders>
            <w:shd w:val="clear" w:color="000000" w:fill="8DB3E2"/>
            <w:noWrap/>
            <w:vAlign w:val="center"/>
            <w:hideMark/>
          </w:tcPr>
          <w:p w14:paraId="741BC702" w14:textId="77777777" w:rsidR="009919AC" w:rsidRDefault="009919AC" w:rsidP="00F11C4E">
            <w:pPr>
              <w:pStyle w:val="cuadroCabe"/>
              <w:jc w:val="right"/>
            </w:pPr>
            <w:r>
              <w:rPr>
                <w:lang w:val="es-ES_tradnl"/>
              </w:rPr>
              <w:t>2020</w:t>
            </w:r>
          </w:p>
        </w:tc>
        <w:tc>
          <w:tcPr>
            <w:tcW w:w="851" w:type="dxa"/>
            <w:tcBorders>
              <w:top w:val="single" w:sz="4" w:space="0" w:color="auto"/>
              <w:left w:val="nil"/>
              <w:bottom w:val="single" w:sz="4" w:space="0" w:color="auto"/>
              <w:right w:val="nil"/>
            </w:tcBorders>
            <w:shd w:val="clear" w:color="000000" w:fill="8DB3E2"/>
            <w:noWrap/>
            <w:vAlign w:val="center"/>
            <w:hideMark/>
          </w:tcPr>
          <w:p w14:paraId="68AE8472" w14:textId="77777777" w:rsidR="009919AC" w:rsidRDefault="009919AC" w:rsidP="00F11C4E">
            <w:pPr>
              <w:pStyle w:val="cuadroCabe"/>
              <w:jc w:val="right"/>
            </w:pPr>
            <w:r>
              <w:rPr>
                <w:lang w:val="es-ES_tradnl"/>
              </w:rPr>
              <w:t>2021</w:t>
            </w:r>
          </w:p>
        </w:tc>
        <w:tc>
          <w:tcPr>
            <w:tcW w:w="850" w:type="dxa"/>
            <w:tcBorders>
              <w:top w:val="single" w:sz="4" w:space="0" w:color="auto"/>
              <w:left w:val="nil"/>
              <w:bottom w:val="single" w:sz="4" w:space="0" w:color="auto"/>
              <w:right w:val="nil"/>
            </w:tcBorders>
            <w:shd w:val="clear" w:color="000000" w:fill="8DB3E2"/>
            <w:vAlign w:val="center"/>
            <w:hideMark/>
          </w:tcPr>
          <w:p w14:paraId="0A1BF8D6" w14:textId="77777777" w:rsidR="009919AC" w:rsidRDefault="009919AC" w:rsidP="00F11C4E">
            <w:pPr>
              <w:pStyle w:val="cuadroCabe"/>
              <w:jc w:val="right"/>
            </w:pPr>
            <w:r>
              <w:rPr>
                <w:lang w:val="es-ES_tradnl"/>
              </w:rPr>
              <w:t>2022</w:t>
            </w:r>
          </w:p>
        </w:tc>
        <w:tc>
          <w:tcPr>
            <w:tcW w:w="851" w:type="dxa"/>
            <w:tcBorders>
              <w:top w:val="single" w:sz="4" w:space="0" w:color="auto"/>
              <w:left w:val="nil"/>
              <w:bottom w:val="single" w:sz="4" w:space="0" w:color="auto"/>
              <w:right w:val="nil"/>
            </w:tcBorders>
            <w:shd w:val="clear" w:color="000000" w:fill="8DB3E2"/>
            <w:vAlign w:val="center"/>
            <w:hideMark/>
          </w:tcPr>
          <w:p w14:paraId="6E25E109" w14:textId="77777777" w:rsidR="009919AC" w:rsidRDefault="009919AC" w:rsidP="00F11C4E">
            <w:pPr>
              <w:pStyle w:val="cuadroCabe"/>
              <w:jc w:val="right"/>
            </w:pPr>
            <w:r>
              <w:t>2023</w:t>
            </w:r>
          </w:p>
        </w:tc>
        <w:tc>
          <w:tcPr>
            <w:tcW w:w="1134" w:type="dxa"/>
            <w:tcBorders>
              <w:top w:val="single" w:sz="4" w:space="0" w:color="auto"/>
              <w:left w:val="nil"/>
              <w:bottom w:val="single" w:sz="4" w:space="0" w:color="auto"/>
              <w:right w:val="nil"/>
            </w:tcBorders>
            <w:shd w:val="clear" w:color="000000" w:fill="8DB3E2"/>
            <w:vAlign w:val="center"/>
            <w:hideMark/>
          </w:tcPr>
          <w:p w14:paraId="3E37186C" w14:textId="77777777" w:rsidR="009919AC" w:rsidRDefault="009919AC" w:rsidP="00F11C4E">
            <w:pPr>
              <w:pStyle w:val="cuadroCabe"/>
              <w:jc w:val="right"/>
            </w:pPr>
            <w:r>
              <w:rPr>
                <w:lang w:val="es-ES_tradnl"/>
              </w:rPr>
              <w:t>Total a 31/12/2023</w:t>
            </w:r>
          </w:p>
        </w:tc>
      </w:tr>
      <w:tr w:rsidR="009919AC" w14:paraId="45360230" w14:textId="77777777" w:rsidTr="00053346">
        <w:trPr>
          <w:trHeight w:val="198"/>
        </w:trPr>
        <w:tc>
          <w:tcPr>
            <w:tcW w:w="4355" w:type="dxa"/>
            <w:tcBorders>
              <w:top w:val="single" w:sz="4" w:space="0" w:color="auto"/>
              <w:left w:val="nil"/>
              <w:bottom w:val="single" w:sz="2" w:space="0" w:color="auto"/>
              <w:right w:val="nil"/>
            </w:tcBorders>
            <w:shd w:val="clear" w:color="auto" w:fill="auto"/>
            <w:noWrap/>
            <w:vAlign w:val="center"/>
            <w:hideMark/>
          </w:tcPr>
          <w:p w14:paraId="2F1D27E8" w14:textId="77777777" w:rsidR="009919AC" w:rsidRPr="00E50CDE" w:rsidRDefault="009919AC" w:rsidP="00F11C4E">
            <w:pPr>
              <w:pStyle w:val="cuatexto"/>
              <w:rPr>
                <w:rFonts w:cs="Calibri"/>
                <w:szCs w:val="20"/>
              </w:rPr>
            </w:pPr>
            <w:r w:rsidRPr="00E50CDE">
              <w:rPr>
                <w:szCs w:val="20"/>
              </w:rPr>
              <w:t>Gastos</w:t>
            </w:r>
          </w:p>
        </w:tc>
        <w:tc>
          <w:tcPr>
            <w:tcW w:w="748" w:type="dxa"/>
            <w:tcBorders>
              <w:top w:val="single" w:sz="4" w:space="0" w:color="auto"/>
              <w:left w:val="nil"/>
              <w:bottom w:val="single" w:sz="2" w:space="0" w:color="auto"/>
              <w:right w:val="nil"/>
            </w:tcBorders>
            <w:shd w:val="clear" w:color="auto" w:fill="auto"/>
            <w:noWrap/>
            <w:vAlign w:val="center"/>
            <w:hideMark/>
          </w:tcPr>
          <w:p w14:paraId="0C90C321" w14:textId="77777777" w:rsidR="009919AC" w:rsidRPr="00E50CDE" w:rsidRDefault="009919AC" w:rsidP="00F11C4E">
            <w:pPr>
              <w:pStyle w:val="cuatexto"/>
              <w:jc w:val="right"/>
              <w:rPr>
                <w:rFonts w:cs="Calibri"/>
                <w:szCs w:val="20"/>
              </w:rPr>
            </w:pPr>
            <w:r w:rsidRPr="00E50CDE">
              <w:rPr>
                <w:szCs w:val="20"/>
              </w:rPr>
              <w:t>41</w:t>
            </w:r>
          </w:p>
        </w:tc>
        <w:tc>
          <w:tcPr>
            <w:tcW w:w="851" w:type="dxa"/>
            <w:tcBorders>
              <w:top w:val="single" w:sz="4" w:space="0" w:color="auto"/>
              <w:left w:val="nil"/>
              <w:bottom w:val="single" w:sz="2" w:space="0" w:color="auto"/>
              <w:right w:val="nil"/>
            </w:tcBorders>
            <w:shd w:val="clear" w:color="auto" w:fill="auto"/>
            <w:noWrap/>
            <w:vAlign w:val="center"/>
            <w:hideMark/>
          </w:tcPr>
          <w:p w14:paraId="289A8648" w14:textId="77777777" w:rsidR="009919AC" w:rsidRPr="00E50CDE" w:rsidRDefault="009919AC" w:rsidP="00F11C4E">
            <w:pPr>
              <w:pStyle w:val="cuatexto"/>
              <w:jc w:val="right"/>
              <w:rPr>
                <w:rFonts w:cs="Calibri"/>
                <w:szCs w:val="20"/>
              </w:rPr>
            </w:pPr>
            <w:r w:rsidRPr="00E50CDE">
              <w:rPr>
                <w:szCs w:val="20"/>
              </w:rPr>
              <w:t>4.218</w:t>
            </w:r>
          </w:p>
        </w:tc>
        <w:tc>
          <w:tcPr>
            <w:tcW w:w="850" w:type="dxa"/>
            <w:tcBorders>
              <w:top w:val="single" w:sz="4" w:space="0" w:color="auto"/>
              <w:left w:val="nil"/>
              <w:bottom w:val="single" w:sz="2" w:space="0" w:color="auto"/>
              <w:right w:val="nil"/>
            </w:tcBorders>
            <w:shd w:val="clear" w:color="auto" w:fill="auto"/>
            <w:vAlign w:val="center"/>
            <w:hideMark/>
          </w:tcPr>
          <w:p w14:paraId="4B1E41F6" w14:textId="77777777" w:rsidR="009919AC" w:rsidRPr="00E50CDE" w:rsidRDefault="009919AC" w:rsidP="00F11C4E">
            <w:pPr>
              <w:pStyle w:val="cuatexto"/>
              <w:jc w:val="right"/>
              <w:rPr>
                <w:rFonts w:cs="Calibri"/>
                <w:szCs w:val="20"/>
              </w:rPr>
            </w:pPr>
            <w:r w:rsidRPr="00E50CDE">
              <w:rPr>
                <w:szCs w:val="20"/>
              </w:rPr>
              <w:t>59.685</w:t>
            </w:r>
          </w:p>
        </w:tc>
        <w:tc>
          <w:tcPr>
            <w:tcW w:w="851" w:type="dxa"/>
            <w:tcBorders>
              <w:top w:val="single" w:sz="4" w:space="0" w:color="auto"/>
              <w:left w:val="nil"/>
              <w:bottom w:val="single" w:sz="2" w:space="0" w:color="auto"/>
              <w:right w:val="nil"/>
            </w:tcBorders>
            <w:shd w:val="clear" w:color="000000" w:fill="FFFFFF"/>
            <w:noWrap/>
            <w:vAlign w:val="bottom"/>
            <w:hideMark/>
          </w:tcPr>
          <w:p w14:paraId="62D550FC" w14:textId="77777777" w:rsidR="009919AC" w:rsidRPr="00E50CDE" w:rsidRDefault="005E2D29" w:rsidP="00F11C4E">
            <w:pPr>
              <w:pStyle w:val="cuatexto"/>
              <w:jc w:val="right"/>
              <w:rPr>
                <w:rFonts w:cs="Calibri"/>
                <w:szCs w:val="20"/>
              </w:rPr>
            </w:pPr>
            <w:r>
              <w:rPr>
                <w:rFonts w:cs="Calibri"/>
                <w:szCs w:val="20"/>
              </w:rPr>
              <w:t>1</w:t>
            </w:r>
            <w:r w:rsidR="009919AC" w:rsidRPr="00E50CDE">
              <w:rPr>
                <w:rFonts w:cs="Calibri"/>
                <w:szCs w:val="20"/>
              </w:rPr>
              <w:t xml:space="preserve">13.817 </w:t>
            </w:r>
          </w:p>
        </w:tc>
        <w:tc>
          <w:tcPr>
            <w:tcW w:w="1134" w:type="dxa"/>
            <w:tcBorders>
              <w:top w:val="single" w:sz="4" w:space="0" w:color="auto"/>
              <w:left w:val="nil"/>
              <w:bottom w:val="single" w:sz="2" w:space="0" w:color="auto"/>
              <w:right w:val="nil"/>
            </w:tcBorders>
            <w:shd w:val="clear" w:color="auto" w:fill="auto"/>
            <w:vAlign w:val="center"/>
            <w:hideMark/>
          </w:tcPr>
          <w:p w14:paraId="2C90AC7D" w14:textId="77777777" w:rsidR="009919AC" w:rsidRPr="00E50CDE" w:rsidRDefault="009919AC" w:rsidP="00F11C4E">
            <w:pPr>
              <w:pStyle w:val="cuatexto"/>
              <w:jc w:val="right"/>
              <w:rPr>
                <w:rFonts w:cs="Calibri"/>
                <w:szCs w:val="20"/>
              </w:rPr>
            </w:pPr>
            <w:r w:rsidRPr="00E50CDE">
              <w:rPr>
                <w:szCs w:val="20"/>
              </w:rPr>
              <w:t>177.761</w:t>
            </w:r>
          </w:p>
        </w:tc>
      </w:tr>
      <w:tr w:rsidR="009919AC" w14:paraId="276671FC" w14:textId="77777777" w:rsidTr="00053346">
        <w:trPr>
          <w:trHeight w:val="198"/>
        </w:trPr>
        <w:tc>
          <w:tcPr>
            <w:tcW w:w="4355" w:type="dxa"/>
            <w:tcBorders>
              <w:top w:val="single" w:sz="2" w:space="0" w:color="auto"/>
              <w:left w:val="nil"/>
              <w:bottom w:val="single" w:sz="2" w:space="0" w:color="auto"/>
              <w:right w:val="nil"/>
            </w:tcBorders>
            <w:shd w:val="clear" w:color="auto" w:fill="auto"/>
            <w:noWrap/>
            <w:vAlign w:val="center"/>
            <w:hideMark/>
          </w:tcPr>
          <w:p w14:paraId="43FECFEB" w14:textId="77777777" w:rsidR="009919AC" w:rsidRPr="00E50CDE" w:rsidRDefault="009919AC" w:rsidP="00F11C4E">
            <w:pPr>
              <w:pStyle w:val="cuatexto"/>
              <w:rPr>
                <w:rFonts w:cs="Calibri"/>
                <w:szCs w:val="20"/>
              </w:rPr>
            </w:pPr>
            <w:r w:rsidRPr="00E50CDE">
              <w:rPr>
                <w:szCs w:val="20"/>
              </w:rPr>
              <w:t>Corrientes</w:t>
            </w:r>
          </w:p>
        </w:tc>
        <w:tc>
          <w:tcPr>
            <w:tcW w:w="748" w:type="dxa"/>
            <w:tcBorders>
              <w:top w:val="single" w:sz="2" w:space="0" w:color="auto"/>
              <w:left w:val="nil"/>
              <w:bottom w:val="single" w:sz="2" w:space="0" w:color="auto"/>
              <w:right w:val="nil"/>
            </w:tcBorders>
            <w:shd w:val="clear" w:color="auto" w:fill="auto"/>
            <w:noWrap/>
            <w:vAlign w:val="center"/>
            <w:hideMark/>
          </w:tcPr>
          <w:p w14:paraId="217B341A" w14:textId="77777777" w:rsidR="009919AC" w:rsidRPr="00E50CDE" w:rsidRDefault="009919AC" w:rsidP="00F11C4E">
            <w:pPr>
              <w:pStyle w:val="cuatexto"/>
              <w:jc w:val="right"/>
              <w:rPr>
                <w:rFonts w:cs="Calibri"/>
                <w:szCs w:val="20"/>
              </w:rPr>
            </w:pPr>
            <w:r w:rsidRPr="00E50CDE">
              <w:rPr>
                <w:szCs w:val="20"/>
              </w:rPr>
              <w:t> </w:t>
            </w:r>
          </w:p>
        </w:tc>
        <w:tc>
          <w:tcPr>
            <w:tcW w:w="851" w:type="dxa"/>
            <w:tcBorders>
              <w:top w:val="single" w:sz="2" w:space="0" w:color="auto"/>
              <w:left w:val="nil"/>
              <w:bottom w:val="single" w:sz="2" w:space="0" w:color="auto"/>
              <w:right w:val="nil"/>
            </w:tcBorders>
            <w:shd w:val="clear" w:color="auto" w:fill="auto"/>
            <w:noWrap/>
            <w:vAlign w:val="center"/>
            <w:hideMark/>
          </w:tcPr>
          <w:p w14:paraId="0E8A9919" w14:textId="77777777" w:rsidR="009919AC" w:rsidRPr="00E50CDE" w:rsidRDefault="009919AC" w:rsidP="00F11C4E">
            <w:pPr>
              <w:pStyle w:val="cuatexto"/>
              <w:jc w:val="right"/>
              <w:rPr>
                <w:rFonts w:cs="Calibri"/>
                <w:szCs w:val="20"/>
              </w:rPr>
            </w:pPr>
            <w:r w:rsidRPr="00E50CDE">
              <w:rPr>
                <w:szCs w:val="20"/>
              </w:rPr>
              <w:t>1.906</w:t>
            </w:r>
          </w:p>
        </w:tc>
        <w:tc>
          <w:tcPr>
            <w:tcW w:w="850" w:type="dxa"/>
            <w:tcBorders>
              <w:top w:val="single" w:sz="2" w:space="0" w:color="auto"/>
              <w:left w:val="nil"/>
              <w:bottom w:val="single" w:sz="2" w:space="0" w:color="auto"/>
              <w:right w:val="nil"/>
            </w:tcBorders>
            <w:shd w:val="clear" w:color="auto" w:fill="auto"/>
            <w:vAlign w:val="center"/>
            <w:hideMark/>
          </w:tcPr>
          <w:p w14:paraId="76200AC7" w14:textId="77777777" w:rsidR="009919AC" w:rsidRPr="00E50CDE" w:rsidRDefault="009919AC" w:rsidP="00F11C4E">
            <w:pPr>
              <w:pStyle w:val="cuatexto"/>
              <w:jc w:val="right"/>
              <w:rPr>
                <w:rFonts w:cs="Calibri"/>
                <w:szCs w:val="20"/>
              </w:rPr>
            </w:pPr>
            <w:r w:rsidRPr="00E50CDE">
              <w:rPr>
                <w:szCs w:val="20"/>
              </w:rPr>
              <w:t>17.507</w:t>
            </w:r>
          </w:p>
        </w:tc>
        <w:tc>
          <w:tcPr>
            <w:tcW w:w="851" w:type="dxa"/>
            <w:tcBorders>
              <w:top w:val="single" w:sz="2" w:space="0" w:color="auto"/>
              <w:left w:val="nil"/>
              <w:bottom w:val="single" w:sz="2" w:space="0" w:color="auto"/>
              <w:right w:val="nil"/>
            </w:tcBorders>
            <w:shd w:val="clear" w:color="000000" w:fill="FFFFFF"/>
            <w:noWrap/>
            <w:vAlign w:val="bottom"/>
            <w:hideMark/>
          </w:tcPr>
          <w:p w14:paraId="464A650F" w14:textId="77777777" w:rsidR="009919AC" w:rsidRPr="00E50CDE" w:rsidRDefault="009919AC" w:rsidP="00F11C4E">
            <w:pPr>
              <w:pStyle w:val="cuatexto"/>
              <w:jc w:val="right"/>
              <w:rPr>
                <w:rFonts w:cs="Calibri"/>
                <w:szCs w:val="20"/>
              </w:rPr>
            </w:pPr>
            <w:r w:rsidRPr="00E50CDE">
              <w:rPr>
                <w:rFonts w:cs="Calibri"/>
                <w:szCs w:val="20"/>
              </w:rPr>
              <w:t xml:space="preserve">35.049 </w:t>
            </w:r>
          </w:p>
        </w:tc>
        <w:tc>
          <w:tcPr>
            <w:tcW w:w="1134" w:type="dxa"/>
            <w:tcBorders>
              <w:top w:val="single" w:sz="2" w:space="0" w:color="auto"/>
              <w:left w:val="nil"/>
              <w:bottom w:val="single" w:sz="2" w:space="0" w:color="auto"/>
              <w:right w:val="nil"/>
            </w:tcBorders>
            <w:shd w:val="clear" w:color="auto" w:fill="auto"/>
            <w:vAlign w:val="center"/>
            <w:hideMark/>
          </w:tcPr>
          <w:p w14:paraId="2F13D887" w14:textId="77777777" w:rsidR="009919AC" w:rsidRPr="00E50CDE" w:rsidRDefault="009919AC" w:rsidP="00F11C4E">
            <w:pPr>
              <w:pStyle w:val="cuatexto"/>
              <w:jc w:val="right"/>
              <w:rPr>
                <w:rFonts w:cs="Calibri"/>
                <w:szCs w:val="20"/>
              </w:rPr>
            </w:pPr>
            <w:r w:rsidRPr="00E50CDE">
              <w:rPr>
                <w:szCs w:val="20"/>
              </w:rPr>
              <w:t>54.462</w:t>
            </w:r>
          </w:p>
        </w:tc>
      </w:tr>
      <w:tr w:rsidR="009919AC" w14:paraId="1ADADA6D" w14:textId="77777777" w:rsidTr="00053346">
        <w:trPr>
          <w:trHeight w:val="198"/>
        </w:trPr>
        <w:tc>
          <w:tcPr>
            <w:tcW w:w="4355" w:type="dxa"/>
            <w:tcBorders>
              <w:top w:val="single" w:sz="2" w:space="0" w:color="auto"/>
              <w:left w:val="nil"/>
              <w:bottom w:val="single" w:sz="2" w:space="0" w:color="auto"/>
              <w:right w:val="nil"/>
            </w:tcBorders>
            <w:shd w:val="clear" w:color="auto" w:fill="auto"/>
            <w:noWrap/>
            <w:vAlign w:val="center"/>
            <w:hideMark/>
          </w:tcPr>
          <w:p w14:paraId="202F9A34" w14:textId="77777777" w:rsidR="009919AC" w:rsidRPr="00E50CDE" w:rsidRDefault="009919AC" w:rsidP="00F11C4E">
            <w:pPr>
              <w:pStyle w:val="cuatexto"/>
              <w:rPr>
                <w:rFonts w:cs="Calibri"/>
                <w:szCs w:val="20"/>
              </w:rPr>
            </w:pPr>
            <w:r w:rsidRPr="00E50CDE">
              <w:rPr>
                <w:szCs w:val="20"/>
              </w:rPr>
              <w:t>Capital</w:t>
            </w:r>
          </w:p>
        </w:tc>
        <w:tc>
          <w:tcPr>
            <w:tcW w:w="748" w:type="dxa"/>
            <w:tcBorders>
              <w:top w:val="single" w:sz="2" w:space="0" w:color="auto"/>
              <w:left w:val="nil"/>
              <w:bottom w:val="single" w:sz="2" w:space="0" w:color="auto"/>
              <w:right w:val="nil"/>
            </w:tcBorders>
            <w:shd w:val="clear" w:color="auto" w:fill="auto"/>
            <w:noWrap/>
            <w:vAlign w:val="center"/>
            <w:hideMark/>
          </w:tcPr>
          <w:p w14:paraId="5D3B8592" w14:textId="77777777" w:rsidR="009919AC" w:rsidRPr="00E50CDE" w:rsidRDefault="009919AC" w:rsidP="00F11C4E">
            <w:pPr>
              <w:pStyle w:val="cuatexto"/>
              <w:jc w:val="right"/>
              <w:rPr>
                <w:rFonts w:cs="Calibri"/>
                <w:szCs w:val="20"/>
              </w:rPr>
            </w:pPr>
            <w:r w:rsidRPr="00E50CDE">
              <w:rPr>
                <w:szCs w:val="20"/>
              </w:rPr>
              <w:t>41</w:t>
            </w:r>
          </w:p>
        </w:tc>
        <w:tc>
          <w:tcPr>
            <w:tcW w:w="851" w:type="dxa"/>
            <w:tcBorders>
              <w:top w:val="single" w:sz="2" w:space="0" w:color="auto"/>
              <w:left w:val="nil"/>
              <w:bottom w:val="single" w:sz="2" w:space="0" w:color="auto"/>
              <w:right w:val="nil"/>
            </w:tcBorders>
            <w:shd w:val="clear" w:color="auto" w:fill="auto"/>
            <w:noWrap/>
            <w:vAlign w:val="center"/>
            <w:hideMark/>
          </w:tcPr>
          <w:p w14:paraId="4F801338" w14:textId="77777777" w:rsidR="009919AC" w:rsidRPr="00E50CDE" w:rsidRDefault="009919AC" w:rsidP="00F11C4E">
            <w:pPr>
              <w:pStyle w:val="cuatexto"/>
              <w:jc w:val="right"/>
              <w:rPr>
                <w:rFonts w:cs="Calibri"/>
                <w:szCs w:val="20"/>
              </w:rPr>
            </w:pPr>
            <w:r w:rsidRPr="00E50CDE">
              <w:rPr>
                <w:szCs w:val="20"/>
              </w:rPr>
              <w:t>2.312</w:t>
            </w:r>
          </w:p>
        </w:tc>
        <w:tc>
          <w:tcPr>
            <w:tcW w:w="850" w:type="dxa"/>
            <w:tcBorders>
              <w:top w:val="single" w:sz="2" w:space="0" w:color="auto"/>
              <w:left w:val="nil"/>
              <w:bottom w:val="single" w:sz="2" w:space="0" w:color="auto"/>
              <w:right w:val="nil"/>
            </w:tcBorders>
            <w:shd w:val="clear" w:color="auto" w:fill="auto"/>
            <w:vAlign w:val="center"/>
            <w:hideMark/>
          </w:tcPr>
          <w:p w14:paraId="7F6E3BBC" w14:textId="77777777" w:rsidR="009919AC" w:rsidRPr="00E50CDE" w:rsidRDefault="009919AC" w:rsidP="00F11C4E">
            <w:pPr>
              <w:pStyle w:val="cuatexto"/>
              <w:jc w:val="right"/>
              <w:rPr>
                <w:rFonts w:cs="Calibri"/>
                <w:szCs w:val="20"/>
              </w:rPr>
            </w:pPr>
            <w:r w:rsidRPr="00E50CDE">
              <w:rPr>
                <w:szCs w:val="20"/>
              </w:rPr>
              <w:t>42.178</w:t>
            </w:r>
          </w:p>
        </w:tc>
        <w:tc>
          <w:tcPr>
            <w:tcW w:w="851" w:type="dxa"/>
            <w:tcBorders>
              <w:top w:val="single" w:sz="2" w:space="0" w:color="auto"/>
              <w:left w:val="nil"/>
              <w:bottom w:val="single" w:sz="2" w:space="0" w:color="auto"/>
              <w:right w:val="nil"/>
            </w:tcBorders>
            <w:shd w:val="clear" w:color="000000" w:fill="FFFFFF"/>
            <w:noWrap/>
            <w:vAlign w:val="bottom"/>
            <w:hideMark/>
          </w:tcPr>
          <w:p w14:paraId="42F686D2" w14:textId="77777777" w:rsidR="009919AC" w:rsidRPr="00E50CDE" w:rsidRDefault="009919AC" w:rsidP="00F11C4E">
            <w:pPr>
              <w:pStyle w:val="cuatexto"/>
              <w:jc w:val="right"/>
              <w:rPr>
                <w:rFonts w:cs="Calibri"/>
                <w:szCs w:val="20"/>
              </w:rPr>
            </w:pPr>
            <w:r w:rsidRPr="00E50CDE">
              <w:rPr>
                <w:rFonts w:cs="Calibri"/>
                <w:szCs w:val="20"/>
              </w:rPr>
              <w:t xml:space="preserve">78.767 </w:t>
            </w:r>
          </w:p>
        </w:tc>
        <w:tc>
          <w:tcPr>
            <w:tcW w:w="1134" w:type="dxa"/>
            <w:tcBorders>
              <w:top w:val="single" w:sz="2" w:space="0" w:color="auto"/>
              <w:left w:val="nil"/>
              <w:bottom w:val="single" w:sz="2" w:space="0" w:color="auto"/>
              <w:right w:val="nil"/>
            </w:tcBorders>
            <w:shd w:val="clear" w:color="auto" w:fill="auto"/>
            <w:vAlign w:val="center"/>
            <w:hideMark/>
          </w:tcPr>
          <w:p w14:paraId="069EF2F2" w14:textId="77777777" w:rsidR="009919AC" w:rsidRPr="00E50CDE" w:rsidRDefault="009919AC" w:rsidP="00F11C4E">
            <w:pPr>
              <w:pStyle w:val="cuatexto"/>
              <w:jc w:val="right"/>
              <w:rPr>
                <w:rFonts w:cs="Calibri"/>
                <w:szCs w:val="20"/>
              </w:rPr>
            </w:pPr>
            <w:r w:rsidRPr="00E50CDE">
              <w:rPr>
                <w:szCs w:val="20"/>
              </w:rPr>
              <w:t>123.299</w:t>
            </w:r>
          </w:p>
        </w:tc>
      </w:tr>
      <w:tr w:rsidR="009919AC" w14:paraId="0AC394A2" w14:textId="77777777" w:rsidTr="00053346">
        <w:trPr>
          <w:trHeight w:val="198"/>
        </w:trPr>
        <w:tc>
          <w:tcPr>
            <w:tcW w:w="4355" w:type="dxa"/>
            <w:tcBorders>
              <w:top w:val="single" w:sz="2" w:space="0" w:color="auto"/>
              <w:left w:val="nil"/>
              <w:bottom w:val="single" w:sz="2" w:space="0" w:color="auto"/>
              <w:right w:val="nil"/>
            </w:tcBorders>
            <w:shd w:val="clear" w:color="auto" w:fill="auto"/>
            <w:noWrap/>
            <w:vAlign w:val="center"/>
            <w:hideMark/>
          </w:tcPr>
          <w:p w14:paraId="58FA3707" w14:textId="77777777" w:rsidR="009919AC" w:rsidRPr="00E50CDE" w:rsidRDefault="009919AC" w:rsidP="00F11C4E">
            <w:pPr>
              <w:pStyle w:val="cuatexto"/>
              <w:rPr>
                <w:rFonts w:cs="Calibri"/>
                <w:szCs w:val="20"/>
              </w:rPr>
            </w:pPr>
            <w:r w:rsidRPr="00E50CDE">
              <w:rPr>
                <w:szCs w:val="20"/>
              </w:rPr>
              <w:t> </w:t>
            </w:r>
          </w:p>
        </w:tc>
        <w:tc>
          <w:tcPr>
            <w:tcW w:w="748" w:type="dxa"/>
            <w:tcBorders>
              <w:top w:val="single" w:sz="2" w:space="0" w:color="auto"/>
              <w:left w:val="nil"/>
              <w:bottom w:val="single" w:sz="2" w:space="0" w:color="auto"/>
              <w:right w:val="nil"/>
            </w:tcBorders>
            <w:shd w:val="clear" w:color="auto" w:fill="auto"/>
            <w:noWrap/>
            <w:vAlign w:val="center"/>
            <w:hideMark/>
          </w:tcPr>
          <w:p w14:paraId="121DE090" w14:textId="77777777" w:rsidR="009919AC" w:rsidRPr="00E50CDE" w:rsidRDefault="009919AC" w:rsidP="00F11C4E">
            <w:pPr>
              <w:pStyle w:val="cuatexto"/>
              <w:jc w:val="right"/>
              <w:rPr>
                <w:rFonts w:cs="Calibri"/>
                <w:szCs w:val="20"/>
              </w:rPr>
            </w:pPr>
            <w:r w:rsidRPr="00E50CDE">
              <w:rPr>
                <w:rFonts w:cs="Calibri"/>
                <w:szCs w:val="20"/>
                <w:lang w:val="es-ES_tradnl"/>
              </w:rPr>
              <w:t> </w:t>
            </w:r>
          </w:p>
        </w:tc>
        <w:tc>
          <w:tcPr>
            <w:tcW w:w="851" w:type="dxa"/>
            <w:tcBorders>
              <w:top w:val="single" w:sz="2" w:space="0" w:color="auto"/>
              <w:left w:val="nil"/>
              <w:bottom w:val="single" w:sz="2" w:space="0" w:color="auto"/>
              <w:right w:val="nil"/>
            </w:tcBorders>
            <w:shd w:val="clear" w:color="auto" w:fill="auto"/>
            <w:noWrap/>
            <w:vAlign w:val="center"/>
            <w:hideMark/>
          </w:tcPr>
          <w:p w14:paraId="1F3C9FB3" w14:textId="77777777" w:rsidR="009919AC" w:rsidRPr="00E50CDE" w:rsidRDefault="009919AC" w:rsidP="00F11C4E">
            <w:pPr>
              <w:pStyle w:val="cuatexto"/>
              <w:jc w:val="right"/>
              <w:rPr>
                <w:rFonts w:cs="Calibri"/>
                <w:szCs w:val="20"/>
              </w:rPr>
            </w:pPr>
            <w:r w:rsidRPr="00E50CDE">
              <w:rPr>
                <w:rFonts w:cs="Calibri"/>
                <w:szCs w:val="20"/>
                <w:lang w:val="es-ES_tradnl"/>
              </w:rPr>
              <w:t> </w:t>
            </w:r>
          </w:p>
        </w:tc>
        <w:tc>
          <w:tcPr>
            <w:tcW w:w="850" w:type="dxa"/>
            <w:tcBorders>
              <w:top w:val="single" w:sz="2" w:space="0" w:color="auto"/>
              <w:left w:val="nil"/>
              <w:bottom w:val="single" w:sz="2" w:space="0" w:color="auto"/>
              <w:right w:val="nil"/>
            </w:tcBorders>
            <w:shd w:val="clear" w:color="auto" w:fill="auto"/>
            <w:vAlign w:val="center"/>
            <w:hideMark/>
          </w:tcPr>
          <w:p w14:paraId="73C75005" w14:textId="77777777" w:rsidR="009919AC" w:rsidRPr="00E50CDE" w:rsidRDefault="009919AC" w:rsidP="00F11C4E">
            <w:pPr>
              <w:pStyle w:val="cuatexto"/>
              <w:jc w:val="right"/>
              <w:rPr>
                <w:rFonts w:cs="Calibri"/>
                <w:szCs w:val="20"/>
              </w:rPr>
            </w:pPr>
            <w:r w:rsidRPr="00E50CDE">
              <w:rPr>
                <w:rFonts w:cs="Calibri"/>
                <w:szCs w:val="20"/>
                <w:lang w:val="es-ES_tradnl"/>
              </w:rPr>
              <w:t> </w:t>
            </w:r>
          </w:p>
        </w:tc>
        <w:tc>
          <w:tcPr>
            <w:tcW w:w="851" w:type="dxa"/>
            <w:tcBorders>
              <w:top w:val="single" w:sz="2" w:space="0" w:color="auto"/>
              <w:left w:val="nil"/>
              <w:bottom w:val="single" w:sz="2" w:space="0" w:color="auto"/>
              <w:right w:val="nil"/>
            </w:tcBorders>
            <w:shd w:val="clear" w:color="auto" w:fill="auto"/>
            <w:noWrap/>
            <w:vAlign w:val="bottom"/>
            <w:hideMark/>
          </w:tcPr>
          <w:p w14:paraId="4055C049" w14:textId="77777777" w:rsidR="009919AC" w:rsidRPr="00E50CDE" w:rsidRDefault="009919AC" w:rsidP="00F11C4E">
            <w:pPr>
              <w:pStyle w:val="cuatexto"/>
              <w:jc w:val="right"/>
              <w:rPr>
                <w:rFonts w:cs="Calibri"/>
                <w:szCs w:val="20"/>
              </w:rPr>
            </w:pPr>
            <w:r w:rsidRPr="00E50CDE">
              <w:rPr>
                <w:rFonts w:cs="Calibri"/>
                <w:szCs w:val="20"/>
              </w:rPr>
              <w:t> </w:t>
            </w:r>
          </w:p>
        </w:tc>
        <w:tc>
          <w:tcPr>
            <w:tcW w:w="1134" w:type="dxa"/>
            <w:tcBorders>
              <w:top w:val="single" w:sz="2" w:space="0" w:color="auto"/>
              <w:left w:val="nil"/>
              <w:bottom w:val="single" w:sz="2" w:space="0" w:color="auto"/>
              <w:right w:val="nil"/>
            </w:tcBorders>
            <w:shd w:val="clear" w:color="auto" w:fill="auto"/>
            <w:vAlign w:val="center"/>
            <w:hideMark/>
          </w:tcPr>
          <w:p w14:paraId="34BE7CB9" w14:textId="77777777" w:rsidR="009919AC" w:rsidRPr="00E50CDE" w:rsidRDefault="009919AC" w:rsidP="00F11C4E">
            <w:pPr>
              <w:pStyle w:val="cuatexto"/>
              <w:jc w:val="right"/>
              <w:rPr>
                <w:rFonts w:cs="Calibri"/>
                <w:szCs w:val="20"/>
              </w:rPr>
            </w:pPr>
            <w:r w:rsidRPr="00E50CDE">
              <w:rPr>
                <w:rFonts w:cs="Calibri"/>
                <w:szCs w:val="20"/>
              </w:rPr>
              <w:t> </w:t>
            </w:r>
          </w:p>
        </w:tc>
      </w:tr>
      <w:tr w:rsidR="009919AC" w14:paraId="4A8E0914" w14:textId="77777777" w:rsidTr="00053346">
        <w:trPr>
          <w:trHeight w:val="198"/>
        </w:trPr>
        <w:tc>
          <w:tcPr>
            <w:tcW w:w="4355" w:type="dxa"/>
            <w:tcBorders>
              <w:top w:val="single" w:sz="2" w:space="0" w:color="auto"/>
              <w:left w:val="nil"/>
              <w:bottom w:val="single" w:sz="2" w:space="0" w:color="auto"/>
              <w:right w:val="nil"/>
            </w:tcBorders>
            <w:shd w:val="clear" w:color="auto" w:fill="auto"/>
            <w:noWrap/>
            <w:vAlign w:val="center"/>
            <w:hideMark/>
          </w:tcPr>
          <w:p w14:paraId="0C29D303" w14:textId="77777777" w:rsidR="009919AC" w:rsidRPr="00E50CDE" w:rsidRDefault="009919AC" w:rsidP="00F11C4E">
            <w:pPr>
              <w:pStyle w:val="cuatexto"/>
              <w:rPr>
                <w:rFonts w:cs="Calibri"/>
                <w:szCs w:val="20"/>
              </w:rPr>
            </w:pPr>
            <w:r w:rsidRPr="00E50CDE">
              <w:rPr>
                <w:szCs w:val="20"/>
              </w:rPr>
              <w:t>Ingresos</w:t>
            </w:r>
          </w:p>
        </w:tc>
        <w:tc>
          <w:tcPr>
            <w:tcW w:w="748" w:type="dxa"/>
            <w:tcBorders>
              <w:top w:val="single" w:sz="2" w:space="0" w:color="auto"/>
              <w:left w:val="nil"/>
              <w:bottom w:val="single" w:sz="2" w:space="0" w:color="auto"/>
              <w:right w:val="nil"/>
            </w:tcBorders>
            <w:shd w:val="clear" w:color="auto" w:fill="auto"/>
            <w:noWrap/>
            <w:vAlign w:val="center"/>
            <w:hideMark/>
          </w:tcPr>
          <w:p w14:paraId="3B90CA7E" w14:textId="77777777" w:rsidR="009919AC" w:rsidRPr="00E50CDE" w:rsidRDefault="009919AC" w:rsidP="00F11C4E">
            <w:pPr>
              <w:pStyle w:val="cuatexto"/>
              <w:jc w:val="right"/>
              <w:rPr>
                <w:rFonts w:cs="Calibri"/>
                <w:szCs w:val="20"/>
              </w:rPr>
            </w:pPr>
            <w:r w:rsidRPr="00E50CDE">
              <w:rPr>
                <w:rFonts w:cs="Calibri"/>
                <w:szCs w:val="20"/>
                <w:lang w:val="es-ES_tradnl"/>
              </w:rPr>
              <w:t>5.510</w:t>
            </w:r>
          </w:p>
        </w:tc>
        <w:tc>
          <w:tcPr>
            <w:tcW w:w="851" w:type="dxa"/>
            <w:tcBorders>
              <w:top w:val="single" w:sz="2" w:space="0" w:color="auto"/>
              <w:left w:val="nil"/>
              <w:bottom w:val="single" w:sz="2" w:space="0" w:color="auto"/>
              <w:right w:val="nil"/>
            </w:tcBorders>
            <w:shd w:val="clear" w:color="auto" w:fill="auto"/>
            <w:noWrap/>
            <w:vAlign w:val="center"/>
            <w:hideMark/>
          </w:tcPr>
          <w:p w14:paraId="3CB52AA7" w14:textId="77777777" w:rsidR="009919AC" w:rsidRPr="00E50CDE" w:rsidRDefault="009919AC" w:rsidP="00F11C4E">
            <w:pPr>
              <w:pStyle w:val="cuatexto"/>
              <w:jc w:val="right"/>
              <w:rPr>
                <w:rFonts w:cs="Calibri"/>
                <w:szCs w:val="20"/>
              </w:rPr>
            </w:pPr>
            <w:r w:rsidRPr="00E50CDE">
              <w:rPr>
                <w:rFonts w:cs="Calibri"/>
                <w:szCs w:val="20"/>
                <w:lang w:val="es-ES_tradnl"/>
              </w:rPr>
              <w:t>174.517</w:t>
            </w:r>
          </w:p>
        </w:tc>
        <w:tc>
          <w:tcPr>
            <w:tcW w:w="850" w:type="dxa"/>
            <w:tcBorders>
              <w:top w:val="single" w:sz="2" w:space="0" w:color="auto"/>
              <w:left w:val="nil"/>
              <w:bottom w:val="single" w:sz="2" w:space="0" w:color="auto"/>
              <w:right w:val="nil"/>
            </w:tcBorders>
            <w:shd w:val="clear" w:color="auto" w:fill="auto"/>
            <w:vAlign w:val="center"/>
            <w:hideMark/>
          </w:tcPr>
          <w:p w14:paraId="0D320B35" w14:textId="77777777" w:rsidR="009919AC" w:rsidRPr="00E50CDE" w:rsidRDefault="009919AC" w:rsidP="00F11C4E">
            <w:pPr>
              <w:pStyle w:val="cuatexto"/>
              <w:jc w:val="right"/>
              <w:rPr>
                <w:rFonts w:cs="Calibri"/>
                <w:szCs w:val="20"/>
              </w:rPr>
            </w:pPr>
            <w:r w:rsidRPr="00E50CDE">
              <w:rPr>
                <w:rFonts w:cs="Calibri"/>
                <w:szCs w:val="20"/>
                <w:lang w:val="es-ES_tradnl"/>
              </w:rPr>
              <w:t>191.994</w:t>
            </w:r>
          </w:p>
        </w:tc>
        <w:tc>
          <w:tcPr>
            <w:tcW w:w="851" w:type="dxa"/>
            <w:tcBorders>
              <w:top w:val="single" w:sz="2" w:space="0" w:color="auto"/>
              <w:left w:val="nil"/>
              <w:bottom w:val="single" w:sz="2" w:space="0" w:color="auto"/>
              <w:right w:val="nil"/>
            </w:tcBorders>
            <w:shd w:val="clear" w:color="000000" w:fill="FFFFFF"/>
            <w:noWrap/>
            <w:vAlign w:val="bottom"/>
            <w:hideMark/>
          </w:tcPr>
          <w:p w14:paraId="53E4AF1E" w14:textId="77777777" w:rsidR="009919AC" w:rsidRPr="00E50CDE" w:rsidRDefault="009919AC" w:rsidP="00F11C4E">
            <w:pPr>
              <w:pStyle w:val="cuatexto"/>
              <w:jc w:val="right"/>
              <w:rPr>
                <w:rFonts w:cs="Calibri"/>
                <w:szCs w:val="20"/>
              </w:rPr>
            </w:pPr>
            <w:r w:rsidRPr="00E50CDE">
              <w:rPr>
                <w:rFonts w:cs="Calibri"/>
                <w:szCs w:val="20"/>
              </w:rPr>
              <w:t xml:space="preserve">165.416 </w:t>
            </w:r>
          </w:p>
        </w:tc>
        <w:tc>
          <w:tcPr>
            <w:tcW w:w="1134" w:type="dxa"/>
            <w:tcBorders>
              <w:top w:val="single" w:sz="2" w:space="0" w:color="auto"/>
              <w:left w:val="nil"/>
              <w:bottom w:val="single" w:sz="2" w:space="0" w:color="auto"/>
              <w:right w:val="nil"/>
            </w:tcBorders>
            <w:shd w:val="clear" w:color="auto" w:fill="auto"/>
            <w:vAlign w:val="center"/>
            <w:hideMark/>
          </w:tcPr>
          <w:p w14:paraId="071EFAF4" w14:textId="77777777" w:rsidR="009919AC" w:rsidRPr="00E50CDE" w:rsidRDefault="009919AC" w:rsidP="00F11C4E">
            <w:pPr>
              <w:pStyle w:val="cuatexto"/>
              <w:jc w:val="right"/>
              <w:rPr>
                <w:rFonts w:cs="Calibri"/>
                <w:szCs w:val="20"/>
              </w:rPr>
            </w:pPr>
            <w:r w:rsidRPr="00E50CDE">
              <w:rPr>
                <w:rFonts w:cs="Calibri"/>
                <w:szCs w:val="20"/>
                <w:lang w:val="es-ES_tradnl"/>
              </w:rPr>
              <w:t>537.437</w:t>
            </w:r>
          </w:p>
        </w:tc>
      </w:tr>
      <w:tr w:rsidR="009919AC" w14:paraId="28C3B740" w14:textId="77777777" w:rsidTr="00053346">
        <w:trPr>
          <w:trHeight w:val="198"/>
        </w:trPr>
        <w:tc>
          <w:tcPr>
            <w:tcW w:w="4355" w:type="dxa"/>
            <w:tcBorders>
              <w:top w:val="single" w:sz="2" w:space="0" w:color="auto"/>
              <w:left w:val="nil"/>
              <w:bottom w:val="single" w:sz="2" w:space="0" w:color="auto"/>
              <w:right w:val="nil"/>
            </w:tcBorders>
            <w:shd w:val="clear" w:color="auto" w:fill="auto"/>
            <w:noWrap/>
            <w:vAlign w:val="center"/>
            <w:hideMark/>
          </w:tcPr>
          <w:p w14:paraId="45FF2513" w14:textId="77777777" w:rsidR="009919AC" w:rsidRPr="00E50CDE" w:rsidRDefault="009919AC" w:rsidP="00F11C4E">
            <w:pPr>
              <w:pStyle w:val="cuatexto"/>
              <w:rPr>
                <w:rFonts w:cs="Calibri"/>
                <w:szCs w:val="20"/>
              </w:rPr>
            </w:pPr>
            <w:r w:rsidRPr="00E50CDE">
              <w:rPr>
                <w:szCs w:val="20"/>
              </w:rPr>
              <w:t>Corrientes</w:t>
            </w:r>
          </w:p>
        </w:tc>
        <w:tc>
          <w:tcPr>
            <w:tcW w:w="748" w:type="dxa"/>
            <w:tcBorders>
              <w:top w:val="single" w:sz="2" w:space="0" w:color="auto"/>
              <w:left w:val="nil"/>
              <w:bottom w:val="single" w:sz="2" w:space="0" w:color="auto"/>
              <w:right w:val="nil"/>
            </w:tcBorders>
            <w:shd w:val="clear" w:color="auto" w:fill="auto"/>
            <w:noWrap/>
            <w:vAlign w:val="center"/>
            <w:hideMark/>
          </w:tcPr>
          <w:p w14:paraId="683E1773" w14:textId="77777777" w:rsidR="009919AC" w:rsidRPr="00E50CDE" w:rsidRDefault="009919AC" w:rsidP="00F11C4E">
            <w:pPr>
              <w:pStyle w:val="cuatexto"/>
              <w:jc w:val="right"/>
              <w:rPr>
                <w:rFonts w:cs="Calibri"/>
                <w:szCs w:val="20"/>
              </w:rPr>
            </w:pPr>
            <w:r w:rsidRPr="00E50CDE">
              <w:rPr>
                <w:rFonts w:cs="Calibri"/>
                <w:szCs w:val="20"/>
                <w:lang w:val="es-ES_tradnl"/>
              </w:rPr>
              <w:t> </w:t>
            </w:r>
          </w:p>
        </w:tc>
        <w:tc>
          <w:tcPr>
            <w:tcW w:w="851" w:type="dxa"/>
            <w:tcBorders>
              <w:top w:val="single" w:sz="2" w:space="0" w:color="auto"/>
              <w:left w:val="nil"/>
              <w:bottom w:val="single" w:sz="2" w:space="0" w:color="auto"/>
              <w:right w:val="nil"/>
            </w:tcBorders>
            <w:shd w:val="clear" w:color="auto" w:fill="auto"/>
            <w:noWrap/>
            <w:vAlign w:val="center"/>
            <w:hideMark/>
          </w:tcPr>
          <w:p w14:paraId="311696E8" w14:textId="77777777" w:rsidR="009919AC" w:rsidRPr="00E50CDE" w:rsidRDefault="009919AC" w:rsidP="00F11C4E">
            <w:pPr>
              <w:pStyle w:val="cuatexto"/>
              <w:jc w:val="right"/>
              <w:rPr>
                <w:rFonts w:cs="Calibri"/>
                <w:szCs w:val="20"/>
              </w:rPr>
            </w:pPr>
            <w:r w:rsidRPr="00E50CDE">
              <w:rPr>
                <w:rFonts w:cs="Calibri"/>
                <w:szCs w:val="20"/>
                <w:lang w:val="es-ES_tradnl"/>
              </w:rPr>
              <w:t>49.968</w:t>
            </w:r>
          </w:p>
        </w:tc>
        <w:tc>
          <w:tcPr>
            <w:tcW w:w="850" w:type="dxa"/>
            <w:tcBorders>
              <w:top w:val="single" w:sz="2" w:space="0" w:color="auto"/>
              <w:left w:val="nil"/>
              <w:bottom w:val="single" w:sz="2" w:space="0" w:color="auto"/>
              <w:right w:val="nil"/>
            </w:tcBorders>
            <w:shd w:val="clear" w:color="auto" w:fill="auto"/>
            <w:vAlign w:val="center"/>
            <w:hideMark/>
          </w:tcPr>
          <w:p w14:paraId="4AA80CFC" w14:textId="77777777" w:rsidR="009919AC" w:rsidRPr="00E50CDE" w:rsidRDefault="009919AC" w:rsidP="00F11C4E">
            <w:pPr>
              <w:pStyle w:val="cuatexto"/>
              <w:jc w:val="right"/>
              <w:rPr>
                <w:rFonts w:cs="Calibri"/>
                <w:szCs w:val="20"/>
              </w:rPr>
            </w:pPr>
            <w:r w:rsidRPr="00E50CDE">
              <w:rPr>
                <w:rFonts w:cs="Calibri"/>
                <w:szCs w:val="20"/>
                <w:lang w:val="es-ES_tradnl"/>
              </w:rPr>
              <w:t>36.088</w:t>
            </w:r>
          </w:p>
        </w:tc>
        <w:tc>
          <w:tcPr>
            <w:tcW w:w="851" w:type="dxa"/>
            <w:tcBorders>
              <w:top w:val="single" w:sz="2" w:space="0" w:color="auto"/>
              <w:left w:val="nil"/>
              <w:bottom w:val="single" w:sz="2" w:space="0" w:color="auto"/>
              <w:right w:val="nil"/>
            </w:tcBorders>
            <w:shd w:val="clear" w:color="000000" w:fill="FFFFFF"/>
            <w:noWrap/>
            <w:vAlign w:val="bottom"/>
            <w:hideMark/>
          </w:tcPr>
          <w:p w14:paraId="2C06FD0F" w14:textId="77777777" w:rsidR="009919AC" w:rsidRPr="00E50CDE" w:rsidRDefault="009919AC" w:rsidP="00F11C4E">
            <w:pPr>
              <w:pStyle w:val="cuatexto"/>
              <w:jc w:val="right"/>
              <w:rPr>
                <w:rFonts w:cs="Calibri"/>
                <w:szCs w:val="20"/>
              </w:rPr>
            </w:pPr>
            <w:r w:rsidRPr="00E50CDE">
              <w:rPr>
                <w:rFonts w:cs="Calibri"/>
                <w:szCs w:val="20"/>
              </w:rPr>
              <w:t xml:space="preserve">31.108 </w:t>
            </w:r>
          </w:p>
        </w:tc>
        <w:tc>
          <w:tcPr>
            <w:tcW w:w="1134" w:type="dxa"/>
            <w:tcBorders>
              <w:top w:val="single" w:sz="2" w:space="0" w:color="auto"/>
              <w:left w:val="nil"/>
              <w:bottom w:val="single" w:sz="2" w:space="0" w:color="auto"/>
              <w:right w:val="nil"/>
            </w:tcBorders>
            <w:shd w:val="clear" w:color="auto" w:fill="auto"/>
            <w:vAlign w:val="center"/>
            <w:hideMark/>
          </w:tcPr>
          <w:p w14:paraId="2326F64D" w14:textId="77777777" w:rsidR="009919AC" w:rsidRPr="00E50CDE" w:rsidRDefault="009919AC" w:rsidP="00F11C4E">
            <w:pPr>
              <w:pStyle w:val="cuatexto"/>
              <w:jc w:val="right"/>
              <w:rPr>
                <w:rFonts w:cs="Calibri"/>
                <w:szCs w:val="20"/>
              </w:rPr>
            </w:pPr>
            <w:r w:rsidRPr="00E50CDE">
              <w:rPr>
                <w:rFonts w:cs="Calibri"/>
                <w:szCs w:val="20"/>
                <w:lang w:val="es-ES_tradnl"/>
              </w:rPr>
              <w:t>117.164</w:t>
            </w:r>
          </w:p>
        </w:tc>
      </w:tr>
      <w:tr w:rsidR="009919AC" w14:paraId="7B2C054F" w14:textId="77777777" w:rsidTr="00053346">
        <w:trPr>
          <w:trHeight w:val="198"/>
        </w:trPr>
        <w:tc>
          <w:tcPr>
            <w:tcW w:w="4355" w:type="dxa"/>
            <w:tcBorders>
              <w:top w:val="single" w:sz="2" w:space="0" w:color="auto"/>
              <w:left w:val="nil"/>
              <w:bottom w:val="single" w:sz="4" w:space="0" w:color="auto"/>
              <w:right w:val="nil"/>
            </w:tcBorders>
            <w:shd w:val="clear" w:color="auto" w:fill="auto"/>
            <w:noWrap/>
            <w:vAlign w:val="center"/>
            <w:hideMark/>
          </w:tcPr>
          <w:p w14:paraId="7759CC77" w14:textId="77777777" w:rsidR="009919AC" w:rsidRPr="00E50CDE" w:rsidRDefault="009919AC" w:rsidP="00F11C4E">
            <w:pPr>
              <w:pStyle w:val="cuatexto"/>
              <w:rPr>
                <w:rFonts w:cs="Calibri"/>
                <w:szCs w:val="20"/>
              </w:rPr>
            </w:pPr>
            <w:r w:rsidRPr="00E50CDE">
              <w:rPr>
                <w:szCs w:val="20"/>
              </w:rPr>
              <w:t>Capital</w:t>
            </w:r>
          </w:p>
        </w:tc>
        <w:tc>
          <w:tcPr>
            <w:tcW w:w="748" w:type="dxa"/>
            <w:tcBorders>
              <w:top w:val="single" w:sz="2" w:space="0" w:color="auto"/>
              <w:left w:val="nil"/>
              <w:bottom w:val="single" w:sz="4" w:space="0" w:color="auto"/>
              <w:right w:val="nil"/>
            </w:tcBorders>
            <w:shd w:val="clear" w:color="auto" w:fill="auto"/>
            <w:noWrap/>
            <w:vAlign w:val="center"/>
            <w:hideMark/>
          </w:tcPr>
          <w:p w14:paraId="4B05F69A" w14:textId="77777777" w:rsidR="009919AC" w:rsidRPr="00E50CDE" w:rsidRDefault="009919AC" w:rsidP="00F11C4E">
            <w:pPr>
              <w:pStyle w:val="cuatexto"/>
              <w:jc w:val="right"/>
              <w:rPr>
                <w:rFonts w:cs="Calibri"/>
                <w:szCs w:val="20"/>
              </w:rPr>
            </w:pPr>
            <w:r w:rsidRPr="00E50CDE">
              <w:rPr>
                <w:rFonts w:cs="Calibri"/>
                <w:szCs w:val="20"/>
                <w:lang w:val="es-ES_tradnl"/>
              </w:rPr>
              <w:t>5.510</w:t>
            </w:r>
          </w:p>
        </w:tc>
        <w:tc>
          <w:tcPr>
            <w:tcW w:w="851" w:type="dxa"/>
            <w:tcBorders>
              <w:top w:val="single" w:sz="2" w:space="0" w:color="auto"/>
              <w:left w:val="nil"/>
              <w:bottom w:val="single" w:sz="4" w:space="0" w:color="auto"/>
              <w:right w:val="nil"/>
            </w:tcBorders>
            <w:shd w:val="clear" w:color="auto" w:fill="auto"/>
            <w:noWrap/>
            <w:vAlign w:val="center"/>
            <w:hideMark/>
          </w:tcPr>
          <w:p w14:paraId="3ED25813" w14:textId="77777777" w:rsidR="009919AC" w:rsidRPr="00E50CDE" w:rsidRDefault="009919AC" w:rsidP="00F11C4E">
            <w:pPr>
              <w:pStyle w:val="cuatexto"/>
              <w:jc w:val="right"/>
              <w:rPr>
                <w:rFonts w:cs="Calibri"/>
                <w:szCs w:val="20"/>
              </w:rPr>
            </w:pPr>
            <w:r w:rsidRPr="00E50CDE">
              <w:rPr>
                <w:rFonts w:cs="Calibri"/>
                <w:szCs w:val="20"/>
                <w:lang w:val="es-ES_tradnl"/>
              </w:rPr>
              <w:t>124.549</w:t>
            </w:r>
          </w:p>
        </w:tc>
        <w:tc>
          <w:tcPr>
            <w:tcW w:w="850" w:type="dxa"/>
            <w:tcBorders>
              <w:top w:val="single" w:sz="2" w:space="0" w:color="auto"/>
              <w:left w:val="nil"/>
              <w:bottom w:val="single" w:sz="4" w:space="0" w:color="auto"/>
              <w:right w:val="nil"/>
            </w:tcBorders>
            <w:shd w:val="clear" w:color="auto" w:fill="auto"/>
            <w:vAlign w:val="center"/>
            <w:hideMark/>
          </w:tcPr>
          <w:p w14:paraId="26899A7C" w14:textId="77777777" w:rsidR="009919AC" w:rsidRPr="00E50CDE" w:rsidRDefault="009919AC" w:rsidP="00F11C4E">
            <w:pPr>
              <w:pStyle w:val="cuatexto"/>
              <w:jc w:val="right"/>
              <w:rPr>
                <w:rFonts w:cs="Calibri"/>
                <w:szCs w:val="20"/>
              </w:rPr>
            </w:pPr>
            <w:r w:rsidRPr="00E50CDE">
              <w:rPr>
                <w:rFonts w:cs="Calibri"/>
                <w:szCs w:val="20"/>
                <w:lang w:val="es-ES_tradnl"/>
              </w:rPr>
              <w:t>155.906</w:t>
            </w:r>
          </w:p>
        </w:tc>
        <w:tc>
          <w:tcPr>
            <w:tcW w:w="851" w:type="dxa"/>
            <w:tcBorders>
              <w:top w:val="single" w:sz="2" w:space="0" w:color="auto"/>
              <w:left w:val="nil"/>
              <w:bottom w:val="single" w:sz="4" w:space="0" w:color="auto"/>
              <w:right w:val="nil"/>
            </w:tcBorders>
            <w:shd w:val="clear" w:color="000000" w:fill="FFFFFF"/>
            <w:noWrap/>
            <w:vAlign w:val="bottom"/>
            <w:hideMark/>
          </w:tcPr>
          <w:p w14:paraId="07F848C3" w14:textId="77777777" w:rsidR="009919AC" w:rsidRPr="00E50CDE" w:rsidRDefault="009919AC" w:rsidP="00F11C4E">
            <w:pPr>
              <w:pStyle w:val="cuatexto"/>
              <w:jc w:val="right"/>
              <w:rPr>
                <w:rFonts w:cs="Calibri"/>
                <w:szCs w:val="20"/>
              </w:rPr>
            </w:pPr>
            <w:r w:rsidRPr="00E50CDE">
              <w:rPr>
                <w:rFonts w:cs="Calibri"/>
                <w:szCs w:val="20"/>
              </w:rPr>
              <w:t xml:space="preserve">134.308 </w:t>
            </w:r>
          </w:p>
        </w:tc>
        <w:tc>
          <w:tcPr>
            <w:tcW w:w="1134" w:type="dxa"/>
            <w:tcBorders>
              <w:top w:val="single" w:sz="2" w:space="0" w:color="auto"/>
              <w:left w:val="nil"/>
              <w:bottom w:val="single" w:sz="4" w:space="0" w:color="auto"/>
              <w:right w:val="nil"/>
            </w:tcBorders>
            <w:shd w:val="clear" w:color="auto" w:fill="auto"/>
            <w:vAlign w:val="center"/>
            <w:hideMark/>
          </w:tcPr>
          <w:p w14:paraId="5B0C1FC7" w14:textId="77777777" w:rsidR="009919AC" w:rsidRPr="00E50CDE" w:rsidRDefault="009919AC" w:rsidP="00F11C4E">
            <w:pPr>
              <w:pStyle w:val="cuatexto"/>
              <w:jc w:val="right"/>
              <w:rPr>
                <w:rFonts w:cs="Calibri"/>
                <w:szCs w:val="20"/>
              </w:rPr>
            </w:pPr>
            <w:r w:rsidRPr="00E50CDE">
              <w:rPr>
                <w:rFonts w:cs="Calibri"/>
                <w:szCs w:val="20"/>
                <w:lang w:val="es-ES_tradnl"/>
              </w:rPr>
              <w:t>420.273</w:t>
            </w:r>
          </w:p>
        </w:tc>
      </w:tr>
    </w:tbl>
    <w:p w14:paraId="62D496BE" w14:textId="77777777" w:rsidR="00614DC4" w:rsidRPr="000C0148" w:rsidRDefault="00614DC4" w:rsidP="004B023A">
      <w:pPr>
        <w:pStyle w:val="texto"/>
        <w:spacing w:before="240" w:after="120"/>
        <w:jc w:val="both"/>
      </w:pPr>
      <w:r>
        <w:t xml:space="preserve">El ritmo de ejecución de la recepción de estos fondos y los gastos presupuestarios asociados a los distintos proyectos son distintos. El horizonte temporal de los fondos finaliza en 2026, por lo que, hasta su finalización, anualmente se están reconociendo ingresos superiores a los gastos correspondientes a proyectos en </w:t>
      </w:r>
      <w:r w:rsidRPr="000C0148">
        <w:lastRenderedPageBreak/>
        <w:t>fase de desarrollo. Estas desviaciones de financiación se reconocen tanto en el Resultado Presupuestario com</w:t>
      </w:r>
      <w:r w:rsidR="00420955" w:rsidRPr="000C0148">
        <w:t>o en el Remanente de Tesorería</w:t>
      </w:r>
      <w:r w:rsidR="000C0148" w:rsidRPr="000C0148">
        <w:t>. En concreto:</w:t>
      </w:r>
    </w:p>
    <w:p w14:paraId="10A7D85C" w14:textId="77777777" w:rsidR="000C0148" w:rsidRPr="004B023A" w:rsidRDefault="000C0148" w:rsidP="000C0148">
      <w:pPr>
        <w:spacing w:after="60"/>
        <w:ind w:left="51" w:right="11"/>
        <w:jc w:val="right"/>
        <w:rPr>
          <w:rFonts w:ascii="Arial Narrow" w:hAnsi="Arial Narrow" w:cs="Arial"/>
          <w:bCs/>
          <w:sz w:val="20"/>
          <w:szCs w:val="20"/>
        </w:rPr>
      </w:pPr>
      <w:r w:rsidRPr="004B023A">
        <w:rPr>
          <w:rFonts w:ascii="Arial Narrow" w:hAnsi="Arial Narrow" w:cs="Arial"/>
          <w:bCs/>
          <w:sz w:val="20"/>
          <w:szCs w:val="20"/>
        </w:rPr>
        <w:t xml:space="preserve">(en </w:t>
      </w:r>
      <w:r>
        <w:rPr>
          <w:rFonts w:ascii="Arial Narrow" w:hAnsi="Arial Narrow" w:cs="Arial"/>
          <w:bCs/>
          <w:sz w:val="20"/>
          <w:szCs w:val="20"/>
        </w:rPr>
        <w:t>euros</w:t>
      </w:r>
      <w:r w:rsidRPr="004B023A">
        <w:rPr>
          <w:rFonts w:ascii="Arial Narrow" w:hAnsi="Arial Narrow" w:cs="Arial"/>
          <w:bCs/>
          <w:sz w:val="20"/>
          <w:szCs w:val="20"/>
        </w:rPr>
        <w:t>)</w:t>
      </w:r>
    </w:p>
    <w:tbl>
      <w:tblPr>
        <w:tblW w:w="8789" w:type="dxa"/>
        <w:tblCellMar>
          <w:left w:w="70" w:type="dxa"/>
          <w:right w:w="70" w:type="dxa"/>
        </w:tblCellMar>
        <w:tblLook w:val="04A0" w:firstRow="1" w:lastRow="0" w:firstColumn="1" w:lastColumn="0" w:noHBand="0" w:noVBand="1"/>
      </w:tblPr>
      <w:tblGrid>
        <w:gridCol w:w="2268"/>
        <w:gridCol w:w="1985"/>
        <w:gridCol w:w="1984"/>
        <w:gridCol w:w="2552"/>
      </w:tblGrid>
      <w:tr w:rsidR="000C0148" w:rsidRPr="004C19AC" w14:paraId="63EE5B32" w14:textId="77777777" w:rsidTr="000C0148">
        <w:trPr>
          <w:trHeight w:val="261"/>
        </w:trPr>
        <w:tc>
          <w:tcPr>
            <w:tcW w:w="2268" w:type="dxa"/>
            <w:tcBorders>
              <w:top w:val="single" w:sz="4" w:space="0" w:color="auto"/>
              <w:left w:val="nil"/>
              <w:bottom w:val="single" w:sz="4" w:space="0" w:color="auto"/>
              <w:right w:val="nil"/>
            </w:tcBorders>
            <w:shd w:val="clear" w:color="000000" w:fill="8DB3E2"/>
            <w:vAlign w:val="center"/>
            <w:hideMark/>
          </w:tcPr>
          <w:p w14:paraId="1223F307" w14:textId="77777777" w:rsidR="000C0148" w:rsidRPr="004C19AC" w:rsidRDefault="000C0148" w:rsidP="000C0148">
            <w:pPr>
              <w:rPr>
                <w:rFonts w:ascii="Arial" w:hAnsi="Arial" w:cs="Arial"/>
                <w:color w:val="000000"/>
                <w:sz w:val="18"/>
                <w:szCs w:val="18"/>
              </w:rPr>
            </w:pPr>
            <w:r w:rsidRPr="004C19AC">
              <w:rPr>
                <w:rFonts w:ascii="Arial" w:hAnsi="Arial" w:cs="Arial"/>
                <w:color w:val="000000"/>
                <w:sz w:val="18"/>
                <w:szCs w:val="18"/>
              </w:rPr>
              <w:t> </w:t>
            </w:r>
          </w:p>
        </w:tc>
        <w:tc>
          <w:tcPr>
            <w:tcW w:w="1985" w:type="dxa"/>
            <w:tcBorders>
              <w:top w:val="single" w:sz="4" w:space="0" w:color="auto"/>
              <w:left w:val="nil"/>
              <w:bottom w:val="single" w:sz="4" w:space="0" w:color="auto"/>
              <w:right w:val="nil"/>
            </w:tcBorders>
            <w:shd w:val="clear" w:color="000000" w:fill="8DB3E2"/>
            <w:vAlign w:val="center"/>
            <w:hideMark/>
          </w:tcPr>
          <w:p w14:paraId="082F1077" w14:textId="77777777" w:rsidR="000C0148" w:rsidRDefault="000C0148" w:rsidP="000C0148">
            <w:pPr>
              <w:jc w:val="right"/>
              <w:rPr>
                <w:rFonts w:ascii="Arial" w:hAnsi="Arial" w:cs="Arial"/>
                <w:color w:val="000000"/>
                <w:sz w:val="18"/>
                <w:szCs w:val="18"/>
              </w:rPr>
            </w:pPr>
            <w:r>
              <w:rPr>
                <w:rFonts w:ascii="Arial" w:hAnsi="Arial" w:cs="Arial"/>
                <w:color w:val="000000"/>
                <w:sz w:val="18"/>
                <w:szCs w:val="18"/>
              </w:rPr>
              <w:t xml:space="preserve">Desviaciones </w:t>
            </w:r>
          </w:p>
          <w:p w14:paraId="10974C32" w14:textId="77777777" w:rsidR="000C0148" w:rsidRPr="004C19AC" w:rsidRDefault="000C0148" w:rsidP="000C0148">
            <w:pPr>
              <w:jc w:val="right"/>
              <w:rPr>
                <w:rFonts w:ascii="Arial" w:hAnsi="Arial" w:cs="Arial"/>
                <w:color w:val="000000"/>
                <w:sz w:val="18"/>
                <w:szCs w:val="18"/>
              </w:rPr>
            </w:pPr>
            <w:r>
              <w:rPr>
                <w:rFonts w:ascii="Arial" w:hAnsi="Arial" w:cs="Arial"/>
                <w:color w:val="000000"/>
                <w:sz w:val="18"/>
                <w:szCs w:val="18"/>
              </w:rPr>
              <w:t>anuales positivas</w:t>
            </w:r>
          </w:p>
        </w:tc>
        <w:tc>
          <w:tcPr>
            <w:tcW w:w="1984" w:type="dxa"/>
            <w:tcBorders>
              <w:top w:val="single" w:sz="4" w:space="0" w:color="auto"/>
              <w:left w:val="nil"/>
              <w:bottom w:val="single" w:sz="4" w:space="0" w:color="auto"/>
              <w:right w:val="nil"/>
            </w:tcBorders>
            <w:shd w:val="clear" w:color="000000" w:fill="8DB3E2"/>
            <w:vAlign w:val="center"/>
            <w:hideMark/>
          </w:tcPr>
          <w:p w14:paraId="1752DF07" w14:textId="77777777" w:rsidR="000C0148" w:rsidRDefault="000C0148" w:rsidP="000C0148">
            <w:pPr>
              <w:jc w:val="right"/>
              <w:rPr>
                <w:rFonts w:ascii="Arial" w:hAnsi="Arial" w:cs="Arial"/>
                <w:color w:val="000000"/>
                <w:sz w:val="18"/>
                <w:szCs w:val="18"/>
              </w:rPr>
            </w:pPr>
            <w:r>
              <w:rPr>
                <w:rFonts w:ascii="Arial" w:hAnsi="Arial" w:cs="Arial"/>
                <w:color w:val="000000"/>
                <w:sz w:val="18"/>
                <w:szCs w:val="18"/>
              </w:rPr>
              <w:t xml:space="preserve">Desviaciones </w:t>
            </w:r>
          </w:p>
          <w:p w14:paraId="6142C03F" w14:textId="77777777" w:rsidR="000C0148" w:rsidRPr="004C19AC" w:rsidRDefault="000C0148" w:rsidP="000C0148">
            <w:pPr>
              <w:jc w:val="right"/>
              <w:rPr>
                <w:rFonts w:ascii="Arial" w:hAnsi="Arial" w:cs="Arial"/>
                <w:color w:val="000000"/>
                <w:sz w:val="18"/>
                <w:szCs w:val="18"/>
              </w:rPr>
            </w:pPr>
            <w:r>
              <w:rPr>
                <w:rFonts w:ascii="Arial" w:hAnsi="Arial" w:cs="Arial"/>
                <w:color w:val="000000"/>
                <w:sz w:val="18"/>
                <w:szCs w:val="18"/>
              </w:rPr>
              <w:t>anuales negativas</w:t>
            </w:r>
          </w:p>
        </w:tc>
        <w:tc>
          <w:tcPr>
            <w:tcW w:w="2552" w:type="dxa"/>
            <w:tcBorders>
              <w:top w:val="single" w:sz="4" w:space="0" w:color="auto"/>
              <w:left w:val="nil"/>
              <w:bottom w:val="single" w:sz="4" w:space="0" w:color="auto"/>
              <w:right w:val="nil"/>
            </w:tcBorders>
            <w:shd w:val="clear" w:color="000000" w:fill="8DB3E2"/>
            <w:noWrap/>
            <w:vAlign w:val="center"/>
          </w:tcPr>
          <w:p w14:paraId="58D60D46" w14:textId="77777777" w:rsidR="000C0148" w:rsidRDefault="000C0148" w:rsidP="000C0148">
            <w:pPr>
              <w:jc w:val="right"/>
              <w:rPr>
                <w:rFonts w:ascii="Arial" w:hAnsi="Arial" w:cs="Arial"/>
                <w:color w:val="000000"/>
                <w:sz w:val="18"/>
                <w:szCs w:val="18"/>
              </w:rPr>
            </w:pPr>
            <w:r>
              <w:rPr>
                <w:rFonts w:ascii="Arial" w:hAnsi="Arial" w:cs="Arial"/>
                <w:color w:val="000000"/>
                <w:sz w:val="18"/>
                <w:szCs w:val="18"/>
              </w:rPr>
              <w:t>Desviaciones de financiación</w:t>
            </w:r>
          </w:p>
          <w:p w14:paraId="26C80ED9" w14:textId="77777777" w:rsidR="000C0148" w:rsidRPr="004C19AC" w:rsidRDefault="000C0148" w:rsidP="000C0148">
            <w:pPr>
              <w:jc w:val="right"/>
              <w:rPr>
                <w:rFonts w:ascii="Arial" w:hAnsi="Arial" w:cs="Arial"/>
                <w:color w:val="000000"/>
                <w:sz w:val="18"/>
                <w:szCs w:val="18"/>
              </w:rPr>
            </w:pPr>
            <w:r>
              <w:rPr>
                <w:rFonts w:ascii="Arial" w:hAnsi="Arial" w:cs="Arial"/>
                <w:color w:val="000000"/>
                <w:sz w:val="18"/>
                <w:szCs w:val="18"/>
              </w:rPr>
              <w:t xml:space="preserve"> acumuladas positivas</w:t>
            </w:r>
          </w:p>
        </w:tc>
      </w:tr>
      <w:tr w:rsidR="000C0148" w:rsidRPr="004C19AC" w14:paraId="4FE36C20" w14:textId="77777777" w:rsidTr="000C0148">
        <w:trPr>
          <w:trHeight w:val="198"/>
        </w:trPr>
        <w:tc>
          <w:tcPr>
            <w:tcW w:w="2268" w:type="dxa"/>
            <w:tcBorders>
              <w:top w:val="single" w:sz="4" w:space="0" w:color="auto"/>
              <w:left w:val="nil"/>
              <w:bottom w:val="single" w:sz="2" w:space="0" w:color="auto"/>
              <w:right w:val="nil"/>
            </w:tcBorders>
            <w:shd w:val="clear" w:color="auto" w:fill="auto"/>
            <w:noWrap/>
            <w:vAlign w:val="center"/>
            <w:hideMark/>
          </w:tcPr>
          <w:p w14:paraId="4A2D6820" w14:textId="77777777" w:rsidR="000C0148" w:rsidRPr="004C19AC" w:rsidRDefault="000C0148" w:rsidP="000C0148">
            <w:pPr>
              <w:rPr>
                <w:rFonts w:ascii="Arial Narrow" w:hAnsi="Arial Narrow" w:cs="Calibri"/>
                <w:color w:val="000000"/>
                <w:sz w:val="20"/>
                <w:szCs w:val="20"/>
              </w:rPr>
            </w:pPr>
            <w:r>
              <w:rPr>
                <w:rFonts w:ascii="Arial Narrow" w:hAnsi="Arial Narrow" w:cs="Calibri"/>
                <w:color w:val="000000"/>
                <w:sz w:val="20"/>
                <w:szCs w:val="20"/>
              </w:rPr>
              <w:t>Resultado Presupuestario</w:t>
            </w:r>
          </w:p>
        </w:tc>
        <w:tc>
          <w:tcPr>
            <w:tcW w:w="1985" w:type="dxa"/>
            <w:tcBorders>
              <w:top w:val="single" w:sz="4" w:space="0" w:color="auto"/>
              <w:left w:val="nil"/>
              <w:bottom w:val="single" w:sz="2" w:space="0" w:color="auto"/>
              <w:right w:val="nil"/>
            </w:tcBorders>
            <w:shd w:val="clear" w:color="auto" w:fill="auto"/>
            <w:noWrap/>
            <w:vAlign w:val="center"/>
          </w:tcPr>
          <w:p w14:paraId="4B008118" w14:textId="77777777" w:rsidR="000C0148" w:rsidRPr="004C19AC" w:rsidRDefault="000C0148" w:rsidP="000C0148">
            <w:pPr>
              <w:jc w:val="right"/>
              <w:rPr>
                <w:rFonts w:ascii="Arial Narrow" w:hAnsi="Arial Narrow" w:cs="Calibri"/>
                <w:color w:val="000000"/>
                <w:sz w:val="20"/>
                <w:szCs w:val="20"/>
              </w:rPr>
            </w:pPr>
            <w:r>
              <w:rPr>
                <w:rFonts w:ascii="Arial Narrow" w:hAnsi="Arial Narrow" w:cs="Calibri"/>
                <w:color w:val="000000"/>
                <w:sz w:val="20"/>
                <w:szCs w:val="20"/>
              </w:rPr>
              <w:t>90.001.075</w:t>
            </w:r>
          </w:p>
        </w:tc>
        <w:tc>
          <w:tcPr>
            <w:tcW w:w="1984" w:type="dxa"/>
            <w:tcBorders>
              <w:top w:val="single" w:sz="4" w:space="0" w:color="auto"/>
              <w:left w:val="nil"/>
              <w:bottom w:val="single" w:sz="2" w:space="0" w:color="auto"/>
              <w:right w:val="nil"/>
            </w:tcBorders>
            <w:shd w:val="clear" w:color="auto" w:fill="auto"/>
            <w:noWrap/>
            <w:vAlign w:val="center"/>
          </w:tcPr>
          <w:p w14:paraId="6D655E04" w14:textId="77777777" w:rsidR="000C0148" w:rsidRPr="004C19AC" w:rsidRDefault="000C0148" w:rsidP="000C0148">
            <w:pPr>
              <w:jc w:val="right"/>
              <w:rPr>
                <w:rFonts w:ascii="Arial Narrow" w:hAnsi="Arial Narrow" w:cs="Calibri"/>
                <w:color w:val="000000"/>
                <w:sz w:val="20"/>
                <w:szCs w:val="20"/>
              </w:rPr>
            </w:pPr>
            <w:r>
              <w:rPr>
                <w:rFonts w:ascii="Arial Narrow" w:hAnsi="Arial Narrow" w:cs="Calibri"/>
                <w:color w:val="000000"/>
                <w:sz w:val="20"/>
                <w:szCs w:val="20"/>
              </w:rPr>
              <w:t>58.807.751</w:t>
            </w:r>
          </w:p>
        </w:tc>
        <w:tc>
          <w:tcPr>
            <w:tcW w:w="2552" w:type="dxa"/>
            <w:tcBorders>
              <w:top w:val="single" w:sz="4" w:space="0" w:color="auto"/>
              <w:left w:val="nil"/>
              <w:bottom w:val="single" w:sz="2" w:space="0" w:color="auto"/>
              <w:right w:val="nil"/>
            </w:tcBorders>
            <w:shd w:val="clear" w:color="auto" w:fill="auto"/>
            <w:noWrap/>
            <w:vAlign w:val="center"/>
          </w:tcPr>
          <w:p w14:paraId="64D4B9A9" w14:textId="77777777" w:rsidR="000C0148" w:rsidRPr="004C19AC" w:rsidRDefault="000C0148" w:rsidP="000C0148">
            <w:pPr>
              <w:jc w:val="right"/>
              <w:rPr>
                <w:rFonts w:ascii="Arial Narrow" w:hAnsi="Arial Narrow" w:cs="Calibri"/>
                <w:color w:val="000000"/>
                <w:sz w:val="20"/>
                <w:szCs w:val="20"/>
              </w:rPr>
            </w:pPr>
          </w:p>
        </w:tc>
      </w:tr>
      <w:tr w:rsidR="000C0148" w:rsidRPr="004C19AC" w14:paraId="24847634" w14:textId="77777777" w:rsidTr="000C0148">
        <w:trPr>
          <w:trHeight w:val="198"/>
        </w:trPr>
        <w:tc>
          <w:tcPr>
            <w:tcW w:w="2268" w:type="dxa"/>
            <w:tcBorders>
              <w:top w:val="single" w:sz="2" w:space="0" w:color="auto"/>
              <w:left w:val="nil"/>
              <w:bottom w:val="single" w:sz="2" w:space="0" w:color="auto"/>
              <w:right w:val="nil"/>
            </w:tcBorders>
            <w:shd w:val="clear" w:color="auto" w:fill="auto"/>
            <w:noWrap/>
            <w:vAlign w:val="center"/>
            <w:hideMark/>
          </w:tcPr>
          <w:p w14:paraId="62B7D865" w14:textId="77777777" w:rsidR="000C0148" w:rsidRPr="004C19AC" w:rsidRDefault="000C0148" w:rsidP="000C0148">
            <w:pPr>
              <w:rPr>
                <w:rFonts w:ascii="Arial Narrow" w:hAnsi="Arial Narrow" w:cs="Calibri"/>
                <w:color w:val="000000"/>
                <w:sz w:val="20"/>
                <w:szCs w:val="20"/>
              </w:rPr>
            </w:pPr>
            <w:r>
              <w:rPr>
                <w:rFonts w:ascii="Arial Narrow" w:hAnsi="Arial Narrow" w:cs="Calibri"/>
                <w:color w:val="000000"/>
                <w:sz w:val="20"/>
                <w:szCs w:val="20"/>
              </w:rPr>
              <w:t>Remanente de Tesorería</w:t>
            </w:r>
          </w:p>
        </w:tc>
        <w:tc>
          <w:tcPr>
            <w:tcW w:w="1985" w:type="dxa"/>
            <w:tcBorders>
              <w:top w:val="single" w:sz="2" w:space="0" w:color="auto"/>
              <w:left w:val="nil"/>
              <w:bottom w:val="single" w:sz="2" w:space="0" w:color="auto"/>
              <w:right w:val="nil"/>
            </w:tcBorders>
            <w:shd w:val="clear" w:color="auto" w:fill="auto"/>
            <w:noWrap/>
            <w:vAlign w:val="center"/>
          </w:tcPr>
          <w:p w14:paraId="41F5938D" w14:textId="77777777" w:rsidR="000C0148" w:rsidRPr="004C19AC" w:rsidRDefault="000C0148" w:rsidP="000C0148">
            <w:pPr>
              <w:jc w:val="right"/>
              <w:rPr>
                <w:rFonts w:ascii="Arial Narrow" w:hAnsi="Arial Narrow" w:cs="Calibri"/>
                <w:color w:val="000000"/>
                <w:sz w:val="20"/>
                <w:szCs w:val="20"/>
              </w:rPr>
            </w:pPr>
          </w:p>
        </w:tc>
        <w:tc>
          <w:tcPr>
            <w:tcW w:w="1984" w:type="dxa"/>
            <w:tcBorders>
              <w:top w:val="single" w:sz="2" w:space="0" w:color="auto"/>
              <w:left w:val="nil"/>
              <w:bottom w:val="single" w:sz="2" w:space="0" w:color="auto"/>
              <w:right w:val="nil"/>
            </w:tcBorders>
            <w:shd w:val="clear" w:color="auto" w:fill="auto"/>
            <w:noWrap/>
            <w:vAlign w:val="center"/>
          </w:tcPr>
          <w:p w14:paraId="052A618B" w14:textId="77777777" w:rsidR="000C0148" w:rsidRPr="004C19AC" w:rsidRDefault="000C0148" w:rsidP="000C0148">
            <w:pPr>
              <w:jc w:val="right"/>
              <w:rPr>
                <w:rFonts w:ascii="Arial Narrow" w:hAnsi="Arial Narrow" w:cs="Calibri"/>
                <w:color w:val="000000"/>
                <w:sz w:val="20"/>
                <w:szCs w:val="20"/>
              </w:rPr>
            </w:pPr>
          </w:p>
        </w:tc>
        <w:tc>
          <w:tcPr>
            <w:tcW w:w="2552" w:type="dxa"/>
            <w:tcBorders>
              <w:top w:val="single" w:sz="2" w:space="0" w:color="auto"/>
              <w:left w:val="nil"/>
              <w:bottom w:val="single" w:sz="2" w:space="0" w:color="auto"/>
              <w:right w:val="nil"/>
            </w:tcBorders>
            <w:shd w:val="clear" w:color="auto" w:fill="auto"/>
            <w:noWrap/>
            <w:vAlign w:val="center"/>
          </w:tcPr>
          <w:p w14:paraId="45ECB264" w14:textId="77777777" w:rsidR="000C0148" w:rsidRPr="004C19AC" w:rsidRDefault="000C0148" w:rsidP="000C0148">
            <w:pPr>
              <w:jc w:val="right"/>
              <w:rPr>
                <w:rFonts w:ascii="Arial Narrow" w:hAnsi="Arial Narrow" w:cs="Calibri"/>
                <w:color w:val="000000"/>
                <w:sz w:val="20"/>
                <w:szCs w:val="20"/>
              </w:rPr>
            </w:pPr>
            <w:r>
              <w:rPr>
                <w:rFonts w:ascii="Arial Narrow" w:hAnsi="Arial Narrow" w:cs="Calibri"/>
                <w:color w:val="000000"/>
                <w:sz w:val="20"/>
                <w:szCs w:val="20"/>
              </w:rPr>
              <w:t>322.598.949</w:t>
            </w:r>
          </w:p>
        </w:tc>
      </w:tr>
    </w:tbl>
    <w:p w14:paraId="08B7747F" w14:textId="77777777" w:rsidR="009B06E3" w:rsidRPr="0097215A" w:rsidRDefault="00B61D81" w:rsidP="009B06E3">
      <w:pPr>
        <w:pStyle w:val="texto"/>
        <w:spacing w:before="240" w:after="120"/>
        <w:jc w:val="both"/>
      </w:pPr>
      <w:r>
        <w:t>E</w:t>
      </w:r>
      <w:r w:rsidR="009B06E3" w:rsidRPr="0097215A">
        <w:t xml:space="preserve">n marzo de 2023, esta Cámara emitió el informe “Las medidas adoptadas en la Administración Foral para implementar el Plan de Recuperación, Transformación y Resiliencia (PRTR)”. </w:t>
      </w:r>
      <w:r>
        <w:t>Destacamos, que s</w:t>
      </w:r>
      <w:r w:rsidR="009B06E3" w:rsidRPr="0097215A">
        <w:t xml:space="preserve">e han atendido de forma significativa buena parte de las recomendaciones que consideramos </w:t>
      </w:r>
      <w:r w:rsidR="0097215A">
        <w:t>en el citado informe</w:t>
      </w:r>
      <w:r w:rsidR="009B06E3" w:rsidRPr="0097215A">
        <w:t xml:space="preserve">, y entre las que cabe destacar principalmente las siguientes: </w:t>
      </w:r>
    </w:p>
    <w:p w14:paraId="00FCEA2E" w14:textId="77777777" w:rsidR="009B06E3" w:rsidRPr="0097215A" w:rsidRDefault="009B06E3" w:rsidP="009B06E3">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pPr>
      <w:r w:rsidRPr="0097215A">
        <w:t xml:space="preserve">La segregación de funciones de coordinación de los PRTR de las funciones de control con la creación de la nueva Dirección General Economía-Next </w:t>
      </w:r>
      <w:proofErr w:type="spellStart"/>
      <w:r w:rsidRPr="0097215A">
        <w:t>Generation</w:t>
      </w:r>
      <w:proofErr w:type="spellEnd"/>
      <w:r w:rsidRPr="0097215A">
        <w:t xml:space="preserve">, quedando de esta forma las funciones completamente separadas. Esta dirección general, centraliza y coordina la información, y se configura como un punto de contacto e interlocución con los distintos agentes internos y externos que intervienen en estos fondos. </w:t>
      </w:r>
    </w:p>
    <w:p w14:paraId="01B0A97A" w14:textId="77777777" w:rsidR="009B06E3" w:rsidRPr="0097215A" w:rsidRDefault="009B06E3" w:rsidP="009B06E3">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pPr>
      <w:r w:rsidRPr="0097215A">
        <w:t xml:space="preserve">La dotación de personal </w:t>
      </w:r>
      <w:r w:rsidR="00B61D81">
        <w:t xml:space="preserve">de perfil económico y jurídico en la citada dirección general, </w:t>
      </w:r>
      <w:r w:rsidRPr="0097215A">
        <w:t xml:space="preserve">que </w:t>
      </w:r>
      <w:r w:rsidR="00B61D81">
        <w:t>realiza</w:t>
      </w:r>
      <w:r w:rsidRPr="0097215A">
        <w:t xml:space="preserve"> principalmente labores de coordinación de procedimientos, suministro de información, y apoyo a los gestores de los fondos, creando de esta forma un nexo relevante </w:t>
      </w:r>
      <w:r w:rsidR="00B61D81">
        <w:t xml:space="preserve">con </w:t>
      </w:r>
      <w:r w:rsidRPr="0097215A">
        <w:t>los departamentos como unidades gesto</w:t>
      </w:r>
      <w:r w:rsidR="00B61D81">
        <w:t xml:space="preserve">ras. </w:t>
      </w:r>
    </w:p>
    <w:p w14:paraId="71625ABA" w14:textId="77777777" w:rsidR="009B06E3" w:rsidRPr="0097215A" w:rsidRDefault="009B06E3" w:rsidP="009B06E3">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pPr>
      <w:r w:rsidRPr="0097215A">
        <w:t xml:space="preserve">Se </w:t>
      </w:r>
      <w:r w:rsidR="0097215A">
        <w:t xml:space="preserve">ha </w:t>
      </w:r>
      <w:r w:rsidRPr="0097215A">
        <w:t>ampliado la transparencia sobre las convocatorias de subvenciones y licitaciones de los fondos</w:t>
      </w:r>
      <w:r w:rsidR="0097215A">
        <w:t>, así como información</w:t>
      </w:r>
      <w:r w:rsidRPr="0097215A">
        <w:t xml:space="preserve"> </w:t>
      </w:r>
      <w:r w:rsidR="0097215A">
        <w:t xml:space="preserve">relevante </w:t>
      </w:r>
      <w:r w:rsidRPr="0097215A">
        <w:t>en la web institucional de la A</w:t>
      </w:r>
      <w:r w:rsidR="0097215A">
        <w:t>CFN</w:t>
      </w:r>
      <w:r w:rsidRPr="0097215A">
        <w:t xml:space="preserve">. </w:t>
      </w:r>
    </w:p>
    <w:p w14:paraId="653F79C1" w14:textId="77777777" w:rsidR="009B06E3" w:rsidRPr="003753B5" w:rsidRDefault="009B06E3" w:rsidP="004B023A">
      <w:pPr>
        <w:pStyle w:val="texto"/>
        <w:spacing w:before="240" w:after="120"/>
        <w:jc w:val="both"/>
        <w:rPr>
          <w:color w:val="FF0000"/>
        </w:rPr>
      </w:pPr>
    </w:p>
    <w:p w14:paraId="4F2ECD16" w14:textId="77777777" w:rsidR="002D27FA" w:rsidRDefault="002D27FA">
      <w:pPr>
        <w:rPr>
          <w:spacing w:val="6"/>
          <w:sz w:val="26"/>
        </w:rPr>
      </w:pPr>
      <w:r>
        <w:br w:type="page"/>
      </w:r>
    </w:p>
    <w:p w14:paraId="517E9504" w14:textId="77777777" w:rsidR="00614DC4" w:rsidRDefault="00614DC4" w:rsidP="00614DC4">
      <w:pPr>
        <w:pStyle w:val="atitulo1"/>
      </w:pPr>
      <w:bookmarkStart w:id="41" w:name="_Toc146471231"/>
      <w:bookmarkStart w:id="42" w:name="_Toc182464265"/>
      <w:r>
        <w:lastRenderedPageBreak/>
        <w:t>VIII. Responsabilidad del Gobierno de Navarra</w:t>
      </w:r>
      <w:bookmarkEnd w:id="41"/>
      <w:bookmarkEnd w:id="42"/>
      <w:r>
        <w:t xml:space="preserve"> </w:t>
      </w:r>
    </w:p>
    <w:p w14:paraId="002793FF" w14:textId="77777777" w:rsidR="00614DC4" w:rsidRDefault="00614DC4" w:rsidP="002D27FA">
      <w:pPr>
        <w:pStyle w:val="texto"/>
        <w:spacing w:after="120"/>
        <w:jc w:val="both"/>
      </w:pPr>
      <w:r>
        <w:t xml:space="preserve">El Departamento de Economía y Hacienda es responsable de formular las Cuentas Generales, de </w:t>
      </w:r>
      <w:r w:rsidRPr="00676DCB">
        <w:rPr>
          <w:rFonts w:cs="Arial"/>
        </w:rPr>
        <w:t>forma</w:t>
      </w:r>
      <w:r>
        <w:t xml:space="preserve"> que expresen la imagen fiel de la liquidación presupuestaria, del patrimonio, de la situación financiera y de los resultados de la entidad, de conformidad con el marco normativo de información financiera pública aplicable a la entidad. Igualmente</w:t>
      </w:r>
      <w:r w:rsidR="00390C89">
        <w:t>,</w:t>
      </w:r>
      <w:r>
        <w:t xml:space="preserve"> </w:t>
      </w:r>
      <w:r w:rsidR="00390C89">
        <w:t xml:space="preserve">la ACFN </w:t>
      </w:r>
      <w:r>
        <w:t xml:space="preserve">debe garantizar que las actividades, operaciones presupuestarias y financieras y la </w:t>
      </w:r>
      <w:proofErr w:type="gramStart"/>
      <w:r>
        <w:t>información reflejadas</w:t>
      </w:r>
      <w:proofErr w:type="gramEnd"/>
      <w:r>
        <w:t xml:space="preserve"> en las citadas cuentas resultan conformes con la normativa aplicable.</w:t>
      </w:r>
    </w:p>
    <w:p w14:paraId="09655370" w14:textId="77777777" w:rsidR="00614DC4" w:rsidRDefault="00614DC4" w:rsidP="002D27FA">
      <w:pPr>
        <w:pStyle w:val="texto"/>
        <w:spacing w:after="120"/>
        <w:jc w:val="both"/>
      </w:pPr>
      <w:r>
        <w:t>Así mismo es responsable de establecer los sistemas de control interno que considere necesarios para permitir la preparación de Cuentas Generales libres de incorrección material, debida a fraude o error, y para garantizar que la actividad realizada esté libre de incumplimientos legales.</w:t>
      </w:r>
    </w:p>
    <w:p w14:paraId="0F3EB334" w14:textId="77777777" w:rsidR="00614DC4" w:rsidRPr="00B4646B" w:rsidRDefault="00614DC4" w:rsidP="00676DCB">
      <w:pPr>
        <w:pStyle w:val="texto"/>
        <w:spacing w:after="120"/>
        <w:jc w:val="both"/>
      </w:pPr>
      <w:r>
        <w:t>El Proyecto de Ley Foral de Cuentas Generales de 202</w:t>
      </w:r>
      <w:r w:rsidR="00802F88">
        <w:t>3</w:t>
      </w:r>
      <w:r>
        <w:t xml:space="preserve"> fue aprobado por el </w:t>
      </w:r>
      <w:r w:rsidRPr="00680EE5">
        <w:t>Gobierno de Navarra en sesión celebrada el 2</w:t>
      </w:r>
      <w:r w:rsidR="00680EE5" w:rsidRPr="00680EE5">
        <w:t>6</w:t>
      </w:r>
      <w:r w:rsidRPr="00680EE5">
        <w:t xml:space="preserve"> de junio de 202</w:t>
      </w:r>
      <w:r w:rsidR="00802F88" w:rsidRPr="00680EE5">
        <w:t>4</w:t>
      </w:r>
      <w:r w:rsidRPr="00680EE5">
        <w:t xml:space="preserve"> y remitido al </w:t>
      </w:r>
      <w:r>
        <w:t xml:space="preserve">Parlamento de Navarra; la Mesa de dicho parlamento acordó, su remisión a la Cámara de Comptos para su examen y censura, escrito que tuvo entrada en esta </w:t>
      </w:r>
      <w:r w:rsidRPr="00B4646B">
        <w:t xml:space="preserve">institución en fecha </w:t>
      </w:r>
      <w:r w:rsidR="00B4646B" w:rsidRPr="00B4646B">
        <w:t>3</w:t>
      </w:r>
      <w:r w:rsidRPr="00B4646B">
        <w:t xml:space="preserve"> de septiembre de 202</w:t>
      </w:r>
      <w:r w:rsidR="00B4646B" w:rsidRPr="00B4646B">
        <w:t>4</w:t>
      </w:r>
      <w:r w:rsidRPr="00B4646B">
        <w:t>.</w:t>
      </w:r>
    </w:p>
    <w:p w14:paraId="736D86A1" w14:textId="77777777" w:rsidR="00614DC4" w:rsidRDefault="00614DC4" w:rsidP="00614DC4">
      <w:pPr>
        <w:rPr>
          <w:spacing w:val="6"/>
          <w:sz w:val="26"/>
        </w:rPr>
      </w:pPr>
      <w:r>
        <w:br w:type="page"/>
      </w:r>
    </w:p>
    <w:p w14:paraId="4BD2BAA6" w14:textId="77777777" w:rsidR="00614DC4" w:rsidRDefault="00614DC4" w:rsidP="00614DC4">
      <w:pPr>
        <w:pStyle w:val="atitulo1"/>
      </w:pPr>
      <w:bookmarkStart w:id="43" w:name="_Toc146471232"/>
      <w:bookmarkStart w:id="44" w:name="_Toc182464266"/>
      <w:r>
        <w:lastRenderedPageBreak/>
        <w:t>IX. Responsabilidad de la Cámara de Comptos de Navarra</w:t>
      </w:r>
      <w:bookmarkEnd w:id="43"/>
      <w:bookmarkEnd w:id="44"/>
    </w:p>
    <w:p w14:paraId="6E4F409A" w14:textId="77777777" w:rsidR="00614DC4" w:rsidRDefault="00614DC4" w:rsidP="00676DCB">
      <w:pPr>
        <w:pStyle w:val="texto"/>
        <w:spacing w:after="120"/>
        <w:jc w:val="both"/>
      </w:pPr>
      <w:r>
        <w:t xml:space="preserve">Nuestros objetivos son obtener una seguridad razonable de que las Cuentas Generales en su conjunto están libres de incorrección material, debida a fraude o error, y de que las actividades, operaciones presupuestarias y financieras y la </w:t>
      </w:r>
      <w:proofErr w:type="gramStart"/>
      <w:r w:rsidRPr="00676DCB">
        <w:rPr>
          <w:rFonts w:cs="Arial"/>
        </w:rPr>
        <w:t>información</w:t>
      </w:r>
      <w:r>
        <w:t xml:space="preserve"> reflejadas</w:t>
      </w:r>
      <w:proofErr w:type="gramEnd"/>
      <w:r>
        <w:t xml:space="preserve"> en las citadas cuentas resultan conformes con la normativa aplicable con la finalidad de emitir un informe de fiscalización de regularidad que contenga nuestra opinión. </w:t>
      </w:r>
    </w:p>
    <w:p w14:paraId="716E4D07" w14:textId="77777777" w:rsidR="00614DC4" w:rsidRDefault="00614DC4" w:rsidP="00676DCB">
      <w:pPr>
        <w:pStyle w:val="texto"/>
        <w:spacing w:after="120"/>
        <w:jc w:val="both"/>
      </w:pPr>
      <w:r>
        <w:t xml:space="preserve">Seguridad razonable es un alto grado de seguridad, pero no garantiza que una fiscalización realizada de conformidad con la normativa reguladora de los órganos de control externo siempre detecte una incorrección material o un incumplimiento significativo cuando exista. Las incorrecciones pueden deberse a fraude o error y a incumplimientos de legalidad y se consideran materiales aplicando los criterios de esta Cámara de Comptos y siempre que pueda preverse razonablemente que influyan en las decisiones económicas de las personas usuarias de los informes. </w:t>
      </w:r>
    </w:p>
    <w:p w14:paraId="2F8DF3C4" w14:textId="77777777" w:rsidR="00614DC4" w:rsidRDefault="00614DC4" w:rsidP="00676DCB">
      <w:pPr>
        <w:pStyle w:val="texto"/>
        <w:spacing w:after="120"/>
        <w:jc w:val="both"/>
      </w:pPr>
      <w:r>
        <w:t xml:space="preserve">Como parte de una fiscalización y de conformidad con la normativa reguladora de los órganos de </w:t>
      </w:r>
      <w:r w:rsidRPr="00676DCB">
        <w:rPr>
          <w:rFonts w:cs="Arial"/>
        </w:rPr>
        <w:t>control</w:t>
      </w:r>
      <w:r>
        <w:t xml:space="preserve"> externo, aplicamos nuestro juicio profesional y mantenemos una actitud de escepticismo profesional durante toda la auditoría. También:</w:t>
      </w:r>
    </w:p>
    <w:p w14:paraId="73CD612B" w14:textId="77777777" w:rsidR="00614DC4" w:rsidRPr="004732E4"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4732E4">
        <w:rPr>
          <w:rFonts w:cs="Arial"/>
          <w:lang w:val="es-ES_tradnl" w:eastAsia="en-US"/>
        </w:rPr>
        <w:t>Identificamos y valoramos los riesgos de incorrección material debida a fraude o error y de incumplimiento legales, diseñamos y aplicamos procedimientos de auditoría para responder a dichos riesgos y obtenemos evidencia de auditoría suficiente y adecuada para proporcionar una base para nuestra opinión. El riesgo de no detectar una incorrección material o un incumplimiento debido a fraude es más elevado que en el caso de una incorrección material debida a error, ya que el fraude puede implicar colusión, falsificación, omisiones deliberadas, manifestaciones intencionadamente erróneas, o la elusión del control interno.</w:t>
      </w:r>
    </w:p>
    <w:p w14:paraId="2915ACF4" w14:textId="77777777" w:rsidR="00614DC4" w:rsidRPr="004732E4"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4732E4">
        <w:rPr>
          <w:rFonts w:cs="Arial"/>
          <w:lang w:val="es-ES_tradnl" w:eastAsia="en-US"/>
        </w:rPr>
        <w:t>Obtenemos conocimiento del control interno relevante para la fiscalización con el fin de diseñar procedimientos de auditoría que sean adecuados en función de las circunstancias, y no con la finalidad de expresar una opinión sobre la eficacia del control interno de la entidad.</w:t>
      </w:r>
    </w:p>
    <w:p w14:paraId="3F98C9B5" w14:textId="77777777" w:rsidR="00614DC4" w:rsidRPr="004732E4"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4732E4">
        <w:rPr>
          <w:rFonts w:cs="Arial"/>
          <w:lang w:val="es-ES_tradnl" w:eastAsia="en-US"/>
        </w:rPr>
        <w:t>Evaluamos si las políticas contables aplicadas son adecuadas y la razonabilidad de las estimaciones contables y la correspondiente información revelada por el órgano de gestión.</w:t>
      </w:r>
    </w:p>
    <w:p w14:paraId="637F0004" w14:textId="77777777" w:rsidR="00614DC4" w:rsidRPr="004732E4"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4732E4">
        <w:rPr>
          <w:rFonts w:cs="Arial"/>
          <w:lang w:val="es-ES_tradnl" w:eastAsia="en-US"/>
        </w:rPr>
        <w:t>Evaluamos la presentación global, la estructura y el contenido de las Cuentas Generales, incluida la información revelada, y si estas cuentas representan las transacciones y hechos subyacentes de un modo que logran expresar la imagen fiel.</w:t>
      </w:r>
    </w:p>
    <w:p w14:paraId="1A307C70" w14:textId="77777777" w:rsidR="00614DC4" w:rsidRDefault="00614DC4" w:rsidP="00676DCB">
      <w:pPr>
        <w:pStyle w:val="texto"/>
        <w:spacing w:after="120"/>
        <w:jc w:val="both"/>
      </w:pPr>
      <w:r>
        <w:lastRenderedPageBreak/>
        <w:t xml:space="preserve">Nos comunicamos con el órgano de gobierno de la entidad en relación con, entre otras cuestiones, el alcance y el momento de realización de las pruebas de auditoría </w:t>
      </w:r>
      <w:r w:rsidRPr="00676DCB">
        <w:rPr>
          <w:rFonts w:cs="Arial"/>
        </w:rPr>
        <w:t>planificadas</w:t>
      </w:r>
      <w:r>
        <w:t xml:space="preserve"> y los hallazgos significativos de la fiscalización, así como cualquier deficiencia significativa del control interno que identificamos en el transcurso de la fiscalización. Entre las cuestiones que han sido objeto de comunicación al órgano de gobierno de la entidad, determinamos las que han sido de mayor significatividad en la fiscalización y que son, en consecuencia, las cuestiones clave de la auditoría.</w:t>
      </w:r>
    </w:p>
    <w:p w14:paraId="51228624" w14:textId="77777777" w:rsidR="00614DC4" w:rsidRPr="00060DBC" w:rsidRDefault="00614DC4" w:rsidP="00614DC4">
      <w:pPr>
        <w:pStyle w:val="atitulo1"/>
        <w:spacing w:after="120"/>
        <w:rPr>
          <w:color w:val="auto"/>
        </w:rPr>
      </w:pPr>
      <w:r>
        <w:rPr>
          <w:b w:val="0"/>
        </w:rPr>
        <w:br w:type="page"/>
      </w:r>
      <w:bookmarkStart w:id="45" w:name="_Toc146471233"/>
      <w:bookmarkStart w:id="46" w:name="_Toc182464267"/>
      <w:r w:rsidRPr="00060DBC">
        <w:rPr>
          <w:color w:val="auto"/>
        </w:rPr>
        <w:lastRenderedPageBreak/>
        <w:t>X. Seguimiento de las recomendaciones emitidas en informes anteriores</w:t>
      </w:r>
      <w:bookmarkEnd w:id="45"/>
      <w:bookmarkEnd w:id="46"/>
      <w:r w:rsidRPr="00060DBC">
        <w:rPr>
          <w:color w:val="auto"/>
        </w:rPr>
        <w:t xml:space="preserve"> </w:t>
      </w:r>
    </w:p>
    <w:p w14:paraId="3480E86C" w14:textId="77777777" w:rsidR="0001734E" w:rsidRPr="0001734E" w:rsidRDefault="0001734E" w:rsidP="00676DCB">
      <w:pPr>
        <w:pStyle w:val="texto"/>
        <w:spacing w:after="120"/>
        <w:jc w:val="both"/>
        <w:rPr>
          <w:lang w:val="es-ES_tradnl" w:eastAsia="en-US"/>
        </w:rPr>
      </w:pPr>
      <w:r w:rsidRPr="0001734E">
        <w:rPr>
          <w:lang w:val="es-ES_tradnl" w:eastAsia="en-US"/>
        </w:rPr>
        <w:t xml:space="preserve">Durante el </w:t>
      </w:r>
      <w:r w:rsidRPr="00676DCB">
        <w:rPr>
          <w:rFonts w:cs="Arial"/>
        </w:rPr>
        <w:t>ejercicio</w:t>
      </w:r>
      <w:r w:rsidRPr="0001734E">
        <w:rPr>
          <w:lang w:val="es-ES_tradnl" w:eastAsia="en-US"/>
        </w:rPr>
        <w:t xml:space="preserve"> fiscalizado se han atendido o se están atendiendo las siguientes </w:t>
      </w:r>
      <w:r w:rsidRPr="00496F13">
        <w:rPr>
          <w:i/>
          <w:lang w:val="es-ES_tradnl" w:eastAsia="en-US"/>
        </w:rPr>
        <w:t>recomendaciones</w:t>
      </w:r>
      <w:r w:rsidRPr="0001734E">
        <w:rPr>
          <w:lang w:val="es-ES_tradnl" w:eastAsia="en-US"/>
        </w:rPr>
        <w:t xml:space="preserve"> relevantes incluidas en informes anteriores: </w:t>
      </w:r>
    </w:p>
    <w:p w14:paraId="50614CCD" w14:textId="77777777" w:rsidR="00D021DA" w:rsidRPr="0001734E" w:rsidRDefault="00D021DA" w:rsidP="00496F13">
      <w:pPr>
        <w:numPr>
          <w:ilvl w:val="0"/>
          <w:numId w:val="4"/>
        </w:numPr>
        <w:tabs>
          <w:tab w:val="left" w:pos="708"/>
          <w:tab w:val="center" w:pos="2835"/>
          <w:tab w:val="center" w:pos="3969"/>
          <w:tab w:val="center" w:pos="5103"/>
          <w:tab w:val="center" w:pos="6237"/>
          <w:tab w:val="center" w:pos="7371"/>
        </w:tabs>
        <w:spacing w:after="140"/>
        <w:ind w:left="0" w:firstLine="284"/>
        <w:jc w:val="both"/>
        <w:rPr>
          <w:rFonts w:cs="Arial"/>
          <w:i/>
          <w:spacing w:val="6"/>
          <w:sz w:val="26"/>
          <w:lang w:val="es-ES_tradnl" w:eastAsia="en-US"/>
        </w:rPr>
      </w:pPr>
      <w:r w:rsidRPr="0001734E">
        <w:rPr>
          <w:rFonts w:cs="Arial"/>
          <w:i/>
          <w:spacing w:val="6"/>
          <w:sz w:val="26"/>
          <w:lang w:val="es-ES_tradnl" w:eastAsia="en-US"/>
        </w:rPr>
        <w:t>Elaborar un inventario valorado de todos los bienes y derechos de la Comunidad Foral que respalde los saldos contables del inmovilizado de acuerdo a las exigencias del Plan General de Contabilidad Pública.</w:t>
      </w:r>
    </w:p>
    <w:p w14:paraId="3FCC3EF2" w14:textId="77777777" w:rsidR="00D021DA" w:rsidRPr="00D021DA" w:rsidRDefault="00D021DA" w:rsidP="00496F13">
      <w:pPr>
        <w:numPr>
          <w:ilvl w:val="0"/>
          <w:numId w:val="4"/>
        </w:numPr>
        <w:tabs>
          <w:tab w:val="left" w:pos="708"/>
          <w:tab w:val="center" w:pos="2835"/>
          <w:tab w:val="center" w:pos="3969"/>
          <w:tab w:val="center" w:pos="5103"/>
          <w:tab w:val="center" w:pos="6237"/>
          <w:tab w:val="center" w:pos="7371"/>
        </w:tabs>
        <w:spacing w:after="140"/>
        <w:ind w:left="0" w:firstLine="284"/>
        <w:jc w:val="both"/>
        <w:rPr>
          <w:rFonts w:cs="Arial"/>
          <w:i/>
          <w:spacing w:val="6"/>
          <w:sz w:val="26"/>
          <w:lang w:val="es-ES_tradnl" w:eastAsia="en-US"/>
        </w:rPr>
      </w:pPr>
      <w:r w:rsidRPr="0001734E">
        <w:rPr>
          <w:rFonts w:cs="Arial"/>
          <w:i/>
          <w:spacing w:val="6"/>
          <w:sz w:val="26"/>
          <w:lang w:val="es-ES_tradnl" w:eastAsia="en-US"/>
        </w:rPr>
        <w:t xml:space="preserve">Establecer unos criterios de contabilización de altas y bajas de inmovilizado de acuerdo a la normativa contable vigente y registrarlas de acuerdo a los mismos. </w:t>
      </w:r>
    </w:p>
    <w:p w14:paraId="1997A807" w14:textId="77777777" w:rsidR="0001734E" w:rsidRPr="0001734E" w:rsidRDefault="0001734E" w:rsidP="00676DCB">
      <w:pPr>
        <w:pStyle w:val="texto"/>
        <w:spacing w:after="120"/>
        <w:jc w:val="both"/>
        <w:rPr>
          <w:lang w:val="es-ES_tradnl" w:eastAsia="en-US"/>
        </w:rPr>
      </w:pPr>
      <w:r w:rsidRPr="0001734E">
        <w:rPr>
          <w:lang w:val="es-ES_tradnl" w:eastAsia="en-US"/>
        </w:rPr>
        <w:t xml:space="preserve">Se mantienen </w:t>
      </w:r>
      <w:r w:rsidRPr="00676DCB">
        <w:rPr>
          <w:rFonts w:cs="Arial"/>
        </w:rPr>
        <w:t>las</w:t>
      </w:r>
      <w:r w:rsidRPr="0001734E">
        <w:rPr>
          <w:lang w:val="es-ES_tradnl" w:eastAsia="en-US"/>
        </w:rPr>
        <w:t xml:space="preserve"> siguientes </w:t>
      </w:r>
      <w:r w:rsidRPr="00944F6A">
        <w:rPr>
          <w:i/>
          <w:lang w:val="es-ES_tradnl" w:eastAsia="en-US"/>
        </w:rPr>
        <w:t>recomendaciones</w:t>
      </w:r>
      <w:r w:rsidRPr="0001734E">
        <w:rPr>
          <w:lang w:val="es-ES_tradnl" w:eastAsia="en-US"/>
        </w:rPr>
        <w:t xml:space="preserve"> relevantes propuestas en informes de ejercicios anteriores:</w:t>
      </w:r>
    </w:p>
    <w:p w14:paraId="6A15CD69" w14:textId="77777777" w:rsidR="0001734E" w:rsidRPr="0001734E" w:rsidRDefault="0001734E" w:rsidP="008C2B8E">
      <w:pPr>
        <w:numPr>
          <w:ilvl w:val="0"/>
          <w:numId w:val="5"/>
        </w:numPr>
        <w:tabs>
          <w:tab w:val="left" w:pos="708"/>
          <w:tab w:val="center" w:pos="2835"/>
          <w:tab w:val="center" w:pos="3969"/>
          <w:tab w:val="center" w:pos="5103"/>
          <w:tab w:val="center" w:pos="6237"/>
          <w:tab w:val="center" w:pos="7371"/>
        </w:tabs>
        <w:spacing w:before="140" w:after="140"/>
        <w:ind w:left="0" w:firstLine="284"/>
        <w:jc w:val="both"/>
        <w:rPr>
          <w:rFonts w:cs="Arial"/>
          <w:i/>
          <w:spacing w:val="6"/>
          <w:sz w:val="26"/>
          <w:lang w:val="es-ES_tradnl" w:eastAsia="en-US"/>
        </w:rPr>
      </w:pPr>
      <w:r w:rsidRPr="0001734E">
        <w:rPr>
          <w:rFonts w:cs="Arial"/>
          <w:i/>
          <w:spacing w:val="6"/>
          <w:sz w:val="26"/>
          <w:lang w:val="es-ES_tradnl" w:eastAsia="en-US"/>
        </w:rPr>
        <w:t>Aprobar de manera urgente el Plan General de Contabilidad Pública de la Comunidad Foral y en su defecto, aplicar en toda su extensión el Plan General de Contabilidad Pública, vigente desde el 1 de enero de 2011.</w:t>
      </w:r>
    </w:p>
    <w:p w14:paraId="6176302D" w14:textId="77777777" w:rsidR="0001734E" w:rsidRPr="0001734E" w:rsidRDefault="0001734E" w:rsidP="008C2B8E">
      <w:pPr>
        <w:numPr>
          <w:ilvl w:val="0"/>
          <w:numId w:val="5"/>
        </w:numPr>
        <w:tabs>
          <w:tab w:val="left" w:pos="708"/>
          <w:tab w:val="center" w:pos="2835"/>
          <w:tab w:val="center" w:pos="3969"/>
          <w:tab w:val="center" w:pos="5103"/>
          <w:tab w:val="center" w:pos="6237"/>
          <w:tab w:val="center" w:pos="7371"/>
        </w:tabs>
        <w:spacing w:before="140" w:after="140"/>
        <w:ind w:left="0" w:firstLine="284"/>
        <w:jc w:val="both"/>
        <w:rPr>
          <w:rFonts w:cs="Arial"/>
          <w:i/>
          <w:spacing w:val="6"/>
          <w:sz w:val="26"/>
          <w:lang w:val="es-ES_tradnl" w:eastAsia="en-US"/>
        </w:rPr>
      </w:pPr>
      <w:r w:rsidRPr="0001734E">
        <w:rPr>
          <w:rFonts w:cs="Arial"/>
          <w:i/>
          <w:spacing w:val="6"/>
          <w:sz w:val="26"/>
          <w:lang w:val="es-ES_tradnl" w:eastAsia="en-US"/>
        </w:rPr>
        <w:t>Adaptar los sistemas contables de la H</w:t>
      </w:r>
      <w:r>
        <w:rPr>
          <w:rFonts w:cs="Arial"/>
          <w:i/>
          <w:spacing w:val="6"/>
          <w:sz w:val="26"/>
          <w:lang w:val="es-ES_tradnl" w:eastAsia="en-US"/>
        </w:rPr>
        <w:t>F</w:t>
      </w:r>
      <w:r w:rsidRPr="0001734E">
        <w:rPr>
          <w:rFonts w:cs="Arial"/>
          <w:i/>
          <w:spacing w:val="6"/>
          <w:sz w:val="26"/>
          <w:lang w:val="es-ES_tradnl" w:eastAsia="en-US"/>
        </w:rPr>
        <w:t xml:space="preserve">N para obtener la información del desarrollo del presupuesto de ingresos según los procedimientos contables del Plan General de Contabilidad Pública y no desde informes preparados con métodos estadísticos. </w:t>
      </w:r>
    </w:p>
    <w:p w14:paraId="0E2311EE" w14:textId="77777777" w:rsidR="0001734E" w:rsidRPr="0001734E" w:rsidRDefault="0001734E" w:rsidP="008C2B8E">
      <w:pPr>
        <w:numPr>
          <w:ilvl w:val="0"/>
          <w:numId w:val="5"/>
        </w:numPr>
        <w:tabs>
          <w:tab w:val="left" w:pos="708"/>
          <w:tab w:val="center" w:pos="2835"/>
          <w:tab w:val="center" w:pos="3969"/>
          <w:tab w:val="center" w:pos="5103"/>
          <w:tab w:val="center" w:pos="6237"/>
          <w:tab w:val="center" w:pos="7371"/>
        </w:tabs>
        <w:spacing w:before="140" w:after="140"/>
        <w:ind w:left="0" w:firstLine="284"/>
        <w:jc w:val="both"/>
        <w:rPr>
          <w:rFonts w:cs="Arial"/>
          <w:i/>
          <w:spacing w:val="6"/>
          <w:sz w:val="26"/>
          <w:lang w:val="es-ES_tradnl" w:eastAsia="en-US"/>
        </w:rPr>
      </w:pPr>
      <w:r w:rsidRPr="0001734E">
        <w:rPr>
          <w:rFonts w:cs="Arial"/>
          <w:i/>
          <w:spacing w:val="6"/>
          <w:sz w:val="26"/>
          <w:lang w:val="es-ES_tradnl" w:eastAsia="en-US"/>
        </w:rPr>
        <w:t>Reflejar en el balance las obligaciones actuariales derivadas de los derechos pasivos de los funcionarios pertenecientes al régimen de Montepío.</w:t>
      </w:r>
    </w:p>
    <w:p w14:paraId="72739A4B" w14:textId="77777777" w:rsidR="0001734E" w:rsidRPr="0001734E" w:rsidRDefault="0001734E" w:rsidP="008C2B8E">
      <w:pPr>
        <w:numPr>
          <w:ilvl w:val="0"/>
          <w:numId w:val="5"/>
        </w:numPr>
        <w:tabs>
          <w:tab w:val="left" w:pos="708"/>
          <w:tab w:val="center" w:pos="2835"/>
          <w:tab w:val="center" w:pos="3969"/>
          <w:tab w:val="center" w:pos="5103"/>
          <w:tab w:val="center" w:pos="6237"/>
          <w:tab w:val="center" w:pos="7371"/>
        </w:tabs>
        <w:spacing w:before="140" w:after="140"/>
        <w:ind w:left="0" w:firstLine="284"/>
        <w:jc w:val="both"/>
        <w:rPr>
          <w:rFonts w:cs="Arial"/>
          <w:i/>
          <w:spacing w:val="6"/>
          <w:sz w:val="26"/>
          <w:lang w:val="es-ES_tradnl" w:eastAsia="en-US"/>
        </w:rPr>
      </w:pPr>
      <w:r w:rsidRPr="0001734E">
        <w:rPr>
          <w:rFonts w:cs="Arial"/>
          <w:i/>
          <w:spacing w:val="6"/>
          <w:sz w:val="26"/>
          <w:lang w:val="es-ES_tradnl" w:eastAsia="en-US"/>
        </w:rPr>
        <w:t>Desarrollar el sistema contable de manera que suministre información para determinar el coste de los servicios públicos.</w:t>
      </w:r>
    </w:p>
    <w:p w14:paraId="57F33059" w14:textId="77777777" w:rsidR="0001734E" w:rsidRPr="0001734E" w:rsidRDefault="0001734E" w:rsidP="008C2B8E">
      <w:pPr>
        <w:numPr>
          <w:ilvl w:val="0"/>
          <w:numId w:val="5"/>
        </w:numPr>
        <w:tabs>
          <w:tab w:val="left" w:pos="708"/>
          <w:tab w:val="center" w:pos="2835"/>
          <w:tab w:val="center" w:pos="3969"/>
          <w:tab w:val="center" w:pos="5103"/>
          <w:tab w:val="center" w:pos="6237"/>
          <w:tab w:val="center" w:pos="7371"/>
        </w:tabs>
        <w:spacing w:before="140" w:after="140"/>
        <w:ind w:left="0" w:firstLine="284"/>
        <w:jc w:val="both"/>
        <w:rPr>
          <w:rFonts w:cs="Arial"/>
          <w:i/>
          <w:spacing w:val="6"/>
          <w:sz w:val="26"/>
          <w:lang w:val="es-ES_tradnl" w:eastAsia="en-US"/>
        </w:rPr>
      </w:pPr>
      <w:r w:rsidRPr="0001734E">
        <w:rPr>
          <w:rFonts w:cs="Arial"/>
          <w:i/>
          <w:spacing w:val="6"/>
          <w:sz w:val="26"/>
          <w:lang w:val="es-ES_tradnl" w:eastAsia="en-US"/>
        </w:rPr>
        <w:t>Modificar la aplicación CAT para obtener datos sobre la recaudación de los impuestos que alimenten al sistema SAPG21 y proporcionen información fiable para la elaboración de los estados financieros, ayudando asimismo en la gestión y análisis de otras áreas como la de lucha contra el fraude fiscal.</w:t>
      </w:r>
    </w:p>
    <w:p w14:paraId="27929EF9" w14:textId="77777777" w:rsidR="0001734E" w:rsidRPr="0001734E" w:rsidRDefault="0001734E" w:rsidP="008C2B8E">
      <w:pPr>
        <w:numPr>
          <w:ilvl w:val="0"/>
          <w:numId w:val="5"/>
        </w:numPr>
        <w:tabs>
          <w:tab w:val="left" w:pos="708"/>
          <w:tab w:val="center" w:pos="2835"/>
          <w:tab w:val="center" w:pos="3969"/>
          <w:tab w:val="center" w:pos="5103"/>
          <w:tab w:val="center" w:pos="6237"/>
          <w:tab w:val="center" w:pos="7371"/>
        </w:tabs>
        <w:spacing w:before="140" w:after="140"/>
        <w:ind w:left="0" w:firstLine="284"/>
        <w:jc w:val="both"/>
        <w:rPr>
          <w:rFonts w:cs="Arial"/>
          <w:i/>
          <w:spacing w:val="6"/>
          <w:sz w:val="26"/>
          <w:lang w:val="es-ES_tradnl" w:eastAsia="en-US"/>
        </w:rPr>
      </w:pPr>
      <w:r w:rsidRPr="0001734E">
        <w:rPr>
          <w:rFonts w:cs="Arial"/>
          <w:i/>
          <w:spacing w:val="6"/>
          <w:sz w:val="26"/>
          <w:lang w:val="es-ES_tradnl" w:eastAsia="en-US"/>
        </w:rPr>
        <w:t>Analizar la posibilidad de incluir en la memoria de las Cuentas Generales un análisis más exhaustivo sobre los objetivos pretendidos con los beneficios fiscales y su grado de consecución.</w:t>
      </w:r>
    </w:p>
    <w:p w14:paraId="3EE98BBA" w14:textId="77777777" w:rsidR="0001734E" w:rsidRPr="0001734E" w:rsidRDefault="0001734E" w:rsidP="008C2B8E">
      <w:pPr>
        <w:numPr>
          <w:ilvl w:val="0"/>
          <w:numId w:val="5"/>
        </w:numPr>
        <w:tabs>
          <w:tab w:val="left" w:pos="708"/>
          <w:tab w:val="center" w:pos="2835"/>
          <w:tab w:val="center" w:pos="3969"/>
          <w:tab w:val="center" w:pos="5103"/>
          <w:tab w:val="center" w:pos="6237"/>
          <w:tab w:val="center" w:pos="7371"/>
        </w:tabs>
        <w:spacing w:before="140" w:after="140"/>
        <w:ind w:left="0" w:firstLine="284"/>
        <w:jc w:val="both"/>
        <w:rPr>
          <w:rFonts w:cs="Arial"/>
          <w:i/>
          <w:spacing w:val="6"/>
          <w:sz w:val="26"/>
          <w:lang w:val="es-ES_tradnl" w:eastAsia="en-US"/>
        </w:rPr>
      </w:pPr>
      <w:r w:rsidRPr="0001734E">
        <w:rPr>
          <w:rFonts w:cs="Arial"/>
          <w:i/>
          <w:spacing w:val="6"/>
          <w:sz w:val="26"/>
          <w:lang w:val="es-ES_tradnl" w:eastAsia="en-US"/>
        </w:rPr>
        <w:t>Trabajar conjuntamente entre el Servicio de Contabilidad y el Servicio de Recaudación con el fin de mejorar la información sobre los cobros de los impuestos correspondientes a derechos devengados en el ejercicio y reflejar una imagen más fiable en los estados contables.</w:t>
      </w:r>
    </w:p>
    <w:p w14:paraId="20A22D2C" w14:textId="77777777" w:rsidR="0001734E" w:rsidRDefault="0001734E" w:rsidP="008C2B8E">
      <w:pPr>
        <w:numPr>
          <w:ilvl w:val="0"/>
          <w:numId w:val="5"/>
        </w:numPr>
        <w:tabs>
          <w:tab w:val="left" w:pos="708"/>
          <w:tab w:val="center" w:pos="2835"/>
          <w:tab w:val="center" w:pos="3969"/>
          <w:tab w:val="center" w:pos="5103"/>
          <w:tab w:val="center" w:pos="6237"/>
          <w:tab w:val="center" w:pos="7371"/>
        </w:tabs>
        <w:spacing w:before="140" w:after="140"/>
        <w:ind w:left="0" w:firstLine="284"/>
        <w:jc w:val="both"/>
        <w:rPr>
          <w:rFonts w:cs="Arial"/>
          <w:i/>
          <w:spacing w:val="6"/>
          <w:sz w:val="26"/>
          <w:lang w:val="es-ES_tradnl" w:eastAsia="en-US"/>
        </w:rPr>
      </w:pPr>
      <w:r w:rsidRPr="0001734E">
        <w:rPr>
          <w:rFonts w:cs="Arial"/>
          <w:i/>
          <w:spacing w:val="6"/>
          <w:sz w:val="26"/>
          <w:lang w:val="es-ES_tradnl" w:eastAsia="en-US"/>
        </w:rPr>
        <w:t>Establecer las medidas de gestión y control necesarias para solventar las deficiencias detectadas en las auditorías de legalidad de empresas y fundaciones públicas realizadas.</w:t>
      </w:r>
    </w:p>
    <w:p w14:paraId="08ABB938" w14:textId="77777777" w:rsidR="00A208A5" w:rsidRDefault="00A208A5" w:rsidP="008C2B8E">
      <w:pPr>
        <w:numPr>
          <w:ilvl w:val="0"/>
          <w:numId w:val="5"/>
        </w:numPr>
        <w:tabs>
          <w:tab w:val="left" w:pos="708"/>
          <w:tab w:val="center" w:pos="2835"/>
          <w:tab w:val="center" w:pos="3969"/>
          <w:tab w:val="center" w:pos="5103"/>
          <w:tab w:val="center" w:pos="6237"/>
          <w:tab w:val="center" w:pos="7371"/>
        </w:tabs>
        <w:spacing w:before="140" w:after="140"/>
        <w:ind w:left="0" w:firstLine="284"/>
        <w:jc w:val="both"/>
        <w:rPr>
          <w:rFonts w:cs="Arial"/>
          <w:i/>
          <w:spacing w:val="6"/>
          <w:sz w:val="26"/>
          <w:lang w:val="es-ES_tradnl" w:eastAsia="en-US"/>
        </w:rPr>
      </w:pPr>
      <w:r w:rsidRPr="00A208A5">
        <w:rPr>
          <w:rFonts w:cs="Arial"/>
          <w:i/>
          <w:spacing w:val="6"/>
          <w:sz w:val="26"/>
          <w:lang w:val="es-ES_tradnl" w:eastAsia="en-US"/>
        </w:rPr>
        <w:lastRenderedPageBreak/>
        <w:t>Adoptar las correspondientes medidas para evitar la coincidencia o dupli</w:t>
      </w:r>
      <w:r w:rsidR="00BF1782">
        <w:rPr>
          <w:rFonts w:cs="Arial"/>
          <w:i/>
          <w:spacing w:val="6"/>
          <w:sz w:val="26"/>
          <w:lang w:val="es-ES_tradnl" w:eastAsia="en-US"/>
        </w:rPr>
        <w:t>ci</w:t>
      </w:r>
      <w:r w:rsidRPr="00A208A5">
        <w:rPr>
          <w:rFonts w:cs="Arial"/>
          <w:i/>
          <w:spacing w:val="6"/>
          <w:sz w:val="26"/>
          <w:lang w:val="es-ES_tradnl" w:eastAsia="en-US"/>
        </w:rPr>
        <w:t xml:space="preserve">dad de la actividad existente entre el INI y </w:t>
      </w:r>
      <w:proofErr w:type="spellStart"/>
      <w:r w:rsidRPr="00A208A5">
        <w:rPr>
          <w:rFonts w:cs="Arial"/>
          <w:i/>
          <w:spacing w:val="6"/>
          <w:sz w:val="26"/>
          <w:lang w:val="es-ES_tradnl" w:eastAsia="en-US"/>
        </w:rPr>
        <w:t>Sodena</w:t>
      </w:r>
      <w:proofErr w:type="spellEnd"/>
      <w:r w:rsidRPr="00A208A5">
        <w:rPr>
          <w:rFonts w:cs="Arial"/>
          <w:i/>
          <w:spacing w:val="6"/>
          <w:sz w:val="26"/>
          <w:lang w:val="es-ES_tradnl" w:eastAsia="en-US"/>
        </w:rPr>
        <w:t>.</w:t>
      </w:r>
    </w:p>
    <w:p w14:paraId="3EED50B7" w14:textId="77777777" w:rsidR="00060DBC" w:rsidRPr="00060DBC" w:rsidRDefault="00060DBC" w:rsidP="00060DBC">
      <w:pPr>
        <w:numPr>
          <w:ilvl w:val="0"/>
          <w:numId w:val="5"/>
        </w:numPr>
        <w:tabs>
          <w:tab w:val="left" w:pos="708"/>
          <w:tab w:val="center" w:pos="2835"/>
          <w:tab w:val="center" w:pos="3969"/>
          <w:tab w:val="center" w:pos="5103"/>
          <w:tab w:val="center" w:pos="6237"/>
          <w:tab w:val="center" w:pos="7371"/>
        </w:tabs>
        <w:spacing w:before="140" w:after="140"/>
        <w:ind w:left="0" w:firstLine="284"/>
        <w:jc w:val="both"/>
        <w:rPr>
          <w:rFonts w:cs="Arial"/>
          <w:i/>
          <w:spacing w:val="6"/>
          <w:sz w:val="26"/>
          <w:lang w:val="es-ES_tradnl" w:eastAsia="en-US"/>
        </w:rPr>
      </w:pPr>
      <w:r w:rsidRPr="00060DBC">
        <w:rPr>
          <w:rFonts w:cs="Arial"/>
          <w:i/>
          <w:spacing w:val="6"/>
          <w:sz w:val="26"/>
          <w:lang w:val="es-ES_tradnl" w:eastAsia="en-US"/>
        </w:rPr>
        <w:t>Formalizar todos los expedientes de contratación tramitados por emergencia y publicarlos en el Portal de Contratación.</w:t>
      </w:r>
    </w:p>
    <w:p w14:paraId="313E5F3D" w14:textId="77777777" w:rsidR="0001734E" w:rsidRDefault="0001734E" w:rsidP="0001734E">
      <w:pPr>
        <w:tabs>
          <w:tab w:val="center" w:pos="2835"/>
          <w:tab w:val="center" w:pos="3969"/>
          <w:tab w:val="center" w:pos="5103"/>
          <w:tab w:val="center" w:pos="6237"/>
          <w:tab w:val="center" w:pos="7371"/>
        </w:tabs>
        <w:spacing w:after="120"/>
        <w:ind w:firstLine="284"/>
        <w:jc w:val="both"/>
        <w:rPr>
          <w:spacing w:val="6"/>
          <w:sz w:val="26"/>
          <w:lang w:val="es-ES_tradnl" w:eastAsia="en-US"/>
        </w:rPr>
      </w:pPr>
      <w:r w:rsidRPr="0001734E">
        <w:rPr>
          <w:spacing w:val="6"/>
          <w:sz w:val="26"/>
          <w:lang w:val="es-ES_tradnl" w:eastAsia="en-US"/>
        </w:rPr>
        <w:t xml:space="preserve">Asimismo, señalamos que, como resultado de la fiscalización financiera y de legalidad, se incluyen otras recomendaciones en el Apéndice 5 referido a otras observaciones y hallazgos que acompaña a este informe. </w:t>
      </w:r>
    </w:p>
    <w:p w14:paraId="40D86A12" w14:textId="77777777" w:rsidR="00F861B2" w:rsidRDefault="00F861B2" w:rsidP="00827F48">
      <w:pPr>
        <w:tabs>
          <w:tab w:val="center" w:pos="2835"/>
          <w:tab w:val="center" w:pos="3969"/>
          <w:tab w:val="center" w:pos="5103"/>
          <w:tab w:val="center" w:pos="6237"/>
          <w:tab w:val="center" w:pos="7371"/>
        </w:tabs>
        <w:ind w:firstLine="284"/>
        <w:jc w:val="both"/>
        <w:rPr>
          <w:spacing w:val="6"/>
          <w:sz w:val="26"/>
          <w:szCs w:val="26"/>
        </w:rPr>
      </w:pPr>
      <w:r w:rsidRPr="00493AE6">
        <w:rPr>
          <w:spacing w:val="6"/>
          <w:sz w:val="26"/>
          <w:szCs w:val="26"/>
        </w:rPr>
        <w:t xml:space="preserve">Informe que se emite a propuesta del auditor </w:t>
      </w:r>
      <w:r>
        <w:rPr>
          <w:spacing w:val="6"/>
          <w:sz w:val="26"/>
          <w:szCs w:val="26"/>
        </w:rPr>
        <w:t>Miguel Angel Aurrecoechea</w:t>
      </w:r>
      <w:r w:rsidRPr="00493AE6">
        <w:rPr>
          <w:spacing w:val="6"/>
          <w:sz w:val="26"/>
          <w:szCs w:val="26"/>
        </w:rPr>
        <w:t>, responsable de la realización de este trabajo, una vez cumplimentados los trámites previstos por la normativa vigente.</w:t>
      </w:r>
    </w:p>
    <w:p w14:paraId="21DAB44C" w14:textId="5DF84B1C" w:rsidR="00562BB3" w:rsidRDefault="00562BB3" w:rsidP="00827F48">
      <w:pPr>
        <w:tabs>
          <w:tab w:val="center" w:pos="2835"/>
          <w:tab w:val="center" w:pos="3969"/>
          <w:tab w:val="center" w:pos="5103"/>
          <w:tab w:val="center" w:pos="6237"/>
          <w:tab w:val="center" w:pos="7371"/>
        </w:tabs>
        <w:ind w:firstLine="284"/>
        <w:jc w:val="both"/>
        <w:rPr>
          <w:spacing w:val="6"/>
          <w:sz w:val="26"/>
          <w:szCs w:val="26"/>
        </w:rPr>
      </w:pPr>
    </w:p>
    <w:p w14:paraId="085D9577" w14:textId="644745F6" w:rsidR="00562BB3" w:rsidRDefault="00562BB3" w:rsidP="00827F48">
      <w:pPr>
        <w:tabs>
          <w:tab w:val="center" w:pos="2835"/>
          <w:tab w:val="center" w:pos="3969"/>
          <w:tab w:val="center" w:pos="5103"/>
          <w:tab w:val="center" w:pos="6237"/>
          <w:tab w:val="center" w:pos="7371"/>
        </w:tabs>
        <w:ind w:firstLine="284"/>
        <w:jc w:val="both"/>
        <w:rPr>
          <w:spacing w:val="6"/>
          <w:sz w:val="26"/>
          <w:szCs w:val="26"/>
        </w:rPr>
      </w:pPr>
      <w:r>
        <w:rPr>
          <w:spacing w:val="6"/>
          <w:sz w:val="26"/>
          <w:szCs w:val="26"/>
        </w:rPr>
        <w:t>Pamplona, 25 de noviembre de 2024</w:t>
      </w:r>
    </w:p>
    <w:p w14:paraId="357045AE" w14:textId="4F2FDFF0" w:rsidR="00562BB3" w:rsidRPr="00493AE6" w:rsidRDefault="00562BB3" w:rsidP="00827F48">
      <w:pPr>
        <w:tabs>
          <w:tab w:val="center" w:pos="2835"/>
          <w:tab w:val="center" w:pos="3969"/>
          <w:tab w:val="center" w:pos="5103"/>
          <w:tab w:val="center" w:pos="6237"/>
          <w:tab w:val="center" w:pos="7371"/>
        </w:tabs>
        <w:ind w:firstLine="284"/>
        <w:jc w:val="both"/>
        <w:rPr>
          <w:spacing w:val="6"/>
          <w:sz w:val="26"/>
          <w:szCs w:val="26"/>
        </w:rPr>
      </w:pPr>
      <w:r>
        <w:rPr>
          <w:spacing w:val="6"/>
          <w:sz w:val="26"/>
          <w:szCs w:val="26"/>
        </w:rPr>
        <w:t xml:space="preserve">El presidente e la Cámara de Comptos: </w:t>
      </w:r>
      <w:r w:rsidRPr="00E570F4">
        <w:rPr>
          <w:i/>
          <w:spacing w:val="6"/>
          <w:sz w:val="22"/>
          <w:szCs w:val="22"/>
        </w:rPr>
        <w:t>Ignacio Cabeza del Salvador</w:t>
      </w:r>
    </w:p>
    <w:p w14:paraId="1D01374B" w14:textId="77777777" w:rsidR="00E94523" w:rsidRDefault="00E94523" w:rsidP="00614DC4"/>
    <w:p w14:paraId="52B2E833" w14:textId="77777777" w:rsidR="00614DC4" w:rsidRDefault="00614DC4" w:rsidP="00614DC4">
      <w:pPr>
        <w:pStyle w:val="texto"/>
        <w:spacing w:after="120"/>
        <w:jc w:val="center"/>
      </w:pPr>
      <w:r>
        <w:br w:type="page"/>
      </w:r>
    </w:p>
    <w:p w14:paraId="3482CFF5" w14:textId="77777777" w:rsidR="00614DC4" w:rsidRDefault="00614DC4" w:rsidP="00053346">
      <w:pPr>
        <w:pStyle w:val="atitulo1"/>
        <w:jc w:val="both"/>
      </w:pPr>
      <w:bookmarkStart w:id="47" w:name="_Toc146471234"/>
      <w:bookmarkStart w:id="48" w:name="_Toc182464268"/>
      <w:r>
        <w:lastRenderedPageBreak/>
        <w:t xml:space="preserve">Apéndice 1. Resumen de las cuentas de la Administración de la Comunidad Foral de Navarra y sus organismos autónomos, ejercicio </w:t>
      </w:r>
      <w:bookmarkEnd w:id="27"/>
      <w:bookmarkEnd w:id="28"/>
      <w:bookmarkEnd w:id="29"/>
      <w:bookmarkEnd w:id="30"/>
      <w:r>
        <w:t>202</w:t>
      </w:r>
      <w:r w:rsidR="00802F88">
        <w:t>3</w:t>
      </w:r>
      <w:r>
        <w:rPr>
          <w:rStyle w:val="Refdenotaalpie"/>
        </w:rPr>
        <w:footnoteReference w:id="7"/>
      </w:r>
      <w:bookmarkEnd w:id="47"/>
      <w:bookmarkEnd w:id="48"/>
    </w:p>
    <w:p w14:paraId="1970C545" w14:textId="77777777" w:rsidR="00614DC4" w:rsidRDefault="00614DC4" w:rsidP="00614DC4">
      <w:pPr>
        <w:pStyle w:val="texto"/>
        <w:spacing w:before="140" w:after="240"/>
        <w:ind w:firstLine="0"/>
        <w:rPr>
          <w:rFonts w:ascii="Arial" w:hAnsi="Arial" w:cs="Arial"/>
          <w:sz w:val="25"/>
          <w:szCs w:val="25"/>
        </w:rPr>
      </w:pPr>
      <w:bookmarkStart w:id="49" w:name="_Toc52267361"/>
      <w:bookmarkStart w:id="50" w:name="_Toc525907432"/>
      <w:bookmarkStart w:id="51" w:name="_Toc494270375"/>
      <w:bookmarkStart w:id="52" w:name="_Toc463350241"/>
      <w:r>
        <w:rPr>
          <w:rFonts w:ascii="Arial" w:hAnsi="Arial" w:cs="Arial"/>
          <w:sz w:val="25"/>
          <w:szCs w:val="25"/>
        </w:rPr>
        <w:t xml:space="preserve">Liquidación del presupuesto </w:t>
      </w:r>
      <w:bookmarkEnd w:id="49"/>
      <w:bookmarkEnd w:id="50"/>
      <w:bookmarkEnd w:id="51"/>
      <w:bookmarkEnd w:id="52"/>
      <w:r>
        <w:rPr>
          <w:rFonts w:ascii="Arial" w:hAnsi="Arial" w:cs="Arial"/>
          <w:sz w:val="25"/>
          <w:szCs w:val="25"/>
        </w:rPr>
        <w:t>202</w:t>
      </w:r>
      <w:r w:rsidR="00802F88">
        <w:rPr>
          <w:rFonts w:ascii="Arial" w:hAnsi="Arial" w:cs="Arial"/>
          <w:sz w:val="25"/>
          <w:szCs w:val="25"/>
        </w:rPr>
        <w:t>3</w:t>
      </w:r>
    </w:p>
    <w:p w14:paraId="164CA4B0" w14:textId="77777777" w:rsidR="00614DC4" w:rsidRDefault="00614DC4" w:rsidP="00053346">
      <w:pPr>
        <w:spacing w:before="140" w:after="120"/>
        <w:jc w:val="center"/>
        <w:outlineLvl w:val="0"/>
        <w:rPr>
          <w:rFonts w:ascii="Arial" w:hAnsi="Arial" w:cs="Arial"/>
        </w:rPr>
      </w:pPr>
      <w:r>
        <w:rPr>
          <w:rFonts w:ascii="Arial" w:hAnsi="Arial" w:cs="Arial"/>
        </w:rPr>
        <w:t>Liquidación del presupuesto de gastos de 202</w:t>
      </w:r>
      <w:r w:rsidR="00802F88">
        <w:rPr>
          <w:rFonts w:ascii="Arial" w:hAnsi="Arial" w:cs="Arial"/>
        </w:rPr>
        <w:t>3</w:t>
      </w:r>
      <w:r>
        <w:rPr>
          <w:rFonts w:ascii="Arial" w:hAnsi="Arial" w:cs="Arial"/>
        </w:rPr>
        <w:t>, por capítulos económicos</w:t>
      </w:r>
    </w:p>
    <w:p w14:paraId="1556A565" w14:textId="77777777" w:rsidR="00614DC4" w:rsidRDefault="00614DC4" w:rsidP="00614DC4">
      <w:pPr>
        <w:suppressAutoHyphens/>
        <w:spacing w:after="60"/>
        <w:jc w:val="right"/>
        <w:rPr>
          <w:rFonts w:ascii="Arial" w:hAnsi="Arial"/>
          <w:spacing w:val="6"/>
          <w:sz w:val="17"/>
          <w:szCs w:val="17"/>
        </w:rPr>
      </w:pPr>
      <w:r>
        <w:rPr>
          <w:rFonts w:ascii="Arial" w:hAnsi="Arial"/>
          <w:spacing w:val="6"/>
          <w:sz w:val="17"/>
          <w:szCs w:val="17"/>
        </w:rPr>
        <w:t>(en miles)</w:t>
      </w:r>
    </w:p>
    <w:tbl>
      <w:tblPr>
        <w:tblW w:w="8936" w:type="dxa"/>
        <w:jc w:val="center"/>
        <w:tblLayout w:type="fixed"/>
        <w:tblCellMar>
          <w:left w:w="70" w:type="dxa"/>
          <w:right w:w="70" w:type="dxa"/>
        </w:tblCellMar>
        <w:tblLook w:val="04A0" w:firstRow="1" w:lastRow="0" w:firstColumn="1" w:lastColumn="0" w:noHBand="0" w:noVBand="1"/>
      </w:tblPr>
      <w:tblGrid>
        <w:gridCol w:w="2269"/>
        <w:gridCol w:w="141"/>
        <w:gridCol w:w="993"/>
        <w:gridCol w:w="1134"/>
        <w:gridCol w:w="1134"/>
        <w:gridCol w:w="1275"/>
        <w:gridCol w:w="993"/>
        <w:gridCol w:w="997"/>
      </w:tblGrid>
      <w:tr w:rsidR="00614DC4" w:rsidRPr="00944F6A" w14:paraId="6ED9418B" w14:textId="77777777" w:rsidTr="00CC657A">
        <w:trPr>
          <w:trHeight w:val="255"/>
          <w:jc w:val="center"/>
        </w:trPr>
        <w:tc>
          <w:tcPr>
            <w:tcW w:w="2410" w:type="dxa"/>
            <w:gridSpan w:val="2"/>
            <w:vMerge w:val="restart"/>
            <w:tcBorders>
              <w:top w:val="single" w:sz="4" w:space="0" w:color="auto"/>
              <w:left w:val="nil"/>
              <w:bottom w:val="single" w:sz="4" w:space="0" w:color="auto"/>
              <w:right w:val="nil"/>
            </w:tcBorders>
            <w:shd w:val="clear" w:color="auto" w:fill="8DB3E2"/>
            <w:vAlign w:val="center"/>
            <w:hideMark/>
          </w:tcPr>
          <w:p w14:paraId="3813C2AC" w14:textId="77777777" w:rsidR="00614DC4" w:rsidRPr="00944F6A" w:rsidRDefault="00614DC4" w:rsidP="00C87AE9">
            <w:pPr>
              <w:pStyle w:val="cuatexto"/>
              <w:rPr>
                <w:rFonts w:ascii="Arial" w:hAnsi="Arial" w:cs="Arial"/>
                <w:sz w:val="18"/>
                <w:szCs w:val="18"/>
              </w:rPr>
            </w:pPr>
            <w:r w:rsidRPr="00944F6A">
              <w:rPr>
                <w:rFonts w:ascii="Arial" w:hAnsi="Arial" w:cs="Arial"/>
                <w:sz w:val="18"/>
                <w:szCs w:val="18"/>
              </w:rPr>
              <w:t>Capítulo económico</w:t>
            </w:r>
          </w:p>
        </w:tc>
        <w:tc>
          <w:tcPr>
            <w:tcW w:w="993" w:type="dxa"/>
            <w:tcBorders>
              <w:top w:val="single" w:sz="4" w:space="0" w:color="auto"/>
              <w:left w:val="nil"/>
              <w:bottom w:val="single" w:sz="4" w:space="0" w:color="auto"/>
              <w:right w:val="nil"/>
            </w:tcBorders>
            <w:shd w:val="clear" w:color="auto" w:fill="8DB3E2"/>
            <w:hideMark/>
          </w:tcPr>
          <w:p w14:paraId="6920160D" w14:textId="77777777" w:rsidR="00614DC4" w:rsidRPr="00944F6A" w:rsidRDefault="00614DC4" w:rsidP="00C87AE9">
            <w:pPr>
              <w:pStyle w:val="cuatexto"/>
              <w:jc w:val="right"/>
              <w:rPr>
                <w:rFonts w:ascii="Arial" w:hAnsi="Arial" w:cs="Arial"/>
                <w:sz w:val="18"/>
                <w:szCs w:val="18"/>
              </w:rPr>
            </w:pPr>
            <w:r w:rsidRPr="00944F6A">
              <w:rPr>
                <w:rFonts w:ascii="Arial" w:hAnsi="Arial" w:cs="Arial"/>
                <w:sz w:val="18"/>
                <w:szCs w:val="18"/>
              </w:rPr>
              <w:t xml:space="preserve">Crédito </w:t>
            </w:r>
          </w:p>
        </w:tc>
        <w:tc>
          <w:tcPr>
            <w:tcW w:w="1134" w:type="dxa"/>
            <w:vMerge w:val="restart"/>
            <w:tcBorders>
              <w:top w:val="single" w:sz="4" w:space="0" w:color="auto"/>
              <w:left w:val="nil"/>
              <w:bottom w:val="single" w:sz="4" w:space="0" w:color="auto"/>
              <w:right w:val="nil"/>
            </w:tcBorders>
            <w:shd w:val="clear" w:color="auto" w:fill="8DB3E2"/>
            <w:hideMark/>
          </w:tcPr>
          <w:p w14:paraId="0EFADB33" w14:textId="77777777" w:rsidR="00614DC4" w:rsidRPr="00944F6A" w:rsidRDefault="00614DC4" w:rsidP="00C87AE9">
            <w:pPr>
              <w:pStyle w:val="cuatexto"/>
              <w:jc w:val="right"/>
              <w:rPr>
                <w:rFonts w:ascii="Arial" w:hAnsi="Arial" w:cs="Arial"/>
                <w:sz w:val="18"/>
                <w:szCs w:val="18"/>
              </w:rPr>
            </w:pPr>
            <w:proofErr w:type="spellStart"/>
            <w:r w:rsidRPr="00944F6A">
              <w:rPr>
                <w:rFonts w:ascii="Arial" w:hAnsi="Arial"/>
                <w:sz w:val="18"/>
              </w:rPr>
              <w:t>Modificac</w:t>
            </w:r>
            <w:proofErr w:type="spellEnd"/>
            <w:r w:rsidRPr="00944F6A">
              <w:rPr>
                <w:rFonts w:ascii="Arial" w:hAnsi="Arial" w:cs="Arial"/>
                <w:sz w:val="18"/>
                <w:szCs w:val="18"/>
              </w:rPr>
              <w:t>.</w:t>
            </w:r>
          </w:p>
        </w:tc>
        <w:tc>
          <w:tcPr>
            <w:tcW w:w="1134" w:type="dxa"/>
            <w:tcBorders>
              <w:top w:val="single" w:sz="4" w:space="0" w:color="auto"/>
              <w:left w:val="nil"/>
              <w:bottom w:val="single" w:sz="4" w:space="0" w:color="auto"/>
              <w:right w:val="nil"/>
            </w:tcBorders>
            <w:shd w:val="clear" w:color="auto" w:fill="8DB3E2"/>
            <w:hideMark/>
          </w:tcPr>
          <w:p w14:paraId="48B7EB46" w14:textId="77777777" w:rsidR="00614DC4" w:rsidRPr="00944F6A" w:rsidRDefault="00614DC4" w:rsidP="00C87AE9">
            <w:pPr>
              <w:pStyle w:val="cuatexto"/>
              <w:jc w:val="right"/>
              <w:rPr>
                <w:rFonts w:ascii="Arial" w:hAnsi="Arial" w:cs="Arial"/>
                <w:sz w:val="18"/>
                <w:szCs w:val="18"/>
              </w:rPr>
            </w:pPr>
            <w:r w:rsidRPr="00944F6A">
              <w:rPr>
                <w:rFonts w:ascii="Arial" w:hAnsi="Arial" w:cs="Arial"/>
                <w:sz w:val="18"/>
                <w:szCs w:val="18"/>
              </w:rPr>
              <w:t xml:space="preserve">Crédito </w:t>
            </w:r>
          </w:p>
        </w:tc>
        <w:tc>
          <w:tcPr>
            <w:tcW w:w="1275" w:type="dxa"/>
            <w:tcBorders>
              <w:top w:val="single" w:sz="4" w:space="0" w:color="auto"/>
              <w:left w:val="nil"/>
              <w:bottom w:val="single" w:sz="4" w:space="0" w:color="auto"/>
              <w:right w:val="nil"/>
            </w:tcBorders>
            <w:shd w:val="clear" w:color="auto" w:fill="8DB3E2"/>
            <w:hideMark/>
          </w:tcPr>
          <w:p w14:paraId="52C9BBAA" w14:textId="77777777" w:rsidR="00614DC4" w:rsidRPr="00944F6A" w:rsidRDefault="00614DC4" w:rsidP="00C87AE9">
            <w:pPr>
              <w:pStyle w:val="cuatexto"/>
              <w:jc w:val="right"/>
              <w:rPr>
                <w:rFonts w:ascii="Arial" w:hAnsi="Arial" w:cs="Arial"/>
                <w:sz w:val="18"/>
                <w:szCs w:val="18"/>
              </w:rPr>
            </w:pPr>
            <w:r w:rsidRPr="00944F6A">
              <w:rPr>
                <w:rFonts w:ascii="Arial" w:hAnsi="Arial" w:cs="Arial"/>
                <w:sz w:val="18"/>
                <w:szCs w:val="18"/>
              </w:rPr>
              <w:t xml:space="preserve">Obligaciones </w:t>
            </w:r>
          </w:p>
        </w:tc>
        <w:tc>
          <w:tcPr>
            <w:tcW w:w="993" w:type="dxa"/>
            <w:tcBorders>
              <w:top w:val="single" w:sz="4" w:space="0" w:color="auto"/>
              <w:left w:val="nil"/>
              <w:bottom w:val="single" w:sz="4" w:space="0" w:color="auto"/>
              <w:right w:val="nil"/>
            </w:tcBorders>
            <w:shd w:val="clear" w:color="auto" w:fill="8DB3E2"/>
            <w:hideMark/>
          </w:tcPr>
          <w:p w14:paraId="20313D6E" w14:textId="77777777" w:rsidR="00614DC4" w:rsidRPr="00944F6A" w:rsidRDefault="00614DC4" w:rsidP="00C87AE9">
            <w:pPr>
              <w:pStyle w:val="cuatexto"/>
              <w:jc w:val="right"/>
              <w:rPr>
                <w:rFonts w:ascii="Arial" w:hAnsi="Arial" w:cs="Arial"/>
                <w:sz w:val="18"/>
                <w:szCs w:val="18"/>
              </w:rPr>
            </w:pPr>
            <w:r w:rsidRPr="00944F6A">
              <w:rPr>
                <w:rFonts w:ascii="Arial" w:hAnsi="Arial" w:cs="Arial"/>
                <w:sz w:val="18"/>
                <w:szCs w:val="18"/>
              </w:rPr>
              <w:t xml:space="preserve">% </w:t>
            </w:r>
          </w:p>
        </w:tc>
        <w:tc>
          <w:tcPr>
            <w:tcW w:w="997" w:type="dxa"/>
            <w:vMerge w:val="restart"/>
            <w:tcBorders>
              <w:top w:val="single" w:sz="4" w:space="0" w:color="auto"/>
              <w:left w:val="nil"/>
              <w:bottom w:val="single" w:sz="4" w:space="0" w:color="auto"/>
              <w:right w:val="nil"/>
            </w:tcBorders>
            <w:shd w:val="clear" w:color="auto" w:fill="8DB3E2"/>
            <w:vAlign w:val="center"/>
            <w:hideMark/>
          </w:tcPr>
          <w:p w14:paraId="1C0E622E" w14:textId="77777777" w:rsidR="00614DC4" w:rsidRPr="00944F6A" w:rsidRDefault="00614DC4" w:rsidP="00C87AE9">
            <w:pPr>
              <w:pStyle w:val="cuatexto"/>
              <w:jc w:val="right"/>
              <w:rPr>
                <w:rFonts w:ascii="Arial" w:hAnsi="Arial" w:cs="Arial"/>
                <w:sz w:val="18"/>
                <w:szCs w:val="18"/>
              </w:rPr>
            </w:pPr>
            <w:r w:rsidRPr="00944F6A">
              <w:rPr>
                <w:rFonts w:ascii="Arial" w:hAnsi="Arial" w:cs="Arial"/>
                <w:sz w:val="18"/>
                <w:szCs w:val="18"/>
              </w:rPr>
              <w:t>Pagado</w:t>
            </w:r>
          </w:p>
        </w:tc>
      </w:tr>
      <w:tr w:rsidR="00614DC4" w:rsidRPr="00944F6A" w14:paraId="2A70E987" w14:textId="77777777" w:rsidTr="00CC657A">
        <w:trPr>
          <w:trHeight w:val="228"/>
          <w:jc w:val="center"/>
        </w:trPr>
        <w:tc>
          <w:tcPr>
            <w:tcW w:w="2410" w:type="dxa"/>
            <w:gridSpan w:val="2"/>
            <w:vMerge/>
            <w:tcBorders>
              <w:top w:val="single" w:sz="4" w:space="0" w:color="auto"/>
              <w:left w:val="nil"/>
              <w:bottom w:val="single" w:sz="4" w:space="0" w:color="auto"/>
              <w:right w:val="nil"/>
            </w:tcBorders>
            <w:vAlign w:val="center"/>
            <w:hideMark/>
          </w:tcPr>
          <w:p w14:paraId="1FB4729A" w14:textId="77777777" w:rsidR="00614DC4" w:rsidRPr="00944F6A" w:rsidRDefault="00614DC4">
            <w:pPr>
              <w:rPr>
                <w:rFonts w:ascii="Arial" w:hAnsi="Arial" w:cs="Arial"/>
                <w:color w:val="000000"/>
                <w:sz w:val="18"/>
                <w:szCs w:val="18"/>
              </w:rPr>
            </w:pPr>
          </w:p>
        </w:tc>
        <w:tc>
          <w:tcPr>
            <w:tcW w:w="993" w:type="dxa"/>
            <w:tcBorders>
              <w:top w:val="single" w:sz="4" w:space="0" w:color="auto"/>
              <w:left w:val="nil"/>
              <w:bottom w:val="single" w:sz="4" w:space="0" w:color="auto"/>
              <w:right w:val="nil"/>
            </w:tcBorders>
            <w:shd w:val="clear" w:color="auto" w:fill="8DB3E2"/>
            <w:vAlign w:val="center"/>
            <w:hideMark/>
          </w:tcPr>
          <w:p w14:paraId="689D3038" w14:textId="77777777" w:rsidR="00614DC4" w:rsidRPr="00944F6A" w:rsidRDefault="00614DC4">
            <w:pPr>
              <w:jc w:val="right"/>
              <w:rPr>
                <w:rFonts w:ascii="Arial" w:hAnsi="Arial" w:cs="Arial"/>
                <w:color w:val="000000"/>
                <w:sz w:val="18"/>
                <w:szCs w:val="18"/>
              </w:rPr>
            </w:pPr>
            <w:r w:rsidRPr="00944F6A">
              <w:rPr>
                <w:rFonts w:ascii="Arial" w:hAnsi="Arial" w:cs="Arial"/>
                <w:color w:val="000000"/>
                <w:spacing w:val="6"/>
                <w:sz w:val="18"/>
                <w:szCs w:val="18"/>
              </w:rPr>
              <w:t>inicial</w:t>
            </w:r>
          </w:p>
        </w:tc>
        <w:tc>
          <w:tcPr>
            <w:tcW w:w="1134" w:type="dxa"/>
            <w:vMerge/>
            <w:tcBorders>
              <w:top w:val="single" w:sz="4" w:space="0" w:color="auto"/>
              <w:left w:val="nil"/>
              <w:bottom w:val="single" w:sz="4" w:space="0" w:color="auto"/>
              <w:right w:val="nil"/>
            </w:tcBorders>
            <w:vAlign w:val="center"/>
            <w:hideMark/>
          </w:tcPr>
          <w:p w14:paraId="714FCFF9" w14:textId="77777777" w:rsidR="00614DC4" w:rsidRPr="00944F6A" w:rsidRDefault="00614DC4">
            <w:pPr>
              <w:rPr>
                <w:rFonts w:ascii="Arial" w:hAnsi="Arial" w:cs="Arial"/>
                <w:color w:val="000000"/>
                <w:sz w:val="18"/>
                <w:szCs w:val="18"/>
              </w:rPr>
            </w:pPr>
          </w:p>
        </w:tc>
        <w:tc>
          <w:tcPr>
            <w:tcW w:w="1134" w:type="dxa"/>
            <w:tcBorders>
              <w:top w:val="single" w:sz="4" w:space="0" w:color="auto"/>
              <w:left w:val="nil"/>
              <w:bottom w:val="single" w:sz="4" w:space="0" w:color="auto"/>
              <w:right w:val="nil"/>
            </w:tcBorders>
            <w:shd w:val="clear" w:color="auto" w:fill="8DB3E2"/>
            <w:vAlign w:val="center"/>
            <w:hideMark/>
          </w:tcPr>
          <w:p w14:paraId="1DEA786C" w14:textId="77777777" w:rsidR="00614DC4" w:rsidRPr="00944F6A" w:rsidRDefault="00614DC4">
            <w:pPr>
              <w:jc w:val="right"/>
              <w:rPr>
                <w:rFonts w:ascii="Arial" w:hAnsi="Arial" w:cs="Arial"/>
                <w:color w:val="000000"/>
                <w:sz w:val="18"/>
                <w:szCs w:val="18"/>
              </w:rPr>
            </w:pPr>
            <w:r w:rsidRPr="00944F6A">
              <w:rPr>
                <w:rFonts w:ascii="Arial" w:hAnsi="Arial" w:cs="Arial"/>
                <w:color w:val="000000"/>
                <w:spacing w:val="6"/>
                <w:sz w:val="18"/>
                <w:szCs w:val="18"/>
              </w:rPr>
              <w:t>definitivo</w:t>
            </w:r>
          </w:p>
        </w:tc>
        <w:tc>
          <w:tcPr>
            <w:tcW w:w="1275" w:type="dxa"/>
            <w:tcBorders>
              <w:top w:val="single" w:sz="4" w:space="0" w:color="auto"/>
              <w:left w:val="nil"/>
              <w:bottom w:val="single" w:sz="4" w:space="0" w:color="auto"/>
              <w:right w:val="nil"/>
            </w:tcBorders>
            <w:shd w:val="clear" w:color="auto" w:fill="8DB3E2"/>
            <w:vAlign w:val="center"/>
            <w:hideMark/>
          </w:tcPr>
          <w:p w14:paraId="471A8F8A" w14:textId="77777777" w:rsidR="00614DC4" w:rsidRPr="00944F6A" w:rsidRDefault="00614DC4">
            <w:pPr>
              <w:jc w:val="right"/>
              <w:rPr>
                <w:rFonts w:ascii="Arial" w:hAnsi="Arial" w:cs="Arial"/>
                <w:color w:val="000000"/>
                <w:sz w:val="18"/>
                <w:szCs w:val="18"/>
              </w:rPr>
            </w:pPr>
            <w:proofErr w:type="spellStart"/>
            <w:r w:rsidRPr="00944F6A">
              <w:rPr>
                <w:rFonts w:ascii="Arial" w:hAnsi="Arial" w:cs="Arial"/>
                <w:color w:val="000000"/>
                <w:spacing w:val="6"/>
                <w:sz w:val="18"/>
                <w:szCs w:val="18"/>
              </w:rPr>
              <w:t>recon</w:t>
            </w:r>
            <w:proofErr w:type="spellEnd"/>
            <w:r w:rsidRPr="00944F6A">
              <w:rPr>
                <w:rFonts w:ascii="Arial" w:hAnsi="Arial" w:cs="Arial"/>
                <w:color w:val="000000"/>
                <w:spacing w:val="6"/>
                <w:sz w:val="18"/>
                <w:szCs w:val="18"/>
              </w:rPr>
              <w:t>. netas</w:t>
            </w:r>
          </w:p>
        </w:tc>
        <w:tc>
          <w:tcPr>
            <w:tcW w:w="993" w:type="dxa"/>
            <w:tcBorders>
              <w:top w:val="single" w:sz="4" w:space="0" w:color="auto"/>
              <w:left w:val="nil"/>
              <w:bottom w:val="single" w:sz="4" w:space="0" w:color="auto"/>
              <w:right w:val="nil"/>
            </w:tcBorders>
            <w:shd w:val="clear" w:color="auto" w:fill="8DB3E2"/>
            <w:vAlign w:val="center"/>
            <w:hideMark/>
          </w:tcPr>
          <w:p w14:paraId="610185D6" w14:textId="77777777" w:rsidR="00614DC4" w:rsidRPr="00944F6A" w:rsidRDefault="00614DC4">
            <w:pPr>
              <w:jc w:val="right"/>
              <w:rPr>
                <w:rFonts w:ascii="Arial" w:hAnsi="Arial" w:cs="Arial"/>
                <w:color w:val="000000"/>
                <w:sz w:val="18"/>
                <w:szCs w:val="18"/>
              </w:rPr>
            </w:pPr>
            <w:r w:rsidRPr="00944F6A">
              <w:rPr>
                <w:rFonts w:ascii="Arial" w:hAnsi="Arial" w:cs="Arial"/>
                <w:color w:val="000000"/>
                <w:spacing w:val="6"/>
                <w:sz w:val="18"/>
                <w:szCs w:val="18"/>
              </w:rPr>
              <w:t>ejecución</w:t>
            </w:r>
          </w:p>
        </w:tc>
        <w:tc>
          <w:tcPr>
            <w:tcW w:w="997" w:type="dxa"/>
            <w:vMerge/>
            <w:tcBorders>
              <w:top w:val="single" w:sz="4" w:space="0" w:color="auto"/>
              <w:left w:val="nil"/>
              <w:bottom w:val="single" w:sz="4" w:space="0" w:color="auto"/>
              <w:right w:val="nil"/>
            </w:tcBorders>
            <w:vAlign w:val="center"/>
            <w:hideMark/>
          </w:tcPr>
          <w:p w14:paraId="12784161" w14:textId="77777777" w:rsidR="00614DC4" w:rsidRPr="00944F6A" w:rsidRDefault="00614DC4">
            <w:pPr>
              <w:rPr>
                <w:rFonts w:ascii="Arial" w:hAnsi="Arial" w:cs="Arial"/>
                <w:color w:val="000000"/>
                <w:sz w:val="18"/>
                <w:szCs w:val="18"/>
              </w:rPr>
            </w:pPr>
          </w:p>
        </w:tc>
      </w:tr>
      <w:tr w:rsidR="00553E5A" w14:paraId="44E67FDB" w14:textId="77777777" w:rsidTr="00CC657A">
        <w:trPr>
          <w:trHeight w:val="198"/>
          <w:jc w:val="center"/>
        </w:trPr>
        <w:tc>
          <w:tcPr>
            <w:tcW w:w="2410" w:type="dxa"/>
            <w:gridSpan w:val="2"/>
            <w:tcBorders>
              <w:top w:val="single" w:sz="4" w:space="0" w:color="auto"/>
              <w:left w:val="nil"/>
              <w:bottom w:val="single" w:sz="2" w:space="0" w:color="auto"/>
              <w:right w:val="nil"/>
            </w:tcBorders>
            <w:vAlign w:val="center"/>
            <w:hideMark/>
          </w:tcPr>
          <w:p w14:paraId="48BB97DD" w14:textId="77777777" w:rsidR="00553E5A" w:rsidRPr="00F861B2" w:rsidRDefault="00553E5A" w:rsidP="00C87AE9">
            <w:pPr>
              <w:pStyle w:val="cuatexto"/>
              <w:rPr>
                <w:szCs w:val="20"/>
              </w:rPr>
            </w:pPr>
            <w:r w:rsidRPr="00F861B2">
              <w:rPr>
                <w:szCs w:val="20"/>
              </w:rPr>
              <w:t>Gastos de personal</w:t>
            </w:r>
          </w:p>
        </w:tc>
        <w:tc>
          <w:tcPr>
            <w:tcW w:w="993" w:type="dxa"/>
            <w:tcBorders>
              <w:top w:val="single" w:sz="4" w:space="0" w:color="auto"/>
              <w:left w:val="nil"/>
              <w:bottom w:val="single" w:sz="2" w:space="0" w:color="auto"/>
              <w:right w:val="nil"/>
            </w:tcBorders>
            <w:vAlign w:val="center"/>
          </w:tcPr>
          <w:p w14:paraId="5FBDDF7C" w14:textId="77777777" w:rsidR="00553E5A" w:rsidRPr="00F861B2" w:rsidRDefault="00553E5A" w:rsidP="00C87AE9">
            <w:pPr>
              <w:pStyle w:val="cuatexto"/>
              <w:jc w:val="right"/>
              <w:rPr>
                <w:szCs w:val="20"/>
              </w:rPr>
            </w:pPr>
            <w:r w:rsidRPr="00F861B2">
              <w:rPr>
                <w:szCs w:val="20"/>
              </w:rPr>
              <w:t>1.686.664</w:t>
            </w:r>
          </w:p>
        </w:tc>
        <w:tc>
          <w:tcPr>
            <w:tcW w:w="1134" w:type="dxa"/>
            <w:tcBorders>
              <w:top w:val="single" w:sz="4" w:space="0" w:color="auto"/>
              <w:left w:val="nil"/>
              <w:bottom w:val="single" w:sz="2" w:space="0" w:color="auto"/>
              <w:right w:val="nil"/>
            </w:tcBorders>
            <w:vAlign w:val="center"/>
          </w:tcPr>
          <w:p w14:paraId="12338EF6" w14:textId="77777777" w:rsidR="00553E5A" w:rsidRPr="00F861B2" w:rsidRDefault="00553E5A" w:rsidP="00C87AE9">
            <w:pPr>
              <w:pStyle w:val="cuatexto"/>
              <w:jc w:val="right"/>
              <w:rPr>
                <w:szCs w:val="20"/>
              </w:rPr>
            </w:pPr>
            <w:r w:rsidRPr="00F861B2">
              <w:rPr>
                <w:szCs w:val="20"/>
              </w:rPr>
              <w:t>67.432</w:t>
            </w:r>
          </w:p>
        </w:tc>
        <w:tc>
          <w:tcPr>
            <w:tcW w:w="1134" w:type="dxa"/>
            <w:tcBorders>
              <w:top w:val="single" w:sz="4" w:space="0" w:color="auto"/>
              <w:left w:val="nil"/>
              <w:bottom w:val="single" w:sz="2" w:space="0" w:color="auto"/>
              <w:right w:val="nil"/>
            </w:tcBorders>
            <w:vAlign w:val="center"/>
          </w:tcPr>
          <w:p w14:paraId="5F0030F5" w14:textId="77777777" w:rsidR="00553E5A" w:rsidRPr="00F861B2" w:rsidRDefault="00553E5A" w:rsidP="00C87AE9">
            <w:pPr>
              <w:pStyle w:val="cuatexto"/>
              <w:jc w:val="right"/>
              <w:rPr>
                <w:szCs w:val="20"/>
              </w:rPr>
            </w:pPr>
            <w:r w:rsidRPr="00F861B2">
              <w:rPr>
                <w:szCs w:val="20"/>
              </w:rPr>
              <w:t>1.754.096</w:t>
            </w:r>
          </w:p>
        </w:tc>
        <w:tc>
          <w:tcPr>
            <w:tcW w:w="1275" w:type="dxa"/>
            <w:tcBorders>
              <w:top w:val="single" w:sz="4" w:space="0" w:color="auto"/>
              <w:left w:val="nil"/>
              <w:bottom w:val="single" w:sz="2" w:space="0" w:color="auto"/>
              <w:right w:val="nil"/>
            </w:tcBorders>
            <w:vAlign w:val="center"/>
          </w:tcPr>
          <w:p w14:paraId="25630CAF" w14:textId="77777777" w:rsidR="00553E5A" w:rsidRPr="00F861B2" w:rsidRDefault="00553E5A" w:rsidP="00C87AE9">
            <w:pPr>
              <w:pStyle w:val="cuatexto"/>
              <w:jc w:val="right"/>
              <w:rPr>
                <w:szCs w:val="20"/>
              </w:rPr>
            </w:pPr>
            <w:r w:rsidRPr="00F861B2">
              <w:rPr>
                <w:szCs w:val="20"/>
              </w:rPr>
              <w:t>1.734.280</w:t>
            </w:r>
          </w:p>
        </w:tc>
        <w:tc>
          <w:tcPr>
            <w:tcW w:w="993" w:type="dxa"/>
            <w:tcBorders>
              <w:top w:val="single" w:sz="4" w:space="0" w:color="auto"/>
              <w:left w:val="nil"/>
              <w:bottom w:val="single" w:sz="2" w:space="0" w:color="auto"/>
              <w:right w:val="nil"/>
            </w:tcBorders>
            <w:vAlign w:val="center"/>
          </w:tcPr>
          <w:p w14:paraId="63EA5BB5" w14:textId="77777777" w:rsidR="00553E5A" w:rsidRPr="00F861B2" w:rsidRDefault="00553E5A" w:rsidP="00C87AE9">
            <w:pPr>
              <w:pStyle w:val="cuatexto"/>
              <w:jc w:val="right"/>
              <w:rPr>
                <w:szCs w:val="20"/>
              </w:rPr>
            </w:pPr>
            <w:r w:rsidRPr="00F861B2">
              <w:rPr>
                <w:szCs w:val="20"/>
              </w:rPr>
              <w:t>99</w:t>
            </w:r>
          </w:p>
        </w:tc>
        <w:tc>
          <w:tcPr>
            <w:tcW w:w="997" w:type="dxa"/>
            <w:tcBorders>
              <w:top w:val="single" w:sz="4" w:space="0" w:color="auto"/>
              <w:left w:val="nil"/>
              <w:bottom w:val="single" w:sz="2" w:space="0" w:color="auto"/>
              <w:right w:val="nil"/>
            </w:tcBorders>
            <w:shd w:val="clear" w:color="auto" w:fill="auto"/>
            <w:vAlign w:val="center"/>
          </w:tcPr>
          <w:p w14:paraId="30CD0932" w14:textId="77777777" w:rsidR="00553E5A" w:rsidRPr="00F861B2" w:rsidRDefault="00553E5A" w:rsidP="00C87AE9">
            <w:pPr>
              <w:pStyle w:val="cuatexto"/>
              <w:jc w:val="right"/>
              <w:rPr>
                <w:szCs w:val="20"/>
              </w:rPr>
            </w:pPr>
            <w:r w:rsidRPr="00F861B2">
              <w:rPr>
                <w:szCs w:val="20"/>
              </w:rPr>
              <w:t>1.733.681</w:t>
            </w:r>
          </w:p>
        </w:tc>
      </w:tr>
      <w:tr w:rsidR="00553E5A" w14:paraId="06BC2AB4" w14:textId="77777777" w:rsidTr="00CC657A">
        <w:trPr>
          <w:trHeight w:val="198"/>
          <w:jc w:val="center"/>
        </w:trPr>
        <w:tc>
          <w:tcPr>
            <w:tcW w:w="2410" w:type="dxa"/>
            <w:gridSpan w:val="2"/>
            <w:tcBorders>
              <w:top w:val="single" w:sz="2" w:space="0" w:color="auto"/>
              <w:left w:val="nil"/>
              <w:bottom w:val="single" w:sz="2" w:space="0" w:color="auto"/>
              <w:right w:val="nil"/>
            </w:tcBorders>
            <w:vAlign w:val="center"/>
            <w:hideMark/>
          </w:tcPr>
          <w:p w14:paraId="59C3D357" w14:textId="77777777" w:rsidR="00553E5A" w:rsidRPr="00F861B2" w:rsidRDefault="00553E5A" w:rsidP="00C87AE9">
            <w:pPr>
              <w:pStyle w:val="cuatexto"/>
              <w:rPr>
                <w:szCs w:val="20"/>
              </w:rPr>
            </w:pPr>
            <w:proofErr w:type="spellStart"/>
            <w:r w:rsidRPr="00F861B2">
              <w:rPr>
                <w:szCs w:val="20"/>
              </w:rPr>
              <w:t>Gtos</w:t>
            </w:r>
            <w:proofErr w:type="spellEnd"/>
            <w:r w:rsidRPr="00F861B2">
              <w:rPr>
                <w:szCs w:val="20"/>
              </w:rPr>
              <w:t xml:space="preserve">. </w:t>
            </w:r>
            <w:proofErr w:type="spellStart"/>
            <w:r w:rsidRPr="00F861B2">
              <w:rPr>
                <w:szCs w:val="20"/>
              </w:rPr>
              <w:t>corr</w:t>
            </w:r>
            <w:proofErr w:type="spellEnd"/>
            <w:r w:rsidRPr="00F861B2">
              <w:rPr>
                <w:szCs w:val="20"/>
              </w:rPr>
              <w:t xml:space="preserve">. en bienes y </w:t>
            </w:r>
            <w:proofErr w:type="spellStart"/>
            <w:r w:rsidRPr="00F861B2">
              <w:rPr>
                <w:szCs w:val="20"/>
              </w:rPr>
              <w:t>serv</w:t>
            </w:r>
            <w:proofErr w:type="spellEnd"/>
            <w:r w:rsidRPr="00F861B2">
              <w:rPr>
                <w:szCs w:val="20"/>
              </w:rPr>
              <w:t>.</w:t>
            </w:r>
          </w:p>
        </w:tc>
        <w:tc>
          <w:tcPr>
            <w:tcW w:w="993" w:type="dxa"/>
            <w:tcBorders>
              <w:top w:val="single" w:sz="2" w:space="0" w:color="auto"/>
              <w:left w:val="nil"/>
              <w:bottom w:val="single" w:sz="2" w:space="0" w:color="auto"/>
              <w:right w:val="nil"/>
            </w:tcBorders>
            <w:vAlign w:val="center"/>
          </w:tcPr>
          <w:p w14:paraId="488FA831" w14:textId="77777777" w:rsidR="00553E5A" w:rsidRPr="00F861B2" w:rsidRDefault="00553E5A" w:rsidP="00C87AE9">
            <w:pPr>
              <w:pStyle w:val="cuatexto"/>
              <w:jc w:val="right"/>
              <w:rPr>
                <w:szCs w:val="20"/>
              </w:rPr>
            </w:pPr>
            <w:r w:rsidRPr="00F861B2">
              <w:rPr>
                <w:szCs w:val="20"/>
              </w:rPr>
              <w:t>933.432</w:t>
            </w:r>
          </w:p>
        </w:tc>
        <w:tc>
          <w:tcPr>
            <w:tcW w:w="1134" w:type="dxa"/>
            <w:tcBorders>
              <w:top w:val="single" w:sz="2" w:space="0" w:color="auto"/>
              <w:left w:val="nil"/>
              <w:bottom w:val="single" w:sz="2" w:space="0" w:color="auto"/>
              <w:right w:val="nil"/>
            </w:tcBorders>
            <w:vAlign w:val="center"/>
          </w:tcPr>
          <w:p w14:paraId="4A3435BE" w14:textId="77777777" w:rsidR="00553E5A" w:rsidRPr="00F861B2" w:rsidRDefault="00553E5A" w:rsidP="00C87AE9">
            <w:pPr>
              <w:pStyle w:val="cuatexto"/>
              <w:jc w:val="right"/>
              <w:rPr>
                <w:szCs w:val="20"/>
              </w:rPr>
            </w:pPr>
            <w:r w:rsidRPr="00F861B2">
              <w:rPr>
                <w:szCs w:val="20"/>
              </w:rPr>
              <w:t>24.555</w:t>
            </w:r>
          </w:p>
        </w:tc>
        <w:tc>
          <w:tcPr>
            <w:tcW w:w="1134" w:type="dxa"/>
            <w:tcBorders>
              <w:top w:val="single" w:sz="2" w:space="0" w:color="auto"/>
              <w:left w:val="nil"/>
              <w:bottom w:val="single" w:sz="2" w:space="0" w:color="auto"/>
              <w:right w:val="nil"/>
            </w:tcBorders>
            <w:vAlign w:val="center"/>
          </w:tcPr>
          <w:p w14:paraId="4FFEA0F9" w14:textId="77777777" w:rsidR="00553E5A" w:rsidRPr="00F861B2" w:rsidRDefault="00553E5A" w:rsidP="00C87AE9">
            <w:pPr>
              <w:pStyle w:val="cuatexto"/>
              <w:jc w:val="right"/>
              <w:rPr>
                <w:szCs w:val="20"/>
              </w:rPr>
            </w:pPr>
            <w:r w:rsidRPr="00F861B2">
              <w:rPr>
                <w:szCs w:val="20"/>
              </w:rPr>
              <w:t>957.987</w:t>
            </w:r>
          </w:p>
        </w:tc>
        <w:tc>
          <w:tcPr>
            <w:tcW w:w="1275" w:type="dxa"/>
            <w:tcBorders>
              <w:top w:val="single" w:sz="2" w:space="0" w:color="auto"/>
              <w:left w:val="nil"/>
              <w:bottom w:val="single" w:sz="2" w:space="0" w:color="auto"/>
              <w:right w:val="nil"/>
            </w:tcBorders>
            <w:vAlign w:val="center"/>
          </w:tcPr>
          <w:p w14:paraId="76726052" w14:textId="77777777" w:rsidR="00553E5A" w:rsidRPr="00F861B2" w:rsidRDefault="00553E5A" w:rsidP="00C87AE9">
            <w:pPr>
              <w:pStyle w:val="cuatexto"/>
              <w:jc w:val="right"/>
              <w:rPr>
                <w:szCs w:val="20"/>
              </w:rPr>
            </w:pPr>
            <w:r w:rsidRPr="00F861B2">
              <w:rPr>
                <w:szCs w:val="20"/>
              </w:rPr>
              <w:t>907.497</w:t>
            </w:r>
          </w:p>
        </w:tc>
        <w:tc>
          <w:tcPr>
            <w:tcW w:w="993" w:type="dxa"/>
            <w:tcBorders>
              <w:top w:val="single" w:sz="2" w:space="0" w:color="auto"/>
              <w:left w:val="nil"/>
              <w:bottom w:val="single" w:sz="2" w:space="0" w:color="auto"/>
              <w:right w:val="nil"/>
            </w:tcBorders>
            <w:vAlign w:val="center"/>
          </w:tcPr>
          <w:p w14:paraId="1CE63143" w14:textId="77777777" w:rsidR="00553E5A" w:rsidRPr="00F861B2" w:rsidRDefault="00553E5A" w:rsidP="00C87AE9">
            <w:pPr>
              <w:pStyle w:val="cuatexto"/>
              <w:jc w:val="right"/>
              <w:rPr>
                <w:szCs w:val="20"/>
              </w:rPr>
            </w:pPr>
            <w:r w:rsidRPr="00F861B2">
              <w:rPr>
                <w:szCs w:val="20"/>
              </w:rPr>
              <w:t>95</w:t>
            </w:r>
          </w:p>
        </w:tc>
        <w:tc>
          <w:tcPr>
            <w:tcW w:w="997" w:type="dxa"/>
            <w:tcBorders>
              <w:top w:val="single" w:sz="2" w:space="0" w:color="auto"/>
              <w:left w:val="nil"/>
              <w:bottom w:val="single" w:sz="2" w:space="0" w:color="auto"/>
              <w:right w:val="nil"/>
            </w:tcBorders>
            <w:shd w:val="clear" w:color="auto" w:fill="auto"/>
            <w:vAlign w:val="center"/>
          </w:tcPr>
          <w:p w14:paraId="45FC9A67" w14:textId="77777777" w:rsidR="00553E5A" w:rsidRPr="00F861B2" w:rsidRDefault="00553E5A" w:rsidP="00C87AE9">
            <w:pPr>
              <w:pStyle w:val="cuatexto"/>
              <w:jc w:val="right"/>
              <w:rPr>
                <w:szCs w:val="20"/>
              </w:rPr>
            </w:pPr>
            <w:r w:rsidRPr="00F861B2">
              <w:rPr>
                <w:szCs w:val="20"/>
              </w:rPr>
              <w:t>850.000</w:t>
            </w:r>
          </w:p>
        </w:tc>
      </w:tr>
      <w:tr w:rsidR="00553E5A" w:rsidRPr="00C87AE9" w14:paraId="0C2B579E" w14:textId="77777777" w:rsidTr="00CC657A">
        <w:trPr>
          <w:trHeight w:val="198"/>
          <w:jc w:val="center"/>
        </w:trPr>
        <w:tc>
          <w:tcPr>
            <w:tcW w:w="2410" w:type="dxa"/>
            <w:gridSpan w:val="2"/>
            <w:tcBorders>
              <w:top w:val="single" w:sz="2" w:space="0" w:color="auto"/>
              <w:left w:val="nil"/>
              <w:bottom w:val="single" w:sz="2" w:space="0" w:color="auto"/>
              <w:right w:val="nil"/>
            </w:tcBorders>
            <w:vAlign w:val="center"/>
            <w:hideMark/>
          </w:tcPr>
          <w:p w14:paraId="7BBEE13A" w14:textId="77777777" w:rsidR="00553E5A" w:rsidRPr="00F861B2" w:rsidRDefault="00553E5A" w:rsidP="00C87AE9">
            <w:pPr>
              <w:pStyle w:val="cuatexto"/>
              <w:rPr>
                <w:szCs w:val="20"/>
              </w:rPr>
            </w:pPr>
            <w:r w:rsidRPr="00F861B2">
              <w:rPr>
                <w:szCs w:val="20"/>
              </w:rPr>
              <w:t>Gastos financieros</w:t>
            </w:r>
          </w:p>
        </w:tc>
        <w:tc>
          <w:tcPr>
            <w:tcW w:w="993" w:type="dxa"/>
            <w:tcBorders>
              <w:top w:val="single" w:sz="2" w:space="0" w:color="auto"/>
              <w:left w:val="nil"/>
              <w:bottom w:val="single" w:sz="2" w:space="0" w:color="auto"/>
              <w:right w:val="nil"/>
            </w:tcBorders>
            <w:vAlign w:val="center"/>
          </w:tcPr>
          <w:p w14:paraId="64D363DB" w14:textId="77777777" w:rsidR="00553E5A" w:rsidRPr="00F861B2" w:rsidRDefault="00553E5A" w:rsidP="00C87AE9">
            <w:pPr>
              <w:pStyle w:val="cuatexto"/>
              <w:jc w:val="right"/>
              <w:rPr>
                <w:szCs w:val="20"/>
              </w:rPr>
            </w:pPr>
            <w:r w:rsidRPr="00F861B2">
              <w:rPr>
                <w:szCs w:val="20"/>
              </w:rPr>
              <w:t>46.356</w:t>
            </w:r>
          </w:p>
        </w:tc>
        <w:tc>
          <w:tcPr>
            <w:tcW w:w="1134" w:type="dxa"/>
            <w:tcBorders>
              <w:top w:val="single" w:sz="2" w:space="0" w:color="auto"/>
              <w:left w:val="nil"/>
              <w:bottom w:val="single" w:sz="2" w:space="0" w:color="auto"/>
              <w:right w:val="nil"/>
            </w:tcBorders>
            <w:vAlign w:val="center"/>
          </w:tcPr>
          <w:p w14:paraId="1CAAB715" w14:textId="77777777" w:rsidR="00553E5A" w:rsidRPr="00F861B2" w:rsidRDefault="00553E5A" w:rsidP="00C87AE9">
            <w:pPr>
              <w:pStyle w:val="cuatexto"/>
              <w:jc w:val="right"/>
              <w:rPr>
                <w:szCs w:val="20"/>
              </w:rPr>
            </w:pPr>
            <w:r w:rsidRPr="00F861B2">
              <w:rPr>
                <w:szCs w:val="20"/>
              </w:rPr>
              <w:t>-2.184</w:t>
            </w:r>
          </w:p>
        </w:tc>
        <w:tc>
          <w:tcPr>
            <w:tcW w:w="1134" w:type="dxa"/>
            <w:tcBorders>
              <w:top w:val="single" w:sz="2" w:space="0" w:color="auto"/>
              <w:left w:val="nil"/>
              <w:bottom w:val="single" w:sz="2" w:space="0" w:color="auto"/>
              <w:right w:val="nil"/>
            </w:tcBorders>
            <w:vAlign w:val="center"/>
          </w:tcPr>
          <w:p w14:paraId="5C3E5108" w14:textId="77777777" w:rsidR="00553E5A" w:rsidRPr="00F861B2" w:rsidRDefault="00553E5A" w:rsidP="00C87AE9">
            <w:pPr>
              <w:pStyle w:val="cuatexto"/>
              <w:jc w:val="right"/>
              <w:rPr>
                <w:szCs w:val="20"/>
              </w:rPr>
            </w:pPr>
            <w:r w:rsidRPr="00F861B2">
              <w:rPr>
                <w:szCs w:val="20"/>
              </w:rPr>
              <w:t>44.172</w:t>
            </w:r>
          </w:p>
        </w:tc>
        <w:tc>
          <w:tcPr>
            <w:tcW w:w="1275" w:type="dxa"/>
            <w:tcBorders>
              <w:top w:val="single" w:sz="2" w:space="0" w:color="auto"/>
              <w:left w:val="nil"/>
              <w:bottom w:val="single" w:sz="2" w:space="0" w:color="auto"/>
              <w:right w:val="nil"/>
            </w:tcBorders>
            <w:vAlign w:val="center"/>
          </w:tcPr>
          <w:p w14:paraId="5DB786C8" w14:textId="77777777" w:rsidR="00553E5A" w:rsidRPr="00F861B2" w:rsidRDefault="00553E5A" w:rsidP="00C87AE9">
            <w:pPr>
              <w:pStyle w:val="cuatexto"/>
              <w:jc w:val="right"/>
              <w:rPr>
                <w:szCs w:val="20"/>
              </w:rPr>
            </w:pPr>
            <w:r w:rsidRPr="00F861B2">
              <w:rPr>
                <w:szCs w:val="20"/>
              </w:rPr>
              <w:t>42.136</w:t>
            </w:r>
          </w:p>
        </w:tc>
        <w:tc>
          <w:tcPr>
            <w:tcW w:w="993" w:type="dxa"/>
            <w:tcBorders>
              <w:top w:val="single" w:sz="2" w:space="0" w:color="auto"/>
              <w:left w:val="nil"/>
              <w:bottom w:val="single" w:sz="2" w:space="0" w:color="auto"/>
              <w:right w:val="nil"/>
            </w:tcBorders>
            <w:vAlign w:val="center"/>
          </w:tcPr>
          <w:p w14:paraId="64BA8F8E" w14:textId="77777777" w:rsidR="00553E5A" w:rsidRPr="00F861B2" w:rsidRDefault="00553E5A" w:rsidP="00C87AE9">
            <w:pPr>
              <w:pStyle w:val="cuatexto"/>
              <w:jc w:val="right"/>
              <w:rPr>
                <w:szCs w:val="20"/>
              </w:rPr>
            </w:pPr>
            <w:r w:rsidRPr="00F861B2">
              <w:rPr>
                <w:szCs w:val="20"/>
              </w:rPr>
              <w:t>95</w:t>
            </w:r>
          </w:p>
        </w:tc>
        <w:tc>
          <w:tcPr>
            <w:tcW w:w="997" w:type="dxa"/>
            <w:tcBorders>
              <w:top w:val="single" w:sz="2" w:space="0" w:color="auto"/>
              <w:left w:val="nil"/>
              <w:bottom w:val="single" w:sz="2" w:space="0" w:color="auto"/>
              <w:right w:val="nil"/>
            </w:tcBorders>
            <w:shd w:val="clear" w:color="auto" w:fill="auto"/>
            <w:vAlign w:val="center"/>
          </w:tcPr>
          <w:p w14:paraId="64221FD0" w14:textId="77777777" w:rsidR="00553E5A" w:rsidRPr="00F861B2" w:rsidRDefault="00553E5A" w:rsidP="00C87AE9">
            <w:pPr>
              <w:pStyle w:val="cuatexto"/>
              <w:jc w:val="right"/>
              <w:rPr>
                <w:szCs w:val="20"/>
              </w:rPr>
            </w:pPr>
            <w:r w:rsidRPr="00F861B2">
              <w:rPr>
                <w:szCs w:val="20"/>
              </w:rPr>
              <w:t>42.126</w:t>
            </w:r>
          </w:p>
        </w:tc>
      </w:tr>
      <w:tr w:rsidR="00553E5A" w:rsidRPr="00C87AE9" w14:paraId="4F446A98" w14:textId="77777777" w:rsidTr="00CC657A">
        <w:trPr>
          <w:trHeight w:val="198"/>
          <w:jc w:val="center"/>
        </w:trPr>
        <w:tc>
          <w:tcPr>
            <w:tcW w:w="2410" w:type="dxa"/>
            <w:gridSpan w:val="2"/>
            <w:tcBorders>
              <w:top w:val="single" w:sz="2" w:space="0" w:color="auto"/>
              <w:left w:val="nil"/>
              <w:bottom w:val="single" w:sz="2" w:space="0" w:color="auto"/>
              <w:right w:val="nil"/>
            </w:tcBorders>
            <w:vAlign w:val="center"/>
            <w:hideMark/>
          </w:tcPr>
          <w:p w14:paraId="75CCEED5" w14:textId="77777777" w:rsidR="00553E5A" w:rsidRPr="00F861B2" w:rsidRDefault="00553E5A" w:rsidP="00C87AE9">
            <w:pPr>
              <w:pStyle w:val="cuatexto"/>
              <w:rPr>
                <w:szCs w:val="20"/>
              </w:rPr>
            </w:pPr>
            <w:r w:rsidRPr="00F861B2">
              <w:rPr>
                <w:szCs w:val="20"/>
              </w:rPr>
              <w:t>Transferencias corrientes</w:t>
            </w:r>
          </w:p>
        </w:tc>
        <w:tc>
          <w:tcPr>
            <w:tcW w:w="993" w:type="dxa"/>
            <w:tcBorders>
              <w:top w:val="single" w:sz="2" w:space="0" w:color="auto"/>
              <w:left w:val="nil"/>
              <w:bottom w:val="single" w:sz="2" w:space="0" w:color="auto"/>
              <w:right w:val="nil"/>
            </w:tcBorders>
            <w:vAlign w:val="center"/>
          </w:tcPr>
          <w:p w14:paraId="51F3688C" w14:textId="77777777" w:rsidR="00553E5A" w:rsidRPr="00F861B2" w:rsidRDefault="00553E5A" w:rsidP="00C87AE9">
            <w:pPr>
              <w:pStyle w:val="cuatexto"/>
              <w:jc w:val="right"/>
              <w:rPr>
                <w:szCs w:val="20"/>
              </w:rPr>
            </w:pPr>
            <w:r w:rsidRPr="00F861B2">
              <w:rPr>
                <w:szCs w:val="20"/>
              </w:rPr>
              <w:t>1.972.356</w:t>
            </w:r>
          </w:p>
        </w:tc>
        <w:tc>
          <w:tcPr>
            <w:tcW w:w="1134" w:type="dxa"/>
            <w:tcBorders>
              <w:top w:val="single" w:sz="2" w:space="0" w:color="auto"/>
              <w:left w:val="nil"/>
              <w:bottom w:val="single" w:sz="2" w:space="0" w:color="auto"/>
              <w:right w:val="nil"/>
            </w:tcBorders>
            <w:vAlign w:val="center"/>
          </w:tcPr>
          <w:p w14:paraId="01FEB6C7" w14:textId="77777777" w:rsidR="00553E5A" w:rsidRPr="00F861B2" w:rsidRDefault="00553E5A" w:rsidP="00C87AE9">
            <w:pPr>
              <w:pStyle w:val="cuatexto"/>
              <w:jc w:val="right"/>
              <w:rPr>
                <w:szCs w:val="20"/>
              </w:rPr>
            </w:pPr>
            <w:r w:rsidRPr="00F861B2">
              <w:rPr>
                <w:szCs w:val="20"/>
              </w:rPr>
              <w:t>426.963</w:t>
            </w:r>
          </w:p>
        </w:tc>
        <w:tc>
          <w:tcPr>
            <w:tcW w:w="1134" w:type="dxa"/>
            <w:tcBorders>
              <w:top w:val="single" w:sz="2" w:space="0" w:color="auto"/>
              <w:left w:val="nil"/>
              <w:bottom w:val="single" w:sz="2" w:space="0" w:color="auto"/>
              <w:right w:val="nil"/>
            </w:tcBorders>
            <w:vAlign w:val="center"/>
          </w:tcPr>
          <w:p w14:paraId="23B6A3B2" w14:textId="77777777" w:rsidR="00553E5A" w:rsidRPr="00F861B2" w:rsidRDefault="00553E5A" w:rsidP="00C87AE9">
            <w:pPr>
              <w:pStyle w:val="cuatexto"/>
              <w:jc w:val="right"/>
              <w:rPr>
                <w:szCs w:val="20"/>
              </w:rPr>
            </w:pPr>
            <w:r w:rsidRPr="00F861B2">
              <w:rPr>
                <w:szCs w:val="20"/>
              </w:rPr>
              <w:t>2.399.319</w:t>
            </w:r>
          </w:p>
        </w:tc>
        <w:tc>
          <w:tcPr>
            <w:tcW w:w="1275" w:type="dxa"/>
            <w:tcBorders>
              <w:top w:val="single" w:sz="2" w:space="0" w:color="auto"/>
              <w:left w:val="nil"/>
              <w:bottom w:val="single" w:sz="2" w:space="0" w:color="auto"/>
              <w:right w:val="nil"/>
            </w:tcBorders>
            <w:vAlign w:val="center"/>
          </w:tcPr>
          <w:p w14:paraId="30B2AE5F" w14:textId="77777777" w:rsidR="00553E5A" w:rsidRPr="00F861B2" w:rsidRDefault="00553E5A" w:rsidP="00C87AE9">
            <w:pPr>
              <w:pStyle w:val="cuatexto"/>
              <w:jc w:val="right"/>
              <w:rPr>
                <w:szCs w:val="20"/>
              </w:rPr>
            </w:pPr>
            <w:r w:rsidRPr="00F861B2">
              <w:rPr>
                <w:szCs w:val="20"/>
              </w:rPr>
              <w:t>2.331.696</w:t>
            </w:r>
          </w:p>
        </w:tc>
        <w:tc>
          <w:tcPr>
            <w:tcW w:w="993" w:type="dxa"/>
            <w:tcBorders>
              <w:top w:val="single" w:sz="2" w:space="0" w:color="auto"/>
              <w:left w:val="nil"/>
              <w:bottom w:val="single" w:sz="2" w:space="0" w:color="auto"/>
              <w:right w:val="nil"/>
            </w:tcBorders>
            <w:vAlign w:val="center"/>
          </w:tcPr>
          <w:p w14:paraId="51D840A9" w14:textId="77777777" w:rsidR="00553E5A" w:rsidRPr="00F861B2" w:rsidRDefault="00553E5A" w:rsidP="00C87AE9">
            <w:pPr>
              <w:pStyle w:val="cuatexto"/>
              <w:jc w:val="right"/>
              <w:rPr>
                <w:szCs w:val="20"/>
              </w:rPr>
            </w:pPr>
            <w:r w:rsidRPr="00F861B2">
              <w:rPr>
                <w:szCs w:val="20"/>
              </w:rPr>
              <w:t>97</w:t>
            </w:r>
          </w:p>
        </w:tc>
        <w:tc>
          <w:tcPr>
            <w:tcW w:w="997" w:type="dxa"/>
            <w:tcBorders>
              <w:top w:val="single" w:sz="2" w:space="0" w:color="auto"/>
              <w:left w:val="nil"/>
              <w:bottom w:val="single" w:sz="2" w:space="0" w:color="auto"/>
              <w:right w:val="nil"/>
            </w:tcBorders>
            <w:shd w:val="clear" w:color="auto" w:fill="auto"/>
            <w:vAlign w:val="center"/>
          </w:tcPr>
          <w:p w14:paraId="70357E8A" w14:textId="77777777" w:rsidR="00553E5A" w:rsidRPr="00F861B2" w:rsidRDefault="00553E5A" w:rsidP="00C87AE9">
            <w:pPr>
              <w:pStyle w:val="cuatexto"/>
              <w:jc w:val="right"/>
              <w:rPr>
                <w:szCs w:val="20"/>
              </w:rPr>
            </w:pPr>
            <w:r w:rsidRPr="00F861B2">
              <w:rPr>
                <w:szCs w:val="20"/>
              </w:rPr>
              <w:t>2.291.701</w:t>
            </w:r>
          </w:p>
        </w:tc>
      </w:tr>
      <w:tr w:rsidR="00553E5A" w:rsidRPr="00C87AE9" w14:paraId="520979B7" w14:textId="77777777" w:rsidTr="00CC657A">
        <w:trPr>
          <w:trHeight w:val="198"/>
          <w:jc w:val="center"/>
        </w:trPr>
        <w:tc>
          <w:tcPr>
            <w:tcW w:w="2410" w:type="dxa"/>
            <w:gridSpan w:val="2"/>
            <w:tcBorders>
              <w:top w:val="single" w:sz="2" w:space="0" w:color="auto"/>
              <w:left w:val="nil"/>
              <w:bottom w:val="single" w:sz="2" w:space="0" w:color="auto"/>
              <w:right w:val="nil"/>
            </w:tcBorders>
            <w:vAlign w:val="center"/>
            <w:hideMark/>
          </w:tcPr>
          <w:p w14:paraId="0EBA29CE" w14:textId="77777777" w:rsidR="00553E5A" w:rsidRPr="00F861B2" w:rsidRDefault="00553E5A" w:rsidP="00C87AE9">
            <w:pPr>
              <w:pStyle w:val="cuatexto"/>
              <w:rPr>
                <w:szCs w:val="20"/>
              </w:rPr>
            </w:pPr>
            <w:r w:rsidRPr="00F861B2">
              <w:rPr>
                <w:szCs w:val="20"/>
              </w:rPr>
              <w:t>Fondo contingencia</w:t>
            </w:r>
          </w:p>
        </w:tc>
        <w:tc>
          <w:tcPr>
            <w:tcW w:w="993" w:type="dxa"/>
            <w:tcBorders>
              <w:top w:val="single" w:sz="2" w:space="0" w:color="auto"/>
              <w:left w:val="nil"/>
              <w:bottom w:val="single" w:sz="2" w:space="0" w:color="auto"/>
              <w:right w:val="nil"/>
            </w:tcBorders>
            <w:vAlign w:val="center"/>
          </w:tcPr>
          <w:p w14:paraId="16E27C7C" w14:textId="77777777" w:rsidR="00553E5A" w:rsidRPr="00F861B2" w:rsidRDefault="00553E5A" w:rsidP="00C87AE9">
            <w:pPr>
              <w:pStyle w:val="cuatexto"/>
              <w:jc w:val="right"/>
              <w:rPr>
                <w:szCs w:val="20"/>
              </w:rPr>
            </w:pPr>
            <w:r w:rsidRPr="00F861B2">
              <w:rPr>
                <w:szCs w:val="20"/>
              </w:rPr>
              <w:t>4.558</w:t>
            </w:r>
          </w:p>
        </w:tc>
        <w:tc>
          <w:tcPr>
            <w:tcW w:w="1134" w:type="dxa"/>
            <w:tcBorders>
              <w:top w:val="single" w:sz="2" w:space="0" w:color="auto"/>
              <w:left w:val="nil"/>
              <w:bottom w:val="single" w:sz="2" w:space="0" w:color="auto"/>
              <w:right w:val="nil"/>
            </w:tcBorders>
            <w:vAlign w:val="center"/>
          </w:tcPr>
          <w:p w14:paraId="09CE60D1" w14:textId="77777777" w:rsidR="00553E5A" w:rsidRPr="00F861B2" w:rsidRDefault="00553E5A" w:rsidP="00C87AE9">
            <w:pPr>
              <w:pStyle w:val="cuatexto"/>
              <w:jc w:val="right"/>
              <w:rPr>
                <w:szCs w:val="20"/>
              </w:rPr>
            </w:pPr>
            <w:r w:rsidRPr="00F861B2">
              <w:rPr>
                <w:szCs w:val="20"/>
              </w:rPr>
              <w:t>-1.278</w:t>
            </w:r>
          </w:p>
        </w:tc>
        <w:tc>
          <w:tcPr>
            <w:tcW w:w="1134" w:type="dxa"/>
            <w:tcBorders>
              <w:top w:val="single" w:sz="2" w:space="0" w:color="auto"/>
              <w:left w:val="nil"/>
              <w:bottom w:val="single" w:sz="2" w:space="0" w:color="auto"/>
              <w:right w:val="nil"/>
            </w:tcBorders>
            <w:vAlign w:val="center"/>
          </w:tcPr>
          <w:p w14:paraId="4D64D524" w14:textId="77777777" w:rsidR="00553E5A" w:rsidRPr="00F861B2" w:rsidRDefault="00553E5A" w:rsidP="00C87AE9">
            <w:pPr>
              <w:pStyle w:val="cuatexto"/>
              <w:jc w:val="right"/>
              <w:rPr>
                <w:szCs w:val="20"/>
              </w:rPr>
            </w:pPr>
            <w:r w:rsidRPr="00F861B2">
              <w:rPr>
                <w:szCs w:val="20"/>
              </w:rPr>
              <w:t>3.280</w:t>
            </w:r>
          </w:p>
        </w:tc>
        <w:tc>
          <w:tcPr>
            <w:tcW w:w="1275" w:type="dxa"/>
            <w:tcBorders>
              <w:top w:val="single" w:sz="2" w:space="0" w:color="auto"/>
              <w:left w:val="nil"/>
              <w:bottom w:val="single" w:sz="2" w:space="0" w:color="auto"/>
              <w:right w:val="nil"/>
            </w:tcBorders>
            <w:vAlign w:val="center"/>
          </w:tcPr>
          <w:p w14:paraId="3051AE28" w14:textId="77777777" w:rsidR="00553E5A" w:rsidRPr="00F861B2" w:rsidRDefault="00553E5A" w:rsidP="00C87AE9">
            <w:pPr>
              <w:pStyle w:val="cuatexto"/>
              <w:jc w:val="right"/>
              <w:rPr>
                <w:szCs w:val="20"/>
              </w:rPr>
            </w:pPr>
            <w:r w:rsidRPr="00F861B2">
              <w:rPr>
                <w:szCs w:val="20"/>
              </w:rPr>
              <w:t>-</w:t>
            </w:r>
          </w:p>
        </w:tc>
        <w:tc>
          <w:tcPr>
            <w:tcW w:w="993" w:type="dxa"/>
            <w:tcBorders>
              <w:top w:val="single" w:sz="2" w:space="0" w:color="auto"/>
              <w:left w:val="nil"/>
              <w:bottom w:val="single" w:sz="2" w:space="0" w:color="auto"/>
              <w:right w:val="nil"/>
            </w:tcBorders>
            <w:vAlign w:val="center"/>
          </w:tcPr>
          <w:p w14:paraId="4892F379" w14:textId="77777777" w:rsidR="00553E5A" w:rsidRPr="00F861B2" w:rsidRDefault="00553E5A" w:rsidP="00C87AE9">
            <w:pPr>
              <w:pStyle w:val="cuatexto"/>
              <w:jc w:val="right"/>
              <w:rPr>
                <w:szCs w:val="20"/>
              </w:rPr>
            </w:pPr>
            <w:r w:rsidRPr="00F861B2">
              <w:rPr>
                <w:szCs w:val="20"/>
              </w:rPr>
              <w:t>-</w:t>
            </w:r>
          </w:p>
        </w:tc>
        <w:tc>
          <w:tcPr>
            <w:tcW w:w="997" w:type="dxa"/>
            <w:tcBorders>
              <w:top w:val="single" w:sz="2" w:space="0" w:color="auto"/>
              <w:left w:val="nil"/>
              <w:bottom w:val="single" w:sz="2" w:space="0" w:color="auto"/>
              <w:right w:val="nil"/>
            </w:tcBorders>
            <w:shd w:val="clear" w:color="auto" w:fill="auto"/>
            <w:vAlign w:val="center"/>
          </w:tcPr>
          <w:p w14:paraId="4893329D" w14:textId="77777777" w:rsidR="00553E5A" w:rsidRPr="00F861B2" w:rsidRDefault="00131A5E" w:rsidP="00C87AE9">
            <w:pPr>
              <w:pStyle w:val="cuatexto"/>
              <w:jc w:val="right"/>
              <w:rPr>
                <w:szCs w:val="20"/>
              </w:rPr>
            </w:pPr>
            <w:r w:rsidRPr="00F861B2">
              <w:rPr>
                <w:szCs w:val="20"/>
              </w:rPr>
              <w:t>-</w:t>
            </w:r>
          </w:p>
        </w:tc>
      </w:tr>
      <w:tr w:rsidR="00553E5A" w:rsidRPr="00C87AE9" w14:paraId="2FFE8BAC" w14:textId="77777777" w:rsidTr="00CC657A">
        <w:trPr>
          <w:trHeight w:val="198"/>
          <w:jc w:val="center"/>
        </w:trPr>
        <w:tc>
          <w:tcPr>
            <w:tcW w:w="2410" w:type="dxa"/>
            <w:gridSpan w:val="2"/>
            <w:tcBorders>
              <w:top w:val="single" w:sz="2" w:space="0" w:color="auto"/>
              <w:left w:val="nil"/>
              <w:bottom w:val="single" w:sz="2" w:space="0" w:color="auto"/>
              <w:right w:val="nil"/>
            </w:tcBorders>
            <w:vAlign w:val="center"/>
            <w:hideMark/>
          </w:tcPr>
          <w:p w14:paraId="508F42A9" w14:textId="77777777" w:rsidR="00553E5A" w:rsidRPr="00F861B2" w:rsidRDefault="00553E5A" w:rsidP="003C5679">
            <w:pPr>
              <w:pStyle w:val="cuatexto"/>
              <w:rPr>
                <w:szCs w:val="20"/>
              </w:rPr>
            </w:pPr>
            <w:r w:rsidRPr="00F861B2">
              <w:rPr>
                <w:szCs w:val="20"/>
              </w:rPr>
              <w:t>Inversiones reales</w:t>
            </w:r>
          </w:p>
        </w:tc>
        <w:tc>
          <w:tcPr>
            <w:tcW w:w="993" w:type="dxa"/>
            <w:tcBorders>
              <w:top w:val="single" w:sz="2" w:space="0" w:color="auto"/>
              <w:left w:val="nil"/>
              <w:bottom w:val="single" w:sz="2" w:space="0" w:color="auto"/>
              <w:right w:val="nil"/>
            </w:tcBorders>
            <w:vAlign w:val="center"/>
          </w:tcPr>
          <w:p w14:paraId="22FD3DCA" w14:textId="77777777" w:rsidR="00553E5A" w:rsidRPr="00F861B2" w:rsidRDefault="00553E5A" w:rsidP="003C5679">
            <w:pPr>
              <w:pStyle w:val="cuatexto"/>
              <w:jc w:val="right"/>
              <w:rPr>
                <w:szCs w:val="20"/>
              </w:rPr>
            </w:pPr>
            <w:r w:rsidRPr="00F861B2">
              <w:rPr>
                <w:szCs w:val="20"/>
              </w:rPr>
              <w:t>281.437</w:t>
            </w:r>
          </w:p>
        </w:tc>
        <w:tc>
          <w:tcPr>
            <w:tcW w:w="1134" w:type="dxa"/>
            <w:tcBorders>
              <w:top w:val="single" w:sz="2" w:space="0" w:color="auto"/>
              <w:left w:val="nil"/>
              <w:bottom w:val="single" w:sz="2" w:space="0" w:color="auto"/>
              <w:right w:val="nil"/>
            </w:tcBorders>
            <w:vAlign w:val="center"/>
          </w:tcPr>
          <w:p w14:paraId="6838338A" w14:textId="77777777" w:rsidR="00553E5A" w:rsidRPr="00F861B2" w:rsidRDefault="00553E5A" w:rsidP="003C5679">
            <w:pPr>
              <w:pStyle w:val="cuatexto"/>
              <w:jc w:val="right"/>
              <w:rPr>
                <w:szCs w:val="20"/>
              </w:rPr>
            </w:pPr>
            <w:r w:rsidRPr="00F861B2">
              <w:rPr>
                <w:szCs w:val="20"/>
              </w:rPr>
              <w:t>58.028</w:t>
            </w:r>
          </w:p>
        </w:tc>
        <w:tc>
          <w:tcPr>
            <w:tcW w:w="1134" w:type="dxa"/>
            <w:tcBorders>
              <w:top w:val="single" w:sz="2" w:space="0" w:color="auto"/>
              <w:left w:val="nil"/>
              <w:bottom w:val="single" w:sz="2" w:space="0" w:color="auto"/>
              <w:right w:val="nil"/>
            </w:tcBorders>
            <w:vAlign w:val="center"/>
          </w:tcPr>
          <w:p w14:paraId="4F1E2812" w14:textId="77777777" w:rsidR="00553E5A" w:rsidRPr="00F861B2" w:rsidRDefault="00553E5A" w:rsidP="003C5679">
            <w:pPr>
              <w:pStyle w:val="cuatexto"/>
              <w:jc w:val="right"/>
              <w:rPr>
                <w:szCs w:val="20"/>
              </w:rPr>
            </w:pPr>
            <w:r w:rsidRPr="00F861B2">
              <w:rPr>
                <w:szCs w:val="20"/>
              </w:rPr>
              <w:t>339.465</w:t>
            </w:r>
          </w:p>
        </w:tc>
        <w:tc>
          <w:tcPr>
            <w:tcW w:w="1275" w:type="dxa"/>
            <w:tcBorders>
              <w:top w:val="single" w:sz="2" w:space="0" w:color="auto"/>
              <w:left w:val="nil"/>
              <w:bottom w:val="single" w:sz="2" w:space="0" w:color="auto"/>
              <w:right w:val="nil"/>
            </w:tcBorders>
            <w:vAlign w:val="center"/>
          </w:tcPr>
          <w:p w14:paraId="52F42CCE" w14:textId="77777777" w:rsidR="00553E5A" w:rsidRPr="00F861B2" w:rsidRDefault="00553E5A" w:rsidP="003C5679">
            <w:pPr>
              <w:pStyle w:val="cuatexto"/>
              <w:jc w:val="right"/>
              <w:rPr>
                <w:szCs w:val="20"/>
              </w:rPr>
            </w:pPr>
            <w:r w:rsidRPr="00F861B2">
              <w:rPr>
                <w:szCs w:val="20"/>
              </w:rPr>
              <w:t>250.553</w:t>
            </w:r>
          </w:p>
        </w:tc>
        <w:tc>
          <w:tcPr>
            <w:tcW w:w="993" w:type="dxa"/>
            <w:tcBorders>
              <w:top w:val="single" w:sz="2" w:space="0" w:color="auto"/>
              <w:left w:val="nil"/>
              <w:bottom w:val="single" w:sz="2" w:space="0" w:color="auto"/>
              <w:right w:val="nil"/>
            </w:tcBorders>
            <w:vAlign w:val="center"/>
          </w:tcPr>
          <w:p w14:paraId="7C67B4BF" w14:textId="77777777" w:rsidR="00553E5A" w:rsidRPr="00F861B2" w:rsidRDefault="00553E5A" w:rsidP="003C5679">
            <w:pPr>
              <w:pStyle w:val="cuatexto"/>
              <w:jc w:val="right"/>
              <w:rPr>
                <w:szCs w:val="20"/>
              </w:rPr>
            </w:pPr>
            <w:r w:rsidRPr="00F861B2">
              <w:rPr>
                <w:szCs w:val="20"/>
              </w:rPr>
              <w:t>74</w:t>
            </w:r>
          </w:p>
        </w:tc>
        <w:tc>
          <w:tcPr>
            <w:tcW w:w="997" w:type="dxa"/>
            <w:tcBorders>
              <w:top w:val="single" w:sz="2" w:space="0" w:color="auto"/>
              <w:left w:val="nil"/>
              <w:bottom w:val="single" w:sz="2" w:space="0" w:color="auto"/>
              <w:right w:val="nil"/>
            </w:tcBorders>
            <w:shd w:val="clear" w:color="auto" w:fill="auto"/>
            <w:vAlign w:val="center"/>
          </w:tcPr>
          <w:p w14:paraId="318E0264" w14:textId="77777777" w:rsidR="00553E5A" w:rsidRPr="00F861B2" w:rsidRDefault="00553E5A" w:rsidP="003C5679">
            <w:pPr>
              <w:pStyle w:val="cuatexto"/>
              <w:jc w:val="right"/>
              <w:rPr>
                <w:szCs w:val="20"/>
              </w:rPr>
            </w:pPr>
            <w:r w:rsidRPr="00F861B2">
              <w:rPr>
                <w:szCs w:val="20"/>
              </w:rPr>
              <w:t>226.121</w:t>
            </w:r>
          </w:p>
        </w:tc>
      </w:tr>
      <w:tr w:rsidR="00553E5A" w:rsidRPr="00C87AE9" w14:paraId="04F4DB9B" w14:textId="77777777" w:rsidTr="00CC657A">
        <w:trPr>
          <w:trHeight w:val="198"/>
          <w:jc w:val="center"/>
        </w:trPr>
        <w:tc>
          <w:tcPr>
            <w:tcW w:w="2410" w:type="dxa"/>
            <w:gridSpan w:val="2"/>
            <w:tcBorders>
              <w:top w:val="single" w:sz="2" w:space="0" w:color="auto"/>
              <w:left w:val="nil"/>
              <w:bottom w:val="single" w:sz="2" w:space="0" w:color="auto"/>
              <w:right w:val="nil"/>
            </w:tcBorders>
            <w:vAlign w:val="center"/>
            <w:hideMark/>
          </w:tcPr>
          <w:p w14:paraId="53411B0D" w14:textId="77777777" w:rsidR="00553E5A" w:rsidRPr="00F861B2" w:rsidRDefault="00553E5A" w:rsidP="00C87AE9">
            <w:pPr>
              <w:pStyle w:val="cuatexto"/>
              <w:rPr>
                <w:szCs w:val="20"/>
              </w:rPr>
            </w:pPr>
            <w:r w:rsidRPr="00F861B2">
              <w:rPr>
                <w:szCs w:val="20"/>
              </w:rPr>
              <w:t xml:space="preserve">Transferencias de capital </w:t>
            </w:r>
          </w:p>
        </w:tc>
        <w:tc>
          <w:tcPr>
            <w:tcW w:w="993" w:type="dxa"/>
            <w:tcBorders>
              <w:top w:val="single" w:sz="2" w:space="0" w:color="auto"/>
              <w:left w:val="nil"/>
              <w:bottom w:val="single" w:sz="2" w:space="0" w:color="auto"/>
              <w:right w:val="nil"/>
            </w:tcBorders>
            <w:vAlign w:val="center"/>
          </w:tcPr>
          <w:p w14:paraId="03B7AC33" w14:textId="77777777" w:rsidR="00553E5A" w:rsidRPr="00F861B2" w:rsidRDefault="00553E5A" w:rsidP="00C87AE9">
            <w:pPr>
              <w:pStyle w:val="cuatexto"/>
              <w:jc w:val="right"/>
              <w:rPr>
                <w:szCs w:val="20"/>
              </w:rPr>
            </w:pPr>
            <w:r w:rsidRPr="00F861B2">
              <w:rPr>
                <w:szCs w:val="20"/>
              </w:rPr>
              <w:t>313.928</w:t>
            </w:r>
          </w:p>
        </w:tc>
        <w:tc>
          <w:tcPr>
            <w:tcW w:w="1134" w:type="dxa"/>
            <w:tcBorders>
              <w:top w:val="single" w:sz="2" w:space="0" w:color="auto"/>
              <w:left w:val="nil"/>
              <w:bottom w:val="single" w:sz="2" w:space="0" w:color="auto"/>
              <w:right w:val="nil"/>
            </w:tcBorders>
            <w:vAlign w:val="center"/>
          </w:tcPr>
          <w:p w14:paraId="3855D846" w14:textId="77777777" w:rsidR="00553E5A" w:rsidRPr="00F861B2" w:rsidRDefault="00553E5A" w:rsidP="00C87AE9">
            <w:pPr>
              <w:pStyle w:val="cuatexto"/>
              <w:jc w:val="right"/>
              <w:rPr>
                <w:szCs w:val="20"/>
              </w:rPr>
            </w:pPr>
            <w:r w:rsidRPr="00F861B2">
              <w:rPr>
                <w:szCs w:val="20"/>
              </w:rPr>
              <w:t>110.715</w:t>
            </w:r>
          </w:p>
        </w:tc>
        <w:tc>
          <w:tcPr>
            <w:tcW w:w="1134" w:type="dxa"/>
            <w:tcBorders>
              <w:top w:val="single" w:sz="2" w:space="0" w:color="auto"/>
              <w:left w:val="nil"/>
              <w:bottom w:val="single" w:sz="2" w:space="0" w:color="auto"/>
              <w:right w:val="nil"/>
            </w:tcBorders>
            <w:vAlign w:val="center"/>
          </w:tcPr>
          <w:p w14:paraId="5056D4AA" w14:textId="77777777" w:rsidR="00553E5A" w:rsidRPr="00F861B2" w:rsidRDefault="00553E5A" w:rsidP="00C87AE9">
            <w:pPr>
              <w:pStyle w:val="cuatexto"/>
              <w:jc w:val="right"/>
              <w:rPr>
                <w:szCs w:val="20"/>
              </w:rPr>
            </w:pPr>
            <w:r w:rsidRPr="00F861B2">
              <w:rPr>
                <w:szCs w:val="20"/>
              </w:rPr>
              <w:t>424.643</w:t>
            </w:r>
          </w:p>
        </w:tc>
        <w:tc>
          <w:tcPr>
            <w:tcW w:w="1275" w:type="dxa"/>
            <w:tcBorders>
              <w:top w:val="single" w:sz="2" w:space="0" w:color="auto"/>
              <w:left w:val="nil"/>
              <w:bottom w:val="single" w:sz="2" w:space="0" w:color="auto"/>
              <w:right w:val="nil"/>
            </w:tcBorders>
            <w:vAlign w:val="center"/>
          </w:tcPr>
          <w:p w14:paraId="2E29526E" w14:textId="77777777" w:rsidR="00553E5A" w:rsidRPr="00F861B2" w:rsidRDefault="00553E5A" w:rsidP="00C87AE9">
            <w:pPr>
              <w:pStyle w:val="cuatexto"/>
              <w:jc w:val="right"/>
              <w:rPr>
                <w:szCs w:val="20"/>
              </w:rPr>
            </w:pPr>
            <w:r w:rsidRPr="00F861B2">
              <w:rPr>
                <w:szCs w:val="20"/>
              </w:rPr>
              <w:t>258.658</w:t>
            </w:r>
          </w:p>
        </w:tc>
        <w:tc>
          <w:tcPr>
            <w:tcW w:w="993" w:type="dxa"/>
            <w:tcBorders>
              <w:top w:val="single" w:sz="2" w:space="0" w:color="auto"/>
              <w:left w:val="nil"/>
              <w:bottom w:val="single" w:sz="2" w:space="0" w:color="auto"/>
              <w:right w:val="nil"/>
            </w:tcBorders>
            <w:vAlign w:val="center"/>
          </w:tcPr>
          <w:p w14:paraId="024C032E" w14:textId="77777777" w:rsidR="00553E5A" w:rsidRPr="00F861B2" w:rsidRDefault="00553E5A" w:rsidP="00C87AE9">
            <w:pPr>
              <w:pStyle w:val="cuatexto"/>
              <w:jc w:val="right"/>
              <w:rPr>
                <w:szCs w:val="20"/>
              </w:rPr>
            </w:pPr>
            <w:r w:rsidRPr="00F861B2">
              <w:rPr>
                <w:szCs w:val="20"/>
              </w:rPr>
              <w:t>61</w:t>
            </w:r>
          </w:p>
        </w:tc>
        <w:tc>
          <w:tcPr>
            <w:tcW w:w="997" w:type="dxa"/>
            <w:tcBorders>
              <w:top w:val="single" w:sz="2" w:space="0" w:color="auto"/>
              <w:left w:val="nil"/>
              <w:bottom w:val="single" w:sz="2" w:space="0" w:color="auto"/>
              <w:right w:val="nil"/>
            </w:tcBorders>
            <w:shd w:val="clear" w:color="auto" w:fill="auto"/>
            <w:vAlign w:val="center"/>
          </w:tcPr>
          <w:p w14:paraId="3922BE8C" w14:textId="77777777" w:rsidR="00553E5A" w:rsidRPr="00F861B2" w:rsidRDefault="00553E5A" w:rsidP="00C87AE9">
            <w:pPr>
              <w:pStyle w:val="cuatexto"/>
              <w:jc w:val="right"/>
              <w:rPr>
                <w:szCs w:val="20"/>
              </w:rPr>
            </w:pPr>
            <w:r w:rsidRPr="00F861B2">
              <w:rPr>
                <w:szCs w:val="20"/>
              </w:rPr>
              <w:t>205.746</w:t>
            </w:r>
          </w:p>
        </w:tc>
      </w:tr>
      <w:tr w:rsidR="00553E5A" w14:paraId="7037E5DA" w14:textId="77777777" w:rsidTr="00CC657A">
        <w:trPr>
          <w:trHeight w:val="198"/>
          <w:jc w:val="center"/>
        </w:trPr>
        <w:tc>
          <w:tcPr>
            <w:tcW w:w="2410" w:type="dxa"/>
            <w:gridSpan w:val="2"/>
            <w:tcBorders>
              <w:top w:val="single" w:sz="2" w:space="0" w:color="auto"/>
              <w:left w:val="nil"/>
              <w:bottom w:val="single" w:sz="2" w:space="0" w:color="auto"/>
              <w:right w:val="nil"/>
            </w:tcBorders>
            <w:vAlign w:val="center"/>
            <w:hideMark/>
          </w:tcPr>
          <w:p w14:paraId="40996C27" w14:textId="77777777" w:rsidR="00553E5A" w:rsidRPr="00F861B2" w:rsidRDefault="00553E5A" w:rsidP="00C87AE9">
            <w:pPr>
              <w:pStyle w:val="cuatexto"/>
              <w:rPr>
                <w:szCs w:val="20"/>
              </w:rPr>
            </w:pPr>
            <w:r w:rsidRPr="00F861B2">
              <w:rPr>
                <w:szCs w:val="20"/>
              </w:rPr>
              <w:t>Activos financieros</w:t>
            </w:r>
          </w:p>
        </w:tc>
        <w:tc>
          <w:tcPr>
            <w:tcW w:w="993" w:type="dxa"/>
            <w:tcBorders>
              <w:top w:val="single" w:sz="2" w:space="0" w:color="auto"/>
              <w:left w:val="nil"/>
              <w:bottom w:val="single" w:sz="2" w:space="0" w:color="auto"/>
              <w:right w:val="nil"/>
            </w:tcBorders>
            <w:vAlign w:val="center"/>
          </w:tcPr>
          <w:p w14:paraId="58D6D967" w14:textId="77777777" w:rsidR="00553E5A" w:rsidRPr="00F861B2" w:rsidRDefault="00553E5A" w:rsidP="00C87AE9">
            <w:pPr>
              <w:pStyle w:val="cuatexto"/>
              <w:jc w:val="right"/>
              <w:rPr>
                <w:szCs w:val="20"/>
              </w:rPr>
            </w:pPr>
            <w:r w:rsidRPr="00F861B2">
              <w:rPr>
                <w:szCs w:val="20"/>
              </w:rPr>
              <w:t>36.006</w:t>
            </w:r>
          </w:p>
        </w:tc>
        <w:tc>
          <w:tcPr>
            <w:tcW w:w="1134" w:type="dxa"/>
            <w:tcBorders>
              <w:top w:val="single" w:sz="2" w:space="0" w:color="auto"/>
              <w:left w:val="nil"/>
              <w:bottom w:val="single" w:sz="2" w:space="0" w:color="auto"/>
              <w:right w:val="nil"/>
            </w:tcBorders>
            <w:vAlign w:val="center"/>
          </w:tcPr>
          <w:p w14:paraId="455F17F7" w14:textId="77777777" w:rsidR="00553E5A" w:rsidRPr="00F861B2" w:rsidRDefault="00553E5A" w:rsidP="00C87AE9">
            <w:pPr>
              <w:pStyle w:val="cuatexto"/>
              <w:jc w:val="right"/>
              <w:rPr>
                <w:szCs w:val="20"/>
              </w:rPr>
            </w:pPr>
            <w:r w:rsidRPr="00F861B2">
              <w:rPr>
                <w:szCs w:val="20"/>
              </w:rPr>
              <w:t>-</w:t>
            </w:r>
          </w:p>
        </w:tc>
        <w:tc>
          <w:tcPr>
            <w:tcW w:w="1134" w:type="dxa"/>
            <w:tcBorders>
              <w:top w:val="single" w:sz="2" w:space="0" w:color="auto"/>
              <w:left w:val="nil"/>
              <w:bottom w:val="single" w:sz="2" w:space="0" w:color="auto"/>
              <w:right w:val="nil"/>
            </w:tcBorders>
            <w:vAlign w:val="center"/>
          </w:tcPr>
          <w:p w14:paraId="6C272682" w14:textId="77777777" w:rsidR="00553E5A" w:rsidRPr="00F861B2" w:rsidRDefault="00553E5A" w:rsidP="00C87AE9">
            <w:pPr>
              <w:pStyle w:val="cuatexto"/>
              <w:jc w:val="right"/>
              <w:rPr>
                <w:szCs w:val="20"/>
              </w:rPr>
            </w:pPr>
            <w:r w:rsidRPr="00F861B2">
              <w:rPr>
                <w:szCs w:val="20"/>
              </w:rPr>
              <w:t>36.006</w:t>
            </w:r>
          </w:p>
        </w:tc>
        <w:tc>
          <w:tcPr>
            <w:tcW w:w="1275" w:type="dxa"/>
            <w:tcBorders>
              <w:top w:val="single" w:sz="2" w:space="0" w:color="auto"/>
              <w:left w:val="nil"/>
              <w:bottom w:val="single" w:sz="2" w:space="0" w:color="auto"/>
              <w:right w:val="nil"/>
            </w:tcBorders>
            <w:vAlign w:val="center"/>
          </w:tcPr>
          <w:p w14:paraId="34FD49E1" w14:textId="77777777" w:rsidR="00553E5A" w:rsidRPr="00F861B2" w:rsidRDefault="00553E5A" w:rsidP="00C87AE9">
            <w:pPr>
              <w:pStyle w:val="cuatexto"/>
              <w:jc w:val="right"/>
              <w:rPr>
                <w:szCs w:val="20"/>
              </w:rPr>
            </w:pPr>
            <w:r w:rsidRPr="00F861B2">
              <w:rPr>
                <w:szCs w:val="20"/>
              </w:rPr>
              <w:t>32.869</w:t>
            </w:r>
          </w:p>
        </w:tc>
        <w:tc>
          <w:tcPr>
            <w:tcW w:w="993" w:type="dxa"/>
            <w:tcBorders>
              <w:top w:val="single" w:sz="2" w:space="0" w:color="auto"/>
              <w:left w:val="nil"/>
              <w:bottom w:val="single" w:sz="2" w:space="0" w:color="auto"/>
              <w:right w:val="nil"/>
            </w:tcBorders>
            <w:vAlign w:val="center"/>
          </w:tcPr>
          <w:p w14:paraId="740811EE" w14:textId="77777777" w:rsidR="00553E5A" w:rsidRPr="00F861B2" w:rsidRDefault="00553E5A" w:rsidP="00C87AE9">
            <w:pPr>
              <w:pStyle w:val="cuatexto"/>
              <w:jc w:val="right"/>
              <w:rPr>
                <w:szCs w:val="20"/>
              </w:rPr>
            </w:pPr>
            <w:r w:rsidRPr="00F861B2">
              <w:rPr>
                <w:szCs w:val="20"/>
              </w:rPr>
              <w:t>91</w:t>
            </w:r>
          </w:p>
        </w:tc>
        <w:tc>
          <w:tcPr>
            <w:tcW w:w="997" w:type="dxa"/>
            <w:tcBorders>
              <w:top w:val="single" w:sz="2" w:space="0" w:color="auto"/>
              <w:left w:val="nil"/>
              <w:bottom w:val="single" w:sz="2" w:space="0" w:color="auto"/>
              <w:right w:val="nil"/>
            </w:tcBorders>
            <w:shd w:val="clear" w:color="auto" w:fill="auto"/>
            <w:vAlign w:val="center"/>
          </w:tcPr>
          <w:p w14:paraId="74A4C574" w14:textId="77777777" w:rsidR="00553E5A" w:rsidRPr="00F861B2" w:rsidRDefault="00553E5A" w:rsidP="00C87AE9">
            <w:pPr>
              <w:pStyle w:val="cuatexto"/>
              <w:jc w:val="right"/>
              <w:rPr>
                <w:szCs w:val="20"/>
              </w:rPr>
            </w:pPr>
            <w:r w:rsidRPr="00F861B2">
              <w:rPr>
                <w:szCs w:val="20"/>
              </w:rPr>
              <w:t>32.869</w:t>
            </w:r>
          </w:p>
        </w:tc>
      </w:tr>
      <w:tr w:rsidR="00553E5A" w14:paraId="2A3996FA" w14:textId="77777777" w:rsidTr="00CC657A">
        <w:trPr>
          <w:trHeight w:val="198"/>
          <w:jc w:val="center"/>
        </w:trPr>
        <w:tc>
          <w:tcPr>
            <w:tcW w:w="2410" w:type="dxa"/>
            <w:gridSpan w:val="2"/>
            <w:tcBorders>
              <w:top w:val="single" w:sz="2" w:space="0" w:color="auto"/>
              <w:left w:val="nil"/>
              <w:bottom w:val="single" w:sz="4" w:space="0" w:color="auto"/>
              <w:right w:val="nil"/>
            </w:tcBorders>
            <w:vAlign w:val="center"/>
            <w:hideMark/>
          </w:tcPr>
          <w:p w14:paraId="2B79DFFF" w14:textId="77777777" w:rsidR="00553E5A" w:rsidRPr="00F861B2" w:rsidRDefault="00553E5A" w:rsidP="00C87AE9">
            <w:pPr>
              <w:pStyle w:val="cuatexto"/>
              <w:rPr>
                <w:szCs w:val="20"/>
              </w:rPr>
            </w:pPr>
            <w:r w:rsidRPr="00F861B2">
              <w:rPr>
                <w:szCs w:val="20"/>
              </w:rPr>
              <w:t>Pasivos financieros</w:t>
            </w:r>
          </w:p>
        </w:tc>
        <w:tc>
          <w:tcPr>
            <w:tcW w:w="993" w:type="dxa"/>
            <w:tcBorders>
              <w:top w:val="single" w:sz="2" w:space="0" w:color="auto"/>
              <w:left w:val="nil"/>
              <w:bottom w:val="single" w:sz="4" w:space="0" w:color="auto"/>
              <w:right w:val="nil"/>
            </w:tcBorders>
            <w:vAlign w:val="center"/>
          </w:tcPr>
          <w:p w14:paraId="7D930097" w14:textId="77777777" w:rsidR="00553E5A" w:rsidRPr="00F861B2" w:rsidRDefault="00553E5A" w:rsidP="00C87AE9">
            <w:pPr>
              <w:pStyle w:val="cuatexto"/>
              <w:jc w:val="right"/>
              <w:rPr>
                <w:szCs w:val="20"/>
              </w:rPr>
            </w:pPr>
            <w:r w:rsidRPr="00F861B2">
              <w:rPr>
                <w:szCs w:val="20"/>
              </w:rPr>
              <w:t>474.215</w:t>
            </w:r>
          </w:p>
        </w:tc>
        <w:tc>
          <w:tcPr>
            <w:tcW w:w="1134" w:type="dxa"/>
            <w:tcBorders>
              <w:top w:val="single" w:sz="2" w:space="0" w:color="auto"/>
              <w:left w:val="nil"/>
              <w:bottom w:val="single" w:sz="4" w:space="0" w:color="auto"/>
              <w:right w:val="nil"/>
            </w:tcBorders>
            <w:vAlign w:val="center"/>
          </w:tcPr>
          <w:p w14:paraId="0B8AA196" w14:textId="77777777" w:rsidR="00553E5A" w:rsidRPr="00F861B2" w:rsidRDefault="00553E5A" w:rsidP="00C87AE9">
            <w:pPr>
              <w:pStyle w:val="cuatexto"/>
              <w:jc w:val="right"/>
              <w:rPr>
                <w:szCs w:val="20"/>
              </w:rPr>
            </w:pPr>
            <w:r w:rsidRPr="00F861B2">
              <w:rPr>
                <w:szCs w:val="20"/>
              </w:rPr>
              <w:t>-</w:t>
            </w:r>
          </w:p>
        </w:tc>
        <w:tc>
          <w:tcPr>
            <w:tcW w:w="1134" w:type="dxa"/>
            <w:tcBorders>
              <w:top w:val="single" w:sz="2" w:space="0" w:color="auto"/>
              <w:left w:val="nil"/>
              <w:bottom w:val="single" w:sz="4" w:space="0" w:color="auto"/>
              <w:right w:val="nil"/>
            </w:tcBorders>
            <w:vAlign w:val="center"/>
          </w:tcPr>
          <w:p w14:paraId="6065AD5D" w14:textId="77777777" w:rsidR="00553E5A" w:rsidRPr="00F861B2" w:rsidRDefault="00553E5A" w:rsidP="00C87AE9">
            <w:pPr>
              <w:pStyle w:val="cuatexto"/>
              <w:jc w:val="right"/>
              <w:rPr>
                <w:szCs w:val="20"/>
              </w:rPr>
            </w:pPr>
            <w:r w:rsidRPr="00F861B2">
              <w:rPr>
                <w:szCs w:val="20"/>
              </w:rPr>
              <w:t>474.215</w:t>
            </w:r>
          </w:p>
        </w:tc>
        <w:tc>
          <w:tcPr>
            <w:tcW w:w="1275" w:type="dxa"/>
            <w:tcBorders>
              <w:top w:val="single" w:sz="2" w:space="0" w:color="auto"/>
              <w:left w:val="nil"/>
              <w:bottom w:val="single" w:sz="4" w:space="0" w:color="auto"/>
              <w:right w:val="nil"/>
            </w:tcBorders>
            <w:vAlign w:val="center"/>
          </w:tcPr>
          <w:p w14:paraId="37B8B9A1" w14:textId="77777777" w:rsidR="00553E5A" w:rsidRPr="00F861B2" w:rsidRDefault="00553E5A" w:rsidP="00C87AE9">
            <w:pPr>
              <w:pStyle w:val="cuatexto"/>
              <w:jc w:val="right"/>
              <w:rPr>
                <w:szCs w:val="20"/>
              </w:rPr>
            </w:pPr>
            <w:r w:rsidRPr="00F861B2">
              <w:rPr>
                <w:szCs w:val="20"/>
              </w:rPr>
              <w:t>224.215</w:t>
            </w:r>
          </w:p>
        </w:tc>
        <w:tc>
          <w:tcPr>
            <w:tcW w:w="993" w:type="dxa"/>
            <w:tcBorders>
              <w:top w:val="single" w:sz="2" w:space="0" w:color="auto"/>
              <w:left w:val="nil"/>
              <w:bottom w:val="single" w:sz="4" w:space="0" w:color="auto"/>
              <w:right w:val="nil"/>
            </w:tcBorders>
            <w:vAlign w:val="center"/>
          </w:tcPr>
          <w:p w14:paraId="44B61E18" w14:textId="77777777" w:rsidR="00553E5A" w:rsidRPr="00F861B2" w:rsidRDefault="00553E5A" w:rsidP="00C87AE9">
            <w:pPr>
              <w:pStyle w:val="cuatexto"/>
              <w:jc w:val="right"/>
              <w:rPr>
                <w:szCs w:val="20"/>
              </w:rPr>
            </w:pPr>
            <w:r w:rsidRPr="00F861B2">
              <w:rPr>
                <w:szCs w:val="20"/>
              </w:rPr>
              <w:t>47</w:t>
            </w:r>
          </w:p>
        </w:tc>
        <w:tc>
          <w:tcPr>
            <w:tcW w:w="997" w:type="dxa"/>
            <w:tcBorders>
              <w:top w:val="single" w:sz="2" w:space="0" w:color="auto"/>
              <w:left w:val="nil"/>
              <w:bottom w:val="single" w:sz="4" w:space="0" w:color="auto"/>
              <w:right w:val="nil"/>
            </w:tcBorders>
            <w:shd w:val="clear" w:color="auto" w:fill="auto"/>
            <w:vAlign w:val="center"/>
          </w:tcPr>
          <w:p w14:paraId="19AD58EF" w14:textId="77777777" w:rsidR="00553E5A" w:rsidRPr="00F861B2" w:rsidRDefault="00553E5A" w:rsidP="00C87AE9">
            <w:pPr>
              <w:pStyle w:val="cuatexto"/>
              <w:jc w:val="right"/>
              <w:rPr>
                <w:szCs w:val="20"/>
              </w:rPr>
            </w:pPr>
            <w:r w:rsidRPr="00F861B2">
              <w:rPr>
                <w:szCs w:val="20"/>
              </w:rPr>
              <w:t>224.215</w:t>
            </w:r>
          </w:p>
        </w:tc>
      </w:tr>
      <w:tr w:rsidR="00614DC4" w:rsidRPr="00944F6A" w14:paraId="306DBBC9" w14:textId="77777777" w:rsidTr="00CC657A">
        <w:trPr>
          <w:trHeight w:val="255"/>
          <w:jc w:val="center"/>
        </w:trPr>
        <w:tc>
          <w:tcPr>
            <w:tcW w:w="2269" w:type="dxa"/>
            <w:tcBorders>
              <w:top w:val="single" w:sz="4" w:space="0" w:color="auto"/>
              <w:left w:val="nil"/>
              <w:bottom w:val="single" w:sz="4" w:space="0" w:color="auto"/>
              <w:right w:val="nil"/>
            </w:tcBorders>
            <w:shd w:val="clear" w:color="auto" w:fill="8DB3E2"/>
            <w:vAlign w:val="center"/>
            <w:hideMark/>
          </w:tcPr>
          <w:p w14:paraId="7E61B99A" w14:textId="77777777" w:rsidR="00614DC4" w:rsidRPr="00944F6A" w:rsidRDefault="00614DC4" w:rsidP="00BD110A">
            <w:pPr>
              <w:pStyle w:val="cuatexto"/>
              <w:rPr>
                <w:rFonts w:ascii="Arial" w:hAnsi="Arial" w:cs="Arial"/>
                <w:sz w:val="18"/>
                <w:szCs w:val="18"/>
              </w:rPr>
            </w:pPr>
            <w:r w:rsidRPr="00944F6A">
              <w:rPr>
                <w:rFonts w:ascii="Arial" w:hAnsi="Arial" w:cs="Arial"/>
                <w:sz w:val="18"/>
                <w:szCs w:val="18"/>
              </w:rPr>
              <w:t>Total</w:t>
            </w:r>
          </w:p>
        </w:tc>
        <w:tc>
          <w:tcPr>
            <w:tcW w:w="1134" w:type="dxa"/>
            <w:gridSpan w:val="2"/>
            <w:tcBorders>
              <w:top w:val="single" w:sz="4" w:space="0" w:color="auto"/>
              <w:left w:val="nil"/>
              <w:bottom w:val="single" w:sz="4" w:space="0" w:color="auto"/>
              <w:right w:val="nil"/>
            </w:tcBorders>
            <w:shd w:val="clear" w:color="auto" w:fill="8DB3E2"/>
            <w:vAlign w:val="center"/>
          </w:tcPr>
          <w:p w14:paraId="061A3F69" w14:textId="77777777" w:rsidR="00614DC4" w:rsidRPr="00944F6A" w:rsidRDefault="00E336A9" w:rsidP="003C5679">
            <w:pPr>
              <w:pStyle w:val="cuatexto"/>
              <w:jc w:val="right"/>
              <w:rPr>
                <w:rFonts w:ascii="Arial" w:hAnsi="Arial" w:cs="Arial"/>
                <w:sz w:val="18"/>
                <w:szCs w:val="18"/>
              </w:rPr>
            </w:pPr>
            <w:r w:rsidRPr="00944F6A">
              <w:rPr>
                <w:rFonts w:ascii="Arial" w:hAnsi="Arial" w:cs="Arial"/>
                <w:sz w:val="18"/>
                <w:szCs w:val="18"/>
              </w:rPr>
              <w:t>5.748.951</w:t>
            </w:r>
          </w:p>
        </w:tc>
        <w:tc>
          <w:tcPr>
            <w:tcW w:w="1134" w:type="dxa"/>
            <w:tcBorders>
              <w:top w:val="single" w:sz="4" w:space="0" w:color="auto"/>
              <w:left w:val="nil"/>
              <w:bottom w:val="single" w:sz="4" w:space="0" w:color="auto"/>
              <w:right w:val="nil"/>
            </w:tcBorders>
            <w:shd w:val="clear" w:color="auto" w:fill="8DB3E2"/>
            <w:vAlign w:val="center"/>
          </w:tcPr>
          <w:p w14:paraId="37FF595D" w14:textId="77777777" w:rsidR="00614DC4" w:rsidRPr="00944F6A" w:rsidRDefault="00E336A9" w:rsidP="003C5679">
            <w:pPr>
              <w:pStyle w:val="cuatexto"/>
              <w:jc w:val="right"/>
              <w:rPr>
                <w:rFonts w:ascii="Arial" w:hAnsi="Arial" w:cs="Arial"/>
                <w:sz w:val="18"/>
                <w:szCs w:val="18"/>
              </w:rPr>
            </w:pPr>
            <w:r w:rsidRPr="00944F6A">
              <w:rPr>
                <w:rFonts w:ascii="Arial" w:hAnsi="Arial" w:cs="Arial"/>
                <w:sz w:val="18"/>
                <w:szCs w:val="18"/>
              </w:rPr>
              <w:t>684.232</w:t>
            </w:r>
          </w:p>
        </w:tc>
        <w:tc>
          <w:tcPr>
            <w:tcW w:w="1134" w:type="dxa"/>
            <w:tcBorders>
              <w:top w:val="single" w:sz="4" w:space="0" w:color="auto"/>
              <w:left w:val="nil"/>
              <w:bottom w:val="single" w:sz="4" w:space="0" w:color="auto"/>
              <w:right w:val="nil"/>
            </w:tcBorders>
            <w:shd w:val="clear" w:color="auto" w:fill="8DB3E2"/>
            <w:vAlign w:val="center"/>
          </w:tcPr>
          <w:p w14:paraId="5A1423CB" w14:textId="77777777" w:rsidR="00614DC4" w:rsidRPr="00944F6A" w:rsidRDefault="00E336A9" w:rsidP="003C5679">
            <w:pPr>
              <w:pStyle w:val="cuatexto"/>
              <w:jc w:val="right"/>
              <w:rPr>
                <w:rFonts w:ascii="Arial" w:hAnsi="Arial" w:cs="Arial"/>
                <w:sz w:val="18"/>
                <w:szCs w:val="18"/>
              </w:rPr>
            </w:pPr>
            <w:r w:rsidRPr="00944F6A">
              <w:rPr>
                <w:rFonts w:ascii="Arial" w:hAnsi="Arial" w:cs="Arial"/>
                <w:sz w:val="18"/>
                <w:szCs w:val="18"/>
              </w:rPr>
              <w:t>6.433.183</w:t>
            </w:r>
          </w:p>
        </w:tc>
        <w:tc>
          <w:tcPr>
            <w:tcW w:w="1275" w:type="dxa"/>
            <w:tcBorders>
              <w:top w:val="single" w:sz="4" w:space="0" w:color="auto"/>
              <w:left w:val="nil"/>
              <w:bottom w:val="single" w:sz="4" w:space="0" w:color="auto"/>
              <w:right w:val="nil"/>
            </w:tcBorders>
            <w:shd w:val="clear" w:color="auto" w:fill="8DB3E2"/>
            <w:vAlign w:val="center"/>
          </w:tcPr>
          <w:p w14:paraId="51AE08DF" w14:textId="77777777" w:rsidR="00614DC4" w:rsidRPr="00944F6A" w:rsidRDefault="00E336A9" w:rsidP="003C5679">
            <w:pPr>
              <w:pStyle w:val="cuatexto"/>
              <w:jc w:val="right"/>
              <w:rPr>
                <w:rFonts w:ascii="Arial" w:hAnsi="Arial" w:cs="Arial"/>
                <w:sz w:val="18"/>
                <w:szCs w:val="18"/>
              </w:rPr>
            </w:pPr>
            <w:r w:rsidRPr="00944F6A">
              <w:rPr>
                <w:rFonts w:ascii="Arial" w:hAnsi="Arial" w:cs="Arial"/>
                <w:sz w:val="18"/>
                <w:szCs w:val="18"/>
              </w:rPr>
              <w:t>5.781.904</w:t>
            </w:r>
          </w:p>
        </w:tc>
        <w:tc>
          <w:tcPr>
            <w:tcW w:w="993" w:type="dxa"/>
            <w:tcBorders>
              <w:top w:val="single" w:sz="4" w:space="0" w:color="auto"/>
              <w:left w:val="nil"/>
              <w:bottom w:val="single" w:sz="4" w:space="0" w:color="auto"/>
              <w:right w:val="nil"/>
            </w:tcBorders>
            <w:shd w:val="clear" w:color="auto" w:fill="8DB3E2"/>
            <w:vAlign w:val="center"/>
          </w:tcPr>
          <w:p w14:paraId="1C9742F5" w14:textId="77777777" w:rsidR="00614DC4" w:rsidRPr="00944F6A" w:rsidRDefault="00E336A9" w:rsidP="003C5679">
            <w:pPr>
              <w:pStyle w:val="cuatexto"/>
              <w:jc w:val="right"/>
              <w:rPr>
                <w:rFonts w:ascii="Arial" w:hAnsi="Arial" w:cs="Arial"/>
                <w:sz w:val="18"/>
                <w:szCs w:val="18"/>
              </w:rPr>
            </w:pPr>
            <w:r w:rsidRPr="00944F6A">
              <w:rPr>
                <w:rFonts w:ascii="Arial" w:hAnsi="Arial" w:cs="Arial"/>
                <w:sz w:val="18"/>
                <w:szCs w:val="18"/>
              </w:rPr>
              <w:t>90</w:t>
            </w:r>
          </w:p>
        </w:tc>
        <w:tc>
          <w:tcPr>
            <w:tcW w:w="997" w:type="dxa"/>
            <w:tcBorders>
              <w:top w:val="single" w:sz="4" w:space="0" w:color="auto"/>
              <w:left w:val="nil"/>
              <w:bottom w:val="single" w:sz="4" w:space="0" w:color="auto"/>
              <w:right w:val="nil"/>
            </w:tcBorders>
            <w:shd w:val="clear" w:color="auto" w:fill="8DB3E2"/>
            <w:vAlign w:val="center"/>
          </w:tcPr>
          <w:p w14:paraId="71F072B7" w14:textId="77777777" w:rsidR="00553E5A" w:rsidRPr="00944F6A" w:rsidRDefault="00553E5A" w:rsidP="003C5679">
            <w:pPr>
              <w:pStyle w:val="cuatexto"/>
              <w:jc w:val="right"/>
              <w:rPr>
                <w:rFonts w:ascii="Arial" w:hAnsi="Arial" w:cs="Arial"/>
                <w:sz w:val="18"/>
                <w:szCs w:val="18"/>
              </w:rPr>
            </w:pPr>
            <w:r w:rsidRPr="00944F6A">
              <w:rPr>
                <w:rFonts w:ascii="Arial" w:hAnsi="Arial" w:cs="Arial"/>
                <w:sz w:val="18"/>
                <w:szCs w:val="18"/>
              </w:rPr>
              <w:t>5.606.459</w:t>
            </w:r>
          </w:p>
        </w:tc>
      </w:tr>
    </w:tbl>
    <w:p w14:paraId="7CC9D7AC" w14:textId="77777777" w:rsidR="00553E5A" w:rsidRDefault="00553E5A" w:rsidP="00C87AE9">
      <w:pPr>
        <w:pStyle w:val="cuadroCabe"/>
      </w:pPr>
    </w:p>
    <w:p w14:paraId="6663D087" w14:textId="77777777" w:rsidR="00614DC4" w:rsidRDefault="00614DC4" w:rsidP="00E87A6C">
      <w:pPr>
        <w:spacing w:after="120"/>
        <w:jc w:val="center"/>
        <w:outlineLvl w:val="0"/>
        <w:rPr>
          <w:rFonts w:ascii="Arial" w:hAnsi="Arial" w:cs="Arial"/>
        </w:rPr>
      </w:pPr>
      <w:r>
        <w:rPr>
          <w:rFonts w:ascii="Arial" w:hAnsi="Arial" w:cs="Arial"/>
        </w:rPr>
        <w:t>Liquidación del presupuesto de ingresos de 202</w:t>
      </w:r>
      <w:r w:rsidR="00802F88">
        <w:rPr>
          <w:rFonts w:ascii="Arial" w:hAnsi="Arial" w:cs="Arial"/>
        </w:rPr>
        <w:t>3</w:t>
      </w:r>
      <w:r>
        <w:rPr>
          <w:rFonts w:ascii="Arial" w:hAnsi="Arial" w:cs="Arial"/>
        </w:rPr>
        <w:t>, por capítulos económicos</w:t>
      </w:r>
    </w:p>
    <w:p w14:paraId="1E43AC61" w14:textId="77777777" w:rsidR="00614DC4" w:rsidRDefault="00614DC4" w:rsidP="00614DC4">
      <w:pPr>
        <w:suppressAutoHyphens/>
        <w:spacing w:after="60"/>
        <w:jc w:val="right"/>
        <w:rPr>
          <w:rFonts w:ascii="Arial" w:hAnsi="Arial"/>
          <w:spacing w:val="6"/>
          <w:sz w:val="17"/>
          <w:szCs w:val="17"/>
        </w:rPr>
      </w:pPr>
      <w:r>
        <w:rPr>
          <w:rFonts w:ascii="Arial" w:hAnsi="Arial"/>
          <w:spacing w:val="6"/>
          <w:sz w:val="17"/>
          <w:szCs w:val="17"/>
        </w:rPr>
        <w:t>(en miles)</w:t>
      </w:r>
    </w:p>
    <w:tbl>
      <w:tblPr>
        <w:tblW w:w="9072" w:type="dxa"/>
        <w:jc w:val="center"/>
        <w:tblLayout w:type="fixed"/>
        <w:tblCellMar>
          <w:left w:w="30" w:type="dxa"/>
          <w:right w:w="30" w:type="dxa"/>
        </w:tblCellMar>
        <w:tblLook w:val="04A0" w:firstRow="1" w:lastRow="0" w:firstColumn="1" w:lastColumn="0" w:noHBand="0" w:noVBand="1"/>
      </w:tblPr>
      <w:tblGrid>
        <w:gridCol w:w="2835"/>
        <w:gridCol w:w="982"/>
        <w:gridCol w:w="1110"/>
        <w:gridCol w:w="939"/>
        <w:gridCol w:w="1260"/>
        <w:gridCol w:w="812"/>
        <w:gridCol w:w="1134"/>
      </w:tblGrid>
      <w:tr w:rsidR="00614DC4" w14:paraId="0CBA1D4E" w14:textId="77777777" w:rsidTr="00E87A6C">
        <w:trPr>
          <w:trHeight w:val="255"/>
          <w:jc w:val="center"/>
        </w:trPr>
        <w:tc>
          <w:tcPr>
            <w:tcW w:w="2835" w:type="dxa"/>
            <w:tcBorders>
              <w:top w:val="single" w:sz="4" w:space="0" w:color="auto"/>
              <w:left w:val="nil"/>
              <w:bottom w:val="single" w:sz="4" w:space="0" w:color="auto"/>
              <w:right w:val="nil"/>
            </w:tcBorders>
            <w:shd w:val="clear" w:color="auto" w:fill="8DB3E2"/>
            <w:vAlign w:val="center"/>
            <w:hideMark/>
          </w:tcPr>
          <w:p w14:paraId="2538B6D8" w14:textId="77777777" w:rsidR="00614DC4" w:rsidRPr="00C87AE9" w:rsidRDefault="00614DC4" w:rsidP="00C87AE9">
            <w:pPr>
              <w:pStyle w:val="cuadroCabe"/>
            </w:pPr>
            <w:r w:rsidRPr="00C87AE9">
              <w:t>Capítulo económico</w:t>
            </w:r>
          </w:p>
        </w:tc>
        <w:tc>
          <w:tcPr>
            <w:tcW w:w="982" w:type="dxa"/>
            <w:tcBorders>
              <w:top w:val="single" w:sz="4" w:space="0" w:color="auto"/>
              <w:left w:val="nil"/>
              <w:bottom w:val="single" w:sz="4" w:space="0" w:color="auto"/>
              <w:right w:val="nil"/>
            </w:tcBorders>
            <w:shd w:val="clear" w:color="auto" w:fill="8DB3E2"/>
            <w:vAlign w:val="center"/>
            <w:hideMark/>
          </w:tcPr>
          <w:p w14:paraId="0BCB3964" w14:textId="77777777" w:rsidR="00614DC4" w:rsidRPr="00C87AE9" w:rsidRDefault="00614DC4" w:rsidP="00C87AE9">
            <w:pPr>
              <w:pStyle w:val="cuadroCabe"/>
              <w:jc w:val="right"/>
            </w:pPr>
            <w:r w:rsidRPr="00C87AE9">
              <w:t>Previsión</w:t>
            </w:r>
          </w:p>
          <w:p w14:paraId="0E65584B" w14:textId="77777777" w:rsidR="00614DC4" w:rsidRPr="00C87AE9" w:rsidRDefault="00614DC4" w:rsidP="00C87AE9">
            <w:pPr>
              <w:pStyle w:val="cuadroCabe"/>
              <w:jc w:val="right"/>
            </w:pPr>
            <w:r w:rsidRPr="00C87AE9">
              <w:t>inicial</w:t>
            </w:r>
          </w:p>
        </w:tc>
        <w:tc>
          <w:tcPr>
            <w:tcW w:w="1110" w:type="dxa"/>
            <w:tcBorders>
              <w:top w:val="single" w:sz="4" w:space="0" w:color="auto"/>
              <w:left w:val="nil"/>
              <w:bottom w:val="single" w:sz="4" w:space="0" w:color="auto"/>
              <w:right w:val="nil"/>
            </w:tcBorders>
            <w:shd w:val="clear" w:color="auto" w:fill="8DB3E2"/>
            <w:vAlign w:val="center"/>
            <w:hideMark/>
          </w:tcPr>
          <w:p w14:paraId="60F8FA1A" w14:textId="77777777" w:rsidR="00614DC4" w:rsidRPr="00C87AE9" w:rsidRDefault="00614DC4" w:rsidP="00C87AE9">
            <w:pPr>
              <w:pStyle w:val="cuadroCabe"/>
              <w:jc w:val="right"/>
            </w:pPr>
            <w:proofErr w:type="spellStart"/>
            <w:r w:rsidRPr="00C87AE9">
              <w:t>Modificac</w:t>
            </w:r>
            <w:proofErr w:type="spellEnd"/>
            <w:r w:rsidRPr="00C87AE9">
              <w:t>.</w:t>
            </w:r>
          </w:p>
        </w:tc>
        <w:tc>
          <w:tcPr>
            <w:tcW w:w="939" w:type="dxa"/>
            <w:tcBorders>
              <w:top w:val="single" w:sz="4" w:space="0" w:color="auto"/>
              <w:left w:val="nil"/>
              <w:bottom w:val="single" w:sz="4" w:space="0" w:color="auto"/>
              <w:right w:val="nil"/>
            </w:tcBorders>
            <w:shd w:val="clear" w:color="auto" w:fill="8DB3E2"/>
            <w:vAlign w:val="center"/>
            <w:hideMark/>
          </w:tcPr>
          <w:p w14:paraId="4A9FB4E0" w14:textId="77777777" w:rsidR="00614DC4" w:rsidRPr="00C87AE9" w:rsidRDefault="00614DC4" w:rsidP="00C87AE9">
            <w:pPr>
              <w:pStyle w:val="cuadroCabe"/>
              <w:jc w:val="right"/>
            </w:pPr>
            <w:r w:rsidRPr="00C87AE9">
              <w:t xml:space="preserve">Previsión </w:t>
            </w:r>
          </w:p>
          <w:p w14:paraId="6BEAD1C2" w14:textId="77777777" w:rsidR="00614DC4" w:rsidRPr="00C87AE9" w:rsidRDefault="00614DC4" w:rsidP="00C87AE9">
            <w:pPr>
              <w:pStyle w:val="cuadroCabe"/>
              <w:jc w:val="right"/>
            </w:pPr>
            <w:r w:rsidRPr="00C87AE9">
              <w:t>definitiva</w:t>
            </w:r>
          </w:p>
        </w:tc>
        <w:tc>
          <w:tcPr>
            <w:tcW w:w="1260" w:type="dxa"/>
            <w:tcBorders>
              <w:top w:val="single" w:sz="4" w:space="0" w:color="auto"/>
              <w:left w:val="nil"/>
              <w:bottom w:val="single" w:sz="4" w:space="0" w:color="auto"/>
              <w:right w:val="nil"/>
            </w:tcBorders>
            <w:shd w:val="clear" w:color="auto" w:fill="8DB3E2"/>
            <w:vAlign w:val="center"/>
            <w:hideMark/>
          </w:tcPr>
          <w:p w14:paraId="2A7DFE42" w14:textId="77777777" w:rsidR="00614DC4" w:rsidRPr="00C87AE9" w:rsidRDefault="00614DC4" w:rsidP="00C87AE9">
            <w:pPr>
              <w:pStyle w:val="cuadroCabe"/>
              <w:jc w:val="right"/>
            </w:pPr>
            <w:r w:rsidRPr="00C87AE9">
              <w:t>Derechos</w:t>
            </w:r>
          </w:p>
          <w:p w14:paraId="3E8FEA57" w14:textId="77777777" w:rsidR="00614DC4" w:rsidRPr="00C87AE9" w:rsidRDefault="00614DC4" w:rsidP="00C87AE9">
            <w:pPr>
              <w:pStyle w:val="cuadroCabe"/>
              <w:jc w:val="right"/>
            </w:pPr>
            <w:proofErr w:type="spellStart"/>
            <w:r w:rsidRPr="00C87AE9">
              <w:t>recon</w:t>
            </w:r>
            <w:proofErr w:type="spellEnd"/>
            <w:r w:rsidRPr="00C87AE9">
              <w:t>. netos</w:t>
            </w:r>
          </w:p>
        </w:tc>
        <w:tc>
          <w:tcPr>
            <w:tcW w:w="812" w:type="dxa"/>
            <w:tcBorders>
              <w:top w:val="single" w:sz="4" w:space="0" w:color="auto"/>
              <w:left w:val="nil"/>
              <w:bottom w:val="single" w:sz="4" w:space="0" w:color="auto"/>
              <w:right w:val="nil"/>
            </w:tcBorders>
            <w:shd w:val="clear" w:color="auto" w:fill="8DB3E2"/>
            <w:vAlign w:val="center"/>
            <w:hideMark/>
          </w:tcPr>
          <w:p w14:paraId="321DE692" w14:textId="77777777" w:rsidR="00614DC4" w:rsidRPr="00C87AE9" w:rsidRDefault="00614DC4" w:rsidP="00C87AE9">
            <w:pPr>
              <w:pStyle w:val="cuadroCabe"/>
              <w:jc w:val="right"/>
            </w:pPr>
            <w:r w:rsidRPr="00C87AE9">
              <w:t xml:space="preserve">% </w:t>
            </w:r>
          </w:p>
          <w:p w14:paraId="40233625" w14:textId="77777777" w:rsidR="00614DC4" w:rsidRPr="00C87AE9" w:rsidRDefault="00DA67D0" w:rsidP="00C87AE9">
            <w:pPr>
              <w:pStyle w:val="cuadroCabe"/>
              <w:jc w:val="right"/>
            </w:pPr>
            <w:r w:rsidRPr="00C87AE9">
              <w:t>C</w:t>
            </w:r>
            <w:r w:rsidR="00614DC4" w:rsidRPr="00C87AE9">
              <w:t>umplimiento</w:t>
            </w:r>
          </w:p>
        </w:tc>
        <w:tc>
          <w:tcPr>
            <w:tcW w:w="1134" w:type="dxa"/>
            <w:tcBorders>
              <w:top w:val="single" w:sz="4" w:space="0" w:color="auto"/>
              <w:left w:val="nil"/>
              <w:bottom w:val="single" w:sz="4" w:space="0" w:color="auto"/>
              <w:right w:val="nil"/>
            </w:tcBorders>
            <w:shd w:val="clear" w:color="auto" w:fill="8DB3E2"/>
            <w:vAlign w:val="center"/>
            <w:hideMark/>
          </w:tcPr>
          <w:p w14:paraId="21E111BE" w14:textId="77777777" w:rsidR="00614DC4" w:rsidRPr="00C87AE9" w:rsidRDefault="00614DC4" w:rsidP="00C87AE9">
            <w:pPr>
              <w:pStyle w:val="cuadroCabe"/>
              <w:jc w:val="right"/>
            </w:pPr>
            <w:proofErr w:type="spellStart"/>
            <w:r w:rsidRPr="00C87AE9">
              <w:t>Recaudac</w:t>
            </w:r>
            <w:proofErr w:type="spellEnd"/>
            <w:r w:rsidRPr="00C87AE9">
              <w:t xml:space="preserve">. </w:t>
            </w:r>
          </w:p>
          <w:p w14:paraId="527279DE" w14:textId="77777777" w:rsidR="00614DC4" w:rsidRPr="00C87AE9" w:rsidRDefault="00614DC4" w:rsidP="00C87AE9">
            <w:pPr>
              <w:pStyle w:val="cuadroCabe"/>
              <w:jc w:val="right"/>
            </w:pPr>
            <w:r w:rsidRPr="00C87AE9">
              <w:t>neta</w:t>
            </w:r>
          </w:p>
        </w:tc>
      </w:tr>
      <w:tr w:rsidR="00553E5A" w14:paraId="5081158D" w14:textId="77777777" w:rsidTr="00E87A6C">
        <w:trPr>
          <w:trHeight w:val="198"/>
          <w:jc w:val="center"/>
        </w:trPr>
        <w:tc>
          <w:tcPr>
            <w:tcW w:w="2835" w:type="dxa"/>
            <w:tcBorders>
              <w:top w:val="single" w:sz="4" w:space="0" w:color="auto"/>
              <w:left w:val="nil"/>
              <w:bottom w:val="single" w:sz="2" w:space="0" w:color="auto"/>
              <w:right w:val="nil"/>
            </w:tcBorders>
            <w:vAlign w:val="center"/>
            <w:hideMark/>
          </w:tcPr>
          <w:p w14:paraId="5B030324" w14:textId="77777777" w:rsidR="00553E5A" w:rsidRPr="00C87AE9" w:rsidRDefault="00553E5A" w:rsidP="00553E5A">
            <w:pPr>
              <w:pStyle w:val="cuatexto"/>
            </w:pPr>
            <w:r w:rsidRPr="00C87AE9">
              <w:t>Impuestos directos</w:t>
            </w:r>
          </w:p>
        </w:tc>
        <w:tc>
          <w:tcPr>
            <w:tcW w:w="982" w:type="dxa"/>
            <w:tcBorders>
              <w:top w:val="single" w:sz="4" w:space="0" w:color="auto"/>
              <w:left w:val="nil"/>
              <w:bottom w:val="single" w:sz="2" w:space="0" w:color="auto"/>
              <w:right w:val="nil"/>
            </w:tcBorders>
            <w:vAlign w:val="center"/>
          </w:tcPr>
          <w:p w14:paraId="1D9C52B3" w14:textId="77777777" w:rsidR="00553E5A" w:rsidRPr="00C87AE9" w:rsidRDefault="00553E5A" w:rsidP="00C87AE9">
            <w:pPr>
              <w:pStyle w:val="cuatexto"/>
              <w:jc w:val="right"/>
            </w:pPr>
            <w:r w:rsidRPr="00C87AE9">
              <w:t>2.311.367</w:t>
            </w:r>
          </w:p>
        </w:tc>
        <w:tc>
          <w:tcPr>
            <w:tcW w:w="1110" w:type="dxa"/>
            <w:tcBorders>
              <w:top w:val="single" w:sz="4" w:space="0" w:color="auto"/>
              <w:left w:val="nil"/>
              <w:bottom w:val="single" w:sz="2" w:space="0" w:color="auto"/>
              <w:right w:val="nil"/>
            </w:tcBorders>
            <w:vAlign w:val="center"/>
          </w:tcPr>
          <w:p w14:paraId="111D4F9B" w14:textId="77777777" w:rsidR="00553E5A" w:rsidRPr="00C87AE9" w:rsidRDefault="00553E5A" w:rsidP="00C87AE9">
            <w:pPr>
              <w:pStyle w:val="cuatexto"/>
              <w:jc w:val="right"/>
            </w:pPr>
            <w:r w:rsidRPr="00C87AE9">
              <w:t>235.056</w:t>
            </w:r>
          </w:p>
        </w:tc>
        <w:tc>
          <w:tcPr>
            <w:tcW w:w="939" w:type="dxa"/>
            <w:tcBorders>
              <w:top w:val="single" w:sz="4" w:space="0" w:color="auto"/>
              <w:left w:val="nil"/>
              <w:bottom w:val="single" w:sz="2" w:space="0" w:color="auto"/>
              <w:right w:val="nil"/>
            </w:tcBorders>
            <w:vAlign w:val="center"/>
          </w:tcPr>
          <w:p w14:paraId="2C83B817" w14:textId="77777777" w:rsidR="00553E5A" w:rsidRPr="00C87AE9" w:rsidRDefault="00553E5A" w:rsidP="009079F8">
            <w:pPr>
              <w:pStyle w:val="cuatexto"/>
              <w:jc w:val="right"/>
            </w:pPr>
            <w:r w:rsidRPr="00C87AE9">
              <w:t>2.546.</w:t>
            </w:r>
            <w:r w:rsidR="009079F8">
              <w:t>4</w:t>
            </w:r>
            <w:r w:rsidRPr="00C87AE9">
              <w:t>23</w:t>
            </w:r>
          </w:p>
        </w:tc>
        <w:tc>
          <w:tcPr>
            <w:tcW w:w="1260" w:type="dxa"/>
            <w:tcBorders>
              <w:top w:val="single" w:sz="4" w:space="0" w:color="auto"/>
              <w:left w:val="nil"/>
              <w:bottom w:val="single" w:sz="2" w:space="0" w:color="auto"/>
              <w:right w:val="nil"/>
            </w:tcBorders>
            <w:vAlign w:val="center"/>
          </w:tcPr>
          <w:p w14:paraId="543A0878" w14:textId="77777777" w:rsidR="00553E5A" w:rsidRPr="00C87AE9" w:rsidRDefault="00553E5A" w:rsidP="00C87AE9">
            <w:pPr>
              <w:pStyle w:val="cuatexto"/>
              <w:jc w:val="right"/>
            </w:pPr>
            <w:r w:rsidRPr="00C87AE9">
              <w:t>2.741.203</w:t>
            </w:r>
          </w:p>
        </w:tc>
        <w:tc>
          <w:tcPr>
            <w:tcW w:w="812" w:type="dxa"/>
            <w:tcBorders>
              <w:top w:val="single" w:sz="4" w:space="0" w:color="auto"/>
              <w:left w:val="nil"/>
              <w:bottom w:val="single" w:sz="2" w:space="0" w:color="auto"/>
              <w:right w:val="nil"/>
            </w:tcBorders>
            <w:vAlign w:val="center"/>
          </w:tcPr>
          <w:p w14:paraId="5163D3B0" w14:textId="77777777" w:rsidR="00553E5A" w:rsidRPr="00C87AE9" w:rsidRDefault="00553E5A" w:rsidP="00C87AE9">
            <w:pPr>
              <w:pStyle w:val="cuatexto"/>
              <w:jc w:val="right"/>
            </w:pPr>
            <w:r w:rsidRPr="00C87AE9">
              <w:t>108</w:t>
            </w:r>
          </w:p>
        </w:tc>
        <w:tc>
          <w:tcPr>
            <w:tcW w:w="1134" w:type="dxa"/>
            <w:tcBorders>
              <w:top w:val="single" w:sz="4" w:space="0" w:color="auto"/>
              <w:left w:val="nil"/>
              <w:bottom w:val="single" w:sz="2" w:space="0" w:color="auto"/>
            </w:tcBorders>
            <w:shd w:val="clear" w:color="auto" w:fill="auto"/>
            <w:vAlign w:val="center"/>
          </w:tcPr>
          <w:p w14:paraId="7DBCD695" w14:textId="77777777" w:rsidR="00553E5A" w:rsidRPr="00C87AE9" w:rsidRDefault="00553E5A" w:rsidP="00C87AE9">
            <w:pPr>
              <w:pStyle w:val="cuatexto"/>
              <w:jc w:val="right"/>
            </w:pPr>
            <w:r w:rsidRPr="00C87AE9">
              <w:t>2.709.460</w:t>
            </w:r>
          </w:p>
        </w:tc>
      </w:tr>
      <w:tr w:rsidR="00553E5A" w14:paraId="41DB1D30" w14:textId="77777777" w:rsidTr="00E87A6C">
        <w:trPr>
          <w:trHeight w:val="198"/>
          <w:jc w:val="center"/>
        </w:trPr>
        <w:tc>
          <w:tcPr>
            <w:tcW w:w="2835" w:type="dxa"/>
            <w:tcBorders>
              <w:top w:val="single" w:sz="2" w:space="0" w:color="auto"/>
              <w:left w:val="nil"/>
              <w:bottom w:val="single" w:sz="2" w:space="0" w:color="auto"/>
              <w:right w:val="nil"/>
            </w:tcBorders>
            <w:vAlign w:val="center"/>
            <w:hideMark/>
          </w:tcPr>
          <w:p w14:paraId="0324B325" w14:textId="77777777" w:rsidR="00553E5A" w:rsidRPr="00C87AE9" w:rsidRDefault="00553E5A" w:rsidP="00553E5A">
            <w:pPr>
              <w:pStyle w:val="cuatexto"/>
            </w:pPr>
            <w:r w:rsidRPr="00C87AE9">
              <w:t>Impuestos indirectos</w:t>
            </w:r>
          </w:p>
        </w:tc>
        <w:tc>
          <w:tcPr>
            <w:tcW w:w="982" w:type="dxa"/>
            <w:tcBorders>
              <w:top w:val="single" w:sz="2" w:space="0" w:color="auto"/>
              <w:left w:val="nil"/>
              <w:bottom w:val="single" w:sz="2" w:space="0" w:color="auto"/>
              <w:right w:val="nil"/>
            </w:tcBorders>
            <w:vAlign w:val="center"/>
          </w:tcPr>
          <w:p w14:paraId="31F93BA7" w14:textId="77777777" w:rsidR="00553E5A" w:rsidRPr="00C87AE9" w:rsidRDefault="00553E5A" w:rsidP="00C87AE9">
            <w:pPr>
              <w:pStyle w:val="cuatexto"/>
              <w:jc w:val="right"/>
            </w:pPr>
            <w:r w:rsidRPr="00C87AE9">
              <w:t>2.224.107</w:t>
            </w:r>
          </w:p>
        </w:tc>
        <w:tc>
          <w:tcPr>
            <w:tcW w:w="1110" w:type="dxa"/>
            <w:tcBorders>
              <w:top w:val="single" w:sz="2" w:space="0" w:color="auto"/>
              <w:left w:val="nil"/>
              <w:bottom w:val="single" w:sz="2" w:space="0" w:color="auto"/>
              <w:right w:val="nil"/>
            </w:tcBorders>
            <w:vAlign w:val="center"/>
          </w:tcPr>
          <w:p w14:paraId="41724BC3" w14:textId="77777777" w:rsidR="00553E5A" w:rsidRPr="00C87AE9" w:rsidRDefault="00553E5A" w:rsidP="00C87AE9">
            <w:pPr>
              <w:pStyle w:val="cuatexto"/>
              <w:jc w:val="right"/>
            </w:pPr>
            <w:r w:rsidRPr="00C87AE9">
              <w:t>17.853</w:t>
            </w:r>
          </w:p>
        </w:tc>
        <w:tc>
          <w:tcPr>
            <w:tcW w:w="939" w:type="dxa"/>
            <w:tcBorders>
              <w:top w:val="single" w:sz="2" w:space="0" w:color="auto"/>
              <w:left w:val="nil"/>
              <w:bottom w:val="single" w:sz="2" w:space="0" w:color="auto"/>
              <w:right w:val="nil"/>
            </w:tcBorders>
            <w:vAlign w:val="center"/>
          </w:tcPr>
          <w:p w14:paraId="58D15D5E" w14:textId="77777777" w:rsidR="00553E5A" w:rsidRPr="00C87AE9" w:rsidRDefault="00553E5A" w:rsidP="00C87AE9">
            <w:pPr>
              <w:pStyle w:val="cuatexto"/>
              <w:jc w:val="right"/>
            </w:pPr>
            <w:r w:rsidRPr="00C87AE9">
              <w:t>2.241.961</w:t>
            </w:r>
          </w:p>
        </w:tc>
        <w:tc>
          <w:tcPr>
            <w:tcW w:w="1260" w:type="dxa"/>
            <w:tcBorders>
              <w:top w:val="single" w:sz="2" w:space="0" w:color="auto"/>
              <w:left w:val="nil"/>
              <w:bottom w:val="single" w:sz="2" w:space="0" w:color="auto"/>
              <w:right w:val="nil"/>
            </w:tcBorders>
            <w:vAlign w:val="center"/>
          </w:tcPr>
          <w:p w14:paraId="72F7BDB5" w14:textId="77777777" w:rsidR="00553E5A" w:rsidRPr="00C87AE9" w:rsidRDefault="00553E5A" w:rsidP="00C87AE9">
            <w:pPr>
              <w:pStyle w:val="cuatexto"/>
              <w:jc w:val="right"/>
            </w:pPr>
            <w:r w:rsidRPr="00C87AE9">
              <w:t>2.404.700</w:t>
            </w:r>
          </w:p>
        </w:tc>
        <w:tc>
          <w:tcPr>
            <w:tcW w:w="812" w:type="dxa"/>
            <w:tcBorders>
              <w:top w:val="single" w:sz="2" w:space="0" w:color="auto"/>
              <w:left w:val="nil"/>
              <w:bottom w:val="single" w:sz="2" w:space="0" w:color="auto"/>
              <w:right w:val="nil"/>
            </w:tcBorders>
            <w:vAlign w:val="center"/>
          </w:tcPr>
          <w:p w14:paraId="2535AB70" w14:textId="77777777" w:rsidR="00553E5A" w:rsidRPr="00C87AE9" w:rsidRDefault="00553E5A" w:rsidP="00C87AE9">
            <w:pPr>
              <w:pStyle w:val="cuatexto"/>
              <w:jc w:val="right"/>
            </w:pPr>
            <w:r w:rsidRPr="00C87AE9">
              <w:t>107</w:t>
            </w:r>
          </w:p>
        </w:tc>
        <w:tc>
          <w:tcPr>
            <w:tcW w:w="1134" w:type="dxa"/>
            <w:tcBorders>
              <w:top w:val="single" w:sz="2" w:space="0" w:color="auto"/>
              <w:left w:val="nil"/>
              <w:bottom w:val="single" w:sz="2" w:space="0" w:color="auto"/>
            </w:tcBorders>
            <w:shd w:val="clear" w:color="auto" w:fill="auto"/>
            <w:vAlign w:val="center"/>
          </w:tcPr>
          <w:p w14:paraId="16FEA3B5" w14:textId="77777777" w:rsidR="00553E5A" w:rsidRPr="00C87AE9" w:rsidRDefault="00553E5A" w:rsidP="00C87AE9">
            <w:pPr>
              <w:pStyle w:val="cuatexto"/>
              <w:jc w:val="right"/>
            </w:pPr>
            <w:r w:rsidRPr="00C87AE9">
              <w:t>2.366.936</w:t>
            </w:r>
          </w:p>
        </w:tc>
      </w:tr>
      <w:tr w:rsidR="00553E5A" w14:paraId="5F068045" w14:textId="77777777" w:rsidTr="00E87A6C">
        <w:trPr>
          <w:trHeight w:val="198"/>
          <w:jc w:val="center"/>
        </w:trPr>
        <w:tc>
          <w:tcPr>
            <w:tcW w:w="2835" w:type="dxa"/>
            <w:tcBorders>
              <w:top w:val="single" w:sz="2" w:space="0" w:color="auto"/>
              <w:left w:val="nil"/>
              <w:bottom w:val="single" w:sz="2" w:space="0" w:color="auto"/>
              <w:right w:val="nil"/>
            </w:tcBorders>
            <w:vAlign w:val="center"/>
            <w:hideMark/>
          </w:tcPr>
          <w:p w14:paraId="0DFB8A64" w14:textId="77777777" w:rsidR="00553E5A" w:rsidRPr="00C87AE9" w:rsidRDefault="00553E5A" w:rsidP="00553E5A">
            <w:pPr>
              <w:pStyle w:val="cuatexto"/>
            </w:pPr>
            <w:r w:rsidRPr="00C87AE9">
              <w:t>Tasas, precios públicos y otros</w:t>
            </w:r>
          </w:p>
        </w:tc>
        <w:tc>
          <w:tcPr>
            <w:tcW w:w="982" w:type="dxa"/>
            <w:tcBorders>
              <w:top w:val="single" w:sz="2" w:space="0" w:color="auto"/>
              <w:left w:val="nil"/>
              <w:bottom w:val="single" w:sz="2" w:space="0" w:color="auto"/>
              <w:right w:val="nil"/>
            </w:tcBorders>
            <w:vAlign w:val="center"/>
          </w:tcPr>
          <w:p w14:paraId="05F8CA8A" w14:textId="77777777" w:rsidR="00553E5A" w:rsidRPr="00C87AE9" w:rsidRDefault="00553E5A" w:rsidP="009079F8">
            <w:pPr>
              <w:pStyle w:val="cuatexto"/>
              <w:jc w:val="right"/>
            </w:pPr>
            <w:r w:rsidRPr="00C87AE9">
              <w:t>11</w:t>
            </w:r>
            <w:r w:rsidR="009079F8">
              <w:t>4</w:t>
            </w:r>
            <w:r w:rsidRPr="00C87AE9">
              <w:t>.578</w:t>
            </w:r>
          </w:p>
        </w:tc>
        <w:tc>
          <w:tcPr>
            <w:tcW w:w="1110" w:type="dxa"/>
            <w:tcBorders>
              <w:top w:val="single" w:sz="2" w:space="0" w:color="auto"/>
              <w:left w:val="nil"/>
              <w:bottom w:val="single" w:sz="2" w:space="0" w:color="auto"/>
              <w:right w:val="nil"/>
            </w:tcBorders>
            <w:vAlign w:val="center"/>
          </w:tcPr>
          <w:p w14:paraId="347ECA0E" w14:textId="77777777" w:rsidR="00553E5A" w:rsidRPr="00C87AE9" w:rsidRDefault="00553E5A" w:rsidP="00C87AE9">
            <w:pPr>
              <w:pStyle w:val="cuatexto"/>
              <w:jc w:val="right"/>
            </w:pPr>
            <w:r w:rsidRPr="00C87AE9">
              <w:t>12.521</w:t>
            </w:r>
          </w:p>
        </w:tc>
        <w:tc>
          <w:tcPr>
            <w:tcW w:w="939" w:type="dxa"/>
            <w:tcBorders>
              <w:top w:val="single" w:sz="2" w:space="0" w:color="auto"/>
              <w:left w:val="nil"/>
              <w:bottom w:val="single" w:sz="2" w:space="0" w:color="auto"/>
              <w:right w:val="nil"/>
            </w:tcBorders>
            <w:vAlign w:val="center"/>
          </w:tcPr>
          <w:p w14:paraId="7F1A3E38" w14:textId="77777777" w:rsidR="00553E5A" w:rsidRPr="00C87AE9" w:rsidRDefault="00553E5A" w:rsidP="00C87AE9">
            <w:pPr>
              <w:pStyle w:val="cuatexto"/>
              <w:jc w:val="right"/>
            </w:pPr>
            <w:r w:rsidRPr="00C87AE9">
              <w:t>127.099</w:t>
            </w:r>
          </w:p>
        </w:tc>
        <w:tc>
          <w:tcPr>
            <w:tcW w:w="1260" w:type="dxa"/>
            <w:tcBorders>
              <w:top w:val="single" w:sz="2" w:space="0" w:color="auto"/>
              <w:left w:val="nil"/>
              <w:bottom w:val="single" w:sz="2" w:space="0" w:color="auto"/>
              <w:right w:val="nil"/>
            </w:tcBorders>
            <w:vAlign w:val="center"/>
          </w:tcPr>
          <w:p w14:paraId="2CD1E0F5" w14:textId="77777777" w:rsidR="00553E5A" w:rsidRPr="00C87AE9" w:rsidRDefault="00553E5A" w:rsidP="00C87AE9">
            <w:pPr>
              <w:pStyle w:val="cuatexto"/>
              <w:jc w:val="right"/>
            </w:pPr>
            <w:r w:rsidRPr="00C87AE9">
              <w:t>155.275</w:t>
            </w:r>
          </w:p>
        </w:tc>
        <w:tc>
          <w:tcPr>
            <w:tcW w:w="812" w:type="dxa"/>
            <w:tcBorders>
              <w:top w:val="single" w:sz="2" w:space="0" w:color="auto"/>
              <w:left w:val="nil"/>
              <w:bottom w:val="single" w:sz="2" w:space="0" w:color="auto"/>
              <w:right w:val="nil"/>
            </w:tcBorders>
            <w:vAlign w:val="center"/>
          </w:tcPr>
          <w:p w14:paraId="0AAFDF2A" w14:textId="77777777" w:rsidR="00553E5A" w:rsidRPr="00C87AE9" w:rsidRDefault="00553E5A" w:rsidP="00C87AE9">
            <w:pPr>
              <w:pStyle w:val="cuatexto"/>
              <w:jc w:val="right"/>
            </w:pPr>
            <w:r w:rsidRPr="00C87AE9">
              <w:t>122</w:t>
            </w:r>
          </w:p>
        </w:tc>
        <w:tc>
          <w:tcPr>
            <w:tcW w:w="1134" w:type="dxa"/>
            <w:tcBorders>
              <w:top w:val="single" w:sz="2" w:space="0" w:color="auto"/>
              <w:left w:val="nil"/>
              <w:bottom w:val="single" w:sz="2" w:space="0" w:color="auto"/>
            </w:tcBorders>
            <w:shd w:val="clear" w:color="auto" w:fill="auto"/>
            <w:vAlign w:val="center"/>
          </w:tcPr>
          <w:p w14:paraId="1810FEAA" w14:textId="77777777" w:rsidR="00553E5A" w:rsidRPr="00C87AE9" w:rsidRDefault="00553E5A" w:rsidP="00C87AE9">
            <w:pPr>
              <w:pStyle w:val="cuatexto"/>
              <w:jc w:val="right"/>
            </w:pPr>
            <w:r w:rsidRPr="00C87AE9">
              <w:t>130.552</w:t>
            </w:r>
          </w:p>
        </w:tc>
      </w:tr>
      <w:tr w:rsidR="00553E5A" w14:paraId="05540DFC" w14:textId="77777777" w:rsidTr="00E87A6C">
        <w:trPr>
          <w:trHeight w:val="198"/>
          <w:jc w:val="center"/>
        </w:trPr>
        <w:tc>
          <w:tcPr>
            <w:tcW w:w="2835" w:type="dxa"/>
            <w:tcBorders>
              <w:top w:val="single" w:sz="2" w:space="0" w:color="auto"/>
              <w:left w:val="nil"/>
              <w:bottom w:val="single" w:sz="2" w:space="0" w:color="auto"/>
              <w:right w:val="nil"/>
            </w:tcBorders>
            <w:vAlign w:val="center"/>
            <w:hideMark/>
          </w:tcPr>
          <w:p w14:paraId="1773BFF8" w14:textId="77777777" w:rsidR="00553E5A" w:rsidRPr="00C87AE9" w:rsidRDefault="00553E5A" w:rsidP="00553E5A">
            <w:pPr>
              <w:pStyle w:val="cuatexto"/>
            </w:pPr>
            <w:r w:rsidRPr="00C87AE9">
              <w:t>Transferencias corrientes</w:t>
            </w:r>
          </w:p>
        </w:tc>
        <w:tc>
          <w:tcPr>
            <w:tcW w:w="982" w:type="dxa"/>
            <w:tcBorders>
              <w:top w:val="single" w:sz="2" w:space="0" w:color="auto"/>
              <w:left w:val="nil"/>
              <w:bottom w:val="single" w:sz="2" w:space="0" w:color="auto"/>
              <w:right w:val="nil"/>
            </w:tcBorders>
            <w:vAlign w:val="center"/>
          </w:tcPr>
          <w:p w14:paraId="4E984BF5" w14:textId="77777777" w:rsidR="00553E5A" w:rsidRPr="00C87AE9" w:rsidRDefault="00553E5A" w:rsidP="00C87AE9">
            <w:pPr>
              <w:pStyle w:val="cuatexto"/>
              <w:jc w:val="right"/>
            </w:pPr>
            <w:r w:rsidRPr="00C87AE9">
              <w:t>175.672</w:t>
            </w:r>
          </w:p>
        </w:tc>
        <w:tc>
          <w:tcPr>
            <w:tcW w:w="1110" w:type="dxa"/>
            <w:tcBorders>
              <w:top w:val="single" w:sz="2" w:space="0" w:color="auto"/>
              <w:left w:val="nil"/>
              <w:bottom w:val="single" w:sz="2" w:space="0" w:color="auto"/>
              <w:right w:val="nil"/>
            </w:tcBorders>
            <w:vAlign w:val="center"/>
          </w:tcPr>
          <w:p w14:paraId="43A6DF0E" w14:textId="77777777" w:rsidR="00553E5A" w:rsidRPr="00C87AE9" w:rsidRDefault="00553E5A" w:rsidP="00C87AE9">
            <w:pPr>
              <w:pStyle w:val="cuatexto"/>
              <w:jc w:val="right"/>
            </w:pPr>
            <w:r w:rsidRPr="00C87AE9">
              <w:t>91.241</w:t>
            </w:r>
          </w:p>
        </w:tc>
        <w:tc>
          <w:tcPr>
            <w:tcW w:w="939" w:type="dxa"/>
            <w:tcBorders>
              <w:top w:val="single" w:sz="2" w:space="0" w:color="auto"/>
              <w:left w:val="nil"/>
              <w:bottom w:val="single" w:sz="2" w:space="0" w:color="auto"/>
              <w:right w:val="nil"/>
            </w:tcBorders>
            <w:vAlign w:val="center"/>
          </w:tcPr>
          <w:p w14:paraId="73C7E8E2" w14:textId="77777777" w:rsidR="00553E5A" w:rsidRPr="00C87AE9" w:rsidRDefault="00553E5A" w:rsidP="00C87AE9">
            <w:pPr>
              <w:pStyle w:val="cuatexto"/>
              <w:jc w:val="right"/>
            </w:pPr>
            <w:r w:rsidRPr="00C87AE9">
              <w:t>266.913</w:t>
            </w:r>
          </w:p>
        </w:tc>
        <w:tc>
          <w:tcPr>
            <w:tcW w:w="1260" w:type="dxa"/>
            <w:tcBorders>
              <w:top w:val="single" w:sz="2" w:space="0" w:color="auto"/>
              <w:left w:val="nil"/>
              <w:bottom w:val="single" w:sz="2" w:space="0" w:color="auto"/>
              <w:right w:val="nil"/>
            </w:tcBorders>
            <w:vAlign w:val="center"/>
          </w:tcPr>
          <w:p w14:paraId="573E2D45" w14:textId="77777777" w:rsidR="00553E5A" w:rsidRPr="00C87AE9" w:rsidRDefault="00553E5A" w:rsidP="00C87AE9">
            <w:pPr>
              <w:pStyle w:val="cuatexto"/>
              <w:jc w:val="right"/>
            </w:pPr>
            <w:r w:rsidRPr="00C87AE9">
              <w:t>334.759</w:t>
            </w:r>
          </w:p>
        </w:tc>
        <w:tc>
          <w:tcPr>
            <w:tcW w:w="812" w:type="dxa"/>
            <w:tcBorders>
              <w:top w:val="single" w:sz="2" w:space="0" w:color="auto"/>
              <w:left w:val="nil"/>
              <w:bottom w:val="single" w:sz="2" w:space="0" w:color="auto"/>
              <w:right w:val="nil"/>
            </w:tcBorders>
            <w:vAlign w:val="center"/>
          </w:tcPr>
          <w:p w14:paraId="075BA3FC" w14:textId="77777777" w:rsidR="00553E5A" w:rsidRPr="00C87AE9" w:rsidRDefault="00553E5A" w:rsidP="00C87AE9">
            <w:pPr>
              <w:pStyle w:val="cuatexto"/>
              <w:jc w:val="right"/>
            </w:pPr>
            <w:r w:rsidRPr="00C87AE9">
              <w:t>125</w:t>
            </w:r>
          </w:p>
        </w:tc>
        <w:tc>
          <w:tcPr>
            <w:tcW w:w="1134" w:type="dxa"/>
            <w:tcBorders>
              <w:top w:val="single" w:sz="2" w:space="0" w:color="auto"/>
              <w:left w:val="nil"/>
              <w:bottom w:val="single" w:sz="2" w:space="0" w:color="auto"/>
            </w:tcBorders>
            <w:shd w:val="clear" w:color="auto" w:fill="auto"/>
            <w:vAlign w:val="center"/>
          </w:tcPr>
          <w:p w14:paraId="61AEADF2" w14:textId="77777777" w:rsidR="00553E5A" w:rsidRPr="00C87AE9" w:rsidRDefault="00553E5A" w:rsidP="00C87AE9">
            <w:pPr>
              <w:pStyle w:val="cuatexto"/>
              <w:jc w:val="right"/>
            </w:pPr>
            <w:r w:rsidRPr="00C87AE9">
              <w:t>327.112</w:t>
            </w:r>
          </w:p>
        </w:tc>
      </w:tr>
      <w:tr w:rsidR="00553E5A" w14:paraId="4BEF6168" w14:textId="77777777" w:rsidTr="00E87A6C">
        <w:trPr>
          <w:trHeight w:val="198"/>
          <w:jc w:val="center"/>
        </w:trPr>
        <w:tc>
          <w:tcPr>
            <w:tcW w:w="2835" w:type="dxa"/>
            <w:tcBorders>
              <w:top w:val="single" w:sz="2" w:space="0" w:color="auto"/>
              <w:left w:val="nil"/>
              <w:bottom w:val="single" w:sz="2" w:space="0" w:color="auto"/>
              <w:right w:val="nil"/>
            </w:tcBorders>
            <w:vAlign w:val="center"/>
            <w:hideMark/>
          </w:tcPr>
          <w:p w14:paraId="04A933B3" w14:textId="77777777" w:rsidR="00553E5A" w:rsidRPr="00C87AE9" w:rsidRDefault="00553E5A" w:rsidP="00553E5A">
            <w:pPr>
              <w:pStyle w:val="cuatexto"/>
            </w:pPr>
            <w:r w:rsidRPr="00C87AE9">
              <w:t>Ingresos patrimoniales</w:t>
            </w:r>
          </w:p>
        </w:tc>
        <w:tc>
          <w:tcPr>
            <w:tcW w:w="982" w:type="dxa"/>
            <w:tcBorders>
              <w:top w:val="single" w:sz="2" w:space="0" w:color="auto"/>
              <w:left w:val="nil"/>
              <w:bottom w:val="single" w:sz="2" w:space="0" w:color="auto"/>
              <w:right w:val="nil"/>
            </w:tcBorders>
            <w:vAlign w:val="center"/>
          </w:tcPr>
          <w:p w14:paraId="6A310183" w14:textId="77777777" w:rsidR="00553E5A" w:rsidRPr="00C87AE9" w:rsidRDefault="00553E5A" w:rsidP="00C87AE9">
            <w:pPr>
              <w:pStyle w:val="cuatexto"/>
              <w:jc w:val="right"/>
            </w:pPr>
            <w:r w:rsidRPr="00C87AE9">
              <w:t>6.944</w:t>
            </w:r>
          </w:p>
        </w:tc>
        <w:tc>
          <w:tcPr>
            <w:tcW w:w="1110" w:type="dxa"/>
            <w:tcBorders>
              <w:top w:val="single" w:sz="2" w:space="0" w:color="auto"/>
              <w:left w:val="nil"/>
              <w:bottom w:val="single" w:sz="2" w:space="0" w:color="auto"/>
              <w:right w:val="nil"/>
            </w:tcBorders>
            <w:vAlign w:val="center"/>
          </w:tcPr>
          <w:p w14:paraId="7513F439" w14:textId="77777777" w:rsidR="00553E5A" w:rsidRPr="00C87AE9" w:rsidRDefault="00553E5A" w:rsidP="00C87AE9">
            <w:pPr>
              <w:pStyle w:val="cuatexto"/>
              <w:jc w:val="right"/>
            </w:pPr>
            <w:r w:rsidRPr="00C87AE9">
              <w:t>17.147</w:t>
            </w:r>
          </w:p>
        </w:tc>
        <w:tc>
          <w:tcPr>
            <w:tcW w:w="939" w:type="dxa"/>
            <w:tcBorders>
              <w:top w:val="single" w:sz="2" w:space="0" w:color="auto"/>
              <w:left w:val="nil"/>
              <w:bottom w:val="single" w:sz="2" w:space="0" w:color="auto"/>
              <w:right w:val="nil"/>
            </w:tcBorders>
            <w:vAlign w:val="center"/>
          </w:tcPr>
          <w:p w14:paraId="198D35A8" w14:textId="77777777" w:rsidR="00553E5A" w:rsidRPr="00C87AE9" w:rsidRDefault="00553E5A" w:rsidP="00C87AE9">
            <w:pPr>
              <w:pStyle w:val="cuatexto"/>
              <w:jc w:val="right"/>
            </w:pPr>
            <w:r w:rsidRPr="00C87AE9">
              <w:t>24.091</w:t>
            </w:r>
          </w:p>
        </w:tc>
        <w:tc>
          <w:tcPr>
            <w:tcW w:w="1260" w:type="dxa"/>
            <w:tcBorders>
              <w:top w:val="single" w:sz="2" w:space="0" w:color="auto"/>
              <w:left w:val="nil"/>
              <w:bottom w:val="single" w:sz="2" w:space="0" w:color="auto"/>
              <w:right w:val="nil"/>
            </w:tcBorders>
            <w:vAlign w:val="center"/>
          </w:tcPr>
          <w:p w14:paraId="595026C0" w14:textId="77777777" w:rsidR="00553E5A" w:rsidRPr="00C87AE9" w:rsidRDefault="00553E5A" w:rsidP="00C87AE9">
            <w:pPr>
              <w:pStyle w:val="cuatexto"/>
              <w:jc w:val="right"/>
            </w:pPr>
            <w:r w:rsidRPr="00C87AE9">
              <w:t>25.076</w:t>
            </w:r>
          </w:p>
        </w:tc>
        <w:tc>
          <w:tcPr>
            <w:tcW w:w="812" w:type="dxa"/>
            <w:tcBorders>
              <w:top w:val="single" w:sz="2" w:space="0" w:color="auto"/>
              <w:left w:val="nil"/>
              <w:bottom w:val="single" w:sz="2" w:space="0" w:color="auto"/>
              <w:right w:val="nil"/>
            </w:tcBorders>
            <w:vAlign w:val="center"/>
          </w:tcPr>
          <w:p w14:paraId="72EB80D8" w14:textId="77777777" w:rsidR="00553E5A" w:rsidRPr="00C87AE9" w:rsidRDefault="00553E5A" w:rsidP="00C87AE9">
            <w:pPr>
              <w:pStyle w:val="cuatexto"/>
              <w:jc w:val="right"/>
            </w:pPr>
            <w:r w:rsidRPr="00C87AE9">
              <w:t>104</w:t>
            </w:r>
          </w:p>
        </w:tc>
        <w:tc>
          <w:tcPr>
            <w:tcW w:w="1134" w:type="dxa"/>
            <w:tcBorders>
              <w:top w:val="single" w:sz="2" w:space="0" w:color="auto"/>
              <w:left w:val="nil"/>
              <w:bottom w:val="single" w:sz="2" w:space="0" w:color="auto"/>
            </w:tcBorders>
            <w:shd w:val="clear" w:color="auto" w:fill="auto"/>
            <w:vAlign w:val="center"/>
          </w:tcPr>
          <w:p w14:paraId="4FBACA4A" w14:textId="77777777" w:rsidR="00553E5A" w:rsidRPr="00C87AE9" w:rsidRDefault="00553E5A" w:rsidP="00C87AE9">
            <w:pPr>
              <w:pStyle w:val="cuatexto"/>
              <w:jc w:val="right"/>
            </w:pPr>
            <w:r w:rsidRPr="00C87AE9">
              <w:t>20.007</w:t>
            </w:r>
          </w:p>
        </w:tc>
      </w:tr>
      <w:tr w:rsidR="00553E5A" w14:paraId="6DCAD325" w14:textId="77777777" w:rsidTr="00E87A6C">
        <w:trPr>
          <w:trHeight w:val="198"/>
          <w:jc w:val="center"/>
        </w:trPr>
        <w:tc>
          <w:tcPr>
            <w:tcW w:w="2835" w:type="dxa"/>
            <w:tcBorders>
              <w:top w:val="single" w:sz="2" w:space="0" w:color="auto"/>
              <w:left w:val="nil"/>
              <w:bottom w:val="single" w:sz="2" w:space="0" w:color="auto"/>
              <w:right w:val="nil"/>
            </w:tcBorders>
            <w:vAlign w:val="center"/>
            <w:hideMark/>
          </w:tcPr>
          <w:p w14:paraId="3978BB88" w14:textId="77777777" w:rsidR="00553E5A" w:rsidRPr="00C87AE9" w:rsidRDefault="00553E5A" w:rsidP="00553E5A">
            <w:pPr>
              <w:pStyle w:val="cuatexto"/>
            </w:pPr>
            <w:r w:rsidRPr="00C87AE9">
              <w:t>Enajenación inversiones reales</w:t>
            </w:r>
          </w:p>
        </w:tc>
        <w:tc>
          <w:tcPr>
            <w:tcW w:w="982" w:type="dxa"/>
            <w:tcBorders>
              <w:top w:val="single" w:sz="2" w:space="0" w:color="auto"/>
              <w:left w:val="nil"/>
              <w:bottom w:val="single" w:sz="2" w:space="0" w:color="auto"/>
              <w:right w:val="nil"/>
            </w:tcBorders>
            <w:vAlign w:val="center"/>
          </w:tcPr>
          <w:p w14:paraId="67BF27B2" w14:textId="77777777" w:rsidR="00553E5A" w:rsidRPr="00C87AE9" w:rsidRDefault="00553E5A" w:rsidP="00C87AE9">
            <w:pPr>
              <w:pStyle w:val="cuatexto"/>
              <w:jc w:val="right"/>
            </w:pPr>
            <w:r w:rsidRPr="00C87AE9">
              <w:t>2.040</w:t>
            </w:r>
          </w:p>
        </w:tc>
        <w:tc>
          <w:tcPr>
            <w:tcW w:w="1110" w:type="dxa"/>
            <w:tcBorders>
              <w:top w:val="single" w:sz="2" w:space="0" w:color="auto"/>
              <w:left w:val="nil"/>
              <w:bottom w:val="single" w:sz="2" w:space="0" w:color="auto"/>
              <w:right w:val="nil"/>
            </w:tcBorders>
            <w:vAlign w:val="center"/>
          </w:tcPr>
          <w:p w14:paraId="2B62C8F5" w14:textId="77777777" w:rsidR="00553E5A" w:rsidRPr="00C87AE9" w:rsidRDefault="00553E5A" w:rsidP="00C87AE9">
            <w:pPr>
              <w:pStyle w:val="cuatexto"/>
              <w:jc w:val="right"/>
            </w:pPr>
            <w:r w:rsidRPr="00C87AE9">
              <w:t>299</w:t>
            </w:r>
          </w:p>
        </w:tc>
        <w:tc>
          <w:tcPr>
            <w:tcW w:w="939" w:type="dxa"/>
            <w:tcBorders>
              <w:top w:val="single" w:sz="2" w:space="0" w:color="auto"/>
              <w:left w:val="nil"/>
              <w:bottom w:val="single" w:sz="2" w:space="0" w:color="auto"/>
              <w:right w:val="nil"/>
            </w:tcBorders>
            <w:vAlign w:val="center"/>
          </w:tcPr>
          <w:p w14:paraId="07C42B0F" w14:textId="77777777" w:rsidR="00553E5A" w:rsidRPr="00C87AE9" w:rsidRDefault="00553E5A" w:rsidP="00C87AE9">
            <w:pPr>
              <w:pStyle w:val="cuatexto"/>
              <w:jc w:val="right"/>
            </w:pPr>
            <w:r w:rsidRPr="00C87AE9">
              <w:t>2.339</w:t>
            </w:r>
          </w:p>
        </w:tc>
        <w:tc>
          <w:tcPr>
            <w:tcW w:w="1260" w:type="dxa"/>
            <w:tcBorders>
              <w:top w:val="single" w:sz="2" w:space="0" w:color="auto"/>
              <w:left w:val="nil"/>
              <w:bottom w:val="single" w:sz="2" w:space="0" w:color="auto"/>
              <w:right w:val="nil"/>
            </w:tcBorders>
            <w:vAlign w:val="center"/>
          </w:tcPr>
          <w:p w14:paraId="0BB49FF1" w14:textId="77777777" w:rsidR="00553E5A" w:rsidRPr="00C87AE9" w:rsidRDefault="00553E5A" w:rsidP="009079F8">
            <w:pPr>
              <w:pStyle w:val="cuatexto"/>
              <w:jc w:val="right"/>
            </w:pPr>
            <w:r w:rsidRPr="00C87AE9">
              <w:t>3.21</w:t>
            </w:r>
            <w:r w:rsidR="009079F8">
              <w:t>6</w:t>
            </w:r>
          </w:p>
        </w:tc>
        <w:tc>
          <w:tcPr>
            <w:tcW w:w="812" w:type="dxa"/>
            <w:tcBorders>
              <w:top w:val="single" w:sz="2" w:space="0" w:color="auto"/>
              <w:left w:val="nil"/>
              <w:bottom w:val="single" w:sz="2" w:space="0" w:color="auto"/>
              <w:right w:val="nil"/>
            </w:tcBorders>
            <w:vAlign w:val="center"/>
          </w:tcPr>
          <w:p w14:paraId="2B688A96" w14:textId="77777777" w:rsidR="00553E5A" w:rsidRPr="00C87AE9" w:rsidRDefault="00553E5A" w:rsidP="00C87AE9">
            <w:pPr>
              <w:pStyle w:val="cuatexto"/>
              <w:jc w:val="right"/>
            </w:pPr>
            <w:r w:rsidRPr="00C87AE9">
              <w:t>137</w:t>
            </w:r>
          </w:p>
        </w:tc>
        <w:tc>
          <w:tcPr>
            <w:tcW w:w="1134" w:type="dxa"/>
            <w:tcBorders>
              <w:top w:val="single" w:sz="2" w:space="0" w:color="auto"/>
              <w:left w:val="nil"/>
              <w:bottom w:val="single" w:sz="2" w:space="0" w:color="auto"/>
            </w:tcBorders>
            <w:shd w:val="clear" w:color="auto" w:fill="auto"/>
            <w:vAlign w:val="center"/>
          </w:tcPr>
          <w:p w14:paraId="64997282" w14:textId="77777777" w:rsidR="00553E5A" w:rsidRPr="00C87AE9" w:rsidRDefault="00553E5A" w:rsidP="00C87AE9">
            <w:pPr>
              <w:pStyle w:val="cuatexto"/>
              <w:jc w:val="right"/>
            </w:pPr>
            <w:r w:rsidRPr="00C87AE9">
              <w:t>3.105</w:t>
            </w:r>
          </w:p>
        </w:tc>
      </w:tr>
      <w:tr w:rsidR="00553E5A" w14:paraId="7F16583D" w14:textId="77777777" w:rsidTr="00E87A6C">
        <w:trPr>
          <w:trHeight w:val="198"/>
          <w:jc w:val="center"/>
        </w:trPr>
        <w:tc>
          <w:tcPr>
            <w:tcW w:w="2835" w:type="dxa"/>
            <w:tcBorders>
              <w:top w:val="single" w:sz="2" w:space="0" w:color="auto"/>
              <w:left w:val="nil"/>
              <w:bottom w:val="single" w:sz="2" w:space="0" w:color="auto"/>
              <w:right w:val="nil"/>
            </w:tcBorders>
            <w:vAlign w:val="center"/>
            <w:hideMark/>
          </w:tcPr>
          <w:p w14:paraId="19131E31" w14:textId="77777777" w:rsidR="00553E5A" w:rsidRPr="00C87AE9" w:rsidRDefault="00553E5A" w:rsidP="00553E5A">
            <w:pPr>
              <w:pStyle w:val="cuatexto"/>
            </w:pPr>
            <w:r w:rsidRPr="00C87AE9">
              <w:t>Transferencias de capital</w:t>
            </w:r>
          </w:p>
        </w:tc>
        <w:tc>
          <w:tcPr>
            <w:tcW w:w="982" w:type="dxa"/>
            <w:tcBorders>
              <w:top w:val="single" w:sz="2" w:space="0" w:color="auto"/>
              <w:left w:val="nil"/>
              <w:bottom w:val="single" w:sz="2" w:space="0" w:color="auto"/>
              <w:right w:val="nil"/>
            </w:tcBorders>
            <w:vAlign w:val="center"/>
          </w:tcPr>
          <w:p w14:paraId="0D79F913" w14:textId="77777777" w:rsidR="00553E5A" w:rsidRPr="00C87AE9" w:rsidRDefault="00553E5A" w:rsidP="00C87AE9">
            <w:pPr>
              <w:pStyle w:val="cuatexto"/>
              <w:jc w:val="right"/>
            </w:pPr>
            <w:r w:rsidRPr="00C87AE9">
              <w:t>131.945</w:t>
            </w:r>
          </w:p>
        </w:tc>
        <w:tc>
          <w:tcPr>
            <w:tcW w:w="1110" w:type="dxa"/>
            <w:tcBorders>
              <w:top w:val="single" w:sz="2" w:space="0" w:color="auto"/>
              <w:left w:val="nil"/>
              <w:bottom w:val="single" w:sz="2" w:space="0" w:color="auto"/>
              <w:right w:val="nil"/>
            </w:tcBorders>
            <w:vAlign w:val="center"/>
          </w:tcPr>
          <w:p w14:paraId="1B54F504" w14:textId="77777777" w:rsidR="00553E5A" w:rsidRPr="00C87AE9" w:rsidRDefault="00553E5A" w:rsidP="00C87AE9">
            <w:pPr>
              <w:pStyle w:val="cuatexto"/>
              <w:jc w:val="right"/>
            </w:pPr>
            <w:r w:rsidRPr="00C87AE9">
              <w:t>47.294</w:t>
            </w:r>
          </w:p>
        </w:tc>
        <w:tc>
          <w:tcPr>
            <w:tcW w:w="939" w:type="dxa"/>
            <w:tcBorders>
              <w:top w:val="single" w:sz="2" w:space="0" w:color="auto"/>
              <w:left w:val="nil"/>
              <w:bottom w:val="single" w:sz="2" w:space="0" w:color="auto"/>
              <w:right w:val="nil"/>
            </w:tcBorders>
            <w:vAlign w:val="center"/>
          </w:tcPr>
          <w:p w14:paraId="25486D40" w14:textId="77777777" w:rsidR="00553E5A" w:rsidRPr="00C87AE9" w:rsidRDefault="00553E5A" w:rsidP="00C87AE9">
            <w:pPr>
              <w:pStyle w:val="cuatexto"/>
              <w:jc w:val="right"/>
            </w:pPr>
            <w:r w:rsidRPr="00C87AE9">
              <w:t>179.240</w:t>
            </w:r>
          </w:p>
        </w:tc>
        <w:tc>
          <w:tcPr>
            <w:tcW w:w="1260" w:type="dxa"/>
            <w:tcBorders>
              <w:top w:val="single" w:sz="2" w:space="0" w:color="auto"/>
              <w:left w:val="nil"/>
              <w:bottom w:val="single" w:sz="2" w:space="0" w:color="auto"/>
              <w:right w:val="nil"/>
            </w:tcBorders>
            <w:vAlign w:val="center"/>
          </w:tcPr>
          <w:p w14:paraId="6693FF13" w14:textId="77777777" w:rsidR="00553E5A" w:rsidRPr="00C87AE9" w:rsidRDefault="00553E5A" w:rsidP="00C87AE9">
            <w:pPr>
              <w:pStyle w:val="cuatexto"/>
              <w:jc w:val="right"/>
            </w:pPr>
            <w:r w:rsidRPr="00C87AE9">
              <w:t>189.600</w:t>
            </w:r>
          </w:p>
        </w:tc>
        <w:tc>
          <w:tcPr>
            <w:tcW w:w="812" w:type="dxa"/>
            <w:tcBorders>
              <w:top w:val="single" w:sz="2" w:space="0" w:color="auto"/>
              <w:left w:val="nil"/>
              <w:bottom w:val="single" w:sz="2" w:space="0" w:color="auto"/>
              <w:right w:val="nil"/>
            </w:tcBorders>
            <w:vAlign w:val="center"/>
          </w:tcPr>
          <w:p w14:paraId="56AD590A" w14:textId="77777777" w:rsidR="00553E5A" w:rsidRPr="00C87AE9" w:rsidRDefault="00553E5A" w:rsidP="00C87AE9">
            <w:pPr>
              <w:pStyle w:val="cuatexto"/>
              <w:jc w:val="right"/>
            </w:pPr>
            <w:r w:rsidRPr="00C87AE9">
              <w:t>106</w:t>
            </w:r>
          </w:p>
        </w:tc>
        <w:tc>
          <w:tcPr>
            <w:tcW w:w="1134" w:type="dxa"/>
            <w:tcBorders>
              <w:top w:val="single" w:sz="2" w:space="0" w:color="auto"/>
              <w:left w:val="nil"/>
              <w:bottom w:val="single" w:sz="2" w:space="0" w:color="auto"/>
            </w:tcBorders>
            <w:shd w:val="clear" w:color="auto" w:fill="auto"/>
            <w:vAlign w:val="center"/>
          </w:tcPr>
          <w:p w14:paraId="533DA601" w14:textId="77777777" w:rsidR="00553E5A" w:rsidRPr="00C87AE9" w:rsidRDefault="00553E5A" w:rsidP="00C87AE9">
            <w:pPr>
              <w:pStyle w:val="cuatexto"/>
              <w:jc w:val="right"/>
            </w:pPr>
            <w:r w:rsidRPr="00C87AE9">
              <w:t>186.350</w:t>
            </w:r>
          </w:p>
        </w:tc>
      </w:tr>
      <w:tr w:rsidR="00553E5A" w14:paraId="69C21C09" w14:textId="77777777" w:rsidTr="00E87A6C">
        <w:trPr>
          <w:trHeight w:val="198"/>
          <w:jc w:val="center"/>
        </w:trPr>
        <w:tc>
          <w:tcPr>
            <w:tcW w:w="2835" w:type="dxa"/>
            <w:tcBorders>
              <w:top w:val="single" w:sz="2" w:space="0" w:color="auto"/>
              <w:left w:val="nil"/>
              <w:bottom w:val="single" w:sz="2" w:space="0" w:color="auto"/>
              <w:right w:val="nil"/>
            </w:tcBorders>
            <w:vAlign w:val="center"/>
            <w:hideMark/>
          </w:tcPr>
          <w:p w14:paraId="1744213C" w14:textId="77777777" w:rsidR="00553E5A" w:rsidRPr="00C87AE9" w:rsidRDefault="00553E5A" w:rsidP="00553E5A">
            <w:pPr>
              <w:pStyle w:val="cuatexto"/>
            </w:pPr>
            <w:r w:rsidRPr="00C87AE9">
              <w:t>Activos financieros</w:t>
            </w:r>
          </w:p>
        </w:tc>
        <w:tc>
          <w:tcPr>
            <w:tcW w:w="982" w:type="dxa"/>
            <w:tcBorders>
              <w:top w:val="single" w:sz="2" w:space="0" w:color="auto"/>
              <w:left w:val="nil"/>
              <w:bottom w:val="single" w:sz="2" w:space="0" w:color="auto"/>
              <w:right w:val="nil"/>
            </w:tcBorders>
            <w:vAlign w:val="center"/>
          </w:tcPr>
          <w:p w14:paraId="2BBBC50D" w14:textId="77777777" w:rsidR="00553E5A" w:rsidRPr="00C87AE9" w:rsidRDefault="00553E5A" w:rsidP="00C87AE9">
            <w:pPr>
              <w:pStyle w:val="cuatexto"/>
              <w:jc w:val="right"/>
            </w:pPr>
            <w:r w:rsidRPr="00C87AE9">
              <w:t>142.310</w:t>
            </w:r>
          </w:p>
        </w:tc>
        <w:tc>
          <w:tcPr>
            <w:tcW w:w="1110" w:type="dxa"/>
            <w:tcBorders>
              <w:top w:val="single" w:sz="2" w:space="0" w:color="auto"/>
              <w:left w:val="nil"/>
              <w:bottom w:val="single" w:sz="2" w:space="0" w:color="auto"/>
              <w:right w:val="nil"/>
            </w:tcBorders>
            <w:vAlign w:val="center"/>
          </w:tcPr>
          <w:p w14:paraId="5D835DC9" w14:textId="77777777" w:rsidR="00553E5A" w:rsidRPr="00C87AE9" w:rsidRDefault="00553E5A" w:rsidP="00C87AE9">
            <w:pPr>
              <w:pStyle w:val="cuatexto"/>
              <w:jc w:val="right"/>
            </w:pPr>
            <w:r w:rsidRPr="00C87AE9">
              <w:t>262.819</w:t>
            </w:r>
          </w:p>
        </w:tc>
        <w:tc>
          <w:tcPr>
            <w:tcW w:w="939" w:type="dxa"/>
            <w:tcBorders>
              <w:top w:val="single" w:sz="2" w:space="0" w:color="auto"/>
              <w:left w:val="nil"/>
              <w:bottom w:val="single" w:sz="2" w:space="0" w:color="auto"/>
              <w:right w:val="nil"/>
            </w:tcBorders>
            <w:vAlign w:val="center"/>
          </w:tcPr>
          <w:p w14:paraId="13B1CE99" w14:textId="77777777" w:rsidR="00553E5A" w:rsidRPr="00C87AE9" w:rsidRDefault="00553E5A" w:rsidP="00C87AE9">
            <w:pPr>
              <w:pStyle w:val="cuatexto"/>
              <w:jc w:val="right"/>
            </w:pPr>
            <w:r w:rsidRPr="00C87AE9">
              <w:t>405.130</w:t>
            </w:r>
          </w:p>
        </w:tc>
        <w:tc>
          <w:tcPr>
            <w:tcW w:w="1260" w:type="dxa"/>
            <w:tcBorders>
              <w:top w:val="single" w:sz="2" w:space="0" w:color="auto"/>
              <w:left w:val="nil"/>
              <w:bottom w:val="single" w:sz="2" w:space="0" w:color="auto"/>
              <w:right w:val="nil"/>
            </w:tcBorders>
            <w:vAlign w:val="center"/>
          </w:tcPr>
          <w:p w14:paraId="274F909C" w14:textId="77777777" w:rsidR="00553E5A" w:rsidRPr="00C87AE9" w:rsidRDefault="00553E5A" w:rsidP="00C87AE9">
            <w:pPr>
              <w:pStyle w:val="cuatexto"/>
              <w:jc w:val="right"/>
            </w:pPr>
            <w:r w:rsidRPr="00C87AE9">
              <w:t>21.654</w:t>
            </w:r>
          </w:p>
        </w:tc>
        <w:tc>
          <w:tcPr>
            <w:tcW w:w="812" w:type="dxa"/>
            <w:tcBorders>
              <w:top w:val="single" w:sz="2" w:space="0" w:color="auto"/>
              <w:left w:val="nil"/>
              <w:bottom w:val="single" w:sz="2" w:space="0" w:color="auto"/>
              <w:right w:val="nil"/>
            </w:tcBorders>
            <w:vAlign w:val="center"/>
          </w:tcPr>
          <w:p w14:paraId="326B8006" w14:textId="77777777" w:rsidR="00553E5A" w:rsidRPr="00C87AE9" w:rsidRDefault="00553E5A" w:rsidP="00C87AE9">
            <w:pPr>
              <w:pStyle w:val="cuatexto"/>
              <w:jc w:val="right"/>
            </w:pPr>
            <w:r w:rsidRPr="00C87AE9">
              <w:t>5</w:t>
            </w:r>
          </w:p>
        </w:tc>
        <w:tc>
          <w:tcPr>
            <w:tcW w:w="1134" w:type="dxa"/>
            <w:tcBorders>
              <w:top w:val="single" w:sz="2" w:space="0" w:color="auto"/>
              <w:left w:val="nil"/>
              <w:bottom w:val="single" w:sz="2" w:space="0" w:color="auto"/>
            </w:tcBorders>
            <w:shd w:val="clear" w:color="auto" w:fill="auto"/>
            <w:vAlign w:val="center"/>
          </w:tcPr>
          <w:p w14:paraId="611B275E" w14:textId="77777777" w:rsidR="00553E5A" w:rsidRPr="00C87AE9" w:rsidRDefault="00553E5A" w:rsidP="00C87AE9">
            <w:pPr>
              <w:pStyle w:val="cuatexto"/>
              <w:jc w:val="right"/>
            </w:pPr>
            <w:r w:rsidRPr="00C87AE9">
              <w:t>20.396</w:t>
            </w:r>
          </w:p>
        </w:tc>
      </w:tr>
      <w:tr w:rsidR="00553E5A" w14:paraId="11ECC6B6" w14:textId="77777777" w:rsidTr="00E87A6C">
        <w:trPr>
          <w:trHeight w:val="198"/>
          <w:jc w:val="center"/>
        </w:trPr>
        <w:tc>
          <w:tcPr>
            <w:tcW w:w="2835" w:type="dxa"/>
            <w:tcBorders>
              <w:top w:val="single" w:sz="2" w:space="0" w:color="auto"/>
              <w:left w:val="nil"/>
              <w:bottom w:val="single" w:sz="4" w:space="0" w:color="auto"/>
              <w:right w:val="nil"/>
            </w:tcBorders>
            <w:vAlign w:val="center"/>
            <w:hideMark/>
          </w:tcPr>
          <w:p w14:paraId="56BA6BC5" w14:textId="77777777" w:rsidR="00553E5A" w:rsidRPr="00C87AE9" w:rsidRDefault="00553E5A" w:rsidP="00553E5A">
            <w:pPr>
              <w:pStyle w:val="cuatexto"/>
            </w:pPr>
            <w:r w:rsidRPr="00C87AE9">
              <w:t>Pasivos financieros</w:t>
            </w:r>
          </w:p>
        </w:tc>
        <w:tc>
          <w:tcPr>
            <w:tcW w:w="982" w:type="dxa"/>
            <w:tcBorders>
              <w:top w:val="single" w:sz="2" w:space="0" w:color="auto"/>
              <w:left w:val="nil"/>
              <w:bottom w:val="single" w:sz="4" w:space="0" w:color="auto"/>
              <w:right w:val="nil"/>
            </w:tcBorders>
            <w:vAlign w:val="center"/>
          </w:tcPr>
          <w:p w14:paraId="48C550FD" w14:textId="77777777" w:rsidR="00553E5A" w:rsidRPr="00C87AE9" w:rsidRDefault="00553E5A" w:rsidP="00C87AE9">
            <w:pPr>
              <w:pStyle w:val="cuatexto"/>
              <w:jc w:val="right"/>
            </w:pPr>
            <w:r w:rsidRPr="00C87AE9">
              <w:t>639.987</w:t>
            </w:r>
          </w:p>
        </w:tc>
        <w:tc>
          <w:tcPr>
            <w:tcW w:w="1110" w:type="dxa"/>
            <w:tcBorders>
              <w:top w:val="single" w:sz="2" w:space="0" w:color="auto"/>
              <w:left w:val="nil"/>
              <w:bottom w:val="single" w:sz="4" w:space="0" w:color="auto"/>
              <w:right w:val="nil"/>
            </w:tcBorders>
            <w:vAlign w:val="center"/>
          </w:tcPr>
          <w:p w14:paraId="54C0CD61" w14:textId="77777777" w:rsidR="00553E5A" w:rsidRPr="00C87AE9" w:rsidRDefault="00553E5A" w:rsidP="00C87AE9">
            <w:pPr>
              <w:pStyle w:val="cuatexto"/>
              <w:jc w:val="right"/>
            </w:pPr>
            <w:r w:rsidRPr="00C87AE9">
              <w:t>-</w:t>
            </w:r>
          </w:p>
        </w:tc>
        <w:tc>
          <w:tcPr>
            <w:tcW w:w="939" w:type="dxa"/>
            <w:tcBorders>
              <w:top w:val="single" w:sz="2" w:space="0" w:color="auto"/>
              <w:left w:val="nil"/>
              <w:bottom w:val="single" w:sz="4" w:space="0" w:color="auto"/>
              <w:right w:val="nil"/>
            </w:tcBorders>
            <w:vAlign w:val="center"/>
          </w:tcPr>
          <w:p w14:paraId="0393E96B" w14:textId="77777777" w:rsidR="00553E5A" w:rsidRPr="00C87AE9" w:rsidRDefault="00553E5A" w:rsidP="00C87AE9">
            <w:pPr>
              <w:pStyle w:val="cuatexto"/>
              <w:jc w:val="right"/>
            </w:pPr>
            <w:r w:rsidRPr="00C87AE9">
              <w:t>639.987</w:t>
            </w:r>
          </w:p>
        </w:tc>
        <w:tc>
          <w:tcPr>
            <w:tcW w:w="1260" w:type="dxa"/>
            <w:tcBorders>
              <w:top w:val="single" w:sz="2" w:space="0" w:color="auto"/>
              <w:left w:val="nil"/>
              <w:bottom w:val="single" w:sz="4" w:space="0" w:color="auto"/>
              <w:right w:val="nil"/>
            </w:tcBorders>
            <w:vAlign w:val="center"/>
          </w:tcPr>
          <w:p w14:paraId="5C6E65EB" w14:textId="77777777" w:rsidR="00553E5A" w:rsidRPr="00C87AE9" w:rsidRDefault="00553E5A" w:rsidP="00C87AE9">
            <w:pPr>
              <w:pStyle w:val="cuatexto"/>
              <w:jc w:val="right"/>
            </w:pPr>
            <w:r w:rsidRPr="00C87AE9">
              <w:t>50.000</w:t>
            </w:r>
          </w:p>
        </w:tc>
        <w:tc>
          <w:tcPr>
            <w:tcW w:w="812" w:type="dxa"/>
            <w:tcBorders>
              <w:top w:val="single" w:sz="2" w:space="0" w:color="auto"/>
              <w:left w:val="nil"/>
              <w:bottom w:val="single" w:sz="4" w:space="0" w:color="auto"/>
              <w:right w:val="nil"/>
            </w:tcBorders>
            <w:vAlign w:val="center"/>
          </w:tcPr>
          <w:p w14:paraId="1248BD1E" w14:textId="77777777" w:rsidR="00553E5A" w:rsidRPr="00C87AE9" w:rsidRDefault="00553E5A" w:rsidP="00C87AE9">
            <w:pPr>
              <w:pStyle w:val="cuatexto"/>
              <w:jc w:val="right"/>
            </w:pPr>
            <w:r w:rsidRPr="00C87AE9">
              <w:t>8</w:t>
            </w:r>
          </w:p>
        </w:tc>
        <w:tc>
          <w:tcPr>
            <w:tcW w:w="1134" w:type="dxa"/>
            <w:tcBorders>
              <w:top w:val="single" w:sz="2" w:space="0" w:color="auto"/>
              <w:left w:val="nil"/>
              <w:bottom w:val="single" w:sz="4" w:space="0" w:color="auto"/>
            </w:tcBorders>
            <w:shd w:val="clear" w:color="auto" w:fill="auto"/>
            <w:vAlign w:val="center"/>
          </w:tcPr>
          <w:p w14:paraId="0B8BEC16" w14:textId="77777777" w:rsidR="00553E5A" w:rsidRPr="00C87AE9" w:rsidRDefault="00553E5A" w:rsidP="00C87AE9">
            <w:pPr>
              <w:pStyle w:val="cuatexto"/>
              <w:jc w:val="right"/>
            </w:pPr>
            <w:r w:rsidRPr="00C87AE9">
              <w:t>50.000</w:t>
            </w:r>
          </w:p>
        </w:tc>
      </w:tr>
      <w:tr w:rsidR="00614DC4" w:rsidRPr="008A0B61" w14:paraId="61C4BEE4" w14:textId="77777777" w:rsidTr="00E87A6C">
        <w:trPr>
          <w:trHeight w:val="255"/>
          <w:jc w:val="center"/>
        </w:trPr>
        <w:tc>
          <w:tcPr>
            <w:tcW w:w="2835" w:type="dxa"/>
            <w:tcBorders>
              <w:top w:val="single" w:sz="4" w:space="0" w:color="auto"/>
              <w:left w:val="nil"/>
              <w:bottom w:val="single" w:sz="4" w:space="0" w:color="auto"/>
              <w:right w:val="nil"/>
            </w:tcBorders>
            <w:shd w:val="clear" w:color="auto" w:fill="8DB3E2"/>
            <w:vAlign w:val="center"/>
            <w:hideMark/>
          </w:tcPr>
          <w:p w14:paraId="438FE8DE" w14:textId="77777777" w:rsidR="00614DC4" w:rsidRPr="008A0B61" w:rsidRDefault="00614DC4" w:rsidP="00C87AE9">
            <w:pPr>
              <w:pStyle w:val="cuatexto"/>
              <w:rPr>
                <w:rFonts w:ascii="Arial" w:hAnsi="Arial" w:cs="Arial"/>
                <w:sz w:val="18"/>
                <w:szCs w:val="18"/>
              </w:rPr>
            </w:pPr>
            <w:r w:rsidRPr="008A0B61">
              <w:rPr>
                <w:rFonts w:ascii="Arial" w:hAnsi="Arial" w:cs="Arial"/>
                <w:sz w:val="18"/>
                <w:szCs w:val="18"/>
              </w:rPr>
              <w:t>Total</w:t>
            </w:r>
          </w:p>
        </w:tc>
        <w:tc>
          <w:tcPr>
            <w:tcW w:w="982" w:type="dxa"/>
            <w:tcBorders>
              <w:top w:val="single" w:sz="4" w:space="0" w:color="auto"/>
              <w:left w:val="nil"/>
              <w:bottom w:val="single" w:sz="4" w:space="0" w:color="auto"/>
              <w:right w:val="nil"/>
            </w:tcBorders>
            <w:shd w:val="clear" w:color="auto" w:fill="8DB3E2"/>
            <w:vAlign w:val="center"/>
          </w:tcPr>
          <w:p w14:paraId="02E561B2" w14:textId="77777777" w:rsidR="00614DC4" w:rsidRPr="008A0B61" w:rsidRDefault="005C2B9D" w:rsidP="00C87AE9">
            <w:pPr>
              <w:pStyle w:val="cuatexto"/>
              <w:jc w:val="right"/>
              <w:rPr>
                <w:rFonts w:ascii="Arial" w:hAnsi="Arial" w:cs="Arial"/>
                <w:sz w:val="18"/>
                <w:szCs w:val="18"/>
              </w:rPr>
            </w:pPr>
            <w:r w:rsidRPr="008A0B61">
              <w:rPr>
                <w:rFonts w:ascii="Arial" w:hAnsi="Arial" w:cs="Arial"/>
                <w:sz w:val="18"/>
                <w:szCs w:val="18"/>
              </w:rPr>
              <w:t>5.748.950</w:t>
            </w:r>
          </w:p>
        </w:tc>
        <w:tc>
          <w:tcPr>
            <w:tcW w:w="1110" w:type="dxa"/>
            <w:tcBorders>
              <w:top w:val="single" w:sz="4" w:space="0" w:color="auto"/>
              <w:left w:val="nil"/>
              <w:bottom w:val="single" w:sz="4" w:space="0" w:color="auto"/>
              <w:right w:val="nil"/>
            </w:tcBorders>
            <w:shd w:val="clear" w:color="auto" w:fill="8DB3E2"/>
            <w:vAlign w:val="center"/>
          </w:tcPr>
          <w:p w14:paraId="34E1A35C" w14:textId="77777777" w:rsidR="00614DC4" w:rsidRPr="008A0B61" w:rsidRDefault="005C2B9D" w:rsidP="00C87AE9">
            <w:pPr>
              <w:pStyle w:val="cuatexto"/>
              <w:jc w:val="right"/>
              <w:rPr>
                <w:rFonts w:ascii="Arial" w:hAnsi="Arial" w:cs="Arial"/>
                <w:sz w:val="18"/>
                <w:szCs w:val="18"/>
              </w:rPr>
            </w:pPr>
            <w:r w:rsidRPr="008A0B61">
              <w:rPr>
                <w:rFonts w:ascii="Arial" w:hAnsi="Arial" w:cs="Arial"/>
                <w:sz w:val="18"/>
                <w:szCs w:val="18"/>
              </w:rPr>
              <w:t>684.232</w:t>
            </w:r>
          </w:p>
        </w:tc>
        <w:tc>
          <w:tcPr>
            <w:tcW w:w="939" w:type="dxa"/>
            <w:tcBorders>
              <w:top w:val="single" w:sz="4" w:space="0" w:color="auto"/>
              <w:left w:val="nil"/>
              <w:bottom w:val="single" w:sz="4" w:space="0" w:color="auto"/>
              <w:right w:val="nil"/>
            </w:tcBorders>
            <w:shd w:val="clear" w:color="auto" w:fill="8DB3E2"/>
            <w:vAlign w:val="center"/>
          </w:tcPr>
          <w:p w14:paraId="4F44D505" w14:textId="77777777" w:rsidR="00614DC4" w:rsidRPr="008A0B61" w:rsidRDefault="005C2B9D" w:rsidP="00C87AE9">
            <w:pPr>
              <w:pStyle w:val="cuatexto"/>
              <w:jc w:val="right"/>
              <w:rPr>
                <w:rFonts w:ascii="Arial" w:hAnsi="Arial" w:cs="Arial"/>
                <w:sz w:val="18"/>
                <w:szCs w:val="18"/>
              </w:rPr>
            </w:pPr>
            <w:r w:rsidRPr="008A0B61">
              <w:rPr>
                <w:rFonts w:ascii="Arial" w:hAnsi="Arial" w:cs="Arial"/>
                <w:sz w:val="18"/>
                <w:szCs w:val="18"/>
              </w:rPr>
              <w:t>6.433.183</w:t>
            </w:r>
          </w:p>
        </w:tc>
        <w:tc>
          <w:tcPr>
            <w:tcW w:w="1260" w:type="dxa"/>
            <w:tcBorders>
              <w:top w:val="single" w:sz="4" w:space="0" w:color="auto"/>
              <w:left w:val="nil"/>
              <w:bottom w:val="single" w:sz="4" w:space="0" w:color="auto"/>
              <w:right w:val="nil"/>
            </w:tcBorders>
            <w:shd w:val="clear" w:color="auto" w:fill="8DB3E2"/>
            <w:vAlign w:val="center"/>
          </w:tcPr>
          <w:p w14:paraId="1EACEE12" w14:textId="77777777" w:rsidR="00614DC4" w:rsidRPr="008A0B61" w:rsidRDefault="00B403E7" w:rsidP="00C87AE9">
            <w:pPr>
              <w:pStyle w:val="cuatexto"/>
              <w:jc w:val="right"/>
              <w:rPr>
                <w:rFonts w:ascii="Arial" w:hAnsi="Arial" w:cs="Arial"/>
                <w:sz w:val="18"/>
                <w:szCs w:val="18"/>
              </w:rPr>
            </w:pPr>
            <w:r w:rsidRPr="008A0B61">
              <w:rPr>
                <w:rFonts w:ascii="Arial" w:hAnsi="Arial" w:cs="Arial"/>
                <w:sz w:val="18"/>
                <w:szCs w:val="18"/>
              </w:rPr>
              <w:t>5.925.483</w:t>
            </w:r>
          </w:p>
        </w:tc>
        <w:tc>
          <w:tcPr>
            <w:tcW w:w="812" w:type="dxa"/>
            <w:tcBorders>
              <w:top w:val="single" w:sz="4" w:space="0" w:color="auto"/>
              <w:left w:val="nil"/>
              <w:bottom w:val="single" w:sz="4" w:space="0" w:color="auto"/>
              <w:right w:val="nil"/>
            </w:tcBorders>
            <w:shd w:val="clear" w:color="auto" w:fill="8DB3E2"/>
            <w:vAlign w:val="center"/>
          </w:tcPr>
          <w:p w14:paraId="6B35E66D" w14:textId="77777777" w:rsidR="00614DC4" w:rsidRPr="008A0B61" w:rsidRDefault="00B403E7" w:rsidP="00C87AE9">
            <w:pPr>
              <w:pStyle w:val="cuatexto"/>
              <w:jc w:val="right"/>
              <w:rPr>
                <w:rFonts w:ascii="Arial" w:hAnsi="Arial" w:cs="Arial"/>
                <w:sz w:val="18"/>
                <w:szCs w:val="18"/>
              </w:rPr>
            </w:pPr>
            <w:r w:rsidRPr="008A0B61">
              <w:rPr>
                <w:rFonts w:ascii="Arial" w:hAnsi="Arial" w:cs="Arial"/>
                <w:sz w:val="18"/>
                <w:szCs w:val="18"/>
              </w:rPr>
              <w:t>92</w:t>
            </w:r>
          </w:p>
        </w:tc>
        <w:tc>
          <w:tcPr>
            <w:tcW w:w="1134" w:type="dxa"/>
            <w:tcBorders>
              <w:top w:val="single" w:sz="4" w:space="0" w:color="auto"/>
              <w:left w:val="nil"/>
              <w:bottom w:val="single" w:sz="4" w:space="0" w:color="auto"/>
              <w:right w:val="nil"/>
            </w:tcBorders>
            <w:shd w:val="clear" w:color="auto" w:fill="8DB3E2"/>
            <w:vAlign w:val="center"/>
          </w:tcPr>
          <w:p w14:paraId="0DD5E527" w14:textId="77777777" w:rsidR="00614DC4" w:rsidRPr="008A0B61" w:rsidRDefault="00D14B3A" w:rsidP="00C87AE9">
            <w:pPr>
              <w:pStyle w:val="cuatexto"/>
              <w:jc w:val="right"/>
              <w:rPr>
                <w:rFonts w:ascii="Arial" w:hAnsi="Arial" w:cs="Arial"/>
                <w:sz w:val="18"/>
                <w:szCs w:val="18"/>
              </w:rPr>
            </w:pPr>
            <w:r w:rsidRPr="008A0B61">
              <w:rPr>
                <w:rFonts w:ascii="Arial" w:hAnsi="Arial" w:cs="Arial"/>
                <w:sz w:val="18"/>
                <w:szCs w:val="18"/>
              </w:rPr>
              <w:t>5.813.918</w:t>
            </w:r>
          </w:p>
        </w:tc>
      </w:tr>
    </w:tbl>
    <w:p w14:paraId="53DC13BC" w14:textId="77777777" w:rsidR="00D12353" w:rsidRDefault="00D12353" w:rsidP="009079F8">
      <w:pPr>
        <w:pStyle w:val="texto"/>
        <w:spacing w:before="120" w:after="120"/>
        <w:ind w:firstLine="0"/>
        <w:rPr>
          <w:rFonts w:ascii="Arial" w:hAnsi="Arial" w:cs="Arial"/>
          <w:sz w:val="25"/>
          <w:szCs w:val="25"/>
        </w:rPr>
      </w:pPr>
      <w:bookmarkStart w:id="53" w:name="_Toc52267362"/>
      <w:bookmarkStart w:id="54" w:name="_Toc525907433"/>
      <w:bookmarkStart w:id="55" w:name="_Toc494270376"/>
      <w:bookmarkStart w:id="56" w:name="_Toc463350242"/>
      <w:bookmarkStart w:id="57" w:name="_Toc399859617"/>
      <w:r>
        <w:rPr>
          <w:rFonts w:ascii="Arial" w:hAnsi="Arial" w:cs="Arial"/>
          <w:sz w:val="25"/>
          <w:szCs w:val="25"/>
        </w:rPr>
        <w:br w:type="page"/>
      </w:r>
    </w:p>
    <w:p w14:paraId="3CEDE425" w14:textId="77777777" w:rsidR="00614DC4" w:rsidRDefault="00614DC4" w:rsidP="00BD110A">
      <w:pPr>
        <w:pStyle w:val="texto"/>
        <w:keepNext/>
        <w:spacing w:before="240"/>
        <w:ind w:firstLine="0"/>
        <w:rPr>
          <w:rFonts w:ascii="Arial" w:hAnsi="Arial" w:cs="Arial"/>
          <w:sz w:val="25"/>
          <w:szCs w:val="25"/>
        </w:rPr>
      </w:pPr>
      <w:r>
        <w:rPr>
          <w:rFonts w:ascii="Arial" w:hAnsi="Arial" w:cs="Arial"/>
          <w:sz w:val="25"/>
          <w:szCs w:val="25"/>
        </w:rPr>
        <w:lastRenderedPageBreak/>
        <w:t xml:space="preserve">Resultado presupuestario </w:t>
      </w:r>
      <w:bookmarkEnd w:id="53"/>
      <w:bookmarkEnd w:id="54"/>
      <w:bookmarkEnd w:id="55"/>
      <w:bookmarkEnd w:id="56"/>
      <w:bookmarkEnd w:id="57"/>
      <w:r>
        <w:rPr>
          <w:rFonts w:ascii="Arial" w:hAnsi="Arial" w:cs="Arial"/>
          <w:sz w:val="25"/>
          <w:szCs w:val="25"/>
        </w:rPr>
        <w:t>202</w:t>
      </w:r>
      <w:r w:rsidR="00802F88">
        <w:rPr>
          <w:rFonts w:ascii="Arial" w:hAnsi="Arial" w:cs="Arial"/>
          <w:sz w:val="25"/>
          <w:szCs w:val="25"/>
        </w:rPr>
        <w:t>3</w:t>
      </w:r>
    </w:p>
    <w:p w14:paraId="0D5638E9" w14:textId="77777777" w:rsidR="00614DC4" w:rsidRDefault="00614DC4" w:rsidP="00614DC4">
      <w:pPr>
        <w:suppressAutoHyphens/>
        <w:spacing w:after="60"/>
        <w:jc w:val="right"/>
        <w:rPr>
          <w:rFonts w:ascii="Arial" w:hAnsi="Arial"/>
          <w:spacing w:val="6"/>
          <w:sz w:val="17"/>
          <w:szCs w:val="17"/>
        </w:rPr>
      </w:pPr>
      <w:r>
        <w:rPr>
          <w:rFonts w:ascii="Arial" w:hAnsi="Arial"/>
          <w:spacing w:val="6"/>
          <w:sz w:val="17"/>
          <w:szCs w:val="17"/>
        </w:rPr>
        <w:t>(en miles)</w:t>
      </w:r>
    </w:p>
    <w:tbl>
      <w:tblPr>
        <w:tblW w:w="5000" w:type="pct"/>
        <w:jc w:val="center"/>
        <w:tblCellMar>
          <w:left w:w="70" w:type="dxa"/>
          <w:right w:w="70" w:type="dxa"/>
        </w:tblCellMar>
        <w:tblLook w:val="04A0" w:firstRow="1" w:lastRow="0" w:firstColumn="1" w:lastColumn="0" w:noHBand="0" w:noVBand="1"/>
      </w:tblPr>
      <w:tblGrid>
        <w:gridCol w:w="3829"/>
        <w:gridCol w:w="1275"/>
        <w:gridCol w:w="1137"/>
        <w:gridCol w:w="1274"/>
        <w:gridCol w:w="1274"/>
      </w:tblGrid>
      <w:tr w:rsidR="00614DC4" w14:paraId="33F471CB" w14:textId="77777777" w:rsidTr="008A0B61">
        <w:trPr>
          <w:trHeight w:val="255"/>
          <w:jc w:val="center"/>
        </w:trPr>
        <w:tc>
          <w:tcPr>
            <w:tcW w:w="2178" w:type="pct"/>
            <w:tcBorders>
              <w:top w:val="single" w:sz="4" w:space="0" w:color="auto"/>
              <w:left w:val="nil"/>
              <w:bottom w:val="single" w:sz="4" w:space="0" w:color="auto"/>
              <w:right w:val="nil"/>
            </w:tcBorders>
            <w:shd w:val="clear" w:color="auto" w:fill="8DB3E2"/>
            <w:vAlign w:val="center"/>
            <w:hideMark/>
          </w:tcPr>
          <w:p w14:paraId="3FD1F17A" w14:textId="77777777" w:rsidR="00614DC4" w:rsidRPr="00C87AE9" w:rsidRDefault="00614DC4" w:rsidP="005E5C0D">
            <w:pPr>
              <w:pStyle w:val="cuadroCabe"/>
            </w:pPr>
            <w:r w:rsidRPr="00C87AE9">
              <w:t>Conceptos</w:t>
            </w:r>
          </w:p>
        </w:tc>
        <w:tc>
          <w:tcPr>
            <w:tcW w:w="1372" w:type="pct"/>
            <w:gridSpan w:val="2"/>
            <w:tcBorders>
              <w:top w:val="single" w:sz="4" w:space="0" w:color="auto"/>
              <w:left w:val="nil"/>
              <w:bottom w:val="single" w:sz="4" w:space="0" w:color="auto"/>
              <w:right w:val="nil"/>
            </w:tcBorders>
            <w:shd w:val="clear" w:color="auto" w:fill="8DB3E2"/>
            <w:vAlign w:val="center"/>
            <w:hideMark/>
          </w:tcPr>
          <w:p w14:paraId="74299CF3" w14:textId="77777777" w:rsidR="00614DC4" w:rsidRPr="00C87AE9" w:rsidRDefault="00614DC4" w:rsidP="00BC1D5F">
            <w:pPr>
              <w:pStyle w:val="cuadroCabe"/>
              <w:jc w:val="right"/>
            </w:pPr>
            <w:r w:rsidRPr="00C87AE9">
              <w:t xml:space="preserve">Derechos </w:t>
            </w:r>
          </w:p>
          <w:p w14:paraId="7B7708FD" w14:textId="77777777" w:rsidR="00614DC4" w:rsidRPr="00C87AE9" w:rsidRDefault="00614DC4" w:rsidP="00BC1D5F">
            <w:pPr>
              <w:pStyle w:val="cuadroCabe"/>
              <w:jc w:val="right"/>
            </w:pPr>
            <w:r w:rsidRPr="00C87AE9">
              <w:t>reconocidos</w:t>
            </w:r>
          </w:p>
        </w:tc>
        <w:tc>
          <w:tcPr>
            <w:tcW w:w="725" w:type="pct"/>
            <w:tcBorders>
              <w:top w:val="single" w:sz="4" w:space="0" w:color="auto"/>
              <w:left w:val="nil"/>
              <w:bottom w:val="single" w:sz="4" w:space="0" w:color="auto"/>
              <w:right w:val="nil"/>
            </w:tcBorders>
            <w:shd w:val="clear" w:color="auto" w:fill="8DB3E2"/>
            <w:vAlign w:val="center"/>
            <w:hideMark/>
          </w:tcPr>
          <w:p w14:paraId="20A0D5B6" w14:textId="77777777" w:rsidR="00614DC4" w:rsidRPr="00C87AE9" w:rsidRDefault="00614DC4" w:rsidP="00BC1D5F">
            <w:pPr>
              <w:pStyle w:val="cuadroCabe"/>
              <w:jc w:val="right"/>
            </w:pPr>
            <w:r w:rsidRPr="00C87AE9">
              <w:t>Obligaciones</w:t>
            </w:r>
          </w:p>
          <w:p w14:paraId="55336E13" w14:textId="77777777" w:rsidR="00614DC4" w:rsidRPr="00C87AE9" w:rsidRDefault="00614DC4" w:rsidP="00BC1D5F">
            <w:pPr>
              <w:pStyle w:val="cuadroCabe"/>
              <w:jc w:val="right"/>
            </w:pPr>
            <w:r w:rsidRPr="00C87AE9">
              <w:t>reconocidas</w:t>
            </w:r>
          </w:p>
        </w:tc>
        <w:tc>
          <w:tcPr>
            <w:tcW w:w="725" w:type="pct"/>
            <w:tcBorders>
              <w:top w:val="single" w:sz="4" w:space="0" w:color="auto"/>
              <w:left w:val="nil"/>
              <w:bottom w:val="single" w:sz="4" w:space="0" w:color="auto"/>
              <w:right w:val="nil"/>
            </w:tcBorders>
            <w:shd w:val="clear" w:color="auto" w:fill="8DB3E2"/>
            <w:vAlign w:val="center"/>
            <w:hideMark/>
          </w:tcPr>
          <w:p w14:paraId="3112A944" w14:textId="77777777" w:rsidR="00614DC4" w:rsidRPr="00C87AE9" w:rsidRDefault="00614DC4" w:rsidP="00BC1D5F">
            <w:pPr>
              <w:pStyle w:val="cuadroCabe"/>
              <w:jc w:val="right"/>
            </w:pPr>
            <w:r w:rsidRPr="00C87AE9">
              <w:t>Importe</w:t>
            </w:r>
          </w:p>
        </w:tc>
      </w:tr>
      <w:tr w:rsidR="00614DC4" w:rsidRPr="00256794" w14:paraId="100CE3A0" w14:textId="77777777" w:rsidTr="009079F8">
        <w:trPr>
          <w:trHeight w:val="198"/>
          <w:jc w:val="center"/>
        </w:trPr>
        <w:tc>
          <w:tcPr>
            <w:tcW w:w="2178" w:type="pct"/>
            <w:tcBorders>
              <w:top w:val="single" w:sz="4" w:space="0" w:color="auto"/>
              <w:left w:val="nil"/>
              <w:bottom w:val="single" w:sz="2" w:space="0" w:color="auto"/>
              <w:right w:val="nil"/>
            </w:tcBorders>
            <w:vAlign w:val="center"/>
            <w:hideMark/>
          </w:tcPr>
          <w:p w14:paraId="43BE354A" w14:textId="77777777" w:rsidR="00614DC4" w:rsidRPr="00C87AE9" w:rsidRDefault="00614DC4" w:rsidP="00C87AE9">
            <w:pPr>
              <w:pStyle w:val="cuatexto"/>
            </w:pPr>
            <w:r w:rsidRPr="00C87AE9">
              <w:t>1. Operaciones corrientes</w:t>
            </w:r>
          </w:p>
        </w:tc>
        <w:tc>
          <w:tcPr>
            <w:tcW w:w="1372" w:type="pct"/>
            <w:gridSpan w:val="2"/>
            <w:tcBorders>
              <w:top w:val="single" w:sz="4" w:space="0" w:color="auto"/>
              <w:left w:val="nil"/>
              <w:bottom w:val="single" w:sz="2" w:space="0" w:color="auto"/>
              <w:right w:val="nil"/>
            </w:tcBorders>
            <w:vAlign w:val="center"/>
          </w:tcPr>
          <w:p w14:paraId="730F28BA" w14:textId="77777777" w:rsidR="00614DC4" w:rsidRPr="00C87AE9" w:rsidRDefault="00A523BB" w:rsidP="00BC1D5F">
            <w:pPr>
              <w:pStyle w:val="cuatexto"/>
              <w:jc w:val="right"/>
            </w:pPr>
            <w:r w:rsidRPr="00C87AE9">
              <w:t>5.661.013</w:t>
            </w:r>
          </w:p>
        </w:tc>
        <w:tc>
          <w:tcPr>
            <w:tcW w:w="725" w:type="pct"/>
            <w:tcBorders>
              <w:top w:val="single" w:sz="4" w:space="0" w:color="auto"/>
              <w:left w:val="nil"/>
              <w:bottom w:val="single" w:sz="2" w:space="0" w:color="auto"/>
              <w:right w:val="nil"/>
            </w:tcBorders>
            <w:vAlign w:val="center"/>
          </w:tcPr>
          <w:p w14:paraId="279A6766" w14:textId="77777777" w:rsidR="00614DC4" w:rsidRPr="00C87AE9" w:rsidRDefault="00A523BB" w:rsidP="00BC1D5F">
            <w:pPr>
              <w:pStyle w:val="cuatexto"/>
              <w:jc w:val="right"/>
            </w:pPr>
            <w:r w:rsidRPr="00C87AE9">
              <w:t>5.015.610</w:t>
            </w:r>
          </w:p>
        </w:tc>
        <w:tc>
          <w:tcPr>
            <w:tcW w:w="725" w:type="pct"/>
            <w:tcBorders>
              <w:top w:val="single" w:sz="4" w:space="0" w:color="auto"/>
              <w:left w:val="nil"/>
              <w:bottom w:val="single" w:sz="2" w:space="0" w:color="auto"/>
              <w:right w:val="nil"/>
            </w:tcBorders>
            <w:vAlign w:val="center"/>
          </w:tcPr>
          <w:p w14:paraId="697D8965" w14:textId="77777777" w:rsidR="00614DC4" w:rsidRPr="00C87AE9" w:rsidRDefault="00A523BB" w:rsidP="00BC1D5F">
            <w:pPr>
              <w:pStyle w:val="cuatexto"/>
              <w:jc w:val="right"/>
            </w:pPr>
            <w:r w:rsidRPr="00C87AE9">
              <w:t>645.403</w:t>
            </w:r>
          </w:p>
        </w:tc>
      </w:tr>
      <w:tr w:rsidR="00614DC4" w:rsidRPr="00256794" w14:paraId="577BEA57" w14:textId="77777777" w:rsidTr="009079F8">
        <w:trPr>
          <w:trHeight w:val="198"/>
          <w:jc w:val="center"/>
        </w:trPr>
        <w:tc>
          <w:tcPr>
            <w:tcW w:w="2178" w:type="pct"/>
            <w:tcBorders>
              <w:top w:val="single" w:sz="2" w:space="0" w:color="auto"/>
              <w:left w:val="nil"/>
              <w:bottom w:val="single" w:sz="2" w:space="0" w:color="auto"/>
              <w:right w:val="nil"/>
            </w:tcBorders>
            <w:vAlign w:val="center"/>
            <w:hideMark/>
          </w:tcPr>
          <w:p w14:paraId="5985353C" w14:textId="77777777" w:rsidR="00614DC4" w:rsidRPr="00C87AE9" w:rsidRDefault="00614DC4" w:rsidP="00C87AE9">
            <w:pPr>
              <w:pStyle w:val="cuatexto"/>
            </w:pPr>
            <w:r w:rsidRPr="00C87AE9">
              <w:t>2. Operaciones de capital</w:t>
            </w:r>
          </w:p>
        </w:tc>
        <w:tc>
          <w:tcPr>
            <w:tcW w:w="1372" w:type="pct"/>
            <w:gridSpan w:val="2"/>
            <w:tcBorders>
              <w:top w:val="single" w:sz="2" w:space="0" w:color="auto"/>
              <w:left w:val="nil"/>
              <w:bottom w:val="single" w:sz="2" w:space="0" w:color="auto"/>
              <w:right w:val="nil"/>
            </w:tcBorders>
            <w:vAlign w:val="center"/>
          </w:tcPr>
          <w:p w14:paraId="66581CE8" w14:textId="77777777" w:rsidR="00614DC4" w:rsidRPr="00C87AE9" w:rsidRDefault="00A523BB" w:rsidP="00BC1D5F">
            <w:pPr>
              <w:pStyle w:val="cuatexto"/>
              <w:jc w:val="right"/>
            </w:pPr>
            <w:r w:rsidRPr="00C87AE9">
              <w:t>192.816</w:t>
            </w:r>
          </w:p>
        </w:tc>
        <w:tc>
          <w:tcPr>
            <w:tcW w:w="725" w:type="pct"/>
            <w:tcBorders>
              <w:top w:val="single" w:sz="2" w:space="0" w:color="auto"/>
              <w:left w:val="nil"/>
              <w:bottom w:val="single" w:sz="2" w:space="0" w:color="auto"/>
              <w:right w:val="nil"/>
            </w:tcBorders>
            <w:vAlign w:val="center"/>
          </w:tcPr>
          <w:p w14:paraId="5D59CF83" w14:textId="77777777" w:rsidR="00614DC4" w:rsidRPr="00C87AE9" w:rsidRDefault="00A523BB" w:rsidP="00BC1D5F">
            <w:pPr>
              <w:pStyle w:val="cuatexto"/>
              <w:jc w:val="right"/>
            </w:pPr>
            <w:r w:rsidRPr="00C87AE9">
              <w:t>509.211</w:t>
            </w:r>
          </w:p>
        </w:tc>
        <w:tc>
          <w:tcPr>
            <w:tcW w:w="725" w:type="pct"/>
            <w:tcBorders>
              <w:top w:val="single" w:sz="2" w:space="0" w:color="auto"/>
              <w:left w:val="nil"/>
              <w:bottom w:val="single" w:sz="2" w:space="0" w:color="auto"/>
              <w:right w:val="nil"/>
            </w:tcBorders>
            <w:vAlign w:val="center"/>
          </w:tcPr>
          <w:p w14:paraId="597ACF9F" w14:textId="77777777" w:rsidR="00614DC4" w:rsidRPr="00C87AE9" w:rsidRDefault="00A523BB" w:rsidP="00BC1D5F">
            <w:pPr>
              <w:pStyle w:val="cuatexto"/>
              <w:jc w:val="right"/>
            </w:pPr>
            <w:r w:rsidRPr="00C87AE9">
              <w:t>-316.395</w:t>
            </w:r>
          </w:p>
        </w:tc>
      </w:tr>
      <w:tr w:rsidR="00614DC4" w:rsidRPr="00256794" w14:paraId="5A95F569" w14:textId="77777777" w:rsidTr="00714644">
        <w:trPr>
          <w:trHeight w:val="198"/>
          <w:jc w:val="center"/>
        </w:trPr>
        <w:tc>
          <w:tcPr>
            <w:tcW w:w="2178" w:type="pct"/>
            <w:tcBorders>
              <w:top w:val="single" w:sz="2" w:space="0" w:color="auto"/>
              <w:left w:val="nil"/>
              <w:bottom w:val="single" w:sz="4" w:space="0" w:color="auto"/>
              <w:right w:val="nil"/>
            </w:tcBorders>
            <w:vAlign w:val="center"/>
            <w:hideMark/>
          </w:tcPr>
          <w:p w14:paraId="47D9F4CE" w14:textId="77777777" w:rsidR="00614DC4" w:rsidRPr="00C87AE9" w:rsidRDefault="00614DC4" w:rsidP="00C87AE9">
            <w:pPr>
              <w:pStyle w:val="cuatexto"/>
            </w:pPr>
            <w:r w:rsidRPr="00C87AE9">
              <w:t>3. Operaciones con activos financieros</w:t>
            </w:r>
          </w:p>
        </w:tc>
        <w:tc>
          <w:tcPr>
            <w:tcW w:w="1372" w:type="pct"/>
            <w:gridSpan w:val="2"/>
            <w:tcBorders>
              <w:top w:val="single" w:sz="2" w:space="0" w:color="auto"/>
              <w:left w:val="nil"/>
              <w:bottom w:val="single" w:sz="4" w:space="0" w:color="auto"/>
              <w:right w:val="nil"/>
            </w:tcBorders>
            <w:vAlign w:val="center"/>
          </w:tcPr>
          <w:p w14:paraId="0F915D94" w14:textId="77777777" w:rsidR="00614DC4" w:rsidRPr="00C87AE9" w:rsidRDefault="00A523BB" w:rsidP="00BC1D5F">
            <w:pPr>
              <w:pStyle w:val="cuatexto"/>
              <w:jc w:val="right"/>
            </w:pPr>
            <w:r w:rsidRPr="00C87AE9">
              <w:t>21.654</w:t>
            </w:r>
          </w:p>
        </w:tc>
        <w:tc>
          <w:tcPr>
            <w:tcW w:w="725" w:type="pct"/>
            <w:tcBorders>
              <w:top w:val="single" w:sz="2" w:space="0" w:color="auto"/>
              <w:left w:val="nil"/>
              <w:bottom w:val="single" w:sz="4" w:space="0" w:color="auto"/>
              <w:right w:val="nil"/>
            </w:tcBorders>
            <w:vAlign w:val="center"/>
          </w:tcPr>
          <w:p w14:paraId="56BFA8F7" w14:textId="77777777" w:rsidR="00614DC4" w:rsidRPr="00C87AE9" w:rsidRDefault="00A523BB" w:rsidP="00BC1D5F">
            <w:pPr>
              <w:pStyle w:val="cuatexto"/>
              <w:jc w:val="right"/>
            </w:pPr>
            <w:r w:rsidRPr="00C87AE9">
              <w:t>32.869</w:t>
            </w:r>
          </w:p>
        </w:tc>
        <w:tc>
          <w:tcPr>
            <w:tcW w:w="725" w:type="pct"/>
            <w:tcBorders>
              <w:top w:val="single" w:sz="2" w:space="0" w:color="auto"/>
              <w:left w:val="nil"/>
              <w:bottom w:val="single" w:sz="4" w:space="0" w:color="auto"/>
              <w:right w:val="nil"/>
            </w:tcBorders>
            <w:vAlign w:val="center"/>
          </w:tcPr>
          <w:p w14:paraId="11C20066" w14:textId="77777777" w:rsidR="00614DC4" w:rsidRPr="00C87AE9" w:rsidRDefault="00A523BB" w:rsidP="00BC1D5F">
            <w:pPr>
              <w:pStyle w:val="cuatexto"/>
              <w:jc w:val="right"/>
            </w:pPr>
            <w:r w:rsidRPr="00C87AE9">
              <w:t>-11.215</w:t>
            </w:r>
          </w:p>
        </w:tc>
      </w:tr>
      <w:tr w:rsidR="00614DC4" w:rsidRPr="007728A2" w14:paraId="2E27CACD" w14:textId="77777777" w:rsidTr="007728A2">
        <w:trPr>
          <w:trHeight w:val="198"/>
          <w:jc w:val="center"/>
        </w:trPr>
        <w:tc>
          <w:tcPr>
            <w:tcW w:w="2903" w:type="pct"/>
            <w:gridSpan w:val="2"/>
            <w:tcBorders>
              <w:top w:val="single" w:sz="4" w:space="0" w:color="auto"/>
              <w:left w:val="nil"/>
              <w:bottom w:val="single" w:sz="4" w:space="0" w:color="auto"/>
              <w:right w:val="nil"/>
            </w:tcBorders>
            <w:vAlign w:val="center"/>
            <w:hideMark/>
          </w:tcPr>
          <w:p w14:paraId="45F4AB5D" w14:textId="77777777" w:rsidR="00614DC4" w:rsidRPr="007728A2" w:rsidRDefault="00614DC4" w:rsidP="00C87AE9">
            <w:pPr>
              <w:pStyle w:val="cuatexto"/>
              <w:rPr>
                <w:rFonts w:cs="Arial"/>
                <w:b/>
                <w:szCs w:val="20"/>
              </w:rPr>
            </w:pPr>
            <w:r w:rsidRPr="007728A2">
              <w:rPr>
                <w:rFonts w:cs="Arial"/>
                <w:b/>
                <w:szCs w:val="20"/>
              </w:rPr>
              <w:t>I.  Resultado Presupuestario del ejercicio</w:t>
            </w:r>
          </w:p>
        </w:tc>
        <w:tc>
          <w:tcPr>
            <w:tcW w:w="647" w:type="pct"/>
            <w:tcBorders>
              <w:top w:val="single" w:sz="4" w:space="0" w:color="auto"/>
              <w:left w:val="nil"/>
              <w:bottom w:val="single" w:sz="4" w:space="0" w:color="auto"/>
              <w:right w:val="nil"/>
            </w:tcBorders>
            <w:vAlign w:val="center"/>
          </w:tcPr>
          <w:p w14:paraId="565EF00B" w14:textId="77777777" w:rsidR="00614DC4" w:rsidRPr="007728A2" w:rsidRDefault="00614DC4" w:rsidP="00C87AE9">
            <w:pPr>
              <w:pStyle w:val="cuatexto"/>
              <w:rPr>
                <w:rFonts w:cs="Arial"/>
                <w:b/>
                <w:szCs w:val="20"/>
              </w:rPr>
            </w:pPr>
          </w:p>
        </w:tc>
        <w:tc>
          <w:tcPr>
            <w:tcW w:w="725" w:type="pct"/>
            <w:tcBorders>
              <w:top w:val="single" w:sz="4" w:space="0" w:color="auto"/>
              <w:left w:val="nil"/>
              <w:bottom w:val="single" w:sz="4" w:space="0" w:color="auto"/>
              <w:right w:val="nil"/>
            </w:tcBorders>
            <w:vAlign w:val="center"/>
          </w:tcPr>
          <w:p w14:paraId="132BA6FF" w14:textId="77777777" w:rsidR="00614DC4" w:rsidRPr="007728A2" w:rsidRDefault="00614DC4" w:rsidP="00C87AE9">
            <w:pPr>
              <w:pStyle w:val="cuatexto"/>
              <w:rPr>
                <w:rFonts w:cs="Arial"/>
                <w:b/>
                <w:szCs w:val="20"/>
              </w:rPr>
            </w:pPr>
          </w:p>
        </w:tc>
        <w:tc>
          <w:tcPr>
            <w:tcW w:w="725" w:type="pct"/>
            <w:tcBorders>
              <w:top w:val="single" w:sz="4" w:space="0" w:color="auto"/>
              <w:left w:val="nil"/>
              <w:bottom w:val="single" w:sz="4" w:space="0" w:color="auto"/>
              <w:right w:val="nil"/>
            </w:tcBorders>
            <w:vAlign w:val="center"/>
          </w:tcPr>
          <w:p w14:paraId="0CB245AE" w14:textId="77777777" w:rsidR="00614DC4" w:rsidRPr="007728A2" w:rsidRDefault="00A523BB" w:rsidP="00BC1D5F">
            <w:pPr>
              <w:pStyle w:val="cuatexto"/>
              <w:jc w:val="right"/>
              <w:rPr>
                <w:rFonts w:cs="Arial"/>
                <w:b/>
                <w:szCs w:val="20"/>
              </w:rPr>
            </w:pPr>
            <w:r w:rsidRPr="007728A2">
              <w:rPr>
                <w:rFonts w:cs="Arial"/>
                <w:b/>
                <w:szCs w:val="20"/>
              </w:rPr>
              <w:t>317.793</w:t>
            </w:r>
          </w:p>
        </w:tc>
      </w:tr>
      <w:tr w:rsidR="00614DC4" w:rsidRPr="00256794" w14:paraId="7F8EEF08" w14:textId="77777777" w:rsidTr="00714644">
        <w:trPr>
          <w:trHeight w:val="198"/>
          <w:jc w:val="center"/>
        </w:trPr>
        <w:tc>
          <w:tcPr>
            <w:tcW w:w="2178" w:type="pct"/>
            <w:tcBorders>
              <w:top w:val="single" w:sz="4" w:space="0" w:color="auto"/>
              <w:left w:val="nil"/>
              <w:bottom w:val="single" w:sz="2" w:space="0" w:color="auto"/>
              <w:right w:val="nil"/>
            </w:tcBorders>
            <w:vAlign w:val="center"/>
            <w:hideMark/>
          </w:tcPr>
          <w:p w14:paraId="479BE2DA" w14:textId="77777777" w:rsidR="00614DC4" w:rsidRPr="00C87AE9" w:rsidRDefault="00614DC4" w:rsidP="00C87AE9">
            <w:pPr>
              <w:pStyle w:val="cuatexto"/>
            </w:pPr>
            <w:r w:rsidRPr="00C87AE9">
              <w:t>II. Variación neta de pasivos financieros</w:t>
            </w:r>
          </w:p>
        </w:tc>
        <w:tc>
          <w:tcPr>
            <w:tcW w:w="1372" w:type="pct"/>
            <w:gridSpan w:val="2"/>
            <w:tcBorders>
              <w:top w:val="single" w:sz="4" w:space="0" w:color="auto"/>
              <w:left w:val="nil"/>
              <w:bottom w:val="single" w:sz="2" w:space="0" w:color="auto"/>
              <w:right w:val="nil"/>
            </w:tcBorders>
            <w:vAlign w:val="center"/>
          </w:tcPr>
          <w:p w14:paraId="425AB0DE" w14:textId="77777777" w:rsidR="00614DC4" w:rsidRPr="00C87AE9" w:rsidRDefault="00A523BB" w:rsidP="00BC1D5F">
            <w:pPr>
              <w:pStyle w:val="cuatexto"/>
              <w:jc w:val="right"/>
            </w:pPr>
            <w:r w:rsidRPr="00C87AE9">
              <w:t>50.000</w:t>
            </w:r>
          </w:p>
        </w:tc>
        <w:tc>
          <w:tcPr>
            <w:tcW w:w="725" w:type="pct"/>
            <w:tcBorders>
              <w:top w:val="single" w:sz="4" w:space="0" w:color="auto"/>
              <w:left w:val="nil"/>
              <w:bottom w:val="single" w:sz="2" w:space="0" w:color="auto"/>
              <w:right w:val="nil"/>
            </w:tcBorders>
            <w:vAlign w:val="center"/>
          </w:tcPr>
          <w:p w14:paraId="2C400F2A" w14:textId="77777777" w:rsidR="00614DC4" w:rsidRPr="00C87AE9" w:rsidRDefault="00A523BB" w:rsidP="00BC1D5F">
            <w:pPr>
              <w:pStyle w:val="cuatexto"/>
              <w:jc w:val="right"/>
            </w:pPr>
            <w:r w:rsidRPr="00C87AE9">
              <w:t>224.215</w:t>
            </w:r>
          </w:p>
        </w:tc>
        <w:tc>
          <w:tcPr>
            <w:tcW w:w="725" w:type="pct"/>
            <w:tcBorders>
              <w:top w:val="single" w:sz="4" w:space="0" w:color="auto"/>
              <w:left w:val="nil"/>
              <w:bottom w:val="single" w:sz="2" w:space="0" w:color="auto"/>
              <w:right w:val="nil"/>
            </w:tcBorders>
            <w:vAlign w:val="center"/>
          </w:tcPr>
          <w:p w14:paraId="309281EB" w14:textId="77777777" w:rsidR="00614DC4" w:rsidRPr="00C87AE9" w:rsidRDefault="00A523BB" w:rsidP="00BC1D5F">
            <w:pPr>
              <w:pStyle w:val="cuatexto"/>
              <w:jc w:val="right"/>
            </w:pPr>
            <w:r w:rsidRPr="00C87AE9">
              <w:t>-174.215</w:t>
            </w:r>
          </w:p>
        </w:tc>
      </w:tr>
      <w:tr w:rsidR="00614DC4" w:rsidRPr="00256794" w14:paraId="00DE64C3" w14:textId="77777777" w:rsidTr="009079F8">
        <w:trPr>
          <w:trHeight w:val="198"/>
          <w:jc w:val="center"/>
        </w:trPr>
        <w:tc>
          <w:tcPr>
            <w:tcW w:w="4275" w:type="pct"/>
            <w:gridSpan w:val="4"/>
            <w:tcBorders>
              <w:top w:val="single" w:sz="2" w:space="0" w:color="auto"/>
              <w:left w:val="nil"/>
              <w:bottom w:val="single" w:sz="2" w:space="0" w:color="auto"/>
              <w:right w:val="nil"/>
            </w:tcBorders>
            <w:vAlign w:val="center"/>
            <w:hideMark/>
          </w:tcPr>
          <w:p w14:paraId="2974FDDE" w14:textId="77777777" w:rsidR="00614DC4" w:rsidRPr="00C87AE9" w:rsidRDefault="00614DC4" w:rsidP="00C87AE9">
            <w:pPr>
              <w:pStyle w:val="cuatexto"/>
            </w:pPr>
            <w:r w:rsidRPr="00C87AE9">
              <w:t>III. Saldo presupuestario del ejercicio</w:t>
            </w:r>
          </w:p>
        </w:tc>
        <w:tc>
          <w:tcPr>
            <w:tcW w:w="725" w:type="pct"/>
            <w:tcBorders>
              <w:top w:val="single" w:sz="2" w:space="0" w:color="auto"/>
              <w:left w:val="nil"/>
              <w:bottom w:val="single" w:sz="2" w:space="0" w:color="auto"/>
              <w:right w:val="nil"/>
            </w:tcBorders>
            <w:vAlign w:val="center"/>
          </w:tcPr>
          <w:p w14:paraId="083C0026" w14:textId="77777777" w:rsidR="00614DC4" w:rsidRPr="00C87AE9" w:rsidRDefault="00A523BB" w:rsidP="00BC1D5F">
            <w:pPr>
              <w:pStyle w:val="cuatexto"/>
              <w:jc w:val="right"/>
            </w:pPr>
            <w:r w:rsidRPr="00C87AE9">
              <w:t>143.578</w:t>
            </w:r>
          </w:p>
        </w:tc>
      </w:tr>
      <w:tr w:rsidR="005E798F" w:rsidRPr="005E798F" w14:paraId="30F9BEFB" w14:textId="77777777" w:rsidTr="009079F8">
        <w:trPr>
          <w:trHeight w:val="198"/>
          <w:jc w:val="center"/>
        </w:trPr>
        <w:tc>
          <w:tcPr>
            <w:tcW w:w="3550" w:type="pct"/>
            <w:gridSpan w:val="3"/>
            <w:tcBorders>
              <w:top w:val="single" w:sz="2" w:space="0" w:color="auto"/>
              <w:left w:val="nil"/>
              <w:bottom w:val="single" w:sz="2" w:space="0" w:color="auto"/>
              <w:right w:val="nil"/>
            </w:tcBorders>
            <w:vAlign w:val="center"/>
            <w:hideMark/>
          </w:tcPr>
          <w:p w14:paraId="6ECC2DBB" w14:textId="77777777" w:rsidR="00614DC4" w:rsidRPr="005E798F" w:rsidRDefault="00614DC4" w:rsidP="00C87AE9">
            <w:pPr>
              <w:pStyle w:val="cuatexto"/>
            </w:pPr>
            <w:r w:rsidRPr="005E798F">
              <w:t xml:space="preserve">4. </w:t>
            </w:r>
            <w:proofErr w:type="spellStart"/>
            <w:r w:rsidRPr="005E798F">
              <w:t>Oblig</w:t>
            </w:r>
            <w:proofErr w:type="spellEnd"/>
            <w:r w:rsidRPr="005E798F">
              <w:t xml:space="preserve">. reconocidas financiadas con Rem. </w:t>
            </w:r>
            <w:proofErr w:type="spellStart"/>
            <w:r w:rsidRPr="005E798F">
              <w:t>Tesor</w:t>
            </w:r>
            <w:proofErr w:type="spellEnd"/>
            <w:r w:rsidRPr="005E798F">
              <w:t>. no afecto</w:t>
            </w:r>
          </w:p>
        </w:tc>
        <w:tc>
          <w:tcPr>
            <w:tcW w:w="725" w:type="pct"/>
            <w:tcBorders>
              <w:top w:val="single" w:sz="2" w:space="0" w:color="auto"/>
              <w:left w:val="nil"/>
              <w:bottom w:val="single" w:sz="2" w:space="0" w:color="auto"/>
              <w:right w:val="nil"/>
            </w:tcBorders>
            <w:vAlign w:val="center"/>
          </w:tcPr>
          <w:p w14:paraId="2A03552C" w14:textId="77777777" w:rsidR="00614DC4" w:rsidRPr="005E798F" w:rsidRDefault="00614DC4" w:rsidP="00C87AE9">
            <w:pPr>
              <w:pStyle w:val="cuatexto"/>
            </w:pPr>
          </w:p>
        </w:tc>
        <w:tc>
          <w:tcPr>
            <w:tcW w:w="725" w:type="pct"/>
            <w:tcBorders>
              <w:top w:val="single" w:sz="2" w:space="0" w:color="auto"/>
              <w:left w:val="nil"/>
              <w:bottom w:val="single" w:sz="2" w:space="0" w:color="auto"/>
              <w:right w:val="nil"/>
            </w:tcBorders>
            <w:vAlign w:val="center"/>
          </w:tcPr>
          <w:p w14:paraId="5CE75020" w14:textId="77777777" w:rsidR="00614DC4" w:rsidRPr="005E798F" w:rsidRDefault="00A523BB" w:rsidP="00BC1D5F">
            <w:pPr>
              <w:pStyle w:val="cuatexto"/>
              <w:jc w:val="right"/>
            </w:pPr>
            <w:r w:rsidRPr="005E798F">
              <w:t>54.570</w:t>
            </w:r>
          </w:p>
        </w:tc>
      </w:tr>
      <w:tr w:rsidR="005E798F" w:rsidRPr="005E798F" w14:paraId="705F2DB6" w14:textId="77777777" w:rsidTr="009079F8">
        <w:trPr>
          <w:trHeight w:val="198"/>
          <w:jc w:val="center"/>
        </w:trPr>
        <w:tc>
          <w:tcPr>
            <w:tcW w:w="3550" w:type="pct"/>
            <w:gridSpan w:val="3"/>
            <w:tcBorders>
              <w:top w:val="single" w:sz="2" w:space="0" w:color="auto"/>
              <w:left w:val="nil"/>
              <w:bottom w:val="single" w:sz="2" w:space="0" w:color="auto"/>
              <w:right w:val="nil"/>
            </w:tcBorders>
            <w:vAlign w:val="center"/>
            <w:hideMark/>
          </w:tcPr>
          <w:p w14:paraId="7820777A" w14:textId="77777777" w:rsidR="00614DC4" w:rsidRPr="005E798F" w:rsidRDefault="00614DC4" w:rsidP="00C87AE9">
            <w:pPr>
              <w:pStyle w:val="cuatexto"/>
            </w:pPr>
            <w:r w:rsidRPr="005E798F">
              <w:t>5. Desviaciones de financiación negativas imputables al ejercicio</w:t>
            </w:r>
          </w:p>
        </w:tc>
        <w:tc>
          <w:tcPr>
            <w:tcW w:w="725" w:type="pct"/>
            <w:tcBorders>
              <w:top w:val="single" w:sz="2" w:space="0" w:color="auto"/>
              <w:left w:val="nil"/>
              <w:bottom w:val="single" w:sz="2" w:space="0" w:color="auto"/>
              <w:right w:val="nil"/>
            </w:tcBorders>
            <w:vAlign w:val="center"/>
          </w:tcPr>
          <w:p w14:paraId="10946A6D" w14:textId="77777777" w:rsidR="00614DC4" w:rsidRPr="005E798F" w:rsidRDefault="00614DC4" w:rsidP="00C87AE9">
            <w:pPr>
              <w:pStyle w:val="cuatexto"/>
            </w:pPr>
          </w:p>
        </w:tc>
        <w:tc>
          <w:tcPr>
            <w:tcW w:w="725" w:type="pct"/>
            <w:tcBorders>
              <w:top w:val="single" w:sz="2" w:space="0" w:color="auto"/>
              <w:left w:val="nil"/>
              <w:bottom w:val="single" w:sz="2" w:space="0" w:color="auto"/>
              <w:right w:val="nil"/>
            </w:tcBorders>
            <w:vAlign w:val="center"/>
          </w:tcPr>
          <w:p w14:paraId="28C388AD" w14:textId="77777777" w:rsidR="00614DC4" w:rsidRPr="005E798F" w:rsidRDefault="00A523BB" w:rsidP="00BC1D5F">
            <w:pPr>
              <w:pStyle w:val="cuatexto"/>
              <w:jc w:val="right"/>
            </w:pPr>
            <w:r w:rsidRPr="005E798F">
              <w:t>183.878</w:t>
            </w:r>
          </w:p>
        </w:tc>
      </w:tr>
      <w:tr w:rsidR="005E798F" w:rsidRPr="005E798F" w14:paraId="6FEDB67B" w14:textId="77777777" w:rsidTr="008A0B61">
        <w:trPr>
          <w:trHeight w:val="198"/>
          <w:jc w:val="center"/>
        </w:trPr>
        <w:tc>
          <w:tcPr>
            <w:tcW w:w="3550" w:type="pct"/>
            <w:gridSpan w:val="3"/>
            <w:tcBorders>
              <w:top w:val="single" w:sz="2" w:space="0" w:color="auto"/>
              <w:left w:val="nil"/>
              <w:bottom w:val="single" w:sz="4" w:space="0" w:color="auto"/>
              <w:right w:val="nil"/>
            </w:tcBorders>
            <w:vAlign w:val="center"/>
            <w:hideMark/>
          </w:tcPr>
          <w:p w14:paraId="0E69894B" w14:textId="77777777" w:rsidR="00614DC4" w:rsidRPr="005E798F" w:rsidRDefault="00614DC4" w:rsidP="00C87AE9">
            <w:pPr>
              <w:pStyle w:val="cuatexto"/>
            </w:pPr>
            <w:r w:rsidRPr="005E798F">
              <w:t>6. Desviaciones de financiación positivas imputables al ejercicio</w:t>
            </w:r>
          </w:p>
        </w:tc>
        <w:tc>
          <w:tcPr>
            <w:tcW w:w="725" w:type="pct"/>
            <w:tcBorders>
              <w:top w:val="single" w:sz="2" w:space="0" w:color="auto"/>
              <w:left w:val="nil"/>
              <w:bottom w:val="single" w:sz="4" w:space="0" w:color="auto"/>
              <w:right w:val="nil"/>
            </w:tcBorders>
            <w:vAlign w:val="center"/>
          </w:tcPr>
          <w:p w14:paraId="01C4C490" w14:textId="77777777" w:rsidR="00614DC4" w:rsidRPr="005E798F" w:rsidRDefault="00614DC4" w:rsidP="00C87AE9">
            <w:pPr>
              <w:pStyle w:val="cuatexto"/>
            </w:pPr>
          </w:p>
        </w:tc>
        <w:tc>
          <w:tcPr>
            <w:tcW w:w="725" w:type="pct"/>
            <w:tcBorders>
              <w:top w:val="single" w:sz="2" w:space="0" w:color="auto"/>
              <w:left w:val="nil"/>
              <w:bottom w:val="single" w:sz="4" w:space="0" w:color="auto"/>
              <w:right w:val="nil"/>
            </w:tcBorders>
            <w:vAlign w:val="center"/>
          </w:tcPr>
          <w:p w14:paraId="74B57245" w14:textId="77777777" w:rsidR="00614DC4" w:rsidRPr="005E798F" w:rsidRDefault="00A523BB" w:rsidP="00BC1D5F">
            <w:pPr>
              <w:pStyle w:val="cuatexto"/>
              <w:jc w:val="right"/>
            </w:pPr>
            <w:r w:rsidRPr="005E798F">
              <w:t>285.553</w:t>
            </w:r>
          </w:p>
        </w:tc>
      </w:tr>
      <w:tr w:rsidR="005E798F" w:rsidRPr="00714644" w14:paraId="3035A90E" w14:textId="77777777" w:rsidTr="00714644">
        <w:trPr>
          <w:trHeight w:val="283"/>
          <w:jc w:val="center"/>
        </w:trPr>
        <w:tc>
          <w:tcPr>
            <w:tcW w:w="4275" w:type="pct"/>
            <w:gridSpan w:val="4"/>
            <w:tcBorders>
              <w:top w:val="single" w:sz="4" w:space="0" w:color="auto"/>
              <w:left w:val="nil"/>
              <w:bottom w:val="single" w:sz="4" w:space="0" w:color="auto"/>
              <w:right w:val="nil"/>
            </w:tcBorders>
            <w:vAlign w:val="center"/>
            <w:hideMark/>
          </w:tcPr>
          <w:p w14:paraId="0D7E6F5E" w14:textId="77777777" w:rsidR="00614DC4" w:rsidRPr="00714644" w:rsidRDefault="00614DC4" w:rsidP="00C87AE9">
            <w:pPr>
              <w:pStyle w:val="cuatexto"/>
              <w:rPr>
                <w:rFonts w:ascii="Arial" w:hAnsi="Arial" w:cs="Arial"/>
                <w:szCs w:val="20"/>
              </w:rPr>
            </w:pPr>
            <w:r w:rsidRPr="00714644">
              <w:rPr>
                <w:rFonts w:ascii="Arial" w:hAnsi="Arial" w:cs="Arial"/>
                <w:szCs w:val="20"/>
              </w:rPr>
              <w:t>V. Saldo presupuestario ajustado del ejercicio (III+4+5-6)</w:t>
            </w:r>
          </w:p>
        </w:tc>
        <w:tc>
          <w:tcPr>
            <w:tcW w:w="725" w:type="pct"/>
            <w:tcBorders>
              <w:top w:val="single" w:sz="4" w:space="0" w:color="auto"/>
              <w:left w:val="nil"/>
              <w:bottom w:val="single" w:sz="4" w:space="0" w:color="auto"/>
              <w:right w:val="nil"/>
            </w:tcBorders>
            <w:vAlign w:val="center"/>
          </w:tcPr>
          <w:p w14:paraId="4683252A" w14:textId="77777777" w:rsidR="00614DC4" w:rsidRPr="00714644" w:rsidRDefault="00A523BB" w:rsidP="00BC1D5F">
            <w:pPr>
              <w:pStyle w:val="cuatexto"/>
              <w:jc w:val="right"/>
              <w:rPr>
                <w:rFonts w:ascii="Arial" w:hAnsi="Arial" w:cs="Arial"/>
                <w:szCs w:val="20"/>
              </w:rPr>
            </w:pPr>
            <w:r w:rsidRPr="00714644">
              <w:rPr>
                <w:rFonts w:ascii="Arial" w:hAnsi="Arial" w:cs="Arial"/>
                <w:szCs w:val="20"/>
              </w:rPr>
              <w:t>96.473</w:t>
            </w:r>
          </w:p>
        </w:tc>
      </w:tr>
    </w:tbl>
    <w:p w14:paraId="15A34E0A" w14:textId="77777777" w:rsidR="00614DC4" w:rsidRDefault="00614DC4" w:rsidP="008A0B61">
      <w:pPr>
        <w:pStyle w:val="texto"/>
        <w:spacing w:before="360" w:after="120"/>
        <w:ind w:firstLine="0"/>
        <w:rPr>
          <w:rFonts w:ascii="Arial" w:hAnsi="Arial" w:cs="Arial"/>
          <w:sz w:val="25"/>
          <w:szCs w:val="25"/>
        </w:rPr>
      </w:pPr>
      <w:bookmarkStart w:id="58" w:name="_Toc52267363"/>
      <w:bookmarkStart w:id="59" w:name="_Toc525907434"/>
      <w:bookmarkStart w:id="60" w:name="_Toc494270377"/>
      <w:bookmarkStart w:id="61" w:name="_Toc463350243"/>
      <w:bookmarkStart w:id="62" w:name="_Toc399859618"/>
      <w:r>
        <w:rPr>
          <w:rFonts w:ascii="Arial" w:hAnsi="Arial" w:cs="Arial"/>
          <w:sz w:val="25"/>
          <w:szCs w:val="25"/>
        </w:rPr>
        <w:t xml:space="preserve">Remanente de Tesorería a 31 de diciembre de </w:t>
      </w:r>
      <w:bookmarkEnd w:id="58"/>
      <w:bookmarkEnd w:id="59"/>
      <w:bookmarkEnd w:id="60"/>
      <w:bookmarkEnd w:id="61"/>
      <w:bookmarkEnd w:id="62"/>
      <w:r>
        <w:rPr>
          <w:rFonts w:ascii="Arial" w:hAnsi="Arial" w:cs="Arial"/>
          <w:sz w:val="25"/>
          <w:szCs w:val="25"/>
        </w:rPr>
        <w:t>202</w:t>
      </w:r>
      <w:r w:rsidR="00802F88">
        <w:rPr>
          <w:rFonts w:ascii="Arial" w:hAnsi="Arial" w:cs="Arial"/>
          <w:sz w:val="25"/>
          <w:szCs w:val="25"/>
        </w:rPr>
        <w:t>3</w:t>
      </w:r>
      <w:r>
        <w:rPr>
          <w:rFonts w:ascii="Arial" w:hAnsi="Arial" w:cs="Arial"/>
          <w:sz w:val="25"/>
          <w:szCs w:val="25"/>
        </w:rPr>
        <w:t xml:space="preserve"> </w:t>
      </w:r>
    </w:p>
    <w:p w14:paraId="34F581D7" w14:textId="77777777" w:rsidR="00614DC4" w:rsidRDefault="00614DC4" w:rsidP="00614DC4">
      <w:pPr>
        <w:suppressAutoHyphens/>
        <w:spacing w:after="60"/>
        <w:jc w:val="right"/>
        <w:rPr>
          <w:rFonts w:ascii="Arial" w:hAnsi="Arial"/>
          <w:spacing w:val="6"/>
          <w:sz w:val="17"/>
          <w:szCs w:val="17"/>
        </w:rPr>
      </w:pPr>
      <w:r>
        <w:rPr>
          <w:rFonts w:ascii="Arial" w:hAnsi="Arial"/>
          <w:spacing w:val="6"/>
          <w:sz w:val="17"/>
          <w:szCs w:val="17"/>
        </w:rPr>
        <w:t>(en euros)</w:t>
      </w:r>
    </w:p>
    <w:tbl>
      <w:tblPr>
        <w:tblW w:w="4919" w:type="pct"/>
        <w:jc w:val="center"/>
        <w:tblCellMar>
          <w:left w:w="70" w:type="dxa"/>
          <w:right w:w="70" w:type="dxa"/>
        </w:tblCellMar>
        <w:tblLook w:val="04A0" w:firstRow="1" w:lastRow="0" w:firstColumn="1" w:lastColumn="0" w:noHBand="0" w:noVBand="1"/>
      </w:tblPr>
      <w:tblGrid>
        <w:gridCol w:w="4582"/>
        <w:gridCol w:w="2221"/>
        <w:gridCol w:w="1844"/>
      </w:tblGrid>
      <w:tr w:rsidR="00614DC4" w14:paraId="4440657B" w14:textId="77777777" w:rsidTr="008A0B61">
        <w:trPr>
          <w:trHeight w:val="255"/>
          <w:jc w:val="center"/>
        </w:trPr>
        <w:tc>
          <w:tcPr>
            <w:tcW w:w="3934" w:type="pct"/>
            <w:gridSpan w:val="2"/>
            <w:tcBorders>
              <w:top w:val="single" w:sz="4" w:space="0" w:color="auto"/>
              <w:left w:val="nil"/>
              <w:bottom w:val="single" w:sz="4" w:space="0" w:color="auto"/>
              <w:right w:val="nil"/>
            </w:tcBorders>
            <w:shd w:val="clear" w:color="auto" w:fill="8DB3E2"/>
            <w:noWrap/>
            <w:vAlign w:val="center"/>
            <w:hideMark/>
          </w:tcPr>
          <w:p w14:paraId="4982F563" w14:textId="77777777" w:rsidR="00614DC4" w:rsidRPr="00C87AE9" w:rsidRDefault="00614DC4" w:rsidP="00BC1D5F">
            <w:pPr>
              <w:pStyle w:val="cuadroCabe"/>
            </w:pPr>
            <w:r w:rsidRPr="00C87AE9">
              <w:t>Conceptos</w:t>
            </w:r>
          </w:p>
        </w:tc>
        <w:tc>
          <w:tcPr>
            <w:tcW w:w="1066" w:type="pct"/>
            <w:tcBorders>
              <w:top w:val="single" w:sz="4" w:space="0" w:color="auto"/>
              <w:left w:val="nil"/>
              <w:bottom w:val="single" w:sz="4" w:space="0" w:color="auto"/>
              <w:right w:val="nil"/>
            </w:tcBorders>
            <w:shd w:val="clear" w:color="auto" w:fill="8DB3E2"/>
            <w:noWrap/>
            <w:vAlign w:val="center"/>
            <w:hideMark/>
          </w:tcPr>
          <w:p w14:paraId="400CC077" w14:textId="77777777" w:rsidR="00614DC4" w:rsidRPr="00C87AE9" w:rsidRDefault="00614DC4" w:rsidP="00BC1D5F">
            <w:pPr>
              <w:pStyle w:val="cuadroCabe"/>
              <w:jc w:val="right"/>
            </w:pPr>
            <w:r w:rsidRPr="00C87AE9">
              <w:t>Importe</w:t>
            </w:r>
          </w:p>
        </w:tc>
      </w:tr>
      <w:tr w:rsidR="00614DC4" w:rsidRPr="007728A2" w14:paraId="3FE35D13" w14:textId="77777777" w:rsidTr="008A0B61">
        <w:trPr>
          <w:trHeight w:val="198"/>
          <w:jc w:val="center"/>
        </w:trPr>
        <w:tc>
          <w:tcPr>
            <w:tcW w:w="3934" w:type="pct"/>
            <w:gridSpan w:val="2"/>
            <w:tcBorders>
              <w:top w:val="single" w:sz="4" w:space="0" w:color="auto"/>
              <w:left w:val="nil"/>
              <w:bottom w:val="single" w:sz="2" w:space="0" w:color="auto"/>
              <w:right w:val="nil"/>
            </w:tcBorders>
            <w:noWrap/>
            <w:vAlign w:val="center"/>
            <w:hideMark/>
          </w:tcPr>
          <w:p w14:paraId="7581E7C3" w14:textId="77777777" w:rsidR="00614DC4" w:rsidRPr="007728A2" w:rsidRDefault="00614DC4" w:rsidP="00C87AE9">
            <w:pPr>
              <w:pStyle w:val="cuatexto"/>
              <w:rPr>
                <w:b/>
              </w:rPr>
            </w:pPr>
            <w:r w:rsidRPr="007728A2">
              <w:rPr>
                <w:b/>
              </w:rPr>
              <w:t>+ Derechos pendientes de cobro</w:t>
            </w:r>
          </w:p>
        </w:tc>
        <w:tc>
          <w:tcPr>
            <w:tcW w:w="1066" w:type="pct"/>
            <w:tcBorders>
              <w:top w:val="single" w:sz="4" w:space="0" w:color="auto"/>
              <w:left w:val="nil"/>
              <w:bottom w:val="single" w:sz="2" w:space="0" w:color="auto"/>
              <w:right w:val="nil"/>
            </w:tcBorders>
            <w:noWrap/>
            <w:vAlign w:val="center"/>
          </w:tcPr>
          <w:p w14:paraId="13A51A01" w14:textId="77777777" w:rsidR="00614DC4" w:rsidRPr="007728A2" w:rsidRDefault="00B403E7" w:rsidP="005E5C0D">
            <w:pPr>
              <w:pStyle w:val="cuatexto"/>
              <w:jc w:val="right"/>
              <w:rPr>
                <w:b/>
              </w:rPr>
            </w:pPr>
            <w:r w:rsidRPr="007728A2">
              <w:rPr>
                <w:b/>
              </w:rPr>
              <w:t>246.526.128</w:t>
            </w:r>
          </w:p>
        </w:tc>
      </w:tr>
      <w:tr w:rsidR="00A523BB" w14:paraId="3F4A3918" w14:textId="77777777" w:rsidTr="008A0B61">
        <w:trPr>
          <w:trHeight w:val="198"/>
          <w:jc w:val="center"/>
        </w:trPr>
        <w:tc>
          <w:tcPr>
            <w:tcW w:w="2650" w:type="pct"/>
            <w:tcBorders>
              <w:top w:val="single" w:sz="2" w:space="0" w:color="auto"/>
              <w:left w:val="nil"/>
              <w:bottom w:val="single" w:sz="2" w:space="0" w:color="auto"/>
              <w:right w:val="nil"/>
            </w:tcBorders>
            <w:noWrap/>
            <w:vAlign w:val="center"/>
            <w:hideMark/>
          </w:tcPr>
          <w:p w14:paraId="10766B09" w14:textId="77777777" w:rsidR="00A523BB" w:rsidRPr="00C87AE9" w:rsidRDefault="00A523BB" w:rsidP="00C87AE9">
            <w:pPr>
              <w:pStyle w:val="cuatexto"/>
            </w:pPr>
            <w:r w:rsidRPr="00C87AE9">
              <w:t>Presupuesto Ingresos: ejercicio corriente</w:t>
            </w:r>
          </w:p>
        </w:tc>
        <w:tc>
          <w:tcPr>
            <w:tcW w:w="1284" w:type="pct"/>
            <w:tcBorders>
              <w:top w:val="single" w:sz="2" w:space="0" w:color="auto"/>
              <w:left w:val="nil"/>
              <w:bottom w:val="single" w:sz="2" w:space="0" w:color="auto"/>
              <w:right w:val="nil"/>
            </w:tcBorders>
            <w:noWrap/>
            <w:vAlign w:val="center"/>
          </w:tcPr>
          <w:p w14:paraId="29F4F689" w14:textId="77777777" w:rsidR="00A523BB" w:rsidRPr="00C87AE9" w:rsidRDefault="00A523BB" w:rsidP="005E5C0D">
            <w:pPr>
              <w:pStyle w:val="cuatexto"/>
              <w:jc w:val="right"/>
            </w:pPr>
            <w:r w:rsidRPr="00C87AE9">
              <w:t>934.169.012</w:t>
            </w:r>
          </w:p>
        </w:tc>
        <w:tc>
          <w:tcPr>
            <w:tcW w:w="1066" w:type="pct"/>
            <w:tcBorders>
              <w:top w:val="single" w:sz="2" w:space="0" w:color="auto"/>
              <w:left w:val="nil"/>
              <w:bottom w:val="single" w:sz="2" w:space="0" w:color="auto"/>
              <w:right w:val="nil"/>
            </w:tcBorders>
            <w:noWrap/>
            <w:vAlign w:val="center"/>
          </w:tcPr>
          <w:p w14:paraId="35A2BD70" w14:textId="77777777" w:rsidR="00A523BB" w:rsidRPr="00C87AE9" w:rsidRDefault="00A523BB" w:rsidP="005E5C0D">
            <w:pPr>
              <w:pStyle w:val="cuatexto"/>
              <w:jc w:val="right"/>
            </w:pPr>
          </w:p>
        </w:tc>
      </w:tr>
      <w:tr w:rsidR="00A523BB" w14:paraId="2E305424" w14:textId="77777777" w:rsidTr="008A0B61">
        <w:trPr>
          <w:trHeight w:val="198"/>
          <w:jc w:val="center"/>
        </w:trPr>
        <w:tc>
          <w:tcPr>
            <w:tcW w:w="2650" w:type="pct"/>
            <w:tcBorders>
              <w:top w:val="single" w:sz="2" w:space="0" w:color="auto"/>
              <w:left w:val="nil"/>
              <w:bottom w:val="single" w:sz="2" w:space="0" w:color="auto"/>
              <w:right w:val="nil"/>
            </w:tcBorders>
            <w:noWrap/>
            <w:vAlign w:val="center"/>
            <w:hideMark/>
          </w:tcPr>
          <w:p w14:paraId="1D7D2B88" w14:textId="77777777" w:rsidR="00A523BB" w:rsidRPr="00C87AE9" w:rsidRDefault="00A523BB" w:rsidP="00C87AE9">
            <w:pPr>
              <w:pStyle w:val="cuatexto"/>
            </w:pPr>
            <w:r w:rsidRPr="00C87AE9">
              <w:t>Derechos difícil recaudación ejercicio corriente</w:t>
            </w:r>
          </w:p>
        </w:tc>
        <w:tc>
          <w:tcPr>
            <w:tcW w:w="1284" w:type="pct"/>
            <w:tcBorders>
              <w:top w:val="single" w:sz="2" w:space="0" w:color="auto"/>
              <w:left w:val="nil"/>
              <w:bottom w:val="single" w:sz="2" w:space="0" w:color="auto"/>
              <w:right w:val="nil"/>
            </w:tcBorders>
            <w:noWrap/>
            <w:vAlign w:val="center"/>
          </w:tcPr>
          <w:p w14:paraId="65FBC3C4" w14:textId="77777777" w:rsidR="00A523BB" w:rsidRPr="00C87AE9" w:rsidRDefault="00A523BB" w:rsidP="005E5C0D">
            <w:pPr>
              <w:pStyle w:val="cuatexto"/>
              <w:jc w:val="right"/>
            </w:pPr>
            <w:r w:rsidRPr="00C87AE9">
              <w:t>611.595.594</w:t>
            </w:r>
          </w:p>
        </w:tc>
        <w:tc>
          <w:tcPr>
            <w:tcW w:w="1066" w:type="pct"/>
            <w:tcBorders>
              <w:top w:val="single" w:sz="2" w:space="0" w:color="auto"/>
              <w:left w:val="nil"/>
              <w:bottom w:val="single" w:sz="2" w:space="0" w:color="auto"/>
              <w:right w:val="nil"/>
            </w:tcBorders>
            <w:noWrap/>
            <w:vAlign w:val="center"/>
          </w:tcPr>
          <w:p w14:paraId="06921B5C" w14:textId="77777777" w:rsidR="00A523BB" w:rsidRPr="00C87AE9" w:rsidRDefault="00A523BB" w:rsidP="005E5C0D">
            <w:pPr>
              <w:pStyle w:val="cuatexto"/>
              <w:jc w:val="right"/>
            </w:pPr>
          </w:p>
        </w:tc>
      </w:tr>
      <w:tr w:rsidR="00A523BB" w14:paraId="1D285A10" w14:textId="77777777" w:rsidTr="008A0B61">
        <w:trPr>
          <w:trHeight w:val="198"/>
          <w:jc w:val="center"/>
        </w:trPr>
        <w:tc>
          <w:tcPr>
            <w:tcW w:w="2650" w:type="pct"/>
            <w:tcBorders>
              <w:top w:val="single" w:sz="2" w:space="0" w:color="auto"/>
              <w:left w:val="nil"/>
              <w:bottom w:val="single" w:sz="2" w:space="0" w:color="auto"/>
              <w:right w:val="nil"/>
            </w:tcBorders>
            <w:noWrap/>
            <w:vAlign w:val="center"/>
            <w:hideMark/>
          </w:tcPr>
          <w:p w14:paraId="0F18BA01" w14:textId="77777777" w:rsidR="00A523BB" w:rsidRPr="00C87AE9" w:rsidRDefault="00A523BB" w:rsidP="00C87AE9">
            <w:pPr>
              <w:pStyle w:val="cuatexto"/>
            </w:pPr>
            <w:r w:rsidRPr="00C87AE9">
              <w:t>Minoración por partidas pendientes de aplicar</w:t>
            </w:r>
          </w:p>
        </w:tc>
        <w:tc>
          <w:tcPr>
            <w:tcW w:w="1284" w:type="pct"/>
            <w:tcBorders>
              <w:top w:val="single" w:sz="2" w:space="0" w:color="auto"/>
              <w:left w:val="nil"/>
              <w:bottom w:val="single" w:sz="2" w:space="0" w:color="auto"/>
              <w:right w:val="nil"/>
            </w:tcBorders>
            <w:noWrap/>
            <w:vAlign w:val="center"/>
          </w:tcPr>
          <w:p w14:paraId="42A4726F" w14:textId="77777777" w:rsidR="00A523BB" w:rsidRPr="00C87AE9" w:rsidRDefault="00A523BB" w:rsidP="005E5C0D">
            <w:pPr>
              <w:pStyle w:val="cuatexto"/>
              <w:jc w:val="right"/>
            </w:pPr>
            <w:r w:rsidRPr="00C87AE9">
              <w:t>23.169.253</w:t>
            </w:r>
          </w:p>
        </w:tc>
        <w:tc>
          <w:tcPr>
            <w:tcW w:w="1066" w:type="pct"/>
            <w:tcBorders>
              <w:top w:val="single" w:sz="2" w:space="0" w:color="auto"/>
              <w:left w:val="nil"/>
              <w:bottom w:val="single" w:sz="2" w:space="0" w:color="auto"/>
              <w:right w:val="nil"/>
            </w:tcBorders>
            <w:noWrap/>
            <w:vAlign w:val="center"/>
          </w:tcPr>
          <w:p w14:paraId="39C6DD66" w14:textId="77777777" w:rsidR="00A523BB" w:rsidRPr="00C87AE9" w:rsidRDefault="00A523BB" w:rsidP="005E5C0D">
            <w:pPr>
              <w:pStyle w:val="cuatexto"/>
              <w:jc w:val="right"/>
            </w:pPr>
          </w:p>
        </w:tc>
      </w:tr>
      <w:tr w:rsidR="00A523BB" w14:paraId="6F554DD5" w14:textId="77777777" w:rsidTr="008A0B61">
        <w:trPr>
          <w:trHeight w:val="198"/>
          <w:jc w:val="center"/>
        </w:trPr>
        <w:tc>
          <w:tcPr>
            <w:tcW w:w="2650" w:type="pct"/>
            <w:tcBorders>
              <w:top w:val="single" w:sz="2" w:space="0" w:color="auto"/>
              <w:left w:val="nil"/>
              <w:bottom w:val="single" w:sz="2" w:space="0" w:color="auto"/>
              <w:right w:val="nil"/>
            </w:tcBorders>
            <w:noWrap/>
            <w:vAlign w:val="center"/>
            <w:hideMark/>
          </w:tcPr>
          <w:p w14:paraId="3013E0A5" w14:textId="77777777" w:rsidR="00A523BB" w:rsidRPr="00C87AE9" w:rsidRDefault="00A523BB" w:rsidP="00C87AE9">
            <w:pPr>
              <w:pStyle w:val="cuatexto"/>
            </w:pPr>
            <w:r w:rsidRPr="00C87AE9">
              <w:t>Minoración por partidas pendientes aplicar CAT</w:t>
            </w:r>
          </w:p>
        </w:tc>
        <w:tc>
          <w:tcPr>
            <w:tcW w:w="1284" w:type="pct"/>
            <w:tcBorders>
              <w:top w:val="single" w:sz="2" w:space="0" w:color="auto"/>
              <w:left w:val="nil"/>
              <w:bottom w:val="single" w:sz="2" w:space="0" w:color="auto"/>
              <w:right w:val="nil"/>
            </w:tcBorders>
            <w:noWrap/>
            <w:vAlign w:val="center"/>
          </w:tcPr>
          <w:p w14:paraId="059DE2B3" w14:textId="77777777" w:rsidR="00A523BB" w:rsidRPr="00C87AE9" w:rsidRDefault="00A523BB" w:rsidP="005E5C0D">
            <w:pPr>
              <w:pStyle w:val="cuatexto"/>
              <w:jc w:val="right"/>
            </w:pPr>
            <w:r w:rsidRPr="00C87AE9">
              <w:t>57.762.107</w:t>
            </w:r>
          </w:p>
        </w:tc>
        <w:tc>
          <w:tcPr>
            <w:tcW w:w="1066" w:type="pct"/>
            <w:tcBorders>
              <w:top w:val="single" w:sz="2" w:space="0" w:color="auto"/>
              <w:left w:val="nil"/>
              <w:bottom w:val="single" w:sz="2" w:space="0" w:color="auto"/>
              <w:right w:val="nil"/>
            </w:tcBorders>
            <w:noWrap/>
            <w:vAlign w:val="center"/>
          </w:tcPr>
          <w:p w14:paraId="150EAED1" w14:textId="77777777" w:rsidR="00A523BB" w:rsidRPr="00C87AE9" w:rsidRDefault="00A523BB" w:rsidP="005E5C0D">
            <w:pPr>
              <w:pStyle w:val="cuatexto"/>
              <w:jc w:val="right"/>
            </w:pPr>
          </w:p>
        </w:tc>
      </w:tr>
      <w:tr w:rsidR="00A523BB" w14:paraId="76BF33B5" w14:textId="77777777" w:rsidTr="008A0B61">
        <w:trPr>
          <w:trHeight w:val="198"/>
          <w:jc w:val="center"/>
        </w:trPr>
        <w:tc>
          <w:tcPr>
            <w:tcW w:w="2650" w:type="pct"/>
            <w:tcBorders>
              <w:top w:val="single" w:sz="2" w:space="0" w:color="auto"/>
              <w:left w:val="nil"/>
              <w:bottom w:val="single" w:sz="2" w:space="0" w:color="auto"/>
              <w:right w:val="nil"/>
            </w:tcBorders>
            <w:noWrap/>
            <w:vAlign w:val="center"/>
            <w:hideMark/>
          </w:tcPr>
          <w:p w14:paraId="3697D047" w14:textId="77777777" w:rsidR="00A523BB" w:rsidRPr="00C87AE9" w:rsidRDefault="00A523BB" w:rsidP="00C87AE9">
            <w:pPr>
              <w:pStyle w:val="cuatexto"/>
            </w:pPr>
            <w:r w:rsidRPr="00C87AE9">
              <w:t>Presupuesto Ingresos: ejercicios cerrados</w:t>
            </w:r>
          </w:p>
        </w:tc>
        <w:tc>
          <w:tcPr>
            <w:tcW w:w="1284" w:type="pct"/>
            <w:tcBorders>
              <w:top w:val="single" w:sz="2" w:space="0" w:color="auto"/>
              <w:left w:val="nil"/>
              <w:bottom w:val="single" w:sz="2" w:space="0" w:color="auto"/>
              <w:right w:val="nil"/>
            </w:tcBorders>
            <w:noWrap/>
            <w:vAlign w:val="center"/>
          </w:tcPr>
          <w:p w14:paraId="791DFCD8" w14:textId="77777777" w:rsidR="00A523BB" w:rsidRPr="00C87AE9" w:rsidRDefault="00A523BB" w:rsidP="005E5C0D">
            <w:pPr>
              <w:pStyle w:val="cuatexto"/>
              <w:jc w:val="right"/>
            </w:pPr>
            <w:r w:rsidRPr="00C87AE9">
              <w:t>8.982.628</w:t>
            </w:r>
          </w:p>
        </w:tc>
        <w:tc>
          <w:tcPr>
            <w:tcW w:w="1066" w:type="pct"/>
            <w:tcBorders>
              <w:top w:val="single" w:sz="2" w:space="0" w:color="auto"/>
              <w:left w:val="nil"/>
              <w:bottom w:val="single" w:sz="2" w:space="0" w:color="auto"/>
              <w:right w:val="nil"/>
            </w:tcBorders>
            <w:noWrap/>
            <w:vAlign w:val="center"/>
          </w:tcPr>
          <w:p w14:paraId="0E79EE7F" w14:textId="77777777" w:rsidR="00A523BB" w:rsidRPr="00C87AE9" w:rsidRDefault="00A523BB" w:rsidP="005E5C0D">
            <w:pPr>
              <w:pStyle w:val="cuatexto"/>
              <w:jc w:val="right"/>
            </w:pPr>
          </w:p>
        </w:tc>
      </w:tr>
      <w:tr w:rsidR="00A523BB" w14:paraId="4FA65CFC" w14:textId="77777777" w:rsidTr="008A0B61">
        <w:trPr>
          <w:trHeight w:val="198"/>
          <w:jc w:val="center"/>
        </w:trPr>
        <w:tc>
          <w:tcPr>
            <w:tcW w:w="2650" w:type="pct"/>
            <w:tcBorders>
              <w:top w:val="single" w:sz="2" w:space="0" w:color="auto"/>
              <w:left w:val="nil"/>
              <w:bottom w:val="single" w:sz="2" w:space="0" w:color="auto"/>
              <w:right w:val="nil"/>
            </w:tcBorders>
            <w:noWrap/>
            <w:vAlign w:val="center"/>
            <w:hideMark/>
          </w:tcPr>
          <w:p w14:paraId="202FA217" w14:textId="77777777" w:rsidR="00A523BB" w:rsidRPr="00C87AE9" w:rsidRDefault="00A523BB" w:rsidP="00C87AE9">
            <w:pPr>
              <w:pStyle w:val="cuatexto"/>
            </w:pPr>
            <w:r w:rsidRPr="00C87AE9">
              <w:t>Derechos difícil recaudación ejercicio corriente</w:t>
            </w:r>
          </w:p>
        </w:tc>
        <w:tc>
          <w:tcPr>
            <w:tcW w:w="1284" w:type="pct"/>
            <w:tcBorders>
              <w:top w:val="single" w:sz="2" w:space="0" w:color="auto"/>
              <w:left w:val="nil"/>
              <w:bottom w:val="single" w:sz="2" w:space="0" w:color="auto"/>
              <w:right w:val="nil"/>
            </w:tcBorders>
            <w:noWrap/>
            <w:vAlign w:val="center"/>
          </w:tcPr>
          <w:p w14:paraId="5E69FF3B" w14:textId="77777777" w:rsidR="00A523BB" w:rsidRPr="00C87AE9" w:rsidRDefault="00A523BB" w:rsidP="005E5C0D">
            <w:pPr>
              <w:pStyle w:val="cuatexto"/>
              <w:jc w:val="right"/>
            </w:pPr>
            <w:r w:rsidRPr="00C87AE9">
              <w:t>7.819.404</w:t>
            </w:r>
          </w:p>
        </w:tc>
        <w:tc>
          <w:tcPr>
            <w:tcW w:w="1066" w:type="pct"/>
            <w:tcBorders>
              <w:top w:val="single" w:sz="2" w:space="0" w:color="auto"/>
              <w:left w:val="nil"/>
              <w:bottom w:val="single" w:sz="2" w:space="0" w:color="auto"/>
              <w:right w:val="nil"/>
            </w:tcBorders>
            <w:noWrap/>
            <w:vAlign w:val="center"/>
          </w:tcPr>
          <w:p w14:paraId="23716116" w14:textId="77777777" w:rsidR="00A523BB" w:rsidRPr="00C87AE9" w:rsidRDefault="00A523BB" w:rsidP="005E5C0D">
            <w:pPr>
              <w:pStyle w:val="cuatexto"/>
              <w:jc w:val="right"/>
            </w:pPr>
          </w:p>
        </w:tc>
      </w:tr>
      <w:tr w:rsidR="00A523BB" w14:paraId="510D12D0" w14:textId="77777777" w:rsidTr="008A0B61">
        <w:trPr>
          <w:trHeight w:val="198"/>
          <w:jc w:val="center"/>
        </w:trPr>
        <w:tc>
          <w:tcPr>
            <w:tcW w:w="2650" w:type="pct"/>
            <w:tcBorders>
              <w:top w:val="single" w:sz="2" w:space="0" w:color="auto"/>
              <w:left w:val="nil"/>
              <w:bottom w:val="single" w:sz="2" w:space="0" w:color="auto"/>
              <w:right w:val="nil"/>
            </w:tcBorders>
            <w:noWrap/>
            <w:vAlign w:val="center"/>
            <w:hideMark/>
          </w:tcPr>
          <w:p w14:paraId="3C4A2124" w14:textId="77777777" w:rsidR="00A523BB" w:rsidRPr="00C87AE9" w:rsidRDefault="00A523BB" w:rsidP="00C87AE9">
            <w:pPr>
              <w:pStyle w:val="cuatexto"/>
            </w:pPr>
            <w:r w:rsidRPr="00C87AE9">
              <w:t>Ingresos extrapresupuestarios</w:t>
            </w:r>
          </w:p>
        </w:tc>
        <w:tc>
          <w:tcPr>
            <w:tcW w:w="1284" w:type="pct"/>
            <w:tcBorders>
              <w:top w:val="single" w:sz="2" w:space="0" w:color="auto"/>
              <w:left w:val="nil"/>
              <w:bottom w:val="single" w:sz="2" w:space="0" w:color="auto"/>
              <w:right w:val="nil"/>
            </w:tcBorders>
            <w:noWrap/>
            <w:vAlign w:val="center"/>
          </w:tcPr>
          <w:p w14:paraId="02E623A5" w14:textId="77777777" w:rsidR="00A523BB" w:rsidRPr="00C87AE9" w:rsidRDefault="00A523BB" w:rsidP="005E5C0D">
            <w:pPr>
              <w:pStyle w:val="cuatexto"/>
              <w:jc w:val="right"/>
            </w:pPr>
            <w:r w:rsidRPr="00C87AE9">
              <w:t>3.955.376</w:t>
            </w:r>
          </w:p>
        </w:tc>
        <w:tc>
          <w:tcPr>
            <w:tcW w:w="1066" w:type="pct"/>
            <w:tcBorders>
              <w:top w:val="single" w:sz="2" w:space="0" w:color="auto"/>
              <w:left w:val="nil"/>
              <w:bottom w:val="single" w:sz="2" w:space="0" w:color="auto"/>
              <w:right w:val="nil"/>
            </w:tcBorders>
            <w:noWrap/>
            <w:vAlign w:val="center"/>
          </w:tcPr>
          <w:p w14:paraId="51F221F2" w14:textId="77777777" w:rsidR="00A523BB" w:rsidRPr="00C87AE9" w:rsidRDefault="00A523BB" w:rsidP="005E5C0D">
            <w:pPr>
              <w:pStyle w:val="cuatexto"/>
              <w:jc w:val="right"/>
            </w:pPr>
          </w:p>
        </w:tc>
      </w:tr>
      <w:tr w:rsidR="00A523BB" w14:paraId="185B8E25" w14:textId="77777777" w:rsidTr="007728A2">
        <w:trPr>
          <w:trHeight w:val="198"/>
          <w:jc w:val="center"/>
        </w:trPr>
        <w:tc>
          <w:tcPr>
            <w:tcW w:w="2650" w:type="pct"/>
            <w:tcBorders>
              <w:top w:val="single" w:sz="2" w:space="0" w:color="auto"/>
              <w:left w:val="nil"/>
              <w:bottom w:val="single" w:sz="4" w:space="0" w:color="auto"/>
              <w:right w:val="nil"/>
            </w:tcBorders>
            <w:noWrap/>
            <w:vAlign w:val="center"/>
            <w:hideMark/>
          </w:tcPr>
          <w:p w14:paraId="7D97947E" w14:textId="77777777" w:rsidR="00A523BB" w:rsidRPr="00C87AE9" w:rsidRDefault="00A523BB" w:rsidP="00C87AE9">
            <w:pPr>
              <w:pStyle w:val="cuatexto"/>
            </w:pPr>
            <w:r w:rsidRPr="00C87AE9">
              <w:t>Derechos difícil recaudación</w:t>
            </w:r>
          </w:p>
        </w:tc>
        <w:tc>
          <w:tcPr>
            <w:tcW w:w="1284" w:type="pct"/>
            <w:tcBorders>
              <w:top w:val="single" w:sz="2" w:space="0" w:color="auto"/>
              <w:left w:val="nil"/>
              <w:bottom w:val="single" w:sz="4" w:space="0" w:color="auto"/>
              <w:right w:val="nil"/>
            </w:tcBorders>
            <w:noWrap/>
            <w:vAlign w:val="center"/>
          </w:tcPr>
          <w:p w14:paraId="3B28AB4C" w14:textId="77777777" w:rsidR="00A523BB" w:rsidRPr="00C87AE9" w:rsidRDefault="00A523BB" w:rsidP="005E5C0D">
            <w:pPr>
              <w:pStyle w:val="cuatexto"/>
              <w:jc w:val="right"/>
            </w:pPr>
            <w:r w:rsidRPr="00C87AE9">
              <w:t>234.531</w:t>
            </w:r>
          </w:p>
        </w:tc>
        <w:tc>
          <w:tcPr>
            <w:tcW w:w="1066" w:type="pct"/>
            <w:tcBorders>
              <w:top w:val="single" w:sz="2" w:space="0" w:color="auto"/>
              <w:left w:val="nil"/>
              <w:bottom w:val="single" w:sz="4" w:space="0" w:color="auto"/>
              <w:right w:val="nil"/>
            </w:tcBorders>
            <w:noWrap/>
            <w:vAlign w:val="center"/>
          </w:tcPr>
          <w:p w14:paraId="22405076" w14:textId="77777777" w:rsidR="00A523BB" w:rsidRPr="00C87AE9" w:rsidRDefault="00A523BB" w:rsidP="005E5C0D">
            <w:pPr>
              <w:pStyle w:val="cuatexto"/>
              <w:jc w:val="right"/>
            </w:pPr>
          </w:p>
        </w:tc>
      </w:tr>
      <w:tr w:rsidR="00614DC4" w:rsidRPr="007728A2" w14:paraId="676B728B" w14:textId="77777777" w:rsidTr="007728A2">
        <w:trPr>
          <w:trHeight w:val="198"/>
          <w:jc w:val="center"/>
        </w:trPr>
        <w:tc>
          <w:tcPr>
            <w:tcW w:w="3934" w:type="pct"/>
            <w:gridSpan w:val="2"/>
            <w:tcBorders>
              <w:top w:val="single" w:sz="4" w:space="0" w:color="auto"/>
              <w:left w:val="nil"/>
              <w:bottom w:val="single" w:sz="4" w:space="0" w:color="auto"/>
              <w:right w:val="nil"/>
            </w:tcBorders>
            <w:noWrap/>
            <w:vAlign w:val="center"/>
            <w:hideMark/>
          </w:tcPr>
          <w:p w14:paraId="0B68DBAA" w14:textId="77777777" w:rsidR="00614DC4" w:rsidRPr="007728A2" w:rsidRDefault="00614DC4" w:rsidP="00C87AE9">
            <w:pPr>
              <w:pStyle w:val="cuatexto"/>
              <w:rPr>
                <w:b/>
              </w:rPr>
            </w:pPr>
            <w:r w:rsidRPr="007728A2">
              <w:rPr>
                <w:b/>
              </w:rPr>
              <w:t>- Obligaciones pendientes de pago</w:t>
            </w:r>
          </w:p>
        </w:tc>
        <w:tc>
          <w:tcPr>
            <w:tcW w:w="1066" w:type="pct"/>
            <w:tcBorders>
              <w:top w:val="single" w:sz="4" w:space="0" w:color="auto"/>
              <w:left w:val="nil"/>
              <w:bottom w:val="single" w:sz="4" w:space="0" w:color="auto"/>
              <w:right w:val="nil"/>
            </w:tcBorders>
            <w:noWrap/>
            <w:vAlign w:val="center"/>
          </w:tcPr>
          <w:p w14:paraId="50BFC167" w14:textId="77777777" w:rsidR="00614DC4" w:rsidRPr="007728A2" w:rsidRDefault="009079F8" w:rsidP="005E5C0D">
            <w:pPr>
              <w:pStyle w:val="cuatexto"/>
              <w:jc w:val="right"/>
              <w:rPr>
                <w:b/>
              </w:rPr>
            </w:pPr>
            <w:r w:rsidRPr="007728A2">
              <w:rPr>
                <w:b/>
              </w:rPr>
              <w:t>309.406.355</w:t>
            </w:r>
          </w:p>
        </w:tc>
      </w:tr>
      <w:tr w:rsidR="00A523BB" w14:paraId="1D715119" w14:textId="77777777" w:rsidTr="007728A2">
        <w:trPr>
          <w:trHeight w:val="198"/>
          <w:jc w:val="center"/>
        </w:trPr>
        <w:tc>
          <w:tcPr>
            <w:tcW w:w="2650" w:type="pct"/>
            <w:tcBorders>
              <w:top w:val="single" w:sz="4" w:space="0" w:color="auto"/>
              <w:left w:val="nil"/>
              <w:bottom w:val="single" w:sz="2" w:space="0" w:color="auto"/>
              <w:right w:val="nil"/>
            </w:tcBorders>
            <w:noWrap/>
            <w:vAlign w:val="center"/>
            <w:hideMark/>
          </w:tcPr>
          <w:p w14:paraId="20162E71" w14:textId="77777777" w:rsidR="00A523BB" w:rsidRPr="00C87AE9" w:rsidRDefault="00A523BB" w:rsidP="00C87AE9">
            <w:pPr>
              <w:pStyle w:val="cuatexto"/>
            </w:pPr>
            <w:r w:rsidRPr="00C87AE9">
              <w:t>Presupuesto Gastos: ejercicio corriente</w:t>
            </w:r>
          </w:p>
        </w:tc>
        <w:tc>
          <w:tcPr>
            <w:tcW w:w="1284" w:type="pct"/>
            <w:tcBorders>
              <w:top w:val="single" w:sz="4" w:space="0" w:color="auto"/>
              <w:left w:val="nil"/>
              <w:bottom w:val="single" w:sz="2" w:space="0" w:color="auto"/>
              <w:right w:val="nil"/>
            </w:tcBorders>
            <w:noWrap/>
            <w:vAlign w:val="center"/>
          </w:tcPr>
          <w:p w14:paraId="0E0066C4" w14:textId="77777777" w:rsidR="00A523BB" w:rsidRPr="00C87AE9" w:rsidRDefault="009079F8" w:rsidP="005E5C0D">
            <w:pPr>
              <w:pStyle w:val="cuatexto"/>
              <w:jc w:val="right"/>
            </w:pPr>
            <w:r>
              <w:t>276.366.464</w:t>
            </w:r>
          </w:p>
        </w:tc>
        <w:tc>
          <w:tcPr>
            <w:tcW w:w="1066" w:type="pct"/>
            <w:tcBorders>
              <w:top w:val="single" w:sz="4" w:space="0" w:color="auto"/>
              <w:left w:val="nil"/>
              <w:bottom w:val="single" w:sz="2" w:space="0" w:color="auto"/>
              <w:right w:val="nil"/>
            </w:tcBorders>
            <w:noWrap/>
            <w:vAlign w:val="center"/>
          </w:tcPr>
          <w:p w14:paraId="40732C25" w14:textId="77777777" w:rsidR="00A523BB" w:rsidRPr="00C87AE9" w:rsidRDefault="00A523BB" w:rsidP="005E5C0D">
            <w:pPr>
              <w:pStyle w:val="cuatexto"/>
              <w:jc w:val="right"/>
            </w:pPr>
          </w:p>
        </w:tc>
      </w:tr>
      <w:tr w:rsidR="00A523BB" w14:paraId="3D52FAC7" w14:textId="77777777" w:rsidTr="008A0B61">
        <w:trPr>
          <w:trHeight w:val="198"/>
          <w:jc w:val="center"/>
        </w:trPr>
        <w:tc>
          <w:tcPr>
            <w:tcW w:w="2650" w:type="pct"/>
            <w:tcBorders>
              <w:top w:val="single" w:sz="2" w:space="0" w:color="auto"/>
              <w:left w:val="nil"/>
              <w:bottom w:val="single" w:sz="2" w:space="0" w:color="auto"/>
              <w:right w:val="nil"/>
            </w:tcBorders>
            <w:noWrap/>
            <w:vAlign w:val="center"/>
            <w:hideMark/>
          </w:tcPr>
          <w:p w14:paraId="1F40F4C4" w14:textId="77777777" w:rsidR="00A523BB" w:rsidRPr="00C87AE9" w:rsidRDefault="00A523BB" w:rsidP="00C87AE9">
            <w:pPr>
              <w:pStyle w:val="cuatexto"/>
            </w:pPr>
            <w:r w:rsidRPr="00C87AE9">
              <w:t>Presupuesto Gastos: ejercicios cerrados</w:t>
            </w:r>
          </w:p>
        </w:tc>
        <w:tc>
          <w:tcPr>
            <w:tcW w:w="1284" w:type="pct"/>
            <w:tcBorders>
              <w:top w:val="single" w:sz="2" w:space="0" w:color="auto"/>
              <w:left w:val="nil"/>
              <w:bottom w:val="single" w:sz="2" w:space="0" w:color="auto"/>
              <w:right w:val="nil"/>
            </w:tcBorders>
            <w:noWrap/>
            <w:vAlign w:val="center"/>
          </w:tcPr>
          <w:p w14:paraId="19FABE06" w14:textId="77777777" w:rsidR="00A523BB" w:rsidRPr="00C87AE9" w:rsidRDefault="00A523BB" w:rsidP="005E5C0D">
            <w:pPr>
              <w:pStyle w:val="cuatexto"/>
              <w:jc w:val="right"/>
            </w:pPr>
            <w:r w:rsidRPr="00C87AE9">
              <w:t>102.341</w:t>
            </w:r>
          </w:p>
        </w:tc>
        <w:tc>
          <w:tcPr>
            <w:tcW w:w="1066" w:type="pct"/>
            <w:tcBorders>
              <w:top w:val="single" w:sz="2" w:space="0" w:color="auto"/>
              <w:left w:val="nil"/>
              <w:bottom w:val="single" w:sz="2" w:space="0" w:color="auto"/>
              <w:right w:val="nil"/>
            </w:tcBorders>
            <w:noWrap/>
            <w:vAlign w:val="center"/>
          </w:tcPr>
          <w:p w14:paraId="4358B635" w14:textId="77777777" w:rsidR="00A523BB" w:rsidRPr="00C87AE9" w:rsidRDefault="00A523BB" w:rsidP="005E5C0D">
            <w:pPr>
              <w:pStyle w:val="cuatexto"/>
              <w:jc w:val="right"/>
            </w:pPr>
          </w:p>
        </w:tc>
      </w:tr>
      <w:tr w:rsidR="00A523BB" w14:paraId="1813CE61" w14:textId="77777777" w:rsidTr="007728A2">
        <w:trPr>
          <w:trHeight w:val="198"/>
          <w:jc w:val="center"/>
        </w:trPr>
        <w:tc>
          <w:tcPr>
            <w:tcW w:w="2650" w:type="pct"/>
            <w:tcBorders>
              <w:top w:val="single" w:sz="2" w:space="0" w:color="auto"/>
              <w:left w:val="nil"/>
              <w:bottom w:val="single" w:sz="4" w:space="0" w:color="auto"/>
              <w:right w:val="nil"/>
            </w:tcBorders>
            <w:noWrap/>
            <w:vAlign w:val="center"/>
            <w:hideMark/>
          </w:tcPr>
          <w:p w14:paraId="336B70DF" w14:textId="77777777" w:rsidR="00A523BB" w:rsidRPr="00C87AE9" w:rsidRDefault="00A523BB" w:rsidP="00C87AE9">
            <w:pPr>
              <w:pStyle w:val="cuatexto"/>
            </w:pPr>
            <w:r w:rsidRPr="00C87AE9">
              <w:t>Gastos extrapresupuestarios</w:t>
            </w:r>
          </w:p>
        </w:tc>
        <w:tc>
          <w:tcPr>
            <w:tcW w:w="1284" w:type="pct"/>
            <w:tcBorders>
              <w:top w:val="single" w:sz="2" w:space="0" w:color="auto"/>
              <w:left w:val="nil"/>
              <w:bottom w:val="single" w:sz="4" w:space="0" w:color="auto"/>
              <w:right w:val="nil"/>
            </w:tcBorders>
            <w:noWrap/>
            <w:vAlign w:val="center"/>
          </w:tcPr>
          <w:p w14:paraId="3BD5E6EA" w14:textId="77777777" w:rsidR="00A523BB" w:rsidRPr="00C87AE9" w:rsidRDefault="00A523BB" w:rsidP="005E5C0D">
            <w:pPr>
              <w:pStyle w:val="cuatexto"/>
              <w:jc w:val="right"/>
            </w:pPr>
            <w:r w:rsidRPr="00C87AE9">
              <w:t>32.937.550</w:t>
            </w:r>
          </w:p>
        </w:tc>
        <w:tc>
          <w:tcPr>
            <w:tcW w:w="1066" w:type="pct"/>
            <w:tcBorders>
              <w:top w:val="single" w:sz="2" w:space="0" w:color="auto"/>
              <w:left w:val="nil"/>
              <w:bottom w:val="single" w:sz="4" w:space="0" w:color="auto"/>
              <w:right w:val="nil"/>
            </w:tcBorders>
            <w:noWrap/>
            <w:vAlign w:val="center"/>
          </w:tcPr>
          <w:p w14:paraId="180878ED" w14:textId="77777777" w:rsidR="00A523BB" w:rsidRPr="00C87AE9" w:rsidRDefault="00A523BB" w:rsidP="005E5C0D">
            <w:pPr>
              <w:pStyle w:val="cuatexto"/>
              <w:jc w:val="right"/>
            </w:pPr>
          </w:p>
        </w:tc>
      </w:tr>
      <w:tr w:rsidR="00614DC4" w:rsidRPr="007728A2" w14:paraId="5AD774CE" w14:textId="77777777" w:rsidTr="007728A2">
        <w:trPr>
          <w:trHeight w:val="198"/>
          <w:jc w:val="center"/>
        </w:trPr>
        <w:tc>
          <w:tcPr>
            <w:tcW w:w="2650" w:type="pct"/>
            <w:tcBorders>
              <w:top w:val="single" w:sz="4" w:space="0" w:color="auto"/>
              <w:left w:val="nil"/>
              <w:bottom w:val="single" w:sz="4" w:space="0" w:color="auto"/>
              <w:right w:val="nil"/>
            </w:tcBorders>
            <w:noWrap/>
            <w:vAlign w:val="center"/>
            <w:hideMark/>
          </w:tcPr>
          <w:p w14:paraId="4AE10E25" w14:textId="77777777" w:rsidR="00614DC4" w:rsidRPr="007728A2" w:rsidRDefault="00614DC4" w:rsidP="00C87AE9">
            <w:pPr>
              <w:pStyle w:val="cuatexto"/>
              <w:rPr>
                <w:b/>
              </w:rPr>
            </w:pPr>
            <w:r w:rsidRPr="007728A2">
              <w:rPr>
                <w:b/>
              </w:rPr>
              <w:t>+ Fondos líquidos</w:t>
            </w:r>
          </w:p>
        </w:tc>
        <w:tc>
          <w:tcPr>
            <w:tcW w:w="1284" w:type="pct"/>
            <w:tcBorders>
              <w:top w:val="single" w:sz="4" w:space="0" w:color="auto"/>
              <w:left w:val="nil"/>
              <w:bottom w:val="single" w:sz="4" w:space="0" w:color="auto"/>
              <w:right w:val="nil"/>
            </w:tcBorders>
            <w:noWrap/>
            <w:vAlign w:val="center"/>
          </w:tcPr>
          <w:p w14:paraId="36E8700B" w14:textId="77777777" w:rsidR="00614DC4" w:rsidRPr="007728A2" w:rsidRDefault="00614DC4" w:rsidP="00C87AE9">
            <w:pPr>
              <w:pStyle w:val="cuatexto"/>
              <w:rPr>
                <w:b/>
              </w:rPr>
            </w:pPr>
          </w:p>
        </w:tc>
        <w:tc>
          <w:tcPr>
            <w:tcW w:w="1066" w:type="pct"/>
            <w:tcBorders>
              <w:top w:val="single" w:sz="4" w:space="0" w:color="auto"/>
              <w:left w:val="nil"/>
              <w:bottom w:val="single" w:sz="4" w:space="0" w:color="auto"/>
              <w:right w:val="nil"/>
            </w:tcBorders>
            <w:noWrap/>
            <w:vAlign w:val="center"/>
          </w:tcPr>
          <w:p w14:paraId="0E1F1E3B" w14:textId="77777777" w:rsidR="00614DC4" w:rsidRPr="007728A2" w:rsidRDefault="00B403E7" w:rsidP="005E5C0D">
            <w:pPr>
              <w:pStyle w:val="cuatexto"/>
              <w:jc w:val="right"/>
              <w:rPr>
                <w:b/>
              </w:rPr>
            </w:pPr>
            <w:r w:rsidRPr="007728A2">
              <w:rPr>
                <w:b/>
              </w:rPr>
              <w:t>780.227.642</w:t>
            </w:r>
          </w:p>
        </w:tc>
      </w:tr>
      <w:tr w:rsidR="00BC1D5F" w14:paraId="3AF0FB1C" w14:textId="77777777" w:rsidTr="008A0B61">
        <w:trPr>
          <w:trHeight w:val="227"/>
          <w:jc w:val="center"/>
        </w:trPr>
        <w:tc>
          <w:tcPr>
            <w:tcW w:w="2650" w:type="pct"/>
            <w:tcBorders>
              <w:top w:val="single" w:sz="4" w:space="0" w:color="auto"/>
              <w:left w:val="nil"/>
              <w:bottom w:val="single" w:sz="4" w:space="0" w:color="auto"/>
              <w:right w:val="nil"/>
            </w:tcBorders>
            <w:noWrap/>
            <w:vAlign w:val="center"/>
          </w:tcPr>
          <w:p w14:paraId="16A8E598" w14:textId="77777777" w:rsidR="00BC1D5F" w:rsidRPr="00C87AE9" w:rsidRDefault="00BC1D5F" w:rsidP="00C87AE9">
            <w:pPr>
              <w:pStyle w:val="cuatexto"/>
            </w:pPr>
          </w:p>
        </w:tc>
        <w:tc>
          <w:tcPr>
            <w:tcW w:w="1284" w:type="pct"/>
            <w:tcBorders>
              <w:top w:val="single" w:sz="4" w:space="0" w:color="auto"/>
              <w:left w:val="nil"/>
              <w:bottom w:val="single" w:sz="4" w:space="0" w:color="auto"/>
              <w:right w:val="nil"/>
            </w:tcBorders>
            <w:noWrap/>
            <w:vAlign w:val="center"/>
          </w:tcPr>
          <w:p w14:paraId="687CBB21" w14:textId="77777777" w:rsidR="00BC1D5F" w:rsidRPr="00C87AE9" w:rsidRDefault="00BC1D5F" w:rsidP="00C87AE9">
            <w:pPr>
              <w:pStyle w:val="cuatexto"/>
            </w:pPr>
          </w:p>
        </w:tc>
        <w:tc>
          <w:tcPr>
            <w:tcW w:w="1066" w:type="pct"/>
            <w:tcBorders>
              <w:top w:val="single" w:sz="4" w:space="0" w:color="auto"/>
              <w:left w:val="nil"/>
              <w:bottom w:val="single" w:sz="4" w:space="0" w:color="auto"/>
              <w:right w:val="nil"/>
            </w:tcBorders>
            <w:noWrap/>
            <w:vAlign w:val="center"/>
          </w:tcPr>
          <w:p w14:paraId="1423C2B3" w14:textId="77777777" w:rsidR="00BC1D5F" w:rsidRPr="00C87AE9" w:rsidRDefault="00BC1D5F" w:rsidP="005E5C0D">
            <w:pPr>
              <w:pStyle w:val="cuatexto"/>
              <w:jc w:val="right"/>
            </w:pPr>
          </w:p>
        </w:tc>
      </w:tr>
      <w:tr w:rsidR="00614DC4" w14:paraId="4E237785" w14:textId="77777777" w:rsidTr="008A0B61">
        <w:trPr>
          <w:trHeight w:val="255"/>
          <w:jc w:val="center"/>
        </w:trPr>
        <w:tc>
          <w:tcPr>
            <w:tcW w:w="3934" w:type="pct"/>
            <w:gridSpan w:val="2"/>
            <w:tcBorders>
              <w:top w:val="single" w:sz="4" w:space="0" w:color="auto"/>
              <w:left w:val="nil"/>
              <w:bottom w:val="single" w:sz="4" w:space="0" w:color="auto"/>
              <w:right w:val="nil"/>
            </w:tcBorders>
            <w:shd w:val="clear" w:color="auto" w:fill="95B3D7" w:themeFill="accent1" w:themeFillTint="99"/>
            <w:noWrap/>
            <w:vAlign w:val="center"/>
            <w:hideMark/>
          </w:tcPr>
          <w:p w14:paraId="49DE2FD9" w14:textId="77777777" w:rsidR="00614DC4" w:rsidRPr="00C87AE9" w:rsidRDefault="00614DC4" w:rsidP="00BC1D5F">
            <w:pPr>
              <w:pStyle w:val="cuadroCabe"/>
            </w:pPr>
            <w:r w:rsidRPr="00C87AE9">
              <w:t>Remanente de Tesorería Total (1)</w:t>
            </w:r>
          </w:p>
        </w:tc>
        <w:tc>
          <w:tcPr>
            <w:tcW w:w="1066" w:type="pct"/>
            <w:tcBorders>
              <w:top w:val="single" w:sz="4" w:space="0" w:color="auto"/>
              <w:left w:val="nil"/>
              <w:bottom w:val="single" w:sz="4" w:space="0" w:color="auto"/>
              <w:right w:val="nil"/>
            </w:tcBorders>
            <w:shd w:val="clear" w:color="auto" w:fill="95B3D7" w:themeFill="accent1" w:themeFillTint="99"/>
            <w:noWrap/>
            <w:vAlign w:val="center"/>
          </w:tcPr>
          <w:p w14:paraId="6BDE6707" w14:textId="77777777" w:rsidR="00614DC4" w:rsidRPr="00C87AE9" w:rsidRDefault="009079F8" w:rsidP="00BC1D5F">
            <w:pPr>
              <w:pStyle w:val="cuadroCabe"/>
              <w:jc w:val="right"/>
            </w:pPr>
            <w:r>
              <w:t>717.347.414</w:t>
            </w:r>
          </w:p>
        </w:tc>
      </w:tr>
      <w:tr w:rsidR="00A523BB" w:rsidRPr="00BC1D5F" w14:paraId="5BF46486" w14:textId="77777777" w:rsidTr="0034127E">
        <w:trPr>
          <w:trHeight w:val="198"/>
          <w:jc w:val="center"/>
        </w:trPr>
        <w:tc>
          <w:tcPr>
            <w:tcW w:w="2650" w:type="pct"/>
            <w:tcBorders>
              <w:top w:val="single" w:sz="4" w:space="0" w:color="auto"/>
              <w:left w:val="nil"/>
              <w:bottom w:val="single" w:sz="2" w:space="0" w:color="auto"/>
              <w:right w:val="nil"/>
            </w:tcBorders>
            <w:noWrap/>
            <w:vAlign w:val="center"/>
            <w:hideMark/>
          </w:tcPr>
          <w:p w14:paraId="41AD0C72" w14:textId="77777777" w:rsidR="00A523BB" w:rsidRPr="00BC1D5F" w:rsidRDefault="00A523BB" w:rsidP="00BC1D5F">
            <w:pPr>
              <w:pStyle w:val="cuatexto"/>
            </w:pPr>
            <w:r w:rsidRPr="00BC1D5F">
              <w:t>R.T. afecto a Fondo Haciendas Locales</w:t>
            </w:r>
          </w:p>
        </w:tc>
        <w:tc>
          <w:tcPr>
            <w:tcW w:w="1284" w:type="pct"/>
            <w:tcBorders>
              <w:top w:val="single" w:sz="4" w:space="0" w:color="auto"/>
              <w:left w:val="nil"/>
              <w:bottom w:val="single" w:sz="2" w:space="0" w:color="auto"/>
              <w:right w:val="nil"/>
            </w:tcBorders>
            <w:noWrap/>
            <w:vAlign w:val="center"/>
          </w:tcPr>
          <w:p w14:paraId="26C3572B" w14:textId="77777777" w:rsidR="00A523BB" w:rsidRPr="00BC1D5F" w:rsidRDefault="00A523BB" w:rsidP="00BC1D5F">
            <w:pPr>
              <w:pStyle w:val="cuatexto"/>
              <w:jc w:val="right"/>
            </w:pPr>
            <w:r w:rsidRPr="00BC1D5F">
              <w:t>13.552.788</w:t>
            </w:r>
          </w:p>
        </w:tc>
        <w:tc>
          <w:tcPr>
            <w:tcW w:w="1066" w:type="pct"/>
            <w:tcBorders>
              <w:top w:val="single" w:sz="4" w:space="0" w:color="auto"/>
              <w:left w:val="nil"/>
              <w:bottom w:val="single" w:sz="2" w:space="0" w:color="auto"/>
              <w:right w:val="nil"/>
            </w:tcBorders>
            <w:noWrap/>
            <w:vAlign w:val="center"/>
          </w:tcPr>
          <w:p w14:paraId="2EF3D9B9" w14:textId="77777777" w:rsidR="00A523BB" w:rsidRPr="00BC1D5F" w:rsidRDefault="00A523BB" w:rsidP="00BC1D5F">
            <w:pPr>
              <w:pStyle w:val="cuatexto"/>
            </w:pPr>
          </w:p>
        </w:tc>
      </w:tr>
      <w:tr w:rsidR="005E798F" w:rsidRPr="005E798F" w14:paraId="78B28A26" w14:textId="77777777" w:rsidTr="0034127E">
        <w:trPr>
          <w:trHeight w:val="198"/>
          <w:jc w:val="center"/>
        </w:trPr>
        <w:tc>
          <w:tcPr>
            <w:tcW w:w="2650" w:type="pct"/>
            <w:tcBorders>
              <w:top w:val="single" w:sz="2" w:space="0" w:color="auto"/>
              <w:left w:val="nil"/>
              <w:bottom w:val="single" w:sz="2" w:space="0" w:color="auto"/>
              <w:right w:val="nil"/>
            </w:tcBorders>
            <w:noWrap/>
            <w:vAlign w:val="center"/>
            <w:hideMark/>
          </w:tcPr>
          <w:p w14:paraId="49C14C1C" w14:textId="77777777" w:rsidR="00A523BB" w:rsidRPr="005E798F" w:rsidRDefault="00A523BB" w:rsidP="00BC1D5F">
            <w:pPr>
              <w:pStyle w:val="cuatexto"/>
            </w:pPr>
            <w:r w:rsidRPr="005E798F">
              <w:t>Desviaciones de financiación acumuladas positivas</w:t>
            </w:r>
          </w:p>
        </w:tc>
        <w:tc>
          <w:tcPr>
            <w:tcW w:w="1284" w:type="pct"/>
            <w:tcBorders>
              <w:top w:val="single" w:sz="2" w:space="0" w:color="auto"/>
              <w:left w:val="nil"/>
              <w:bottom w:val="single" w:sz="2" w:space="0" w:color="auto"/>
              <w:right w:val="nil"/>
            </w:tcBorders>
            <w:noWrap/>
            <w:vAlign w:val="center"/>
          </w:tcPr>
          <w:p w14:paraId="1791A970" w14:textId="77777777" w:rsidR="00A523BB" w:rsidRPr="005E798F" w:rsidRDefault="00A523BB" w:rsidP="00BC1D5F">
            <w:pPr>
              <w:pStyle w:val="cuatexto"/>
              <w:jc w:val="right"/>
            </w:pPr>
            <w:r w:rsidRPr="005E798F">
              <w:t>485.256.197</w:t>
            </w:r>
          </w:p>
        </w:tc>
        <w:tc>
          <w:tcPr>
            <w:tcW w:w="1066" w:type="pct"/>
            <w:tcBorders>
              <w:top w:val="single" w:sz="2" w:space="0" w:color="auto"/>
              <w:left w:val="nil"/>
              <w:bottom w:val="single" w:sz="2" w:space="0" w:color="auto"/>
              <w:right w:val="nil"/>
            </w:tcBorders>
            <w:noWrap/>
            <w:vAlign w:val="center"/>
          </w:tcPr>
          <w:p w14:paraId="4A1DEA4E" w14:textId="77777777" w:rsidR="00A523BB" w:rsidRPr="005E798F" w:rsidRDefault="00A523BB" w:rsidP="00BC1D5F">
            <w:pPr>
              <w:pStyle w:val="cuatexto"/>
            </w:pPr>
          </w:p>
        </w:tc>
      </w:tr>
      <w:tr w:rsidR="00CF00B6" w:rsidRPr="00CF00B6" w14:paraId="0FF16D3D" w14:textId="77777777" w:rsidTr="0034127E">
        <w:trPr>
          <w:trHeight w:val="198"/>
          <w:jc w:val="center"/>
        </w:trPr>
        <w:tc>
          <w:tcPr>
            <w:tcW w:w="2650" w:type="pct"/>
            <w:tcBorders>
              <w:top w:val="single" w:sz="2" w:space="0" w:color="auto"/>
              <w:left w:val="nil"/>
              <w:bottom w:val="single" w:sz="2" w:space="0" w:color="auto"/>
              <w:right w:val="nil"/>
            </w:tcBorders>
            <w:noWrap/>
            <w:vAlign w:val="center"/>
            <w:hideMark/>
          </w:tcPr>
          <w:p w14:paraId="746ACF82" w14:textId="77777777" w:rsidR="00A523BB" w:rsidRPr="00CF00B6" w:rsidRDefault="00A523BB" w:rsidP="00BC1D5F">
            <w:pPr>
              <w:pStyle w:val="cuatexto"/>
            </w:pPr>
            <w:r w:rsidRPr="00CF00B6">
              <w:t>R.T. afecto 0,7% IRPF</w:t>
            </w:r>
          </w:p>
        </w:tc>
        <w:tc>
          <w:tcPr>
            <w:tcW w:w="1284" w:type="pct"/>
            <w:tcBorders>
              <w:top w:val="single" w:sz="2" w:space="0" w:color="auto"/>
              <w:left w:val="nil"/>
              <w:bottom w:val="single" w:sz="2" w:space="0" w:color="auto"/>
              <w:right w:val="nil"/>
            </w:tcBorders>
            <w:noWrap/>
            <w:vAlign w:val="center"/>
          </w:tcPr>
          <w:p w14:paraId="40A7AA3C" w14:textId="77777777" w:rsidR="00A523BB" w:rsidRPr="00CF00B6" w:rsidRDefault="00A523BB" w:rsidP="00BC1D5F">
            <w:pPr>
              <w:pStyle w:val="cuatexto"/>
              <w:jc w:val="right"/>
            </w:pPr>
            <w:r w:rsidRPr="00CF00B6">
              <w:t>1.290.633</w:t>
            </w:r>
          </w:p>
        </w:tc>
        <w:tc>
          <w:tcPr>
            <w:tcW w:w="1066" w:type="pct"/>
            <w:tcBorders>
              <w:top w:val="single" w:sz="2" w:space="0" w:color="auto"/>
              <w:left w:val="nil"/>
              <w:bottom w:val="single" w:sz="2" w:space="0" w:color="auto"/>
              <w:right w:val="nil"/>
            </w:tcBorders>
            <w:noWrap/>
            <w:vAlign w:val="center"/>
          </w:tcPr>
          <w:p w14:paraId="7B3A8AF2" w14:textId="77777777" w:rsidR="00A523BB" w:rsidRPr="00CF00B6" w:rsidRDefault="00A523BB" w:rsidP="00BC1D5F">
            <w:pPr>
              <w:pStyle w:val="cuatexto"/>
            </w:pPr>
          </w:p>
        </w:tc>
      </w:tr>
      <w:tr w:rsidR="00CF00B6" w:rsidRPr="00CF00B6" w14:paraId="63874BA6" w14:textId="77777777" w:rsidTr="008A0B61">
        <w:trPr>
          <w:trHeight w:val="198"/>
          <w:jc w:val="center"/>
        </w:trPr>
        <w:tc>
          <w:tcPr>
            <w:tcW w:w="2650" w:type="pct"/>
            <w:tcBorders>
              <w:top w:val="single" w:sz="2" w:space="0" w:color="auto"/>
              <w:left w:val="nil"/>
              <w:bottom w:val="single" w:sz="2" w:space="0" w:color="auto"/>
              <w:right w:val="nil"/>
            </w:tcBorders>
            <w:noWrap/>
            <w:vAlign w:val="center"/>
            <w:hideMark/>
          </w:tcPr>
          <w:p w14:paraId="3BF8726F" w14:textId="77777777" w:rsidR="00A523BB" w:rsidRPr="00CF00B6" w:rsidRDefault="00A523BB" w:rsidP="00BC1D5F">
            <w:pPr>
              <w:pStyle w:val="cuatexto"/>
            </w:pPr>
            <w:r w:rsidRPr="00CF00B6">
              <w:t>R.T. Fondo de Residuos</w:t>
            </w:r>
          </w:p>
        </w:tc>
        <w:tc>
          <w:tcPr>
            <w:tcW w:w="1284" w:type="pct"/>
            <w:tcBorders>
              <w:top w:val="single" w:sz="2" w:space="0" w:color="auto"/>
              <w:left w:val="nil"/>
              <w:bottom w:val="single" w:sz="2" w:space="0" w:color="auto"/>
              <w:right w:val="nil"/>
            </w:tcBorders>
            <w:noWrap/>
            <w:vAlign w:val="center"/>
          </w:tcPr>
          <w:p w14:paraId="454AEBC8" w14:textId="77777777" w:rsidR="00A523BB" w:rsidRPr="00CF00B6" w:rsidRDefault="00A523BB" w:rsidP="00BC1D5F">
            <w:pPr>
              <w:pStyle w:val="cuatexto"/>
              <w:jc w:val="right"/>
            </w:pPr>
            <w:r w:rsidRPr="00CF00B6">
              <w:t>19.938.817</w:t>
            </w:r>
          </w:p>
        </w:tc>
        <w:tc>
          <w:tcPr>
            <w:tcW w:w="1066" w:type="pct"/>
            <w:tcBorders>
              <w:top w:val="single" w:sz="2" w:space="0" w:color="auto"/>
              <w:left w:val="nil"/>
              <w:bottom w:val="single" w:sz="2" w:space="0" w:color="auto"/>
              <w:right w:val="nil"/>
            </w:tcBorders>
            <w:noWrap/>
            <w:vAlign w:val="center"/>
          </w:tcPr>
          <w:p w14:paraId="6644413A" w14:textId="77777777" w:rsidR="00A523BB" w:rsidRPr="00CF00B6" w:rsidRDefault="00A523BB" w:rsidP="00BC1D5F">
            <w:pPr>
              <w:pStyle w:val="cuatexto"/>
            </w:pPr>
          </w:p>
        </w:tc>
      </w:tr>
      <w:tr w:rsidR="00AF2695" w:rsidRPr="00AF2695" w14:paraId="660BEDEE" w14:textId="77777777" w:rsidTr="008A0B61">
        <w:trPr>
          <w:trHeight w:val="198"/>
          <w:jc w:val="center"/>
        </w:trPr>
        <w:tc>
          <w:tcPr>
            <w:tcW w:w="2650" w:type="pct"/>
            <w:tcBorders>
              <w:top w:val="single" w:sz="2" w:space="0" w:color="auto"/>
              <w:left w:val="nil"/>
              <w:bottom w:val="single" w:sz="4" w:space="0" w:color="auto"/>
              <w:right w:val="nil"/>
            </w:tcBorders>
            <w:noWrap/>
            <w:vAlign w:val="center"/>
          </w:tcPr>
          <w:p w14:paraId="586E09A0" w14:textId="77777777" w:rsidR="00B403E7" w:rsidRPr="00AF2695" w:rsidRDefault="00A523BB" w:rsidP="00BC1D5F">
            <w:pPr>
              <w:pStyle w:val="cuatexto"/>
            </w:pPr>
            <w:r w:rsidRPr="00AF2695">
              <w:t>R.T. Fondo Climático</w:t>
            </w:r>
          </w:p>
        </w:tc>
        <w:tc>
          <w:tcPr>
            <w:tcW w:w="1284" w:type="pct"/>
            <w:tcBorders>
              <w:top w:val="single" w:sz="2" w:space="0" w:color="auto"/>
              <w:left w:val="nil"/>
              <w:bottom w:val="single" w:sz="4" w:space="0" w:color="auto"/>
              <w:right w:val="nil"/>
            </w:tcBorders>
            <w:noWrap/>
            <w:vAlign w:val="center"/>
          </w:tcPr>
          <w:p w14:paraId="107435AA" w14:textId="77777777" w:rsidR="00B403E7" w:rsidRPr="00AF2695" w:rsidRDefault="00A97A43" w:rsidP="00BC1D5F">
            <w:pPr>
              <w:pStyle w:val="cuatexto"/>
              <w:jc w:val="right"/>
            </w:pPr>
            <w:r w:rsidRPr="00AF2695">
              <w:t xml:space="preserve">    </w:t>
            </w:r>
            <w:r w:rsidR="00A523BB" w:rsidRPr="00AF2695">
              <w:t>845.983</w:t>
            </w:r>
          </w:p>
        </w:tc>
        <w:tc>
          <w:tcPr>
            <w:tcW w:w="1066" w:type="pct"/>
            <w:tcBorders>
              <w:top w:val="single" w:sz="2" w:space="0" w:color="auto"/>
              <w:left w:val="nil"/>
              <w:bottom w:val="single" w:sz="4" w:space="0" w:color="auto"/>
              <w:right w:val="nil"/>
            </w:tcBorders>
            <w:noWrap/>
            <w:vAlign w:val="center"/>
          </w:tcPr>
          <w:p w14:paraId="553B7BDF" w14:textId="77777777" w:rsidR="00B403E7" w:rsidRPr="00AF2695" w:rsidRDefault="00B403E7" w:rsidP="00BC1D5F">
            <w:pPr>
              <w:pStyle w:val="cuatexto"/>
            </w:pPr>
          </w:p>
        </w:tc>
      </w:tr>
      <w:tr w:rsidR="00614DC4" w14:paraId="5B0C8EFD" w14:textId="77777777" w:rsidTr="0034127E">
        <w:trPr>
          <w:trHeight w:val="255"/>
          <w:jc w:val="center"/>
        </w:trPr>
        <w:tc>
          <w:tcPr>
            <w:tcW w:w="3934" w:type="pct"/>
            <w:gridSpan w:val="2"/>
            <w:tcBorders>
              <w:top w:val="single" w:sz="4" w:space="0" w:color="auto"/>
              <w:left w:val="nil"/>
              <w:bottom w:val="single" w:sz="4" w:space="0" w:color="auto"/>
              <w:right w:val="nil"/>
            </w:tcBorders>
            <w:shd w:val="clear" w:color="auto" w:fill="95B3D7" w:themeFill="accent1" w:themeFillTint="99"/>
            <w:noWrap/>
            <w:vAlign w:val="center"/>
            <w:hideMark/>
          </w:tcPr>
          <w:p w14:paraId="72B3AE15" w14:textId="77777777" w:rsidR="00614DC4" w:rsidRPr="00C87AE9" w:rsidRDefault="00614DC4" w:rsidP="00BC1D5F">
            <w:pPr>
              <w:pStyle w:val="cuadroCabe"/>
            </w:pPr>
            <w:r w:rsidRPr="00C87AE9">
              <w:t>Remanente de Tesorería afecto (2)</w:t>
            </w:r>
          </w:p>
        </w:tc>
        <w:tc>
          <w:tcPr>
            <w:tcW w:w="1066" w:type="pct"/>
            <w:tcBorders>
              <w:top w:val="single" w:sz="4" w:space="0" w:color="auto"/>
              <w:left w:val="nil"/>
              <w:bottom w:val="single" w:sz="4" w:space="0" w:color="auto"/>
              <w:right w:val="nil"/>
            </w:tcBorders>
            <w:shd w:val="clear" w:color="auto" w:fill="95B3D7" w:themeFill="accent1" w:themeFillTint="99"/>
            <w:noWrap/>
            <w:vAlign w:val="center"/>
          </w:tcPr>
          <w:p w14:paraId="722A47AC" w14:textId="77777777" w:rsidR="00614DC4" w:rsidRPr="00C87AE9" w:rsidRDefault="00A523BB" w:rsidP="00BC1D5F">
            <w:pPr>
              <w:pStyle w:val="cuadroCabe"/>
              <w:jc w:val="right"/>
            </w:pPr>
            <w:r w:rsidRPr="00C87AE9">
              <w:t>520.884.418</w:t>
            </w:r>
          </w:p>
        </w:tc>
      </w:tr>
      <w:tr w:rsidR="00614DC4" w14:paraId="3AD8B6A1" w14:textId="77777777" w:rsidTr="0034127E">
        <w:trPr>
          <w:trHeight w:val="255"/>
          <w:jc w:val="center"/>
        </w:trPr>
        <w:tc>
          <w:tcPr>
            <w:tcW w:w="3934" w:type="pct"/>
            <w:gridSpan w:val="2"/>
            <w:tcBorders>
              <w:top w:val="single" w:sz="4" w:space="0" w:color="auto"/>
              <w:left w:val="nil"/>
              <w:bottom w:val="single" w:sz="4" w:space="0" w:color="auto"/>
              <w:right w:val="nil"/>
            </w:tcBorders>
            <w:shd w:val="clear" w:color="auto" w:fill="95B3D7" w:themeFill="accent1" w:themeFillTint="99"/>
            <w:noWrap/>
            <w:vAlign w:val="center"/>
            <w:hideMark/>
          </w:tcPr>
          <w:p w14:paraId="0BD66358" w14:textId="77777777" w:rsidR="00614DC4" w:rsidRPr="00C87AE9" w:rsidRDefault="00614DC4" w:rsidP="00BC1D5F">
            <w:pPr>
              <w:pStyle w:val="cuadroCabe"/>
            </w:pPr>
            <w:r w:rsidRPr="00C87AE9">
              <w:t>Remanente de Tesorería gastos generales (1) – (2)</w:t>
            </w:r>
          </w:p>
        </w:tc>
        <w:tc>
          <w:tcPr>
            <w:tcW w:w="1066" w:type="pct"/>
            <w:tcBorders>
              <w:top w:val="single" w:sz="4" w:space="0" w:color="auto"/>
              <w:left w:val="nil"/>
              <w:bottom w:val="single" w:sz="4" w:space="0" w:color="auto"/>
              <w:right w:val="nil"/>
            </w:tcBorders>
            <w:shd w:val="clear" w:color="auto" w:fill="95B3D7" w:themeFill="accent1" w:themeFillTint="99"/>
            <w:noWrap/>
            <w:vAlign w:val="center"/>
          </w:tcPr>
          <w:p w14:paraId="3AADDBDE" w14:textId="77777777" w:rsidR="00614DC4" w:rsidRPr="00C87AE9" w:rsidRDefault="009079F8" w:rsidP="00BC1D5F">
            <w:pPr>
              <w:pStyle w:val="cuadroCabe"/>
              <w:jc w:val="right"/>
            </w:pPr>
            <w:r>
              <w:t>196.462.996</w:t>
            </w:r>
          </w:p>
        </w:tc>
      </w:tr>
    </w:tbl>
    <w:p w14:paraId="26E3164E" w14:textId="77777777" w:rsidR="00614DC4" w:rsidRDefault="00614DC4" w:rsidP="00614DC4">
      <w:pPr>
        <w:tabs>
          <w:tab w:val="center" w:pos="2835"/>
          <w:tab w:val="center" w:pos="3969"/>
          <w:tab w:val="center" w:pos="5103"/>
          <w:tab w:val="center" w:pos="6237"/>
          <w:tab w:val="center" w:pos="7371"/>
        </w:tabs>
        <w:ind w:firstLine="284"/>
        <w:rPr>
          <w:spacing w:val="6"/>
          <w:sz w:val="26"/>
        </w:rPr>
      </w:pPr>
    </w:p>
    <w:p w14:paraId="70DB83AD" w14:textId="77777777" w:rsidR="00614DC4" w:rsidRDefault="00614DC4" w:rsidP="00614DC4">
      <w:pPr>
        <w:pStyle w:val="texto"/>
        <w:ind w:firstLine="0"/>
      </w:pPr>
      <w:r>
        <w:br w:type="page"/>
      </w:r>
      <w:bookmarkStart w:id="63" w:name="_Toc52267364"/>
      <w:bookmarkStart w:id="64" w:name="_Toc525907435"/>
      <w:bookmarkStart w:id="65" w:name="_Toc494270378"/>
      <w:bookmarkStart w:id="66" w:name="_Toc463350244"/>
      <w:bookmarkStart w:id="67" w:name="_Toc399859619"/>
      <w:r>
        <w:rPr>
          <w:rFonts w:ascii="Arial" w:hAnsi="Arial" w:cs="Arial"/>
          <w:sz w:val="25"/>
          <w:szCs w:val="25"/>
        </w:rPr>
        <w:lastRenderedPageBreak/>
        <w:t xml:space="preserve">Balance de situación a 31 de diciembre de </w:t>
      </w:r>
      <w:bookmarkEnd w:id="63"/>
      <w:bookmarkEnd w:id="64"/>
      <w:bookmarkEnd w:id="65"/>
      <w:bookmarkEnd w:id="66"/>
      <w:bookmarkEnd w:id="67"/>
      <w:r>
        <w:rPr>
          <w:rFonts w:ascii="Arial" w:hAnsi="Arial" w:cs="Arial"/>
          <w:sz w:val="25"/>
          <w:szCs w:val="25"/>
        </w:rPr>
        <w:t>202</w:t>
      </w:r>
      <w:r w:rsidR="00802F88">
        <w:rPr>
          <w:rFonts w:ascii="Arial" w:hAnsi="Arial" w:cs="Arial"/>
          <w:sz w:val="25"/>
          <w:szCs w:val="25"/>
        </w:rPr>
        <w:t>3</w:t>
      </w:r>
    </w:p>
    <w:p w14:paraId="30577FC8" w14:textId="77777777" w:rsidR="00614DC4" w:rsidRDefault="00614DC4" w:rsidP="00614DC4">
      <w:pPr>
        <w:suppressAutoHyphens/>
        <w:spacing w:after="60"/>
        <w:jc w:val="right"/>
        <w:rPr>
          <w:rFonts w:ascii="Arial" w:hAnsi="Arial"/>
          <w:spacing w:val="6"/>
          <w:sz w:val="17"/>
          <w:szCs w:val="17"/>
        </w:rPr>
      </w:pPr>
      <w:r>
        <w:rPr>
          <w:rFonts w:ascii="Arial" w:hAnsi="Arial"/>
          <w:spacing w:val="6"/>
          <w:sz w:val="17"/>
          <w:szCs w:val="17"/>
        </w:rPr>
        <w:t>(en euros)</w:t>
      </w:r>
    </w:p>
    <w:tbl>
      <w:tblPr>
        <w:tblW w:w="5000" w:type="pct"/>
        <w:jc w:val="center"/>
        <w:tblCellMar>
          <w:left w:w="70" w:type="dxa"/>
          <w:right w:w="70" w:type="dxa"/>
        </w:tblCellMar>
        <w:tblLook w:val="04A0" w:firstRow="1" w:lastRow="0" w:firstColumn="1" w:lastColumn="0" w:noHBand="0" w:noVBand="1"/>
      </w:tblPr>
      <w:tblGrid>
        <w:gridCol w:w="5019"/>
        <w:gridCol w:w="1884"/>
        <w:gridCol w:w="1886"/>
      </w:tblGrid>
      <w:tr w:rsidR="00614DC4" w:rsidRPr="005E5C0D" w14:paraId="1AD104B0" w14:textId="77777777" w:rsidTr="007728A2">
        <w:trPr>
          <w:trHeight w:val="255"/>
          <w:jc w:val="center"/>
        </w:trPr>
        <w:tc>
          <w:tcPr>
            <w:tcW w:w="2855" w:type="pct"/>
            <w:tcBorders>
              <w:top w:val="single" w:sz="4" w:space="0" w:color="auto"/>
              <w:left w:val="nil"/>
              <w:bottom w:val="single" w:sz="4" w:space="0" w:color="auto"/>
              <w:right w:val="nil"/>
            </w:tcBorders>
            <w:shd w:val="clear" w:color="auto" w:fill="8DB3E2"/>
            <w:vAlign w:val="center"/>
            <w:hideMark/>
          </w:tcPr>
          <w:p w14:paraId="27CDDFEB" w14:textId="77777777" w:rsidR="00614DC4" w:rsidRPr="005E5C0D" w:rsidRDefault="00614DC4" w:rsidP="008A0B61">
            <w:pPr>
              <w:pStyle w:val="cuadroCabe"/>
            </w:pPr>
            <w:r w:rsidRPr="005E5C0D">
              <w:t>A</w:t>
            </w:r>
            <w:r w:rsidR="008A0B61">
              <w:t>ctivo</w:t>
            </w:r>
          </w:p>
        </w:tc>
        <w:tc>
          <w:tcPr>
            <w:tcW w:w="1072" w:type="pct"/>
            <w:tcBorders>
              <w:top w:val="single" w:sz="4" w:space="0" w:color="auto"/>
              <w:left w:val="nil"/>
              <w:bottom w:val="single" w:sz="4" w:space="0" w:color="auto"/>
            </w:tcBorders>
            <w:shd w:val="clear" w:color="auto" w:fill="8DB3E2"/>
            <w:vAlign w:val="center"/>
            <w:hideMark/>
          </w:tcPr>
          <w:p w14:paraId="2014000F" w14:textId="77777777" w:rsidR="00614DC4" w:rsidRPr="005E5C0D" w:rsidRDefault="00614DC4" w:rsidP="00BC1D5F">
            <w:pPr>
              <w:pStyle w:val="cuadroCabe"/>
              <w:jc w:val="right"/>
            </w:pPr>
            <w:r w:rsidRPr="005E5C0D">
              <w:t>Ejercicio 202</w:t>
            </w:r>
            <w:r w:rsidR="00802F88" w:rsidRPr="005E5C0D">
              <w:t>3</w:t>
            </w:r>
          </w:p>
        </w:tc>
        <w:tc>
          <w:tcPr>
            <w:tcW w:w="1073" w:type="pct"/>
            <w:tcBorders>
              <w:top w:val="single" w:sz="4" w:space="0" w:color="auto"/>
              <w:left w:val="nil"/>
              <w:bottom w:val="single" w:sz="4" w:space="0" w:color="auto"/>
              <w:right w:val="nil"/>
            </w:tcBorders>
            <w:shd w:val="clear" w:color="auto" w:fill="8DB3E2"/>
            <w:vAlign w:val="center"/>
            <w:hideMark/>
          </w:tcPr>
          <w:p w14:paraId="3A52F014" w14:textId="77777777" w:rsidR="00614DC4" w:rsidRPr="005E5C0D" w:rsidRDefault="00614DC4" w:rsidP="003B4290">
            <w:pPr>
              <w:pStyle w:val="cuadroCabe"/>
              <w:jc w:val="right"/>
            </w:pPr>
            <w:r w:rsidRPr="005E5C0D">
              <w:t>Ejercicio 202</w:t>
            </w:r>
            <w:r w:rsidR="00802F88" w:rsidRPr="005E5C0D">
              <w:t>2</w:t>
            </w:r>
          </w:p>
        </w:tc>
      </w:tr>
      <w:tr w:rsidR="006B339E" w:rsidRPr="007728A2" w14:paraId="5174F7F8" w14:textId="77777777" w:rsidTr="00053346">
        <w:trPr>
          <w:trHeight w:val="20"/>
          <w:jc w:val="center"/>
        </w:trPr>
        <w:tc>
          <w:tcPr>
            <w:tcW w:w="2855" w:type="pct"/>
            <w:tcBorders>
              <w:top w:val="single" w:sz="4" w:space="0" w:color="auto"/>
              <w:left w:val="nil"/>
              <w:bottom w:val="single" w:sz="2" w:space="0" w:color="auto"/>
              <w:right w:val="nil"/>
            </w:tcBorders>
            <w:vAlign w:val="center"/>
            <w:hideMark/>
          </w:tcPr>
          <w:p w14:paraId="5FAD8A1C" w14:textId="77777777" w:rsidR="006B339E" w:rsidRPr="007728A2" w:rsidRDefault="006B339E" w:rsidP="005E5C0D">
            <w:pPr>
              <w:pStyle w:val="cuatexto"/>
              <w:rPr>
                <w:b/>
                <w:snapToGrid w:val="0"/>
                <w:szCs w:val="20"/>
              </w:rPr>
            </w:pPr>
            <w:r w:rsidRPr="007728A2">
              <w:rPr>
                <w:b/>
                <w:snapToGrid w:val="0"/>
                <w:szCs w:val="20"/>
              </w:rPr>
              <w:t xml:space="preserve">A) Inmovilizado </w:t>
            </w:r>
          </w:p>
        </w:tc>
        <w:tc>
          <w:tcPr>
            <w:tcW w:w="1072" w:type="pct"/>
            <w:tcBorders>
              <w:top w:val="single" w:sz="4" w:space="0" w:color="auto"/>
              <w:left w:val="nil"/>
              <w:bottom w:val="single" w:sz="2" w:space="0" w:color="auto"/>
            </w:tcBorders>
            <w:shd w:val="clear" w:color="auto" w:fill="auto"/>
            <w:vAlign w:val="center"/>
          </w:tcPr>
          <w:p w14:paraId="1F983A87" w14:textId="77777777" w:rsidR="006B339E" w:rsidRPr="007728A2" w:rsidRDefault="006B339E" w:rsidP="00BC1D5F">
            <w:pPr>
              <w:pStyle w:val="cuatexto"/>
              <w:jc w:val="right"/>
              <w:rPr>
                <w:rFonts w:cs="Calibri"/>
                <w:b/>
                <w:bCs/>
                <w:color w:val="000000"/>
                <w:szCs w:val="20"/>
              </w:rPr>
            </w:pPr>
            <w:r w:rsidRPr="007728A2">
              <w:rPr>
                <w:rFonts w:cs="Calibri"/>
                <w:b/>
                <w:bCs/>
                <w:color w:val="000000"/>
                <w:szCs w:val="20"/>
              </w:rPr>
              <w:t>3.236.205.029</w:t>
            </w:r>
          </w:p>
        </w:tc>
        <w:tc>
          <w:tcPr>
            <w:tcW w:w="1073" w:type="pct"/>
            <w:tcBorders>
              <w:top w:val="single" w:sz="4" w:space="0" w:color="auto"/>
              <w:left w:val="nil"/>
              <w:bottom w:val="single" w:sz="2" w:space="0" w:color="auto"/>
              <w:right w:val="nil"/>
            </w:tcBorders>
            <w:shd w:val="clear" w:color="auto" w:fill="auto"/>
            <w:vAlign w:val="center"/>
          </w:tcPr>
          <w:p w14:paraId="2E0A052A" w14:textId="77777777" w:rsidR="006B339E" w:rsidRPr="007728A2" w:rsidRDefault="006B339E" w:rsidP="003B4290">
            <w:pPr>
              <w:pStyle w:val="cuatexto"/>
              <w:jc w:val="right"/>
              <w:rPr>
                <w:rFonts w:cs="Calibri"/>
                <w:b/>
                <w:bCs/>
                <w:color w:val="000000"/>
                <w:szCs w:val="20"/>
              </w:rPr>
            </w:pPr>
            <w:r w:rsidRPr="007728A2">
              <w:rPr>
                <w:b/>
                <w:bCs/>
                <w:color w:val="000000"/>
                <w:szCs w:val="20"/>
              </w:rPr>
              <w:t>2.994.265.265</w:t>
            </w:r>
          </w:p>
        </w:tc>
      </w:tr>
      <w:tr w:rsidR="006B339E" w:rsidRPr="006B339E" w14:paraId="7D2A5055" w14:textId="77777777" w:rsidTr="00053346">
        <w:trPr>
          <w:trHeight w:val="20"/>
          <w:jc w:val="center"/>
        </w:trPr>
        <w:tc>
          <w:tcPr>
            <w:tcW w:w="2855" w:type="pct"/>
            <w:tcBorders>
              <w:top w:val="single" w:sz="2" w:space="0" w:color="auto"/>
              <w:left w:val="nil"/>
              <w:bottom w:val="single" w:sz="2" w:space="0" w:color="auto"/>
            </w:tcBorders>
            <w:vAlign w:val="center"/>
            <w:hideMark/>
          </w:tcPr>
          <w:p w14:paraId="0F59CB86" w14:textId="77777777" w:rsidR="006B339E" w:rsidRPr="00D76B08" w:rsidRDefault="006B339E" w:rsidP="005E5C0D">
            <w:pPr>
              <w:pStyle w:val="cuatexto"/>
              <w:rPr>
                <w:snapToGrid w:val="0"/>
                <w:szCs w:val="20"/>
              </w:rPr>
            </w:pPr>
            <w:r w:rsidRPr="00D76B08">
              <w:rPr>
                <w:snapToGrid w:val="0"/>
                <w:szCs w:val="20"/>
              </w:rPr>
              <w:t>II. Inmovilizado inmaterial</w:t>
            </w:r>
          </w:p>
        </w:tc>
        <w:tc>
          <w:tcPr>
            <w:tcW w:w="1072" w:type="pct"/>
            <w:tcBorders>
              <w:top w:val="single" w:sz="2" w:space="0" w:color="auto"/>
              <w:bottom w:val="single" w:sz="2" w:space="0" w:color="auto"/>
            </w:tcBorders>
            <w:shd w:val="clear" w:color="auto" w:fill="auto"/>
            <w:vAlign w:val="center"/>
          </w:tcPr>
          <w:p w14:paraId="02E192C6" w14:textId="77777777" w:rsidR="006B339E" w:rsidRPr="00D76B08" w:rsidRDefault="006B339E" w:rsidP="00BC1D5F">
            <w:pPr>
              <w:pStyle w:val="cuatexto"/>
              <w:jc w:val="right"/>
              <w:rPr>
                <w:rFonts w:cs="Calibri"/>
                <w:bCs/>
                <w:color w:val="000000"/>
                <w:szCs w:val="20"/>
              </w:rPr>
            </w:pPr>
            <w:r w:rsidRPr="00D76B08">
              <w:rPr>
                <w:rFonts w:cs="Calibri"/>
                <w:bCs/>
                <w:color w:val="000000"/>
                <w:szCs w:val="20"/>
              </w:rPr>
              <w:t>87.711.051</w:t>
            </w:r>
          </w:p>
        </w:tc>
        <w:tc>
          <w:tcPr>
            <w:tcW w:w="1073" w:type="pct"/>
            <w:tcBorders>
              <w:top w:val="single" w:sz="2" w:space="0" w:color="auto"/>
              <w:left w:val="nil"/>
              <w:bottom w:val="single" w:sz="2" w:space="0" w:color="auto"/>
              <w:right w:val="nil"/>
            </w:tcBorders>
            <w:shd w:val="clear" w:color="auto" w:fill="auto"/>
            <w:vAlign w:val="center"/>
          </w:tcPr>
          <w:p w14:paraId="22C86729" w14:textId="77777777" w:rsidR="006B339E" w:rsidRPr="00D76B08" w:rsidRDefault="006B339E" w:rsidP="003B4290">
            <w:pPr>
              <w:pStyle w:val="cuatexto"/>
              <w:jc w:val="right"/>
              <w:rPr>
                <w:rFonts w:cs="Calibri"/>
                <w:bCs/>
                <w:color w:val="000000"/>
                <w:szCs w:val="20"/>
              </w:rPr>
            </w:pPr>
            <w:r w:rsidRPr="00D76B08">
              <w:rPr>
                <w:bCs/>
                <w:color w:val="000000"/>
                <w:szCs w:val="20"/>
              </w:rPr>
              <w:t>55.053.462</w:t>
            </w:r>
          </w:p>
        </w:tc>
      </w:tr>
      <w:tr w:rsidR="006B339E" w:rsidRPr="006B339E" w14:paraId="20131547" w14:textId="77777777" w:rsidTr="00053346">
        <w:trPr>
          <w:trHeight w:val="20"/>
          <w:jc w:val="center"/>
        </w:trPr>
        <w:tc>
          <w:tcPr>
            <w:tcW w:w="2855" w:type="pct"/>
            <w:tcBorders>
              <w:top w:val="single" w:sz="2" w:space="0" w:color="auto"/>
              <w:bottom w:val="single" w:sz="2" w:space="0" w:color="auto"/>
            </w:tcBorders>
            <w:vAlign w:val="center"/>
            <w:hideMark/>
          </w:tcPr>
          <w:p w14:paraId="5B58C5D0" w14:textId="77777777" w:rsidR="006B339E" w:rsidRPr="00D76B08" w:rsidRDefault="006B339E" w:rsidP="005E5C0D">
            <w:pPr>
              <w:pStyle w:val="cuatexto"/>
              <w:rPr>
                <w:snapToGrid w:val="0"/>
                <w:szCs w:val="20"/>
              </w:rPr>
            </w:pPr>
            <w:r w:rsidRPr="00D76B08">
              <w:rPr>
                <w:snapToGrid w:val="0"/>
                <w:szCs w:val="20"/>
              </w:rPr>
              <w:t xml:space="preserve">3. Aplicaciones informáticas </w:t>
            </w:r>
          </w:p>
        </w:tc>
        <w:tc>
          <w:tcPr>
            <w:tcW w:w="1072" w:type="pct"/>
            <w:tcBorders>
              <w:top w:val="single" w:sz="2" w:space="0" w:color="auto"/>
              <w:left w:val="nil"/>
              <w:bottom w:val="single" w:sz="2" w:space="0" w:color="auto"/>
            </w:tcBorders>
            <w:shd w:val="clear" w:color="auto" w:fill="auto"/>
            <w:vAlign w:val="center"/>
          </w:tcPr>
          <w:p w14:paraId="77A99CFE" w14:textId="77777777" w:rsidR="006B339E" w:rsidRPr="00D76B08" w:rsidRDefault="006B339E" w:rsidP="00BC1D5F">
            <w:pPr>
              <w:pStyle w:val="cuatexto"/>
              <w:jc w:val="right"/>
              <w:rPr>
                <w:rFonts w:cs="Calibri"/>
                <w:color w:val="000000"/>
                <w:szCs w:val="20"/>
              </w:rPr>
            </w:pPr>
            <w:r w:rsidRPr="00D76B08">
              <w:rPr>
                <w:rFonts w:cs="Calibri"/>
                <w:color w:val="000000"/>
                <w:szCs w:val="20"/>
              </w:rPr>
              <w:t>72.238.965</w:t>
            </w:r>
          </w:p>
        </w:tc>
        <w:tc>
          <w:tcPr>
            <w:tcW w:w="1073" w:type="pct"/>
            <w:tcBorders>
              <w:top w:val="single" w:sz="2" w:space="0" w:color="auto"/>
              <w:left w:val="nil"/>
              <w:bottom w:val="single" w:sz="2" w:space="0" w:color="auto"/>
              <w:right w:val="nil"/>
            </w:tcBorders>
            <w:shd w:val="clear" w:color="auto" w:fill="auto"/>
            <w:vAlign w:val="center"/>
          </w:tcPr>
          <w:p w14:paraId="40F8B3B6" w14:textId="77777777" w:rsidR="006B339E" w:rsidRPr="00D76B08" w:rsidRDefault="006B339E" w:rsidP="003B4290">
            <w:pPr>
              <w:pStyle w:val="cuatexto"/>
              <w:jc w:val="right"/>
              <w:rPr>
                <w:rFonts w:cs="Calibri"/>
                <w:color w:val="000000"/>
                <w:szCs w:val="20"/>
              </w:rPr>
            </w:pPr>
            <w:r w:rsidRPr="00D76B08">
              <w:rPr>
                <w:color w:val="000000"/>
                <w:szCs w:val="20"/>
              </w:rPr>
              <w:t>43.849.120</w:t>
            </w:r>
          </w:p>
        </w:tc>
      </w:tr>
      <w:tr w:rsidR="006B339E" w:rsidRPr="006B339E" w14:paraId="397D24A3" w14:textId="77777777" w:rsidTr="00053346">
        <w:trPr>
          <w:trHeight w:val="20"/>
          <w:jc w:val="center"/>
        </w:trPr>
        <w:tc>
          <w:tcPr>
            <w:tcW w:w="2855" w:type="pct"/>
            <w:tcBorders>
              <w:top w:val="single" w:sz="2" w:space="0" w:color="auto"/>
              <w:left w:val="nil"/>
              <w:bottom w:val="single" w:sz="2" w:space="0" w:color="auto"/>
              <w:right w:val="nil"/>
            </w:tcBorders>
            <w:vAlign w:val="center"/>
            <w:hideMark/>
          </w:tcPr>
          <w:p w14:paraId="1723F533" w14:textId="77777777" w:rsidR="006B339E" w:rsidRPr="00D76B08" w:rsidRDefault="006B339E" w:rsidP="005E5C0D">
            <w:pPr>
              <w:pStyle w:val="cuatexto"/>
              <w:rPr>
                <w:snapToGrid w:val="0"/>
                <w:szCs w:val="20"/>
              </w:rPr>
            </w:pPr>
            <w:r w:rsidRPr="00D76B08">
              <w:rPr>
                <w:snapToGrid w:val="0"/>
                <w:szCs w:val="20"/>
              </w:rPr>
              <w:t>4. Otro inmovilizado intangible</w:t>
            </w:r>
          </w:p>
        </w:tc>
        <w:tc>
          <w:tcPr>
            <w:tcW w:w="1072" w:type="pct"/>
            <w:tcBorders>
              <w:top w:val="single" w:sz="2" w:space="0" w:color="auto"/>
              <w:left w:val="nil"/>
              <w:bottom w:val="single" w:sz="2" w:space="0" w:color="auto"/>
            </w:tcBorders>
            <w:shd w:val="clear" w:color="auto" w:fill="auto"/>
            <w:vAlign w:val="center"/>
          </w:tcPr>
          <w:p w14:paraId="5982660A" w14:textId="77777777" w:rsidR="006B339E" w:rsidRPr="00D76B08" w:rsidRDefault="006B339E" w:rsidP="00BC1D5F">
            <w:pPr>
              <w:pStyle w:val="cuatexto"/>
              <w:jc w:val="right"/>
              <w:rPr>
                <w:rFonts w:cs="Calibri"/>
                <w:color w:val="000000"/>
                <w:szCs w:val="20"/>
              </w:rPr>
            </w:pPr>
            <w:r w:rsidRPr="00D76B08">
              <w:rPr>
                <w:rFonts w:cs="Calibri"/>
                <w:color w:val="000000"/>
                <w:szCs w:val="20"/>
              </w:rPr>
              <w:t>15.472.086</w:t>
            </w:r>
          </w:p>
        </w:tc>
        <w:tc>
          <w:tcPr>
            <w:tcW w:w="1073" w:type="pct"/>
            <w:tcBorders>
              <w:top w:val="single" w:sz="2" w:space="0" w:color="auto"/>
              <w:left w:val="nil"/>
              <w:bottom w:val="single" w:sz="2" w:space="0" w:color="auto"/>
              <w:right w:val="nil"/>
            </w:tcBorders>
            <w:shd w:val="clear" w:color="auto" w:fill="auto"/>
            <w:vAlign w:val="center"/>
          </w:tcPr>
          <w:p w14:paraId="7A917687" w14:textId="77777777" w:rsidR="006B339E" w:rsidRPr="00D76B08" w:rsidRDefault="006B339E" w:rsidP="003B4290">
            <w:pPr>
              <w:pStyle w:val="cuatexto"/>
              <w:jc w:val="right"/>
              <w:rPr>
                <w:rFonts w:cs="Calibri"/>
                <w:color w:val="000000"/>
                <w:szCs w:val="20"/>
              </w:rPr>
            </w:pPr>
            <w:r w:rsidRPr="00D76B08">
              <w:rPr>
                <w:color w:val="000000"/>
                <w:szCs w:val="20"/>
              </w:rPr>
              <w:t>11.204.341</w:t>
            </w:r>
          </w:p>
        </w:tc>
      </w:tr>
      <w:tr w:rsidR="006B339E" w:rsidRPr="006B339E" w14:paraId="06CA746D" w14:textId="77777777" w:rsidTr="00053346">
        <w:trPr>
          <w:trHeight w:val="20"/>
          <w:jc w:val="center"/>
        </w:trPr>
        <w:tc>
          <w:tcPr>
            <w:tcW w:w="2855" w:type="pct"/>
            <w:tcBorders>
              <w:top w:val="single" w:sz="2" w:space="0" w:color="auto"/>
              <w:left w:val="nil"/>
              <w:bottom w:val="single" w:sz="2" w:space="0" w:color="auto"/>
            </w:tcBorders>
            <w:vAlign w:val="center"/>
            <w:hideMark/>
          </w:tcPr>
          <w:p w14:paraId="10F343FB" w14:textId="77777777" w:rsidR="006B339E" w:rsidRPr="00D76B08" w:rsidRDefault="006B339E" w:rsidP="005E5C0D">
            <w:pPr>
              <w:pStyle w:val="cuatexto"/>
              <w:rPr>
                <w:snapToGrid w:val="0"/>
                <w:szCs w:val="20"/>
              </w:rPr>
            </w:pPr>
            <w:r w:rsidRPr="00D76B08">
              <w:rPr>
                <w:snapToGrid w:val="0"/>
                <w:szCs w:val="20"/>
              </w:rPr>
              <w:t>III. Inmovilizaciones materiales</w:t>
            </w:r>
          </w:p>
        </w:tc>
        <w:tc>
          <w:tcPr>
            <w:tcW w:w="1072" w:type="pct"/>
            <w:tcBorders>
              <w:top w:val="single" w:sz="2" w:space="0" w:color="auto"/>
              <w:bottom w:val="single" w:sz="2" w:space="0" w:color="auto"/>
            </w:tcBorders>
            <w:shd w:val="clear" w:color="auto" w:fill="auto"/>
            <w:vAlign w:val="center"/>
          </w:tcPr>
          <w:p w14:paraId="5F83A197" w14:textId="77777777" w:rsidR="006B339E" w:rsidRPr="00D76B08" w:rsidRDefault="006B339E" w:rsidP="00BC1D5F">
            <w:pPr>
              <w:pStyle w:val="cuatexto"/>
              <w:jc w:val="right"/>
              <w:rPr>
                <w:rFonts w:cs="Calibri"/>
                <w:bCs/>
                <w:color w:val="000000"/>
                <w:szCs w:val="20"/>
              </w:rPr>
            </w:pPr>
            <w:r w:rsidRPr="00D76B08">
              <w:rPr>
                <w:rFonts w:cs="Calibri"/>
                <w:bCs/>
                <w:color w:val="000000"/>
                <w:szCs w:val="20"/>
              </w:rPr>
              <w:t>2.450.336.547</w:t>
            </w:r>
          </w:p>
        </w:tc>
        <w:tc>
          <w:tcPr>
            <w:tcW w:w="1073" w:type="pct"/>
            <w:tcBorders>
              <w:top w:val="single" w:sz="2" w:space="0" w:color="auto"/>
              <w:left w:val="nil"/>
              <w:bottom w:val="single" w:sz="2" w:space="0" w:color="auto"/>
              <w:right w:val="nil"/>
            </w:tcBorders>
            <w:shd w:val="clear" w:color="auto" w:fill="auto"/>
            <w:vAlign w:val="center"/>
          </w:tcPr>
          <w:p w14:paraId="57DAFA8A" w14:textId="77777777" w:rsidR="006B339E" w:rsidRPr="00D76B08" w:rsidRDefault="006B339E" w:rsidP="003B4290">
            <w:pPr>
              <w:pStyle w:val="cuatexto"/>
              <w:jc w:val="right"/>
              <w:rPr>
                <w:rFonts w:cs="Calibri"/>
                <w:bCs/>
                <w:color w:val="000000"/>
                <w:szCs w:val="20"/>
              </w:rPr>
            </w:pPr>
            <w:r w:rsidRPr="00D76B08">
              <w:rPr>
                <w:bCs/>
                <w:color w:val="000000"/>
                <w:szCs w:val="20"/>
              </w:rPr>
              <w:t>2.252.270.103</w:t>
            </w:r>
          </w:p>
        </w:tc>
      </w:tr>
      <w:tr w:rsidR="006B339E" w:rsidRPr="006B339E" w14:paraId="4D23EB3D" w14:textId="77777777" w:rsidTr="00053346">
        <w:trPr>
          <w:trHeight w:val="20"/>
          <w:jc w:val="center"/>
        </w:trPr>
        <w:tc>
          <w:tcPr>
            <w:tcW w:w="2855" w:type="pct"/>
            <w:tcBorders>
              <w:top w:val="single" w:sz="2" w:space="0" w:color="auto"/>
              <w:bottom w:val="single" w:sz="2" w:space="0" w:color="auto"/>
            </w:tcBorders>
            <w:vAlign w:val="center"/>
            <w:hideMark/>
          </w:tcPr>
          <w:p w14:paraId="1FE1297B" w14:textId="77777777" w:rsidR="006B339E" w:rsidRPr="00D76B08" w:rsidRDefault="006B339E" w:rsidP="005E5C0D">
            <w:pPr>
              <w:pStyle w:val="cuatexto"/>
              <w:rPr>
                <w:snapToGrid w:val="0"/>
                <w:szCs w:val="20"/>
              </w:rPr>
            </w:pPr>
            <w:r w:rsidRPr="00D76B08">
              <w:rPr>
                <w:snapToGrid w:val="0"/>
                <w:szCs w:val="20"/>
              </w:rPr>
              <w:t xml:space="preserve">1. Terrenos y construcciones </w:t>
            </w:r>
          </w:p>
        </w:tc>
        <w:tc>
          <w:tcPr>
            <w:tcW w:w="1072" w:type="pct"/>
            <w:tcBorders>
              <w:top w:val="single" w:sz="2" w:space="0" w:color="auto"/>
              <w:left w:val="nil"/>
              <w:bottom w:val="single" w:sz="2" w:space="0" w:color="auto"/>
            </w:tcBorders>
            <w:shd w:val="clear" w:color="auto" w:fill="auto"/>
            <w:vAlign w:val="center"/>
          </w:tcPr>
          <w:p w14:paraId="1C0109C9" w14:textId="77777777" w:rsidR="006B339E" w:rsidRPr="00D76B08" w:rsidRDefault="006B339E" w:rsidP="00BC1D5F">
            <w:pPr>
              <w:pStyle w:val="cuatexto"/>
              <w:jc w:val="right"/>
              <w:rPr>
                <w:rFonts w:cs="Calibri"/>
                <w:color w:val="000000"/>
                <w:szCs w:val="20"/>
              </w:rPr>
            </w:pPr>
            <w:r w:rsidRPr="00D76B08">
              <w:rPr>
                <w:rFonts w:cs="Calibri"/>
                <w:color w:val="000000"/>
                <w:szCs w:val="20"/>
              </w:rPr>
              <w:t>1.134.761.095</w:t>
            </w:r>
          </w:p>
        </w:tc>
        <w:tc>
          <w:tcPr>
            <w:tcW w:w="1073" w:type="pct"/>
            <w:tcBorders>
              <w:top w:val="single" w:sz="2" w:space="0" w:color="auto"/>
              <w:left w:val="nil"/>
              <w:bottom w:val="single" w:sz="2" w:space="0" w:color="auto"/>
              <w:right w:val="nil"/>
            </w:tcBorders>
            <w:shd w:val="clear" w:color="auto" w:fill="auto"/>
            <w:vAlign w:val="center"/>
          </w:tcPr>
          <w:p w14:paraId="6EE11D0A" w14:textId="77777777" w:rsidR="006B339E" w:rsidRPr="00D76B08" w:rsidRDefault="006B339E" w:rsidP="003B4290">
            <w:pPr>
              <w:pStyle w:val="cuatexto"/>
              <w:jc w:val="right"/>
              <w:rPr>
                <w:rFonts w:cs="Calibri"/>
                <w:color w:val="000000"/>
                <w:szCs w:val="20"/>
              </w:rPr>
            </w:pPr>
            <w:r w:rsidRPr="00D76B08">
              <w:rPr>
                <w:color w:val="000000"/>
                <w:szCs w:val="20"/>
              </w:rPr>
              <w:t>1.098.303.645</w:t>
            </w:r>
          </w:p>
        </w:tc>
      </w:tr>
      <w:tr w:rsidR="006B339E" w:rsidRPr="006B339E" w14:paraId="75E71065" w14:textId="77777777" w:rsidTr="00053346">
        <w:trPr>
          <w:trHeight w:val="20"/>
          <w:jc w:val="center"/>
        </w:trPr>
        <w:tc>
          <w:tcPr>
            <w:tcW w:w="2855" w:type="pct"/>
            <w:tcBorders>
              <w:top w:val="single" w:sz="2" w:space="0" w:color="auto"/>
              <w:bottom w:val="single" w:sz="2" w:space="0" w:color="auto"/>
            </w:tcBorders>
            <w:vAlign w:val="center"/>
            <w:hideMark/>
          </w:tcPr>
          <w:p w14:paraId="76045E7F" w14:textId="77777777" w:rsidR="006B339E" w:rsidRPr="00D76B08" w:rsidRDefault="006B339E" w:rsidP="005E5C0D">
            <w:pPr>
              <w:pStyle w:val="cuatexto"/>
              <w:rPr>
                <w:snapToGrid w:val="0"/>
                <w:szCs w:val="20"/>
              </w:rPr>
            </w:pPr>
            <w:r w:rsidRPr="00D76B08">
              <w:rPr>
                <w:snapToGrid w:val="0"/>
                <w:szCs w:val="20"/>
              </w:rPr>
              <w:t>2. Instalaciones técnicas y maquinaria</w:t>
            </w:r>
          </w:p>
        </w:tc>
        <w:tc>
          <w:tcPr>
            <w:tcW w:w="1072" w:type="pct"/>
            <w:tcBorders>
              <w:top w:val="single" w:sz="2" w:space="0" w:color="auto"/>
              <w:left w:val="nil"/>
              <w:bottom w:val="single" w:sz="2" w:space="0" w:color="auto"/>
            </w:tcBorders>
            <w:shd w:val="clear" w:color="auto" w:fill="auto"/>
            <w:vAlign w:val="center"/>
          </w:tcPr>
          <w:p w14:paraId="20AA1816" w14:textId="77777777" w:rsidR="006B339E" w:rsidRPr="00D76B08" w:rsidRDefault="006B339E" w:rsidP="00BC1D5F">
            <w:pPr>
              <w:pStyle w:val="cuatexto"/>
              <w:jc w:val="right"/>
              <w:rPr>
                <w:rFonts w:cs="Calibri"/>
                <w:color w:val="000000"/>
                <w:szCs w:val="20"/>
              </w:rPr>
            </w:pPr>
            <w:r w:rsidRPr="00D76B08">
              <w:rPr>
                <w:rFonts w:cs="Calibri"/>
                <w:color w:val="000000"/>
                <w:szCs w:val="20"/>
              </w:rPr>
              <w:t>88.581.963</w:t>
            </w:r>
          </w:p>
        </w:tc>
        <w:tc>
          <w:tcPr>
            <w:tcW w:w="1073" w:type="pct"/>
            <w:tcBorders>
              <w:top w:val="single" w:sz="2" w:space="0" w:color="auto"/>
              <w:left w:val="nil"/>
              <w:bottom w:val="single" w:sz="2" w:space="0" w:color="auto"/>
              <w:right w:val="nil"/>
            </w:tcBorders>
            <w:shd w:val="clear" w:color="auto" w:fill="auto"/>
            <w:vAlign w:val="center"/>
          </w:tcPr>
          <w:p w14:paraId="386AD7D6" w14:textId="77777777" w:rsidR="006B339E" w:rsidRPr="00D76B08" w:rsidRDefault="006B339E" w:rsidP="003B4290">
            <w:pPr>
              <w:pStyle w:val="cuatexto"/>
              <w:jc w:val="right"/>
              <w:rPr>
                <w:rFonts w:cs="Calibri"/>
                <w:color w:val="000000"/>
                <w:szCs w:val="20"/>
              </w:rPr>
            </w:pPr>
            <w:r w:rsidRPr="00D76B08">
              <w:rPr>
                <w:color w:val="000000"/>
                <w:szCs w:val="20"/>
              </w:rPr>
              <w:t>85.493.072</w:t>
            </w:r>
          </w:p>
        </w:tc>
      </w:tr>
      <w:tr w:rsidR="006B339E" w:rsidRPr="006B339E" w14:paraId="3D4B4092" w14:textId="77777777" w:rsidTr="00053346">
        <w:trPr>
          <w:trHeight w:val="20"/>
          <w:jc w:val="center"/>
        </w:trPr>
        <w:tc>
          <w:tcPr>
            <w:tcW w:w="2855" w:type="pct"/>
            <w:tcBorders>
              <w:top w:val="single" w:sz="2" w:space="0" w:color="auto"/>
              <w:bottom w:val="single" w:sz="2" w:space="0" w:color="auto"/>
            </w:tcBorders>
            <w:vAlign w:val="center"/>
            <w:hideMark/>
          </w:tcPr>
          <w:p w14:paraId="3C6CE2DC" w14:textId="77777777" w:rsidR="006B339E" w:rsidRPr="00D76B08" w:rsidRDefault="006B339E" w:rsidP="005E5C0D">
            <w:pPr>
              <w:pStyle w:val="cuatexto"/>
              <w:rPr>
                <w:snapToGrid w:val="0"/>
                <w:szCs w:val="20"/>
              </w:rPr>
            </w:pPr>
            <w:r w:rsidRPr="00D76B08">
              <w:rPr>
                <w:snapToGrid w:val="0"/>
                <w:szCs w:val="20"/>
              </w:rPr>
              <w:t>3. Utillaje y mobiliario</w:t>
            </w:r>
          </w:p>
        </w:tc>
        <w:tc>
          <w:tcPr>
            <w:tcW w:w="1072" w:type="pct"/>
            <w:tcBorders>
              <w:top w:val="single" w:sz="2" w:space="0" w:color="auto"/>
              <w:left w:val="nil"/>
              <w:bottom w:val="single" w:sz="2" w:space="0" w:color="auto"/>
            </w:tcBorders>
            <w:shd w:val="clear" w:color="auto" w:fill="auto"/>
            <w:vAlign w:val="center"/>
          </w:tcPr>
          <w:p w14:paraId="3847E89D" w14:textId="77777777" w:rsidR="006B339E" w:rsidRPr="00D76B08" w:rsidRDefault="006B339E" w:rsidP="00BC1D5F">
            <w:pPr>
              <w:pStyle w:val="cuatexto"/>
              <w:jc w:val="right"/>
              <w:rPr>
                <w:rFonts w:cs="Calibri"/>
                <w:color w:val="000000"/>
                <w:szCs w:val="20"/>
              </w:rPr>
            </w:pPr>
            <w:r w:rsidRPr="00D76B08">
              <w:rPr>
                <w:rFonts w:cs="Calibri"/>
                <w:color w:val="000000"/>
                <w:szCs w:val="20"/>
              </w:rPr>
              <w:t>527.142.427</w:t>
            </w:r>
          </w:p>
        </w:tc>
        <w:tc>
          <w:tcPr>
            <w:tcW w:w="1073" w:type="pct"/>
            <w:tcBorders>
              <w:top w:val="single" w:sz="2" w:space="0" w:color="auto"/>
              <w:left w:val="nil"/>
              <w:bottom w:val="single" w:sz="2" w:space="0" w:color="auto"/>
              <w:right w:val="nil"/>
            </w:tcBorders>
            <w:shd w:val="clear" w:color="auto" w:fill="auto"/>
            <w:vAlign w:val="center"/>
          </w:tcPr>
          <w:p w14:paraId="39B3AEF2" w14:textId="77777777" w:rsidR="006B339E" w:rsidRPr="00D76B08" w:rsidRDefault="006B339E" w:rsidP="003B4290">
            <w:pPr>
              <w:pStyle w:val="cuatexto"/>
              <w:jc w:val="right"/>
              <w:rPr>
                <w:rFonts w:cs="Calibri"/>
                <w:color w:val="000000"/>
                <w:szCs w:val="20"/>
              </w:rPr>
            </w:pPr>
            <w:r w:rsidRPr="00D76B08">
              <w:rPr>
                <w:color w:val="000000"/>
                <w:szCs w:val="20"/>
              </w:rPr>
              <w:t>487.169.483</w:t>
            </w:r>
          </w:p>
        </w:tc>
      </w:tr>
      <w:tr w:rsidR="006B339E" w:rsidRPr="006B339E" w14:paraId="494EF7CD" w14:textId="77777777" w:rsidTr="00053346">
        <w:trPr>
          <w:trHeight w:val="20"/>
          <w:jc w:val="center"/>
        </w:trPr>
        <w:tc>
          <w:tcPr>
            <w:tcW w:w="2855" w:type="pct"/>
            <w:tcBorders>
              <w:top w:val="single" w:sz="2" w:space="0" w:color="auto"/>
              <w:bottom w:val="single" w:sz="2" w:space="0" w:color="auto"/>
            </w:tcBorders>
            <w:vAlign w:val="center"/>
            <w:hideMark/>
          </w:tcPr>
          <w:p w14:paraId="0AF905E5" w14:textId="77777777" w:rsidR="006B339E" w:rsidRPr="00D76B08" w:rsidRDefault="006B339E" w:rsidP="005E5C0D">
            <w:pPr>
              <w:pStyle w:val="cuatexto"/>
              <w:rPr>
                <w:snapToGrid w:val="0"/>
                <w:szCs w:val="20"/>
              </w:rPr>
            </w:pPr>
            <w:r w:rsidRPr="00D76B08">
              <w:rPr>
                <w:snapToGrid w:val="0"/>
                <w:szCs w:val="20"/>
              </w:rPr>
              <w:t xml:space="preserve">4. Otro inmovilizado </w:t>
            </w:r>
          </w:p>
        </w:tc>
        <w:tc>
          <w:tcPr>
            <w:tcW w:w="1072" w:type="pct"/>
            <w:tcBorders>
              <w:top w:val="single" w:sz="2" w:space="0" w:color="auto"/>
              <w:left w:val="nil"/>
              <w:bottom w:val="single" w:sz="2" w:space="0" w:color="auto"/>
            </w:tcBorders>
            <w:shd w:val="clear" w:color="auto" w:fill="auto"/>
            <w:vAlign w:val="center"/>
          </w:tcPr>
          <w:p w14:paraId="0E63E867" w14:textId="77777777" w:rsidR="006B339E" w:rsidRPr="00D76B08" w:rsidRDefault="006B339E" w:rsidP="00BC1D5F">
            <w:pPr>
              <w:pStyle w:val="cuatexto"/>
              <w:jc w:val="right"/>
              <w:rPr>
                <w:rFonts w:cs="Calibri"/>
                <w:color w:val="000000"/>
                <w:szCs w:val="20"/>
              </w:rPr>
            </w:pPr>
            <w:r w:rsidRPr="00D76B08">
              <w:rPr>
                <w:rFonts w:cs="Calibri"/>
                <w:color w:val="000000"/>
                <w:szCs w:val="20"/>
              </w:rPr>
              <w:t>362.102.807</w:t>
            </w:r>
          </w:p>
        </w:tc>
        <w:tc>
          <w:tcPr>
            <w:tcW w:w="1073" w:type="pct"/>
            <w:tcBorders>
              <w:top w:val="single" w:sz="2" w:space="0" w:color="auto"/>
              <w:left w:val="nil"/>
              <w:bottom w:val="single" w:sz="2" w:space="0" w:color="auto"/>
              <w:right w:val="nil"/>
            </w:tcBorders>
            <w:shd w:val="clear" w:color="auto" w:fill="auto"/>
            <w:vAlign w:val="center"/>
          </w:tcPr>
          <w:p w14:paraId="29D77277" w14:textId="77777777" w:rsidR="006B339E" w:rsidRPr="00D76B08" w:rsidRDefault="006B339E" w:rsidP="003B4290">
            <w:pPr>
              <w:pStyle w:val="cuatexto"/>
              <w:jc w:val="right"/>
              <w:rPr>
                <w:rFonts w:cs="Calibri"/>
                <w:color w:val="000000"/>
                <w:szCs w:val="20"/>
              </w:rPr>
            </w:pPr>
            <w:r w:rsidRPr="00D76B08">
              <w:rPr>
                <w:color w:val="000000"/>
                <w:szCs w:val="20"/>
              </w:rPr>
              <w:t>343.014.537</w:t>
            </w:r>
          </w:p>
        </w:tc>
      </w:tr>
      <w:tr w:rsidR="006B339E" w:rsidRPr="006B339E" w14:paraId="294B5C6E" w14:textId="77777777" w:rsidTr="00053346">
        <w:trPr>
          <w:trHeight w:val="20"/>
          <w:jc w:val="center"/>
        </w:trPr>
        <w:tc>
          <w:tcPr>
            <w:tcW w:w="2855" w:type="pct"/>
            <w:tcBorders>
              <w:top w:val="single" w:sz="2" w:space="0" w:color="auto"/>
              <w:bottom w:val="single" w:sz="2" w:space="0" w:color="auto"/>
            </w:tcBorders>
            <w:vAlign w:val="center"/>
            <w:hideMark/>
          </w:tcPr>
          <w:p w14:paraId="758552A1" w14:textId="77777777" w:rsidR="006B339E" w:rsidRPr="00D76B08" w:rsidRDefault="006B339E" w:rsidP="005E5C0D">
            <w:pPr>
              <w:pStyle w:val="cuatexto"/>
              <w:rPr>
                <w:snapToGrid w:val="0"/>
                <w:szCs w:val="20"/>
              </w:rPr>
            </w:pPr>
            <w:r w:rsidRPr="00D76B08">
              <w:rPr>
                <w:snapToGrid w:val="0"/>
                <w:szCs w:val="20"/>
              </w:rPr>
              <w:t>5. Infraestructuras</w:t>
            </w:r>
          </w:p>
        </w:tc>
        <w:tc>
          <w:tcPr>
            <w:tcW w:w="1072" w:type="pct"/>
            <w:tcBorders>
              <w:top w:val="single" w:sz="2" w:space="0" w:color="auto"/>
              <w:left w:val="nil"/>
              <w:bottom w:val="single" w:sz="2" w:space="0" w:color="auto"/>
            </w:tcBorders>
            <w:shd w:val="clear" w:color="auto" w:fill="auto"/>
            <w:vAlign w:val="center"/>
          </w:tcPr>
          <w:p w14:paraId="16BFDE8E" w14:textId="77777777" w:rsidR="006B339E" w:rsidRPr="00D76B08" w:rsidRDefault="006B339E" w:rsidP="00BC1D5F">
            <w:pPr>
              <w:pStyle w:val="cuatexto"/>
              <w:jc w:val="right"/>
              <w:rPr>
                <w:rFonts w:cs="Calibri"/>
                <w:color w:val="000000"/>
                <w:szCs w:val="20"/>
              </w:rPr>
            </w:pPr>
            <w:r w:rsidRPr="00D76B08">
              <w:rPr>
                <w:rFonts w:cs="Calibri"/>
                <w:color w:val="000000"/>
                <w:szCs w:val="20"/>
              </w:rPr>
              <w:t>301.273.061</w:t>
            </w:r>
          </w:p>
        </w:tc>
        <w:tc>
          <w:tcPr>
            <w:tcW w:w="1073" w:type="pct"/>
            <w:tcBorders>
              <w:top w:val="single" w:sz="2" w:space="0" w:color="auto"/>
              <w:left w:val="nil"/>
              <w:bottom w:val="single" w:sz="2" w:space="0" w:color="auto"/>
              <w:right w:val="nil"/>
            </w:tcBorders>
            <w:shd w:val="clear" w:color="auto" w:fill="auto"/>
            <w:vAlign w:val="center"/>
          </w:tcPr>
          <w:p w14:paraId="59C9AEFF" w14:textId="77777777" w:rsidR="006B339E" w:rsidRPr="00D76B08" w:rsidRDefault="006B339E" w:rsidP="003B4290">
            <w:pPr>
              <w:pStyle w:val="cuatexto"/>
              <w:jc w:val="right"/>
              <w:rPr>
                <w:rFonts w:cs="Calibri"/>
                <w:color w:val="000000"/>
                <w:szCs w:val="20"/>
              </w:rPr>
            </w:pPr>
            <w:r w:rsidRPr="00D76B08">
              <w:rPr>
                <w:color w:val="000000"/>
                <w:szCs w:val="20"/>
              </w:rPr>
              <w:t>202.657.732</w:t>
            </w:r>
          </w:p>
        </w:tc>
      </w:tr>
      <w:tr w:rsidR="006B339E" w:rsidRPr="006B339E" w14:paraId="327A6D6B" w14:textId="77777777" w:rsidTr="00053346">
        <w:trPr>
          <w:trHeight w:val="20"/>
          <w:jc w:val="center"/>
        </w:trPr>
        <w:tc>
          <w:tcPr>
            <w:tcW w:w="2855" w:type="pct"/>
            <w:tcBorders>
              <w:top w:val="single" w:sz="2" w:space="0" w:color="auto"/>
              <w:bottom w:val="single" w:sz="2" w:space="0" w:color="auto"/>
            </w:tcBorders>
            <w:vAlign w:val="center"/>
            <w:hideMark/>
          </w:tcPr>
          <w:p w14:paraId="4B25C219" w14:textId="77777777" w:rsidR="006B339E" w:rsidRPr="00D76B08" w:rsidRDefault="006B339E" w:rsidP="005E5C0D">
            <w:pPr>
              <w:pStyle w:val="cuatexto"/>
              <w:rPr>
                <w:snapToGrid w:val="0"/>
                <w:szCs w:val="20"/>
              </w:rPr>
            </w:pPr>
            <w:r w:rsidRPr="00D76B08">
              <w:rPr>
                <w:snapToGrid w:val="0"/>
                <w:szCs w:val="20"/>
              </w:rPr>
              <w:t>6. Inmovilizado en curso</w:t>
            </w:r>
          </w:p>
        </w:tc>
        <w:tc>
          <w:tcPr>
            <w:tcW w:w="1072" w:type="pct"/>
            <w:tcBorders>
              <w:top w:val="single" w:sz="2" w:space="0" w:color="auto"/>
              <w:left w:val="nil"/>
              <w:bottom w:val="single" w:sz="2" w:space="0" w:color="auto"/>
            </w:tcBorders>
            <w:shd w:val="clear" w:color="auto" w:fill="auto"/>
            <w:vAlign w:val="center"/>
          </w:tcPr>
          <w:p w14:paraId="029426A2" w14:textId="77777777" w:rsidR="006B339E" w:rsidRPr="00D76B08" w:rsidRDefault="006B339E" w:rsidP="00BC1D5F">
            <w:pPr>
              <w:pStyle w:val="cuatexto"/>
              <w:jc w:val="right"/>
              <w:rPr>
                <w:rFonts w:cs="Calibri"/>
                <w:color w:val="000000"/>
                <w:szCs w:val="20"/>
              </w:rPr>
            </w:pPr>
            <w:r w:rsidRPr="00D76B08">
              <w:rPr>
                <w:rFonts w:cs="Calibri"/>
                <w:color w:val="000000"/>
                <w:szCs w:val="20"/>
              </w:rPr>
              <w:t>13.618.490</w:t>
            </w:r>
          </w:p>
        </w:tc>
        <w:tc>
          <w:tcPr>
            <w:tcW w:w="1073" w:type="pct"/>
            <w:tcBorders>
              <w:top w:val="single" w:sz="2" w:space="0" w:color="auto"/>
              <w:left w:val="nil"/>
              <w:bottom w:val="single" w:sz="2" w:space="0" w:color="auto"/>
              <w:right w:val="nil"/>
            </w:tcBorders>
            <w:shd w:val="clear" w:color="auto" w:fill="auto"/>
            <w:vAlign w:val="center"/>
          </w:tcPr>
          <w:p w14:paraId="089AB766" w14:textId="77777777" w:rsidR="006B339E" w:rsidRPr="00D76B08" w:rsidRDefault="006B339E" w:rsidP="003B4290">
            <w:pPr>
              <w:pStyle w:val="cuatexto"/>
              <w:jc w:val="right"/>
              <w:rPr>
                <w:rFonts w:cs="Calibri"/>
                <w:color w:val="000000"/>
                <w:szCs w:val="20"/>
              </w:rPr>
            </w:pPr>
            <w:r w:rsidRPr="00D76B08">
              <w:rPr>
                <w:color w:val="000000"/>
                <w:szCs w:val="20"/>
              </w:rPr>
              <w:t>14.018.325</w:t>
            </w:r>
          </w:p>
        </w:tc>
      </w:tr>
      <w:tr w:rsidR="006B339E" w:rsidRPr="006B339E" w14:paraId="44797B60" w14:textId="77777777" w:rsidTr="00053346">
        <w:trPr>
          <w:trHeight w:val="20"/>
          <w:jc w:val="center"/>
        </w:trPr>
        <w:tc>
          <w:tcPr>
            <w:tcW w:w="2855" w:type="pct"/>
            <w:tcBorders>
              <w:top w:val="single" w:sz="2" w:space="0" w:color="auto"/>
              <w:left w:val="nil"/>
              <w:bottom w:val="single" w:sz="2" w:space="0" w:color="auto"/>
              <w:right w:val="nil"/>
            </w:tcBorders>
            <w:vAlign w:val="center"/>
            <w:hideMark/>
          </w:tcPr>
          <w:p w14:paraId="1DC47688" w14:textId="77777777" w:rsidR="006B339E" w:rsidRPr="00D76B08" w:rsidRDefault="006B339E" w:rsidP="005E5C0D">
            <w:pPr>
              <w:pStyle w:val="cuatexto"/>
              <w:rPr>
                <w:snapToGrid w:val="0"/>
                <w:szCs w:val="20"/>
              </w:rPr>
            </w:pPr>
            <w:r w:rsidRPr="00D76B08">
              <w:rPr>
                <w:snapToGrid w:val="0"/>
                <w:szCs w:val="20"/>
              </w:rPr>
              <w:t>7. Bienes del Patrimonio Histórico</w:t>
            </w:r>
          </w:p>
        </w:tc>
        <w:tc>
          <w:tcPr>
            <w:tcW w:w="1072" w:type="pct"/>
            <w:tcBorders>
              <w:top w:val="single" w:sz="2" w:space="0" w:color="auto"/>
              <w:left w:val="nil"/>
              <w:bottom w:val="single" w:sz="2" w:space="0" w:color="auto"/>
            </w:tcBorders>
            <w:shd w:val="clear" w:color="auto" w:fill="auto"/>
            <w:vAlign w:val="center"/>
          </w:tcPr>
          <w:p w14:paraId="150413BE" w14:textId="77777777" w:rsidR="006B339E" w:rsidRPr="00D76B08" w:rsidRDefault="006B339E" w:rsidP="00BC1D5F">
            <w:pPr>
              <w:pStyle w:val="cuatexto"/>
              <w:jc w:val="right"/>
              <w:rPr>
                <w:rFonts w:cs="Calibri"/>
                <w:color w:val="000000"/>
                <w:szCs w:val="20"/>
              </w:rPr>
            </w:pPr>
            <w:r w:rsidRPr="00D76B08">
              <w:rPr>
                <w:rFonts w:cs="Calibri"/>
                <w:color w:val="000000"/>
                <w:szCs w:val="20"/>
              </w:rPr>
              <w:t>22.856.704</w:t>
            </w:r>
          </w:p>
        </w:tc>
        <w:tc>
          <w:tcPr>
            <w:tcW w:w="1073" w:type="pct"/>
            <w:tcBorders>
              <w:top w:val="single" w:sz="2" w:space="0" w:color="auto"/>
              <w:left w:val="nil"/>
              <w:bottom w:val="single" w:sz="2" w:space="0" w:color="auto"/>
              <w:right w:val="nil"/>
            </w:tcBorders>
            <w:shd w:val="clear" w:color="auto" w:fill="auto"/>
            <w:vAlign w:val="center"/>
          </w:tcPr>
          <w:p w14:paraId="58761110" w14:textId="77777777" w:rsidR="006B339E" w:rsidRPr="00D76B08" w:rsidRDefault="006B339E" w:rsidP="003B4290">
            <w:pPr>
              <w:pStyle w:val="cuatexto"/>
              <w:jc w:val="right"/>
              <w:rPr>
                <w:rFonts w:cs="Calibri"/>
                <w:color w:val="000000"/>
                <w:szCs w:val="20"/>
              </w:rPr>
            </w:pPr>
            <w:r w:rsidRPr="00D76B08">
              <w:rPr>
                <w:color w:val="000000"/>
                <w:szCs w:val="20"/>
              </w:rPr>
              <w:t>21.613.309</w:t>
            </w:r>
          </w:p>
        </w:tc>
      </w:tr>
      <w:tr w:rsidR="006B339E" w:rsidRPr="006B339E" w14:paraId="475C5BF2" w14:textId="77777777" w:rsidTr="00053346">
        <w:trPr>
          <w:trHeight w:val="20"/>
          <w:jc w:val="center"/>
        </w:trPr>
        <w:tc>
          <w:tcPr>
            <w:tcW w:w="2855" w:type="pct"/>
            <w:tcBorders>
              <w:top w:val="single" w:sz="2" w:space="0" w:color="auto"/>
              <w:left w:val="nil"/>
              <w:bottom w:val="single" w:sz="2" w:space="0" w:color="auto"/>
            </w:tcBorders>
            <w:vAlign w:val="center"/>
            <w:hideMark/>
          </w:tcPr>
          <w:p w14:paraId="037EEAE5" w14:textId="77777777" w:rsidR="006B339E" w:rsidRPr="00D76B08" w:rsidRDefault="006B339E" w:rsidP="005E5C0D">
            <w:pPr>
              <w:pStyle w:val="cuatexto"/>
              <w:rPr>
                <w:snapToGrid w:val="0"/>
                <w:szCs w:val="20"/>
              </w:rPr>
            </w:pPr>
            <w:r w:rsidRPr="00D76B08">
              <w:rPr>
                <w:snapToGrid w:val="0"/>
                <w:szCs w:val="20"/>
              </w:rPr>
              <w:t>IV. Inversiones inmobiliarias</w:t>
            </w:r>
          </w:p>
        </w:tc>
        <w:tc>
          <w:tcPr>
            <w:tcW w:w="1072" w:type="pct"/>
            <w:tcBorders>
              <w:top w:val="single" w:sz="2" w:space="0" w:color="auto"/>
              <w:bottom w:val="single" w:sz="2" w:space="0" w:color="auto"/>
            </w:tcBorders>
            <w:shd w:val="clear" w:color="auto" w:fill="auto"/>
            <w:vAlign w:val="center"/>
          </w:tcPr>
          <w:p w14:paraId="3705FE93" w14:textId="77777777" w:rsidR="006B339E" w:rsidRPr="00D76B08" w:rsidRDefault="006B339E" w:rsidP="00BC1D5F">
            <w:pPr>
              <w:pStyle w:val="cuatexto"/>
              <w:jc w:val="right"/>
              <w:rPr>
                <w:rFonts w:cs="Calibri"/>
                <w:bCs/>
                <w:color w:val="000000"/>
                <w:szCs w:val="20"/>
              </w:rPr>
            </w:pPr>
            <w:r w:rsidRPr="00D76B08">
              <w:rPr>
                <w:rFonts w:cs="Calibri"/>
                <w:bCs/>
                <w:color w:val="000000"/>
                <w:szCs w:val="20"/>
              </w:rPr>
              <w:t>20.966.355</w:t>
            </w:r>
          </w:p>
        </w:tc>
        <w:tc>
          <w:tcPr>
            <w:tcW w:w="1073" w:type="pct"/>
            <w:tcBorders>
              <w:top w:val="single" w:sz="2" w:space="0" w:color="auto"/>
              <w:left w:val="nil"/>
              <w:bottom w:val="single" w:sz="2" w:space="0" w:color="auto"/>
              <w:right w:val="nil"/>
            </w:tcBorders>
            <w:shd w:val="clear" w:color="auto" w:fill="auto"/>
            <w:vAlign w:val="center"/>
          </w:tcPr>
          <w:p w14:paraId="7C042DC2" w14:textId="77777777" w:rsidR="006B339E" w:rsidRPr="00D76B08" w:rsidRDefault="006B339E" w:rsidP="003B4290">
            <w:pPr>
              <w:pStyle w:val="cuatexto"/>
              <w:jc w:val="right"/>
              <w:rPr>
                <w:rFonts w:cs="Calibri"/>
                <w:bCs/>
                <w:color w:val="000000"/>
                <w:szCs w:val="20"/>
              </w:rPr>
            </w:pPr>
            <w:r w:rsidRPr="00D76B08">
              <w:rPr>
                <w:bCs/>
                <w:color w:val="000000"/>
                <w:szCs w:val="20"/>
              </w:rPr>
              <w:t>21.176.329</w:t>
            </w:r>
          </w:p>
        </w:tc>
      </w:tr>
      <w:tr w:rsidR="006B339E" w:rsidRPr="006B339E" w14:paraId="4236DE77" w14:textId="77777777" w:rsidTr="00053346">
        <w:trPr>
          <w:trHeight w:val="20"/>
          <w:jc w:val="center"/>
        </w:trPr>
        <w:tc>
          <w:tcPr>
            <w:tcW w:w="2855" w:type="pct"/>
            <w:tcBorders>
              <w:top w:val="single" w:sz="2" w:space="0" w:color="auto"/>
              <w:bottom w:val="single" w:sz="2" w:space="0" w:color="auto"/>
            </w:tcBorders>
            <w:vAlign w:val="center"/>
            <w:hideMark/>
          </w:tcPr>
          <w:p w14:paraId="3D401F1E" w14:textId="77777777" w:rsidR="006B339E" w:rsidRPr="00D76B08" w:rsidRDefault="006B339E" w:rsidP="005E5C0D">
            <w:pPr>
              <w:pStyle w:val="cuatexto"/>
              <w:rPr>
                <w:snapToGrid w:val="0"/>
                <w:szCs w:val="20"/>
              </w:rPr>
            </w:pPr>
            <w:r w:rsidRPr="00D76B08">
              <w:rPr>
                <w:snapToGrid w:val="0"/>
                <w:szCs w:val="20"/>
              </w:rPr>
              <w:t xml:space="preserve">1. Terrenos </w:t>
            </w:r>
          </w:p>
        </w:tc>
        <w:tc>
          <w:tcPr>
            <w:tcW w:w="1072" w:type="pct"/>
            <w:tcBorders>
              <w:top w:val="single" w:sz="2" w:space="0" w:color="auto"/>
              <w:left w:val="nil"/>
              <w:bottom w:val="single" w:sz="2" w:space="0" w:color="auto"/>
            </w:tcBorders>
            <w:shd w:val="clear" w:color="auto" w:fill="auto"/>
            <w:vAlign w:val="center"/>
          </w:tcPr>
          <w:p w14:paraId="5FF69152" w14:textId="77777777" w:rsidR="006B339E" w:rsidRPr="00D76B08" w:rsidRDefault="006B339E" w:rsidP="00BC1D5F">
            <w:pPr>
              <w:pStyle w:val="cuatexto"/>
              <w:jc w:val="right"/>
              <w:rPr>
                <w:rFonts w:cs="Calibri"/>
                <w:color w:val="000000"/>
                <w:szCs w:val="20"/>
              </w:rPr>
            </w:pPr>
            <w:r w:rsidRPr="00D76B08">
              <w:rPr>
                <w:rFonts w:cs="Calibri"/>
                <w:color w:val="000000"/>
                <w:szCs w:val="20"/>
              </w:rPr>
              <w:t>76.747</w:t>
            </w:r>
          </w:p>
        </w:tc>
        <w:tc>
          <w:tcPr>
            <w:tcW w:w="1073" w:type="pct"/>
            <w:tcBorders>
              <w:top w:val="single" w:sz="2" w:space="0" w:color="auto"/>
              <w:left w:val="nil"/>
              <w:bottom w:val="single" w:sz="2" w:space="0" w:color="auto"/>
              <w:right w:val="nil"/>
            </w:tcBorders>
            <w:shd w:val="clear" w:color="auto" w:fill="auto"/>
            <w:vAlign w:val="center"/>
          </w:tcPr>
          <w:p w14:paraId="1131E550" w14:textId="77777777" w:rsidR="006B339E" w:rsidRPr="00D76B08" w:rsidRDefault="006B339E" w:rsidP="003B4290">
            <w:pPr>
              <w:pStyle w:val="cuatexto"/>
              <w:jc w:val="right"/>
              <w:rPr>
                <w:rFonts w:cs="Calibri"/>
                <w:color w:val="000000"/>
                <w:szCs w:val="20"/>
              </w:rPr>
            </w:pPr>
            <w:r w:rsidRPr="00D76B08">
              <w:rPr>
                <w:color w:val="000000"/>
                <w:szCs w:val="20"/>
              </w:rPr>
              <w:t>76.747</w:t>
            </w:r>
          </w:p>
        </w:tc>
      </w:tr>
      <w:tr w:rsidR="006B339E" w:rsidRPr="006B339E" w14:paraId="1A5E783C" w14:textId="77777777" w:rsidTr="00053346">
        <w:trPr>
          <w:trHeight w:val="20"/>
          <w:jc w:val="center"/>
        </w:trPr>
        <w:tc>
          <w:tcPr>
            <w:tcW w:w="2855" w:type="pct"/>
            <w:tcBorders>
              <w:top w:val="single" w:sz="2" w:space="0" w:color="auto"/>
              <w:left w:val="nil"/>
              <w:bottom w:val="single" w:sz="2" w:space="0" w:color="auto"/>
              <w:right w:val="nil"/>
            </w:tcBorders>
            <w:vAlign w:val="center"/>
            <w:hideMark/>
          </w:tcPr>
          <w:p w14:paraId="4E01621B" w14:textId="77777777" w:rsidR="006B339E" w:rsidRPr="00D76B08" w:rsidRDefault="006B339E" w:rsidP="005E5C0D">
            <w:pPr>
              <w:pStyle w:val="cuatexto"/>
              <w:rPr>
                <w:snapToGrid w:val="0"/>
                <w:szCs w:val="20"/>
              </w:rPr>
            </w:pPr>
            <w:r w:rsidRPr="00D76B08">
              <w:rPr>
                <w:snapToGrid w:val="0"/>
                <w:szCs w:val="20"/>
              </w:rPr>
              <w:t>2. Construcciones</w:t>
            </w:r>
          </w:p>
        </w:tc>
        <w:tc>
          <w:tcPr>
            <w:tcW w:w="1072" w:type="pct"/>
            <w:tcBorders>
              <w:top w:val="single" w:sz="2" w:space="0" w:color="auto"/>
              <w:left w:val="nil"/>
              <w:bottom w:val="single" w:sz="2" w:space="0" w:color="auto"/>
            </w:tcBorders>
            <w:shd w:val="clear" w:color="auto" w:fill="auto"/>
            <w:vAlign w:val="center"/>
          </w:tcPr>
          <w:p w14:paraId="261D8EB6" w14:textId="77777777" w:rsidR="006B339E" w:rsidRPr="00D76B08" w:rsidRDefault="006B339E" w:rsidP="00BC1D5F">
            <w:pPr>
              <w:pStyle w:val="cuatexto"/>
              <w:jc w:val="right"/>
              <w:rPr>
                <w:rFonts w:cs="Calibri"/>
                <w:color w:val="000000"/>
                <w:szCs w:val="20"/>
              </w:rPr>
            </w:pPr>
            <w:r w:rsidRPr="00D76B08">
              <w:rPr>
                <w:rFonts w:cs="Calibri"/>
                <w:color w:val="000000"/>
                <w:szCs w:val="20"/>
              </w:rPr>
              <w:t>20.889.608</w:t>
            </w:r>
          </w:p>
        </w:tc>
        <w:tc>
          <w:tcPr>
            <w:tcW w:w="1073" w:type="pct"/>
            <w:tcBorders>
              <w:top w:val="single" w:sz="2" w:space="0" w:color="auto"/>
              <w:left w:val="nil"/>
              <w:bottom w:val="single" w:sz="2" w:space="0" w:color="auto"/>
              <w:right w:val="nil"/>
            </w:tcBorders>
            <w:shd w:val="clear" w:color="auto" w:fill="auto"/>
            <w:vAlign w:val="center"/>
          </w:tcPr>
          <w:p w14:paraId="56F89AFB" w14:textId="77777777" w:rsidR="006B339E" w:rsidRPr="00D76B08" w:rsidRDefault="006B339E" w:rsidP="003B4290">
            <w:pPr>
              <w:pStyle w:val="cuatexto"/>
              <w:jc w:val="right"/>
              <w:rPr>
                <w:rFonts w:cs="Calibri"/>
                <w:color w:val="000000"/>
                <w:szCs w:val="20"/>
              </w:rPr>
            </w:pPr>
            <w:r w:rsidRPr="00D76B08">
              <w:rPr>
                <w:color w:val="000000"/>
                <w:szCs w:val="20"/>
              </w:rPr>
              <w:t>21.099.583</w:t>
            </w:r>
          </w:p>
        </w:tc>
      </w:tr>
      <w:tr w:rsidR="006B339E" w:rsidRPr="006B339E" w14:paraId="18F43E81" w14:textId="77777777" w:rsidTr="00053346">
        <w:trPr>
          <w:trHeight w:val="20"/>
          <w:jc w:val="center"/>
        </w:trPr>
        <w:tc>
          <w:tcPr>
            <w:tcW w:w="2855" w:type="pct"/>
            <w:tcBorders>
              <w:top w:val="single" w:sz="2" w:space="0" w:color="auto"/>
              <w:left w:val="nil"/>
              <w:bottom w:val="single" w:sz="2" w:space="0" w:color="auto"/>
            </w:tcBorders>
            <w:vAlign w:val="center"/>
            <w:hideMark/>
          </w:tcPr>
          <w:p w14:paraId="35376299" w14:textId="77777777" w:rsidR="006B339E" w:rsidRPr="00D76B08" w:rsidRDefault="006B339E" w:rsidP="005E5C0D">
            <w:pPr>
              <w:pStyle w:val="cuatexto"/>
              <w:rPr>
                <w:snapToGrid w:val="0"/>
                <w:szCs w:val="20"/>
              </w:rPr>
            </w:pPr>
            <w:r w:rsidRPr="00D76B08">
              <w:rPr>
                <w:snapToGrid w:val="0"/>
                <w:szCs w:val="20"/>
              </w:rPr>
              <w:t>V. Inversiones financieras permanentes</w:t>
            </w:r>
          </w:p>
        </w:tc>
        <w:tc>
          <w:tcPr>
            <w:tcW w:w="1072" w:type="pct"/>
            <w:tcBorders>
              <w:top w:val="single" w:sz="2" w:space="0" w:color="auto"/>
              <w:bottom w:val="single" w:sz="2" w:space="0" w:color="auto"/>
            </w:tcBorders>
            <w:shd w:val="clear" w:color="auto" w:fill="auto"/>
            <w:vAlign w:val="center"/>
          </w:tcPr>
          <w:p w14:paraId="28CE6864" w14:textId="77777777" w:rsidR="006B339E" w:rsidRPr="00D76B08" w:rsidRDefault="006B339E" w:rsidP="00BC1D5F">
            <w:pPr>
              <w:pStyle w:val="cuatexto"/>
              <w:jc w:val="right"/>
              <w:rPr>
                <w:rFonts w:cs="Calibri"/>
                <w:bCs/>
                <w:color w:val="000000"/>
                <w:szCs w:val="20"/>
              </w:rPr>
            </w:pPr>
            <w:r w:rsidRPr="00D76B08">
              <w:rPr>
                <w:rFonts w:cs="Calibri"/>
                <w:bCs/>
                <w:color w:val="000000"/>
                <w:szCs w:val="20"/>
              </w:rPr>
              <w:t>677.191.075</w:t>
            </w:r>
          </w:p>
        </w:tc>
        <w:tc>
          <w:tcPr>
            <w:tcW w:w="1073" w:type="pct"/>
            <w:tcBorders>
              <w:top w:val="single" w:sz="2" w:space="0" w:color="auto"/>
              <w:left w:val="nil"/>
              <w:bottom w:val="single" w:sz="2" w:space="0" w:color="auto"/>
              <w:right w:val="nil"/>
            </w:tcBorders>
            <w:shd w:val="clear" w:color="auto" w:fill="auto"/>
            <w:vAlign w:val="center"/>
          </w:tcPr>
          <w:p w14:paraId="118791E2" w14:textId="77777777" w:rsidR="006B339E" w:rsidRPr="00D76B08" w:rsidRDefault="006B339E" w:rsidP="003B4290">
            <w:pPr>
              <w:pStyle w:val="cuatexto"/>
              <w:jc w:val="right"/>
              <w:rPr>
                <w:rFonts w:cs="Calibri"/>
                <w:bCs/>
                <w:color w:val="000000"/>
                <w:szCs w:val="20"/>
              </w:rPr>
            </w:pPr>
            <w:r w:rsidRPr="00D76B08">
              <w:rPr>
                <w:bCs/>
                <w:color w:val="000000"/>
                <w:szCs w:val="20"/>
              </w:rPr>
              <w:t>665.765.371</w:t>
            </w:r>
          </w:p>
        </w:tc>
      </w:tr>
      <w:tr w:rsidR="006B339E" w:rsidRPr="006B339E" w14:paraId="3AC81A28" w14:textId="77777777" w:rsidTr="00053346">
        <w:trPr>
          <w:trHeight w:val="20"/>
          <w:jc w:val="center"/>
        </w:trPr>
        <w:tc>
          <w:tcPr>
            <w:tcW w:w="2855" w:type="pct"/>
            <w:tcBorders>
              <w:top w:val="single" w:sz="2" w:space="0" w:color="auto"/>
              <w:bottom w:val="single" w:sz="2" w:space="0" w:color="auto"/>
            </w:tcBorders>
            <w:vAlign w:val="center"/>
            <w:hideMark/>
          </w:tcPr>
          <w:p w14:paraId="6D0EA590" w14:textId="77777777" w:rsidR="006B339E" w:rsidRPr="00D76B08" w:rsidRDefault="006B339E" w:rsidP="005E5C0D">
            <w:pPr>
              <w:pStyle w:val="cuatexto"/>
              <w:rPr>
                <w:snapToGrid w:val="0"/>
                <w:szCs w:val="20"/>
              </w:rPr>
            </w:pPr>
            <w:r w:rsidRPr="00D76B08">
              <w:rPr>
                <w:snapToGrid w:val="0"/>
                <w:szCs w:val="20"/>
              </w:rPr>
              <w:t xml:space="preserve">1. Cartera de valores a largo plazo </w:t>
            </w:r>
          </w:p>
        </w:tc>
        <w:tc>
          <w:tcPr>
            <w:tcW w:w="1072" w:type="pct"/>
            <w:tcBorders>
              <w:top w:val="single" w:sz="2" w:space="0" w:color="auto"/>
              <w:left w:val="nil"/>
              <w:bottom w:val="single" w:sz="2" w:space="0" w:color="auto"/>
            </w:tcBorders>
            <w:shd w:val="clear" w:color="auto" w:fill="auto"/>
            <w:vAlign w:val="center"/>
          </w:tcPr>
          <w:p w14:paraId="65F2892F" w14:textId="77777777" w:rsidR="006B339E" w:rsidRPr="00D76B08" w:rsidRDefault="006B339E" w:rsidP="00BC1D5F">
            <w:pPr>
              <w:pStyle w:val="cuatexto"/>
              <w:jc w:val="right"/>
              <w:rPr>
                <w:rFonts w:cs="Calibri"/>
                <w:color w:val="000000"/>
                <w:szCs w:val="20"/>
              </w:rPr>
            </w:pPr>
            <w:r w:rsidRPr="00D76B08">
              <w:rPr>
                <w:rFonts w:cs="Calibri"/>
                <w:color w:val="000000"/>
                <w:szCs w:val="20"/>
              </w:rPr>
              <w:t>568.187.256</w:t>
            </w:r>
          </w:p>
        </w:tc>
        <w:tc>
          <w:tcPr>
            <w:tcW w:w="1073" w:type="pct"/>
            <w:tcBorders>
              <w:top w:val="single" w:sz="2" w:space="0" w:color="auto"/>
              <w:left w:val="nil"/>
              <w:bottom w:val="single" w:sz="2" w:space="0" w:color="auto"/>
              <w:right w:val="nil"/>
            </w:tcBorders>
            <w:shd w:val="clear" w:color="auto" w:fill="auto"/>
            <w:vAlign w:val="center"/>
          </w:tcPr>
          <w:p w14:paraId="2485C44A" w14:textId="77777777" w:rsidR="006B339E" w:rsidRPr="00D76B08" w:rsidRDefault="006B339E" w:rsidP="003B4290">
            <w:pPr>
              <w:pStyle w:val="cuatexto"/>
              <w:jc w:val="right"/>
              <w:rPr>
                <w:rFonts w:cs="Calibri"/>
                <w:color w:val="000000"/>
                <w:szCs w:val="20"/>
              </w:rPr>
            </w:pPr>
            <w:r w:rsidRPr="00D76B08">
              <w:rPr>
                <w:color w:val="000000"/>
                <w:szCs w:val="20"/>
              </w:rPr>
              <w:t>559.187.256</w:t>
            </w:r>
          </w:p>
        </w:tc>
      </w:tr>
      <w:tr w:rsidR="006B339E" w:rsidRPr="006B339E" w14:paraId="498A19B4" w14:textId="77777777" w:rsidTr="00053346">
        <w:trPr>
          <w:trHeight w:val="20"/>
          <w:jc w:val="center"/>
        </w:trPr>
        <w:tc>
          <w:tcPr>
            <w:tcW w:w="2855" w:type="pct"/>
            <w:tcBorders>
              <w:top w:val="single" w:sz="2" w:space="0" w:color="auto"/>
              <w:bottom w:val="single" w:sz="2" w:space="0" w:color="auto"/>
            </w:tcBorders>
            <w:vAlign w:val="center"/>
            <w:hideMark/>
          </w:tcPr>
          <w:p w14:paraId="29A0511E" w14:textId="77777777" w:rsidR="006B339E" w:rsidRPr="00D76B08" w:rsidRDefault="006B339E" w:rsidP="005E5C0D">
            <w:pPr>
              <w:pStyle w:val="cuatexto"/>
              <w:rPr>
                <w:snapToGrid w:val="0"/>
                <w:szCs w:val="20"/>
              </w:rPr>
            </w:pPr>
            <w:r w:rsidRPr="00D76B08">
              <w:rPr>
                <w:snapToGrid w:val="0"/>
                <w:szCs w:val="20"/>
              </w:rPr>
              <w:t>2. Otras inversiones y créditos a largo plazo</w:t>
            </w:r>
          </w:p>
        </w:tc>
        <w:tc>
          <w:tcPr>
            <w:tcW w:w="1072" w:type="pct"/>
            <w:tcBorders>
              <w:top w:val="single" w:sz="2" w:space="0" w:color="auto"/>
              <w:left w:val="nil"/>
              <w:bottom w:val="single" w:sz="2" w:space="0" w:color="auto"/>
            </w:tcBorders>
            <w:shd w:val="clear" w:color="auto" w:fill="auto"/>
            <w:vAlign w:val="center"/>
          </w:tcPr>
          <w:p w14:paraId="0654A48C" w14:textId="77777777" w:rsidR="006B339E" w:rsidRPr="00D76B08" w:rsidRDefault="006B339E" w:rsidP="00BC1D5F">
            <w:pPr>
              <w:pStyle w:val="cuatexto"/>
              <w:jc w:val="right"/>
              <w:rPr>
                <w:rFonts w:cs="Calibri"/>
                <w:color w:val="000000"/>
                <w:szCs w:val="20"/>
              </w:rPr>
            </w:pPr>
            <w:r w:rsidRPr="00D76B08">
              <w:rPr>
                <w:rFonts w:cs="Calibri"/>
                <w:color w:val="000000"/>
                <w:szCs w:val="20"/>
              </w:rPr>
              <w:t>109.944.767</w:t>
            </w:r>
          </w:p>
        </w:tc>
        <w:tc>
          <w:tcPr>
            <w:tcW w:w="1073" w:type="pct"/>
            <w:tcBorders>
              <w:top w:val="single" w:sz="2" w:space="0" w:color="auto"/>
              <w:left w:val="nil"/>
              <w:bottom w:val="single" w:sz="2" w:space="0" w:color="auto"/>
              <w:right w:val="nil"/>
            </w:tcBorders>
            <w:shd w:val="clear" w:color="auto" w:fill="auto"/>
            <w:vAlign w:val="center"/>
          </w:tcPr>
          <w:p w14:paraId="78394E9F" w14:textId="77777777" w:rsidR="006B339E" w:rsidRPr="00D76B08" w:rsidRDefault="006B339E" w:rsidP="003B4290">
            <w:pPr>
              <w:pStyle w:val="cuatexto"/>
              <w:jc w:val="right"/>
              <w:rPr>
                <w:rFonts w:cs="Calibri"/>
                <w:color w:val="000000"/>
                <w:szCs w:val="20"/>
              </w:rPr>
            </w:pPr>
            <w:r w:rsidRPr="00D76B08">
              <w:rPr>
                <w:color w:val="000000"/>
                <w:szCs w:val="20"/>
              </w:rPr>
              <w:t>107.519.062</w:t>
            </w:r>
          </w:p>
        </w:tc>
      </w:tr>
      <w:tr w:rsidR="006B339E" w:rsidRPr="006B339E" w14:paraId="0BA503B0" w14:textId="77777777" w:rsidTr="007728A2">
        <w:trPr>
          <w:trHeight w:val="20"/>
          <w:jc w:val="center"/>
        </w:trPr>
        <w:tc>
          <w:tcPr>
            <w:tcW w:w="2855" w:type="pct"/>
            <w:tcBorders>
              <w:top w:val="single" w:sz="2" w:space="0" w:color="auto"/>
              <w:left w:val="nil"/>
              <w:bottom w:val="single" w:sz="4" w:space="0" w:color="auto"/>
              <w:right w:val="nil"/>
            </w:tcBorders>
            <w:vAlign w:val="center"/>
            <w:hideMark/>
          </w:tcPr>
          <w:p w14:paraId="5208F69D" w14:textId="77777777" w:rsidR="006B339E" w:rsidRPr="00D76B08" w:rsidRDefault="006B339E" w:rsidP="005E5C0D">
            <w:pPr>
              <w:pStyle w:val="cuatexto"/>
              <w:rPr>
                <w:snapToGrid w:val="0"/>
                <w:szCs w:val="20"/>
              </w:rPr>
            </w:pPr>
            <w:r w:rsidRPr="00D76B08">
              <w:rPr>
                <w:snapToGrid w:val="0"/>
                <w:szCs w:val="20"/>
              </w:rPr>
              <w:t>4. (Provisiones)</w:t>
            </w:r>
          </w:p>
        </w:tc>
        <w:tc>
          <w:tcPr>
            <w:tcW w:w="1072" w:type="pct"/>
            <w:tcBorders>
              <w:top w:val="single" w:sz="2" w:space="0" w:color="auto"/>
              <w:left w:val="nil"/>
              <w:bottom w:val="single" w:sz="4" w:space="0" w:color="auto"/>
            </w:tcBorders>
            <w:shd w:val="clear" w:color="auto" w:fill="auto"/>
            <w:vAlign w:val="center"/>
          </w:tcPr>
          <w:p w14:paraId="3CE9D846" w14:textId="77777777" w:rsidR="006B339E" w:rsidRPr="00D76B08" w:rsidRDefault="006B339E" w:rsidP="00BC1D5F">
            <w:pPr>
              <w:pStyle w:val="cuatexto"/>
              <w:jc w:val="right"/>
              <w:rPr>
                <w:rFonts w:cs="Calibri"/>
                <w:color w:val="000000"/>
                <w:szCs w:val="20"/>
              </w:rPr>
            </w:pPr>
            <w:r w:rsidRPr="00D76B08">
              <w:rPr>
                <w:rFonts w:cs="Calibri"/>
                <w:color w:val="000000"/>
                <w:szCs w:val="20"/>
              </w:rPr>
              <w:t>-940.947</w:t>
            </w:r>
          </w:p>
        </w:tc>
        <w:tc>
          <w:tcPr>
            <w:tcW w:w="1073" w:type="pct"/>
            <w:tcBorders>
              <w:top w:val="single" w:sz="2" w:space="0" w:color="auto"/>
              <w:left w:val="nil"/>
              <w:bottom w:val="single" w:sz="4" w:space="0" w:color="auto"/>
              <w:right w:val="nil"/>
            </w:tcBorders>
            <w:shd w:val="clear" w:color="auto" w:fill="auto"/>
            <w:vAlign w:val="center"/>
          </w:tcPr>
          <w:p w14:paraId="721ADD34" w14:textId="77777777" w:rsidR="006B339E" w:rsidRPr="00D76B08" w:rsidRDefault="006B339E" w:rsidP="003B4290">
            <w:pPr>
              <w:pStyle w:val="cuatexto"/>
              <w:jc w:val="right"/>
              <w:rPr>
                <w:rFonts w:cs="Calibri"/>
                <w:color w:val="000000"/>
                <w:szCs w:val="20"/>
              </w:rPr>
            </w:pPr>
            <w:r w:rsidRPr="00D76B08">
              <w:rPr>
                <w:color w:val="000000"/>
                <w:szCs w:val="20"/>
              </w:rPr>
              <w:t>-940.947</w:t>
            </w:r>
          </w:p>
        </w:tc>
      </w:tr>
      <w:tr w:rsidR="006B339E" w:rsidRPr="007728A2" w14:paraId="3097208F" w14:textId="77777777" w:rsidTr="007728A2">
        <w:trPr>
          <w:trHeight w:val="20"/>
          <w:jc w:val="center"/>
        </w:trPr>
        <w:tc>
          <w:tcPr>
            <w:tcW w:w="2855" w:type="pct"/>
            <w:tcBorders>
              <w:top w:val="single" w:sz="4" w:space="0" w:color="auto"/>
              <w:left w:val="nil"/>
              <w:bottom w:val="single" w:sz="4" w:space="0" w:color="auto"/>
            </w:tcBorders>
            <w:vAlign w:val="center"/>
            <w:hideMark/>
          </w:tcPr>
          <w:p w14:paraId="548B2AB6" w14:textId="77777777" w:rsidR="006B339E" w:rsidRPr="007728A2" w:rsidRDefault="006B339E" w:rsidP="005E5C0D">
            <w:pPr>
              <w:pStyle w:val="cuatexto"/>
              <w:rPr>
                <w:b/>
                <w:snapToGrid w:val="0"/>
                <w:szCs w:val="20"/>
              </w:rPr>
            </w:pPr>
            <w:r w:rsidRPr="007728A2">
              <w:rPr>
                <w:b/>
                <w:snapToGrid w:val="0"/>
                <w:szCs w:val="20"/>
              </w:rPr>
              <w:t>C) Activo circulante</w:t>
            </w:r>
          </w:p>
        </w:tc>
        <w:tc>
          <w:tcPr>
            <w:tcW w:w="1072" w:type="pct"/>
            <w:tcBorders>
              <w:top w:val="single" w:sz="4" w:space="0" w:color="auto"/>
              <w:bottom w:val="single" w:sz="4" w:space="0" w:color="auto"/>
            </w:tcBorders>
            <w:shd w:val="clear" w:color="auto" w:fill="auto"/>
            <w:vAlign w:val="center"/>
          </w:tcPr>
          <w:p w14:paraId="79F275A9" w14:textId="77777777" w:rsidR="006B339E" w:rsidRPr="007728A2" w:rsidRDefault="006B339E" w:rsidP="00BC1D5F">
            <w:pPr>
              <w:pStyle w:val="cuatexto"/>
              <w:jc w:val="right"/>
              <w:rPr>
                <w:rFonts w:cs="Calibri"/>
                <w:b/>
                <w:bCs/>
                <w:color w:val="000000"/>
                <w:szCs w:val="20"/>
              </w:rPr>
            </w:pPr>
            <w:r w:rsidRPr="007728A2">
              <w:rPr>
                <w:rFonts w:cs="Calibri"/>
                <w:b/>
                <w:bCs/>
                <w:color w:val="000000"/>
                <w:szCs w:val="20"/>
              </w:rPr>
              <w:t>1.272.000.632</w:t>
            </w:r>
          </w:p>
        </w:tc>
        <w:tc>
          <w:tcPr>
            <w:tcW w:w="1073" w:type="pct"/>
            <w:tcBorders>
              <w:top w:val="single" w:sz="4" w:space="0" w:color="auto"/>
              <w:left w:val="nil"/>
              <w:bottom w:val="single" w:sz="4" w:space="0" w:color="auto"/>
              <w:right w:val="nil"/>
            </w:tcBorders>
            <w:shd w:val="clear" w:color="auto" w:fill="auto"/>
            <w:vAlign w:val="center"/>
          </w:tcPr>
          <w:p w14:paraId="6598C3A9" w14:textId="77777777" w:rsidR="006B339E" w:rsidRPr="007728A2" w:rsidRDefault="009079F8" w:rsidP="003B4290">
            <w:pPr>
              <w:pStyle w:val="cuatexto"/>
              <w:jc w:val="right"/>
              <w:rPr>
                <w:rFonts w:cs="Calibri"/>
                <w:b/>
                <w:bCs/>
                <w:color w:val="000000"/>
                <w:szCs w:val="20"/>
              </w:rPr>
            </w:pPr>
            <w:r w:rsidRPr="007728A2">
              <w:rPr>
                <w:rFonts w:cs="Calibri"/>
                <w:b/>
                <w:bCs/>
                <w:color w:val="000000"/>
                <w:szCs w:val="20"/>
              </w:rPr>
              <w:t>1.222.467.711</w:t>
            </w:r>
          </w:p>
        </w:tc>
      </w:tr>
      <w:tr w:rsidR="006B339E" w:rsidRPr="006B339E" w14:paraId="1D50E92A" w14:textId="77777777" w:rsidTr="007728A2">
        <w:trPr>
          <w:trHeight w:val="20"/>
          <w:jc w:val="center"/>
        </w:trPr>
        <w:tc>
          <w:tcPr>
            <w:tcW w:w="2855" w:type="pct"/>
            <w:tcBorders>
              <w:top w:val="single" w:sz="4" w:space="0" w:color="auto"/>
              <w:left w:val="nil"/>
              <w:bottom w:val="single" w:sz="2" w:space="0" w:color="auto"/>
              <w:right w:val="nil"/>
            </w:tcBorders>
            <w:vAlign w:val="center"/>
            <w:hideMark/>
          </w:tcPr>
          <w:p w14:paraId="30C8D296" w14:textId="77777777" w:rsidR="006B339E" w:rsidRPr="00D76B08" w:rsidRDefault="006B339E" w:rsidP="005E5C0D">
            <w:pPr>
              <w:pStyle w:val="cuatexto"/>
              <w:rPr>
                <w:snapToGrid w:val="0"/>
                <w:szCs w:val="20"/>
              </w:rPr>
            </w:pPr>
            <w:r w:rsidRPr="00D76B08">
              <w:rPr>
                <w:snapToGrid w:val="0"/>
                <w:szCs w:val="20"/>
              </w:rPr>
              <w:t>Activos en estado de venta</w:t>
            </w:r>
          </w:p>
        </w:tc>
        <w:tc>
          <w:tcPr>
            <w:tcW w:w="1072" w:type="pct"/>
            <w:tcBorders>
              <w:top w:val="single" w:sz="4" w:space="0" w:color="auto"/>
              <w:left w:val="nil"/>
              <w:bottom w:val="single" w:sz="2" w:space="0" w:color="auto"/>
            </w:tcBorders>
            <w:shd w:val="clear" w:color="auto" w:fill="auto"/>
            <w:vAlign w:val="center"/>
          </w:tcPr>
          <w:p w14:paraId="234386A8" w14:textId="77777777" w:rsidR="006B339E" w:rsidRPr="00D76B08" w:rsidRDefault="006B339E" w:rsidP="00BC1D5F">
            <w:pPr>
              <w:pStyle w:val="cuatexto"/>
              <w:jc w:val="right"/>
              <w:rPr>
                <w:rFonts w:cs="Calibri"/>
                <w:bCs/>
                <w:color w:val="000000"/>
                <w:szCs w:val="20"/>
              </w:rPr>
            </w:pPr>
            <w:r w:rsidRPr="00D76B08">
              <w:rPr>
                <w:rFonts w:cs="Calibri"/>
                <w:bCs/>
                <w:color w:val="000000"/>
                <w:szCs w:val="20"/>
              </w:rPr>
              <w:t>18.578.966</w:t>
            </w:r>
          </w:p>
        </w:tc>
        <w:tc>
          <w:tcPr>
            <w:tcW w:w="1073" w:type="pct"/>
            <w:tcBorders>
              <w:top w:val="single" w:sz="4" w:space="0" w:color="auto"/>
              <w:left w:val="nil"/>
              <w:bottom w:val="single" w:sz="2" w:space="0" w:color="auto"/>
              <w:right w:val="nil"/>
            </w:tcBorders>
            <w:shd w:val="clear" w:color="auto" w:fill="auto"/>
            <w:vAlign w:val="center"/>
          </w:tcPr>
          <w:p w14:paraId="70919D6A" w14:textId="77777777" w:rsidR="006B339E" w:rsidRPr="00D76B08" w:rsidRDefault="006B339E" w:rsidP="003B4290">
            <w:pPr>
              <w:pStyle w:val="cuatexto"/>
              <w:jc w:val="right"/>
              <w:rPr>
                <w:rFonts w:cs="Calibri"/>
                <w:bCs/>
                <w:color w:val="000000"/>
                <w:szCs w:val="20"/>
              </w:rPr>
            </w:pPr>
            <w:r w:rsidRPr="00D76B08">
              <w:rPr>
                <w:bCs/>
                <w:color w:val="000000"/>
                <w:szCs w:val="20"/>
              </w:rPr>
              <w:t>18.347.957</w:t>
            </w:r>
          </w:p>
        </w:tc>
      </w:tr>
      <w:tr w:rsidR="006B339E" w:rsidRPr="006B339E" w14:paraId="21EAADF1" w14:textId="77777777" w:rsidTr="00053346">
        <w:trPr>
          <w:trHeight w:val="20"/>
          <w:jc w:val="center"/>
        </w:trPr>
        <w:tc>
          <w:tcPr>
            <w:tcW w:w="2855" w:type="pct"/>
            <w:tcBorders>
              <w:top w:val="single" w:sz="2" w:space="0" w:color="auto"/>
              <w:left w:val="nil"/>
              <w:bottom w:val="single" w:sz="2" w:space="0" w:color="auto"/>
            </w:tcBorders>
            <w:vAlign w:val="center"/>
            <w:hideMark/>
          </w:tcPr>
          <w:p w14:paraId="440DBB43" w14:textId="77777777" w:rsidR="006B339E" w:rsidRPr="00D76B08" w:rsidRDefault="006B339E" w:rsidP="005E5C0D">
            <w:pPr>
              <w:pStyle w:val="cuatexto"/>
              <w:rPr>
                <w:snapToGrid w:val="0"/>
                <w:szCs w:val="20"/>
              </w:rPr>
            </w:pPr>
            <w:r w:rsidRPr="00D76B08">
              <w:rPr>
                <w:snapToGrid w:val="0"/>
                <w:szCs w:val="20"/>
              </w:rPr>
              <w:t xml:space="preserve">I. Existencias </w:t>
            </w:r>
          </w:p>
        </w:tc>
        <w:tc>
          <w:tcPr>
            <w:tcW w:w="1072" w:type="pct"/>
            <w:tcBorders>
              <w:top w:val="single" w:sz="2" w:space="0" w:color="auto"/>
              <w:bottom w:val="single" w:sz="2" w:space="0" w:color="auto"/>
            </w:tcBorders>
            <w:shd w:val="clear" w:color="auto" w:fill="auto"/>
            <w:vAlign w:val="center"/>
          </w:tcPr>
          <w:p w14:paraId="5DD5CC5C" w14:textId="77777777" w:rsidR="006B339E" w:rsidRPr="00D76B08" w:rsidRDefault="006B339E" w:rsidP="00BC1D5F">
            <w:pPr>
              <w:pStyle w:val="cuatexto"/>
              <w:jc w:val="right"/>
              <w:rPr>
                <w:rFonts w:cs="Calibri"/>
                <w:bCs/>
                <w:color w:val="000000"/>
                <w:szCs w:val="20"/>
              </w:rPr>
            </w:pPr>
            <w:r w:rsidRPr="00D76B08">
              <w:rPr>
                <w:rFonts w:cs="Calibri"/>
                <w:bCs/>
                <w:color w:val="000000"/>
                <w:szCs w:val="20"/>
              </w:rPr>
              <w:t>22.111.283</w:t>
            </w:r>
          </w:p>
        </w:tc>
        <w:tc>
          <w:tcPr>
            <w:tcW w:w="1073" w:type="pct"/>
            <w:tcBorders>
              <w:top w:val="single" w:sz="2" w:space="0" w:color="auto"/>
              <w:left w:val="nil"/>
              <w:bottom w:val="single" w:sz="2" w:space="0" w:color="auto"/>
              <w:right w:val="nil"/>
            </w:tcBorders>
            <w:shd w:val="clear" w:color="auto" w:fill="auto"/>
            <w:vAlign w:val="center"/>
          </w:tcPr>
          <w:p w14:paraId="6E0DC926" w14:textId="77777777" w:rsidR="006B339E" w:rsidRPr="00D76B08" w:rsidRDefault="006B339E" w:rsidP="003B4290">
            <w:pPr>
              <w:pStyle w:val="cuatexto"/>
              <w:jc w:val="right"/>
              <w:rPr>
                <w:rFonts w:cs="Calibri"/>
                <w:bCs/>
                <w:color w:val="000000"/>
                <w:szCs w:val="20"/>
              </w:rPr>
            </w:pPr>
            <w:r w:rsidRPr="00D76B08">
              <w:rPr>
                <w:bCs/>
                <w:color w:val="000000"/>
                <w:szCs w:val="20"/>
              </w:rPr>
              <w:t>22.018.741</w:t>
            </w:r>
          </w:p>
        </w:tc>
      </w:tr>
      <w:tr w:rsidR="006B339E" w:rsidRPr="006B339E" w14:paraId="36685A17" w14:textId="77777777" w:rsidTr="00053346">
        <w:trPr>
          <w:trHeight w:val="20"/>
          <w:jc w:val="center"/>
        </w:trPr>
        <w:tc>
          <w:tcPr>
            <w:tcW w:w="2855" w:type="pct"/>
            <w:tcBorders>
              <w:top w:val="single" w:sz="2" w:space="0" w:color="auto"/>
              <w:left w:val="nil"/>
              <w:bottom w:val="single" w:sz="2" w:space="0" w:color="auto"/>
              <w:right w:val="nil"/>
            </w:tcBorders>
            <w:vAlign w:val="center"/>
            <w:hideMark/>
          </w:tcPr>
          <w:p w14:paraId="431FC932" w14:textId="77777777" w:rsidR="006B339E" w:rsidRPr="00D76B08" w:rsidRDefault="006B339E" w:rsidP="005E5C0D">
            <w:pPr>
              <w:pStyle w:val="cuatexto"/>
              <w:rPr>
                <w:snapToGrid w:val="0"/>
                <w:szCs w:val="20"/>
              </w:rPr>
            </w:pPr>
            <w:r w:rsidRPr="00D76B08">
              <w:rPr>
                <w:snapToGrid w:val="0"/>
                <w:szCs w:val="20"/>
              </w:rPr>
              <w:t>2. Materias primas y otros aprovisionamientos</w:t>
            </w:r>
          </w:p>
        </w:tc>
        <w:tc>
          <w:tcPr>
            <w:tcW w:w="1072" w:type="pct"/>
            <w:tcBorders>
              <w:top w:val="single" w:sz="2" w:space="0" w:color="auto"/>
              <w:left w:val="nil"/>
              <w:bottom w:val="single" w:sz="2" w:space="0" w:color="auto"/>
            </w:tcBorders>
            <w:shd w:val="clear" w:color="auto" w:fill="auto"/>
            <w:vAlign w:val="center"/>
          </w:tcPr>
          <w:p w14:paraId="35766A6B" w14:textId="77777777" w:rsidR="006B339E" w:rsidRPr="00D76B08" w:rsidRDefault="006B339E" w:rsidP="00BC1D5F">
            <w:pPr>
              <w:pStyle w:val="cuatexto"/>
              <w:jc w:val="right"/>
              <w:rPr>
                <w:rFonts w:cs="Calibri"/>
                <w:color w:val="000000"/>
                <w:szCs w:val="20"/>
              </w:rPr>
            </w:pPr>
            <w:r w:rsidRPr="00D76B08">
              <w:rPr>
                <w:rFonts w:cs="Calibri"/>
                <w:color w:val="000000"/>
                <w:szCs w:val="20"/>
              </w:rPr>
              <w:t>22.111.283</w:t>
            </w:r>
          </w:p>
        </w:tc>
        <w:tc>
          <w:tcPr>
            <w:tcW w:w="1073" w:type="pct"/>
            <w:tcBorders>
              <w:top w:val="single" w:sz="2" w:space="0" w:color="auto"/>
              <w:left w:val="nil"/>
              <w:bottom w:val="single" w:sz="2" w:space="0" w:color="auto"/>
              <w:right w:val="nil"/>
            </w:tcBorders>
            <w:shd w:val="clear" w:color="auto" w:fill="auto"/>
            <w:vAlign w:val="center"/>
          </w:tcPr>
          <w:p w14:paraId="1ADD49E3" w14:textId="77777777" w:rsidR="006B339E" w:rsidRPr="00D76B08" w:rsidRDefault="006B339E" w:rsidP="003B4290">
            <w:pPr>
              <w:pStyle w:val="cuatexto"/>
              <w:jc w:val="right"/>
              <w:rPr>
                <w:rFonts w:cs="Calibri"/>
                <w:color w:val="000000"/>
                <w:szCs w:val="20"/>
              </w:rPr>
            </w:pPr>
            <w:r w:rsidRPr="00D76B08">
              <w:rPr>
                <w:color w:val="000000"/>
                <w:szCs w:val="20"/>
              </w:rPr>
              <w:t>22.018.741</w:t>
            </w:r>
          </w:p>
        </w:tc>
      </w:tr>
      <w:tr w:rsidR="006B339E" w:rsidRPr="006B339E" w14:paraId="3CFA48FE" w14:textId="77777777" w:rsidTr="00053346">
        <w:trPr>
          <w:trHeight w:val="20"/>
          <w:jc w:val="center"/>
        </w:trPr>
        <w:tc>
          <w:tcPr>
            <w:tcW w:w="2855" w:type="pct"/>
            <w:tcBorders>
              <w:top w:val="single" w:sz="2" w:space="0" w:color="auto"/>
              <w:left w:val="nil"/>
              <w:bottom w:val="single" w:sz="2" w:space="0" w:color="auto"/>
            </w:tcBorders>
            <w:vAlign w:val="center"/>
            <w:hideMark/>
          </w:tcPr>
          <w:p w14:paraId="5C54E8EA" w14:textId="77777777" w:rsidR="006B339E" w:rsidRPr="00D76B08" w:rsidRDefault="006B339E" w:rsidP="005E5C0D">
            <w:pPr>
              <w:pStyle w:val="cuatexto"/>
              <w:rPr>
                <w:snapToGrid w:val="0"/>
                <w:szCs w:val="20"/>
              </w:rPr>
            </w:pPr>
            <w:r w:rsidRPr="00D76B08">
              <w:rPr>
                <w:snapToGrid w:val="0"/>
                <w:szCs w:val="20"/>
              </w:rPr>
              <w:t xml:space="preserve">II. Deudores </w:t>
            </w:r>
          </w:p>
        </w:tc>
        <w:tc>
          <w:tcPr>
            <w:tcW w:w="1072" w:type="pct"/>
            <w:tcBorders>
              <w:top w:val="single" w:sz="2" w:space="0" w:color="auto"/>
              <w:bottom w:val="single" w:sz="2" w:space="0" w:color="auto"/>
            </w:tcBorders>
            <w:shd w:val="clear" w:color="auto" w:fill="auto"/>
            <w:vAlign w:val="center"/>
          </w:tcPr>
          <w:p w14:paraId="40783A91" w14:textId="77777777" w:rsidR="006B339E" w:rsidRPr="00D76B08" w:rsidRDefault="006B339E" w:rsidP="00BC1D5F">
            <w:pPr>
              <w:pStyle w:val="cuatexto"/>
              <w:jc w:val="right"/>
              <w:rPr>
                <w:rFonts w:cs="Calibri"/>
                <w:bCs/>
                <w:color w:val="000000"/>
                <w:szCs w:val="20"/>
              </w:rPr>
            </w:pPr>
            <w:r w:rsidRPr="00D76B08">
              <w:rPr>
                <w:rFonts w:cs="Calibri"/>
                <w:bCs/>
                <w:color w:val="000000"/>
                <w:szCs w:val="20"/>
              </w:rPr>
              <w:t>450.729.484</w:t>
            </w:r>
          </w:p>
        </w:tc>
        <w:tc>
          <w:tcPr>
            <w:tcW w:w="1073" w:type="pct"/>
            <w:tcBorders>
              <w:top w:val="single" w:sz="2" w:space="0" w:color="auto"/>
              <w:left w:val="nil"/>
              <w:bottom w:val="single" w:sz="2" w:space="0" w:color="auto"/>
              <w:right w:val="nil"/>
            </w:tcBorders>
            <w:shd w:val="clear" w:color="auto" w:fill="auto"/>
            <w:vAlign w:val="center"/>
          </w:tcPr>
          <w:p w14:paraId="5F6B932F" w14:textId="77777777" w:rsidR="006B339E" w:rsidRPr="00D76B08" w:rsidRDefault="006B339E" w:rsidP="003B4290">
            <w:pPr>
              <w:pStyle w:val="cuatexto"/>
              <w:jc w:val="right"/>
              <w:rPr>
                <w:rFonts w:cs="Calibri"/>
                <w:bCs/>
                <w:color w:val="000000"/>
                <w:szCs w:val="20"/>
              </w:rPr>
            </w:pPr>
            <w:r w:rsidRPr="00D76B08">
              <w:rPr>
                <w:bCs/>
                <w:color w:val="000000"/>
                <w:szCs w:val="20"/>
              </w:rPr>
              <w:t>459.882.205</w:t>
            </w:r>
          </w:p>
        </w:tc>
      </w:tr>
      <w:tr w:rsidR="006B339E" w:rsidRPr="006B339E" w14:paraId="7CF69F58" w14:textId="77777777" w:rsidTr="00053346">
        <w:trPr>
          <w:trHeight w:val="20"/>
          <w:jc w:val="center"/>
        </w:trPr>
        <w:tc>
          <w:tcPr>
            <w:tcW w:w="2855" w:type="pct"/>
            <w:tcBorders>
              <w:top w:val="single" w:sz="2" w:space="0" w:color="auto"/>
              <w:bottom w:val="single" w:sz="2" w:space="0" w:color="auto"/>
            </w:tcBorders>
            <w:vAlign w:val="center"/>
            <w:hideMark/>
          </w:tcPr>
          <w:p w14:paraId="68CF06B9" w14:textId="77777777" w:rsidR="006B339E" w:rsidRPr="00D76B08" w:rsidRDefault="006B339E" w:rsidP="005E5C0D">
            <w:pPr>
              <w:pStyle w:val="cuatexto"/>
              <w:rPr>
                <w:snapToGrid w:val="0"/>
                <w:szCs w:val="20"/>
              </w:rPr>
            </w:pPr>
            <w:r w:rsidRPr="00D76B08">
              <w:rPr>
                <w:snapToGrid w:val="0"/>
                <w:szCs w:val="20"/>
              </w:rPr>
              <w:t>1. Deudores presupuestarios</w:t>
            </w:r>
          </w:p>
        </w:tc>
        <w:tc>
          <w:tcPr>
            <w:tcW w:w="1072" w:type="pct"/>
            <w:tcBorders>
              <w:top w:val="single" w:sz="2" w:space="0" w:color="auto"/>
              <w:left w:val="nil"/>
              <w:bottom w:val="single" w:sz="2" w:space="0" w:color="auto"/>
            </w:tcBorders>
            <w:shd w:val="clear" w:color="auto" w:fill="auto"/>
            <w:vAlign w:val="center"/>
          </w:tcPr>
          <w:p w14:paraId="6941C7DD" w14:textId="77777777" w:rsidR="006B339E" w:rsidRPr="00D76B08" w:rsidRDefault="006B339E" w:rsidP="00BC1D5F">
            <w:pPr>
              <w:pStyle w:val="cuatexto"/>
              <w:jc w:val="right"/>
              <w:rPr>
                <w:rFonts w:cs="Calibri"/>
                <w:color w:val="000000"/>
                <w:szCs w:val="20"/>
              </w:rPr>
            </w:pPr>
            <w:r w:rsidRPr="00D76B08">
              <w:rPr>
                <w:rFonts w:cs="Calibri"/>
                <w:color w:val="000000"/>
                <w:szCs w:val="20"/>
              </w:rPr>
              <w:t>955.893.353</w:t>
            </w:r>
          </w:p>
        </w:tc>
        <w:tc>
          <w:tcPr>
            <w:tcW w:w="1073" w:type="pct"/>
            <w:tcBorders>
              <w:top w:val="single" w:sz="2" w:space="0" w:color="auto"/>
              <w:left w:val="nil"/>
              <w:bottom w:val="single" w:sz="2" w:space="0" w:color="auto"/>
              <w:right w:val="nil"/>
            </w:tcBorders>
            <w:shd w:val="clear" w:color="auto" w:fill="auto"/>
            <w:vAlign w:val="center"/>
          </w:tcPr>
          <w:p w14:paraId="1B9D4F44" w14:textId="77777777" w:rsidR="006B339E" w:rsidRPr="00D76B08" w:rsidRDefault="006B339E" w:rsidP="003B4290">
            <w:pPr>
              <w:pStyle w:val="cuatexto"/>
              <w:jc w:val="right"/>
              <w:rPr>
                <w:rFonts w:cs="Calibri"/>
                <w:color w:val="000000"/>
                <w:szCs w:val="20"/>
              </w:rPr>
            </w:pPr>
            <w:r w:rsidRPr="00D76B08">
              <w:rPr>
                <w:color w:val="000000"/>
                <w:szCs w:val="20"/>
              </w:rPr>
              <w:t>979.416.301</w:t>
            </w:r>
          </w:p>
        </w:tc>
      </w:tr>
      <w:tr w:rsidR="006B339E" w:rsidRPr="006B339E" w14:paraId="69FB5A5D" w14:textId="77777777" w:rsidTr="00053346">
        <w:trPr>
          <w:trHeight w:val="20"/>
          <w:jc w:val="center"/>
        </w:trPr>
        <w:tc>
          <w:tcPr>
            <w:tcW w:w="2855" w:type="pct"/>
            <w:tcBorders>
              <w:top w:val="single" w:sz="2" w:space="0" w:color="auto"/>
              <w:bottom w:val="single" w:sz="2" w:space="0" w:color="auto"/>
            </w:tcBorders>
            <w:vAlign w:val="center"/>
            <w:hideMark/>
          </w:tcPr>
          <w:p w14:paraId="1C4BE34A" w14:textId="77777777" w:rsidR="006B339E" w:rsidRPr="00D76B08" w:rsidRDefault="006B339E" w:rsidP="005E5C0D">
            <w:pPr>
              <w:pStyle w:val="cuatexto"/>
              <w:rPr>
                <w:snapToGrid w:val="0"/>
                <w:szCs w:val="20"/>
              </w:rPr>
            </w:pPr>
            <w:r w:rsidRPr="00D76B08">
              <w:rPr>
                <w:snapToGrid w:val="0"/>
                <w:szCs w:val="20"/>
              </w:rPr>
              <w:t>2. Deudores no presupuestarios</w:t>
            </w:r>
          </w:p>
        </w:tc>
        <w:tc>
          <w:tcPr>
            <w:tcW w:w="1072" w:type="pct"/>
            <w:tcBorders>
              <w:top w:val="single" w:sz="2" w:space="0" w:color="auto"/>
              <w:left w:val="nil"/>
              <w:bottom w:val="single" w:sz="2" w:space="0" w:color="auto"/>
            </w:tcBorders>
            <w:shd w:val="clear" w:color="auto" w:fill="auto"/>
            <w:vAlign w:val="center"/>
          </w:tcPr>
          <w:p w14:paraId="265B4C26" w14:textId="77777777" w:rsidR="006B339E" w:rsidRPr="00D76B08" w:rsidRDefault="006B339E" w:rsidP="00BC1D5F">
            <w:pPr>
              <w:pStyle w:val="cuatexto"/>
              <w:jc w:val="right"/>
              <w:rPr>
                <w:rFonts w:cs="Calibri"/>
                <w:color w:val="000000"/>
                <w:szCs w:val="20"/>
              </w:rPr>
            </w:pPr>
            <w:r w:rsidRPr="00D76B08">
              <w:rPr>
                <w:rFonts w:cs="Calibri"/>
                <w:color w:val="000000"/>
                <w:szCs w:val="20"/>
              </w:rPr>
              <w:t>110.447.112</w:t>
            </w:r>
          </w:p>
        </w:tc>
        <w:tc>
          <w:tcPr>
            <w:tcW w:w="1073" w:type="pct"/>
            <w:tcBorders>
              <w:top w:val="single" w:sz="2" w:space="0" w:color="auto"/>
              <w:left w:val="nil"/>
              <w:bottom w:val="single" w:sz="2" w:space="0" w:color="auto"/>
              <w:right w:val="nil"/>
            </w:tcBorders>
            <w:shd w:val="clear" w:color="auto" w:fill="auto"/>
            <w:vAlign w:val="center"/>
          </w:tcPr>
          <w:p w14:paraId="17852579" w14:textId="77777777" w:rsidR="006B339E" w:rsidRPr="00D76B08" w:rsidRDefault="006B339E" w:rsidP="003B4290">
            <w:pPr>
              <w:pStyle w:val="cuatexto"/>
              <w:jc w:val="right"/>
              <w:rPr>
                <w:rFonts w:cs="Calibri"/>
                <w:color w:val="000000"/>
                <w:szCs w:val="20"/>
              </w:rPr>
            </w:pPr>
            <w:r w:rsidRPr="00D76B08">
              <w:rPr>
                <w:color w:val="000000"/>
                <w:szCs w:val="20"/>
              </w:rPr>
              <w:t>93.117.690</w:t>
            </w:r>
          </w:p>
        </w:tc>
      </w:tr>
      <w:tr w:rsidR="006B339E" w:rsidRPr="006B339E" w14:paraId="10522058" w14:textId="77777777" w:rsidTr="00053346">
        <w:trPr>
          <w:trHeight w:val="20"/>
          <w:jc w:val="center"/>
        </w:trPr>
        <w:tc>
          <w:tcPr>
            <w:tcW w:w="2855" w:type="pct"/>
            <w:tcBorders>
              <w:top w:val="single" w:sz="2" w:space="0" w:color="auto"/>
              <w:bottom w:val="single" w:sz="2" w:space="0" w:color="auto"/>
            </w:tcBorders>
            <w:vAlign w:val="center"/>
            <w:hideMark/>
          </w:tcPr>
          <w:p w14:paraId="6AC67F98" w14:textId="77777777" w:rsidR="006B339E" w:rsidRPr="00D76B08" w:rsidRDefault="006B339E" w:rsidP="005E5C0D">
            <w:pPr>
              <w:pStyle w:val="cuatexto"/>
              <w:rPr>
                <w:snapToGrid w:val="0"/>
                <w:szCs w:val="20"/>
              </w:rPr>
            </w:pPr>
            <w:r w:rsidRPr="00D76B08">
              <w:rPr>
                <w:snapToGrid w:val="0"/>
                <w:szCs w:val="20"/>
              </w:rPr>
              <w:t xml:space="preserve">3. Deudores por admón. de recursos por cuenta de otros EEPP </w:t>
            </w:r>
          </w:p>
        </w:tc>
        <w:tc>
          <w:tcPr>
            <w:tcW w:w="1072" w:type="pct"/>
            <w:tcBorders>
              <w:top w:val="single" w:sz="2" w:space="0" w:color="auto"/>
              <w:left w:val="nil"/>
              <w:bottom w:val="single" w:sz="2" w:space="0" w:color="auto"/>
            </w:tcBorders>
            <w:shd w:val="clear" w:color="auto" w:fill="auto"/>
            <w:vAlign w:val="center"/>
          </w:tcPr>
          <w:p w14:paraId="5C19D3F1" w14:textId="77777777" w:rsidR="006B339E" w:rsidRPr="00D76B08" w:rsidRDefault="006B339E" w:rsidP="00BC1D5F">
            <w:pPr>
              <w:pStyle w:val="cuatexto"/>
              <w:jc w:val="right"/>
              <w:rPr>
                <w:rFonts w:cs="Calibri"/>
                <w:color w:val="000000"/>
                <w:szCs w:val="20"/>
              </w:rPr>
            </w:pPr>
            <w:r w:rsidRPr="00D76B08">
              <w:rPr>
                <w:rFonts w:cs="Calibri"/>
                <w:color w:val="000000"/>
                <w:szCs w:val="20"/>
              </w:rPr>
              <w:t>3.259.757</w:t>
            </w:r>
          </w:p>
        </w:tc>
        <w:tc>
          <w:tcPr>
            <w:tcW w:w="1073" w:type="pct"/>
            <w:tcBorders>
              <w:top w:val="single" w:sz="2" w:space="0" w:color="auto"/>
              <w:left w:val="nil"/>
              <w:bottom w:val="single" w:sz="2" w:space="0" w:color="auto"/>
              <w:right w:val="nil"/>
            </w:tcBorders>
            <w:shd w:val="clear" w:color="auto" w:fill="auto"/>
            <w:vAlign w:val="center"/>
          </w:tcPr>
          <w:p w14:paraId="65E4A9C7" w14:textId="77777777" w:rsidR="006B339E" w:rsidRPr="00D76B08" w:rsidRDefault="006B339E" w:rsidP="003B4290">
            <w:pPr>
              <w:pStyle w:val="cuatexto"/>
              <w:jc w:val="right"/>
              <w:rPr>
                <w:rFonts w:cs="Calibri"/>
                <w:color w:val="000000"/>
                <w:szCs w:val="20"/>
              </w:rPr>
            </w:pPr>
            <w:r w:rsidRPr="00D76B08">
              <w:rPr>
                <w:color w:val="000000"/>
                <w:szCs w:val="20"/>
              </w:rPr>
              <w:t>3.417.403</w:t>
            </w:r>
          </w:p>
        </w:tc>
      </w:tr>
      <w:tr w:rsidR="006B339E" w:rsidRPr="006B339E" w14:paraId="1F03C15D" w14:textId="77777777" w:rsidTr="00053346">
        <w:trPr>
          <w:trHeight w:val="20"/>
          <w:jc w:val="center"/>
        </w:trPr>
        <w:tc>
          <w:tcPr>
            <w:tcW w:w="2855" w:type="pct"/>
            <w:tcBorders>
              <w:top w:val="single" w:sz="2" w:space="0" w:color="auto"/>
              <w:bottom w:val="single" w:sz="2" w:space="0" w:color="auto"/>
            </w:tcBorders>
            <w:vAlign w:val="center"/>
            <w:hideMark/>
          </w:tcPr>
          <w:p w14:paraId="39AF9CC5" w14:textId="77777777" w:rsidR="006B339E" w:rsidRPr="00D76B08" w:rsidRDefault="006B339E" w:rsidP="005E5C0D">
            <w:pPr>
              <w:pStyle w:val="cuatexto"/>
              <w:rPr>
                <w:snapToGrid w:val="0"/>
                <w:szCs w:val="20"/>
              </w:rPr>
            </w:pPr>
            <w:r w:rsidRPr="00D76B08">
              <w:rPr>
                <w:snapToGrid w:val="0"/>
                <w:szCs w:val="20"/>
              </w:rPr>
              <w:t xml:space="preserve">5. Otros deudores </w:t>
            </w:r>
          </w:p>
        </w:tc>
        <w:tc>
          <w:tcPr>
            <w:tcW w:w="1072" w:type="pct"/>
            <w:tcBorders>
              <w:top w:val="single" w:sz="2" w:space="0" w:color="auto"/>
              <w:left w:val="nil"/>
              <w:bottom w:val="single" w:sz="2" w:space="0" w:color="auto"/>
            </w:tcBorders>
            <w:shd w:val="clear" w:color="auto" w:fill="auto"/>
            <w:vAlign w:val="center"/>
          </w:tcPr>
          <w:p w14:paraId="211E1260" w14:textId="77777777" w:rsidR="006B339E" w:rsidRPr="00D76B08" w:rsidRDefault="006B339E" w:rsidP="00BC1D5F">
            <w:pPr>
              <w:pStyle w:val="cuatexto"/>
              <w:jc w:val="right"/>
              <w:rPr>
                <w:snapToGrid w:val="0"/>
                <w:szCs w:val="20"/>
              </w:rPr>
            </w:pPr>
            <w:r w:rsidRPr="00D76B08">
              <w:rPr>
                <w:snapToGrid w:val="0"/>
                <w:szCs w:val="20"/>
              </w:rPr>
              <w:t>5.998.247</w:t>
            </w:r>
          </w:p>
        </w:tc>
        <w:tc>
          <w:tcPr>
            <w:tcW w:w="1073" w:type="pct"/>
            <w:tcBorders>
              <w:top w:val="single" w:sz="2" w:space="0" w:color="auto"/>
              <w:left w:val="nil"/>
              <w:bottom w:val="single" w:sz="2" w:space="0" w:color="auto"/>
              <w:right w:val="nil"/>
            </w:tcBorders>
            <w:shd w:val="clear" w:color="auto" w:fill="auto"/>
            <w:vAlign w:val="center"/>
          </w:tcPr>
          <w:p w14:paraId="19B3BA6E" w14:textId="77777777" w:rsidR="006B339E" w:rsidRPr="00D76B08" w:rsidRDefault="006B339E" w:rsidP="003B4290">
            <w:pPr>
              <w:pStyle w:val="cuatexto"/>
              <w:jc w:val="right"/>
              <w:rPr>
                <w:snapToGrid w:val="0"/>
                <w:szCs w:val="20"/>
              </w:rPr>
            </w:pPr>
            <w:r w:rsidRPr="00D76B08">
              <w:rPr>
                <w:snapToGrid w:val="0"/>
                <w:szCs w:val="20"/>
              </w:rPr>
              <w:t>6.322.284</w:t>
            </w:r>
          </w:p>
        </w:tc>
      </w:tr>
      <w:tr w:rsidR="006B339E" w:rsidRPr="006B339E" w14:paraId="549873C4" w14:textId="77777777" w:rsidTr="00053346">
        <w:trPr>
          <w:trHeight w:val="20"/>
          <w:jc w:val="center"/>
        </w:trPr>
        <w:tc>
          <w:tcPr>
            <w:tcW w:w="2855" w:type="pct"/>
            <w:tcBorders>
              <w:top w:val="single" w:sz="2" w:space="0" w:color="auto"/>
              <w:left w:val="nil"/>
              <w:bottom w:val="single" w:sz="2" w:space="0" w:color="auto"/>
              <w:right w:val="nil"/>
            </w:tcBorders>
            <w:vAlign w:val="center"/>
            <w:hideMark/>
          </w:tcPr>
          <w:p w14:paraId="6E1DD77C" w14:textId="77777777" w:rsidR="006B339E" w:rsidRPr="00D76B08" w:rsidRDefault="006B339E" w:rsidP="005E5C0D">
            <w:pPr>
              <w:pStyle w:val="cuatexto"/>
              <w:rPr>
                <w:snapToGrid w:val="0"/>
                <w:szCs w:val="20"/>
              </w:rPr>
            </w:pPr>
            <w:r w:rsidRPr="00D76B08">
              <w:rPr>
                <w:snapToGrid w:val="0"/>
                <w:szCs w:val="20"/>
              </w:rPr>
              <w:t>6. (Provisiones)</w:t>
            </w:r>
          </w:p>
        </w:tc>
        <w:tc>
          <w:tcPr>
            <w:tcW w:w="1072" w:type="pct"/>
            <w:tcBorders>
              <w:top w:val="single" w:sz="2" w:space="0" w:color="auto"/>
              <w:left w:val="nil"/>
              <w:bottom w:val="single" w:sz="2" w:space="0" w:color="auto"/>
            </w:tcBorders>
            <w:shd w:val="clear" w:color="auto" w:fill="auto"/>
            <w:vAlign w:val="center"/>
          </w:tcPr>
          <w:p w14:paraId="09E0B3ED" w14:textId="77777777" w:rsidR="006B339E" w:rsidRPr="00D76B08" w:rsidRDefault="006B339E" w:rsidP="00BC1D5F">
            <w:pPr>
              <w:pStyle w:val="cuatexto"/>
              <w:jc w:val="right"/>
              <w:rPr>
                <w:snapToGrid w:val="0"/>
                <w:szCs w:val="20"/>
              </w:rPr>
            </w:pPr>
            <w:r w:rsidRPr="00D76B08">
              <w:rPr>
                <w:snapToGrid w:val="0"/>
                <w:szCs w:val="20"/>
              </w:rPr>
              <w:t>-624.868.985</w:t>
            </w:r>
          </w:p>
        </w:tc>
        <w:tc>
          <w:tcPr>
            <w:tcW w:w="1073" w:type="pct"/>
            <w:tcBorders>
              <w:top w:val="single" w:sz="2" w:space="0" w:color="auto"/>
              <w:left w:val="nil"/>
              <w:bottom w:val="single" w:sz="2" w:space="0" w:color="auto"/>
              <w:right w:val="nil"/>
            </w:tcBorders>
            <w:shd w:val="clear" w:color="auto" w:fill="auto"/>
            <w:vAlign w:val="center"/>
          </w:tcPr>
          <w:p w14:paraId="0C633297" w14:textId="77777777" w:rsidR="006B339E" w:rsidRPr="00D76B08" w:rsidRDefault="006B339E" w:rsidP="003B4290">
            <w:pPr>
              <w:pStyle w:val="cuatexto"/>
              <w:jc w:val="right"/>
              <w:rPr>
                <w:snapToGrid w:val="0"/>
                <w:szCs w:val="20"/>
              </w:rPr>
            </w:pPr>
            <w:r w:rsidRPr="00D76B08">
              <w:rPr>
                <w:snapToGrid w:val="0"/>
                <w:szCs w:val="20"/>
              </w:rPr>
              <w:t>-622.391.473</w:t>
            </w:r>
          </w:p>
        </w:tc>
      </w:tr>
      <w:tr w:rsidR="006B339E" w:rsidRPr="006B339E" w14:paraId="52310610" w14:textId="77777777" w:rsidTr="00053346">
        <w:trPr>
          <w:trHeight w:val="20"/>
          <w:jc w:val="center"/>
        </w:trPr>
        <w:tc>
          <w:tcPr>
            <w:tcW w:w="2855" w:type="pct"/>
            <w:tcBorders>
              <w:top w:val="single" w:sz="2" w:space="0" w:color="auto"/>
              <w:left w:val="nil"/>
              <w:bottom w:val="single" w:sz="2" w:space="0" w:color="auto"/>
            </w:tcBorders>
            <w:vAlign w:val="center"/>
            <w:hideMark/>
          </w:tcPr>
          <w:p w14:paraId="779E06C8" w14:textId="77777777" w:rsidR="006B339E" w:rsidRPr="00D76B08" w:rsidRDefault="006B339E" w:rsidP="005E5C0D">
            <w:pPr>
              <w:pStyle w:val="cuatexto"/>
              <w:rPr>
                <w:snapToGrid w:val="0"/>
                <w:szCs w:val="20"/>
              </w:rPr>
            </w:pPr>
            <w:r w:rsidRPr="00D76B08">
              <w:rPr>
                <w:snapToGrid w:val="0"/>
                <w:szCs w:val="20"/>
              </w:rPr>
              <w:t>III. Inversiones financieras temporales</w:t>
            </w:r>
          </w:p>
        </w:tc>
        <w:tc>
          <w:tcPr>
            <w:tcW w:w="1072" w:type="pct"/>
            <w:tcBorders>
              <w:top w:val="single" w:sz="2" w:space="0" w:color="auto"/>
              <w:bottom w:val="single" w:sz="2" w:space="0" w:color="auto"/>
            </w:tcBorders>
            <w:shd w:val="clear" w:color="auto" w:fill="auto"/>
            <w:vAlign w:val="center"/>
          </w:tcPr>
          <w:p w14:paraId="04772C08" w14:textId="77777777" w:rsidR="006B339E" w:rsidRPr="00D76B08" w:rsidRDefault="006B339E" w:rsidP="00BC1D5F">
            <w:pPr>
              <w:pStyle w:val="cuatexto"/>
              <w:jc w:val="right"/>
              <w:rPr>
                <w:snapToGrid w:val="0"/>
                <w:szCs w:val="20"/>
              </w:rPr>
            </w:pPr>
            <w:r w:rsidRPr="00D76B08">
              <w:rPr>
                <w:snapToGrid w:val="0"/>
                <w:szCs w:val="20"/>
              </w:rPr>
              <w:t>353.257</w:t>
            </w:r>
          </w:p>
        </w:tc>
        <w:tc>
          <w:tcPr>
            <w:tcW w:w="1073" w:type="pct"/>
            <w:tcBorders>
              <w:top w:val="single" w:sz="2" w:space="0" w:color="auto"/>
              <w:left w:val="nil"/>
              <w:bottom w:val="single" w:sz="2" w:space="0" w:color="auto"/>
              <w:right w:val="nil"/>
            </w:tcBorders>
            <w:shd w:val="clear" w:color="auto" w:fill="auto"/>
            <w:vAlign w:val="center"/>
          </w:tcPr>
          <w:p w14:paraId="6AE0EEAB" w14:textId="77777777" w:rsidR="006B339E" w:rsidRPr="00D76B08" w:rsidRDefault="006B339E" w:rsidP="003B4290">
            <w:pPr>
              <w:pStyle w:val="cuatexto"/>
              <w:jc w:val="right"/>
              <w:rPr>
                <w:snapToGrid w:val="0"/>
                <w:szCs w:val="20"/>
              </w:rPr>
            </w:pPr>
            <w:r w:rsidRPr="00D76B08">
              <w:rPr>
                <w:snapToGrid w:val="0"/>
                <w:szCs w:val="20"/>
              </w:rPr>
              <w:t>254.133</w:t>
            </w:r>
          </w:p>
        </w:tc>
      </w:tr>
      <w:tr w:rsidR="006B339E" w:rsidRPr="006B339E" w14:paraId="1E84FECC" w14:textId="77777777" w:rsidTr="00053346">
        <w:trPr>
          <w:trHeight w:val="20"/>
          <w:jc w:val="center"/>
        </w:trPr>
        <w:tc>
          <w:tcPr>
            <w:tcW w:w="2855" w:type="pct"/>
            <w:tcBorders>
              <w:top w:val="single" w:sz="2" w:space="0" w:color="auto"/>
              <w:bottom w:val="single" w:sz="2" w:space="0" w:color="auto"/>
            </w:tcBorders>
            <w:vAlign w:val="center"/>
            <w:hideMark/>
          </w:tcPr>
          <w:p w14:paraId="3DC27C0A" w14:textId="77777777" w:rsidR="006B339E" w:rsidRPr="00D76B08" w:rsidRDefault="006B339E" w:rsidP="005E5C0D">
            <w:pPr>
              <w:pStyle w:val="cuatexto"/>
              <w:rPr>
                <w:snapToGrid w:val="0"/>
                <w:szCs w:val="20"/>
              </w:rPr>
            </w:pPr>
            <w:r w:rsidRPr="00D76B08">
              <w:rPr>
                <w:snapToGrid w:val="0"/>
                <w:szCs w:val="20"/>
              </w:rPr>
              <w:t xml:space="preserve">2. Otras inversiones y créditos a corto plazo </w:t>
            </w:r>
          </w:p>
        </w:tc>
        <w:tc>
          <w:tcPr>
            <w:tcW w:w="1072" w:type="pct"/>
            <w:tcBorders>
              <w:top w:val="single" w:sz="2" w:space="0" w:color="auto"/>
              <w:left w:val="nil"/>
              <w:bottom w:val="single" w:sz="2" w:space="0" w:color="auto"/>
            </w:tcBorders>
            <w:shd w:val="clear" w:color="auto" w:fill="auto"/>
            <w:vAlign w:val="center"/>
          </w:tcPr>
          <w:p w14:paraId="691D5882" w14:textId="77777777" w:rsidR="006B339E" w:rsidRPr="00D76B08" w:rsidRDefault="006B339E" w:rsidP="00BC1D5F">
            <w:pPr>
              <w:pStyle w:val="cuatexto"/>
              <w:jc w:val="right"/>
              <w:rPr>
                <w:snapToGrid w:val="0"/>
                <w:szCs w:val="20"/>
              </w:rPr>
            </w:pPr>
            <w:r w:rsidRPr="00D76B08">
              <w:rPr>
                <w:snapToGrid w:val="0"/>
                <w:szCs w:val="20"/>
              </w:rPr>
              <w:t>327.597</w:t>
            </w:r>
          </w:p>
        </w:tc>
        <w:tc>
          <w:tcPr>
            <w:tcW w:w="1073" w:type="pct"/>
            <w:tcBorders>
              <w:top w:val="single" w:sz="2" w:space="0" w:color="auto"/>
              <w:left w:val="nil"/>
              <w:bottom w:val="single" w:sz="2" w:space="0" w:color="auto"/>
              <w:right w:val="nil"/>
            </w:tcBorders>
            <w:shd w:val="clear" w:color="auto" w:fill="auto"/>
            <w:vAlign w:val="center"/>
          </w:tcPr>
          <w:p w14:paraId="25D95B01" w14:textId="77777777" w:rsidR="006B339E" w:rsidRPr="00D76B08" w:rsidRDefault="006B339E" w:rsidP="003B4290">
            <w:pPr>
              <w:pStyle w:val="cuatexto"/>
              <w:jc w:val="right"/>
              <w:rPr>
                <w:snapToGrid w:val="0"/>
                <w:szCs w:val="20"/>
              </w:rPr>
            </w:pPr>
            <w:r w:rsidRPr="00D76B08">
              <w:rPr>
                <w:snapToGrid w:val="0"/>
                <w:szCs w:val="20"/>
              </w:rPr>
              <w:t>232.996</w:t>
            </w:r>
          </w:p>
        </w:tc>
      </w:tr>
      <w:tr w:rsidR="006B339E" w:rsidRPr="006B339E" w14:paraId="49012615" w14:textId="77777777" w:rsidTr="00053346">
        <w:trPr>
          <w:trHeight w:val="20"/>
          <w:jc w:val="center"/>
        </w:trPr>
        <w:tc>
          <w:tcPr>
            <w:tcW w:w="2855" w:type="pct"/>
            <w:tcBorders>
              <w:top w:val="single" w:sz="2" w:space="0" w:color="auto"/>
              <w:left w:val="nil"/>
              <w:bottom w:val="single" w:sz="2" w:space="0" w:color="auto"/>
              <w:right w:val="nil"/>
            </w:tcBorders>
            <w:vAlign w:val="center"/>
            <w:hideMark/>
          </w:tcPr>
          <w:p w14:paraId="6F2F8BE2" w14:textId="77777777" w:rsidR="006B339E" w:rsidRPr="00D76B08" w:rsidRDefault="006B339E" w:rsidP="005E5C0D">
            <w:pPr>
              <w:pStyle w:val="cuatexto"/>
              <w:rPr>
                <w:snapToGrid w:val="0"/>
                <w:szCs w:val="20"/>
              </w:rPr>
            </w:pPr>
            <w:r w:rsidRPr="00D76B08">
              <w:rPr>
                <w:snapToGrid w:val="0"/>
                <w:szCs w:val="20"/>
              </w:rPr>
              <w:t xml:space="preserve">3. Fianzas y depósitos constituidos a corto plazo </w:t>
            </w:r>
          </w:p>
        </w:tc>
        <w:tc>
          <w:tcPr>
            <w:tcW w:w="1072" w:type="pct"/>
            <w:tcBorders>
              <w:top w:val="single" w:sz="2" w:space="0" w:color="auto"/>
              <w:left w:val="nil"/>
              <w:bottom w:val="single" w:sz="2" w:space="0" w:color="auto"/>
            </w:tcBorders>
            <w:shd w:val="clear" w:color="auto" w:fill="auto"/>
            <w:vAlign w:val="center"/>
          </w:tcPr>
          <w:p w14:paraId="0E164AA6" w14:textId="77777777" w:rsidR="006B339E" w:rsidRPr="00D76B08" w:rsidRDefault="006B339E" w:rsidP="00BC1D5F">
            <w:pPr>
              <w:pStyle w:val="cuatexto"/>
              <w:jc w:val="right"/>
              <w:rPr>
                <w:snapToGrid w:val="0"/>
                <w:szCs w:val="20"/>
              </w:rPr>
            </w:pPr>
            <w:r w:rsidRPr="00D76B08">
              <w:rPr>
                <w:snapToGrid w:val="0"/>
                <w:szCs w:val="20"/>
              </w:rPr>
              <w:t>25.661</w:t>
            </w:r>
          </w:p>
        </w:tc>
        <w:tc>
          <w:tcPr>
            <w:tcW w:w="1073" w:type="pct"/>
            <w:tcBorders>
              <w:top w:val="single" w:sz="2" w:space="0" w:color="auto"/>
              <w:left w:val="nil"/>
              <w:bottom w:val="single" w:sz="2" w:space="0" w:color="auto"/>
              <w:right w:val="nil"/>
            </w:tcBorders>
            <w:shd w:val="clear" w:color="auto" w:fill="auto"/>
            <w:vAlign w:val="center"/>
          </w:tcPr>
          <w:p w14:paraId="083A8B5D" w14:textId="77777777" w:rsidR="006B339E" w:rsidRPr="00D76B08" w:rsidRDefault="006B339E" w:rsidP="003B4290">
            <w:pPr>
              <w:pStyle w:val="cuatexto"/>
              <w:jc w:val="right"/>
              <w:rPr>
                <w:snapToGrid w:val="0"/>
                <w:szCs w:val="20"/>
              </w:rPr>
            </w:pPr>
            <w:r w:rsidRPr="00D76B08">
              <w:rPr>
                <w:snapToGrid w:val="0"/>
                <w:szCs w:val="20"/>
              </w:rPr>
              <w:t>21.137</w:t>
            </w:r>
          </w:p>
        </w:tc>
      </w:tr>
      <w:tr w:rsidR="006B339E" w:rsidRPr="006B339E" w14:paraId="32F52438" w14:textId="77777777" w:rsidTr="00053346">
        <w:trPr>
          <w:trHeight w:val="20"/>
          <w:jc w:val="center"/>
        </w:trPr>
        <w:tc>
          <w:tcPr>
            <w:tcW w:w="2855" w:type="pct"/>
            <w:tcBorders>
              <w:top w:val="single" w:sz="2" w:space="0" w:color="auto"/>
              <w:left w:val="nil"/>
              <w:bottom w:val="single" w:sz="4" w:space="0" w:color="auto"/>
              <w:right w:val="nil"/>
            </w:tcBorders>
            <w:vAlign w:val="center"/>
            <w:hideMark/>
          </w:tcPr>
          <w:p w14:paraId="4C1ECF6A" w14:textId="77777777" w:rsidR="006B339E" w:rsidRPr="005E5C0D" w:rsidRDefault="006B339E" w:rsidP="005E5C0D">
            <w:pPr>
              <w:pStyle w:val="cuatexto"/>
              <w:rPr>
                <w:snapToGrid w:val="0"/>
              </w:rPr>
            </w:pPr>
            <w:r w:rsidRPr="005E5C0D">
              <w:rPr>
                <w:snapToGrid w:val="0"/>
              </w:rPr>
              <w:t xml:space="preserve">IV. Tesorería </w:t>
            </w:r>
          </w:p>
        </w:tc>
        <w:tc>
          <w:tcPr>
            <w:tcW w:w="1072" w:type="pct"/>
            <w:tcBorders>
              <w:top w:val="single" w:sz="2" w:space="0" w:color="auto"/>
              <w:left w:val="nil"/>
              <w:bottom w:val="single" w:sz="4" w:space="0" w:color="auto"/>
            </w:tcBorders>
            <w:shd w:val="clear" w:color="auto" w:fill="auto"/>
            <w:vAlign w:val="center"/>
          </w:tcPr>
          <w:p w14:paraId="550802E7" w14:textId="77777777" w:rsidR="006B339E" w:rsidRPr="005E5C0D" w:rsidRDefault="006B339E" w:rsidP="00BC1D5F">
            <w:pPr>
              <w:pStyle w:val="cuatexto"/>
              <w:jc w:val="right"/>
              <w:rPr>
                <w:snapToGrid w:val="0"/>
              </w:rPr>
            </w:pPr>
            <w:r w:rsidRPr="005E5C0D">
              <w:rPr>
                <w:snapToGrid w:val="0"/>
              </w:rPr>
              <w:t>780.227.642</w:t>
            </w:r>
          </w:p>
        </w:tc>
        <w:tc>
          <w:tcPr>
            <w:tcW w:w="1073" w:type="pct"/>
            <w:tcBorders>
              <w:top w:val="single" w:sz="2" w:space="0" w:color="auto"/>
              <w:left w:val="nil"/>
              <w:bottom w:val="single" w:sz="4" w:space="0" w:color="auto"/>
              <w:right w:val="nil"/>
            </w:tcBorders>
            <w:shd w:val="clear" w:color="auto" w:fill="auto"/>
            <w:vAlign w:val="center"/>
          </w:tcPr>
          <w:p w14:paraId="2F643940" w14:textId="77777777" w:rsidR="006B339E" w:rsidRPr="005E5C0D" w:rsidRDefault="009079F8" w:rsidP="003B4290">
            <w:pPr>
              <w:pStyle w:val="cuatexto"/>
              <w:jc w:val="right"/>
              <w:rPr>
                <w:snapToGrid w:val="0"/>
              </w:rPr>
            </w:pPr>
            <w:r w:rsidRPr="009079F8">
              <w:rPr>
                <w:snapToGrid w:val="0"/>
              </w:rPr>
              <w:t>721.964.675</w:t>
            </w:r>
          </w:p>
        </w:tc>
      </w:tr>
      <w:tr w:rsidR="006B339E" w:rsidRPr="006B339E" w14:paraId="2D76ABDE" w14:textId="77777777" w:rsidTr="00053346">
        <w:trPr>
          <w:trHeight w:val="255"/>
          <w:jc w:val="center"/>
        </w:trPr>
        <w:tc>
          <w:tcPr>
            <w:tcW w:w="2855" w:type="pct"/>
            <w:tcBorders>
              <w:top w:val="single" w:sz="4" w:space="0" w:color="auto"/>
              <w:left w:val="nil"/>
              <w:bottom w:val="single" w:sz="4" w:space="0" w:color="auto"/>
              <w:right w:val="nil"/>
            </w:tcBorders>
            <w:shd w:val="clear" w:color="auto" w:fill="8DB3E2"/>
            <w:vAlign w:val="center"/>
            <w:hideMark/>
          </w:tcPr>
          <w:p w14:paraId="017B3544" w14:textId="77777777" w:rsidR="006B339E" w:rsidRPr="005E5C0D" w:rsidRDefault="006B339E" w:rsidP="00D76B08">
            <w:pPr>
              <w:pStyle w:val="cuadroCabe"/>
            </w:pPr>
            <w:r w:rsidRPr="005E5C0D">
              <w:t>Total Activo (A+C)</w:t>
            </w:r>
          </w:p>
        </w:tc>
        <w:tc>
          <w:tcPr>
            <w:tcW w:w="1072" w:type="pct"/>
            <w:tcBorders>
              <w:top w:val="single" w:sz="4" w:space="0" w:color="auto"/>
              <w:left w:val="nil"/>
              <w:bottom w:val="single" w:sz="4" w:space="0" w:color="auto"/>
            </w:tcBorders>
            <w:shd w:val="clear" w:color="000000" w:fill="8DB3E2"/>
            <w:vAlign w:val="center"/>
          </w:tcPr>
          <w:p w14:paraId="6EB718AA" w14:textId="77777777" w:rsidR="006B339E" w:rsidRPr="006B339E" w:rsidRDefault="006B339E" w:rsidP="00BC1D5F">
            <w:pPr>
              <w:pStyle w:val="cuadroCabe"/>
              <w:jc w:val="right"/>
            </w:pPr>
            <w:r w:rsidRPr="006B339E">
              <w:t>4.508.205.660</w:t>
            </w:r>
          </w:p>
        </w:tc>
        <w:tc>
          <w:tcPr>
            <w:tcW w:w="1073" w:type="pct"/>
            <w:tcBorders>
              <w:top w:val="single" w:sz="4" w:space="0" w:color="auto"/>
              <w:left w:val="nil"/>
              <w:bottom w:val="single" w:sz="4" w:space="0" w:color="auto"/>
              <w:right w:val="nil"/>
            </w:tcBorders>
            <w:shd w:val="clear" w:color="000000" w:fill="8DB3E2"/>
            <w:vAlign w:val="center"/>
          </w:tcPr>
          <w:p w14:paraId="013A1CFC" w14:textId="77777777" w:rsidR="006B339E" w:rsidRPr="006B339E" w:rsidRDefault="006B339E" w:rsidP="009079F8">
            <w:pPr>
              <w:pStyle w:val="cuadroCabe"/>
              <w:jc w:val="right"/>
            </w:pPr>
            <w:r w:rsidRPr="006B339E">
              <w:rPr>
                <w:bCs/>
              </w:rPr>
              <w:t>4.216.</w:t>
            </w:r>
            <w:r w:rsidR="009079F8">
              <w:rPr>
                <w:bCs/>
              </w:rPr>
              <w:t>732.976</w:t>
            </w:r>
          </w:p>
        </w:tc>
      </w:tr>
    </w:tbl>
    <w:p w14:paraId="3CAC1F98" w14:textId="77777777" w:rsidR="00614DC4" w:rsidRDefault="00614DC4" w:rsidP="00614DC4">
      <w:pPr>
        <w:tabs>
          <w:tab w:val="center" w:pos="2835"/>
          <w:tab w:val="center" w:pos="3969"/>
          <w:tab w:val="center" w:pos="5103"/>
          <w:tab w:val="center" w:pos="6237"/>
          <w:tab w:val="center" w:pos="7371"/>
        </w:tabs>
        <w:spacing w:before="120"/>
        <w:ind w:left="-357"/>
        <w:rPr>
          <w:rFonts w:ascii="Arial Narrow" w:hAnsi="Arial Narrow"/>
          <w:spacing w:val="6"/>
          <w:sz w:val="18"/>
          <w:szCs w:val="18"/>
        </w:rPr>
      </w:pPr>
    </w:p>
    <w:p w14:paraId="3244D530" w14:textId="77777777" w:rsidR="00614DC4" w:rsidRDefault="00614DC4" w:rsidP="00614DC4">
      <w:pPr>
        <w:rPr>
          <w:rFonts w:ascii="Arial Narrow" w:hAnsi="Arial Narrow"/>
          <w:spacing w:val="6"/>
          <w:sz w:val="18"/>
          <w:szCs w:val="18"/>
        </w:rPr>
      </w:pPr>
      <w:r>
        <w:rPr>
          <w:rFonts w:ascii="Arial Narrow" w:hAnsi="Arial Narrow"/>
          <w:spacing w:val="6"/>
          <w:sz w:val="18"/>
          <w:szCs w:val="18"/>
        </w:rPr>
        <w:br w:type="page"/>
      </w:r>
    </w:p>
    <w:p w14:paraId="15B34ED5" w14:textId="77777777" w:rsidR="00614DC4" w:rsidRDefault="00614DC4" w:rsidP="00614DC4">
      <w:pPr>
        <w:tabs>
          <w:tab w:val="center" w:pos="2835"/>
          <w:tab w:val="center" w:pos="3969"/>
          <w:tab w:val="center" w:pos="5103"/>
          <w:tab w:val="center" w:pos="6237"/>
          <w:tab w:val="center" w:pos="7371"/>
        </w:tabs>
        <w:spacing w:before="120"/>
        <w:ind w:left="-357"/>
        <w:rPr>
          <w:rFonts w:ascii="Arial Narrow" w:hAnsi="Arial Narrow"/>
          <w:spacing w:val="6"/>
          <w:sz w:val="18"/>
          <w:szCs w:val="18"/>
        </w:rPr>
      </w:pPr>
    </w:p>
    <w:tbl>
      <w:tblPr>
        <w:tblW w:w="5001" w:type="pct"/>
        <w:jc w:val="center"/>
        <w:tblCellMar>
          <w:left w:w="70" w:type="dxa"/>
          <w:right w:w="70" w:type="dxa"/>
        </w:tblCellMar>
        <w:tblLook w:val="04A0" w:firstRow="1" w:lastRow="0" w:firstColumn="1" w:lastColumn="0" w:noHBand="0" w:noVBand="1"/>
      </w:tblPr>
      <w:tblGrid>
        <w:gridCol w:w="5387"/>
        <w:gridCol w:w="1560"/>
        <w:gridCol w:w="1844"/>
      </w:tblGrid>
      <w:tr w:rsidR="00614DC4" w14:paraId="2FD5A5A6" w14:textId="77777777" w:rsidTr="007728A2">
        <w:trPr>
          <w:trHeight w:val="255"/>
          <w:jc w:val="center"/>
        </w:trPr>
        <w:tc>
          <w:tcPr>
            <w:tcW w:w="3064" w:type="pct"/>
            <w:tcBorders>
              <w:top w:val="single" w:sz="4" w:space="0" w:color="auto"/>
              <w:left w:val="nil"/>
              <w:bottom w:val="single" w:sz="4" w:space="0" w:color="auto"/>
              <w:right w:val="nil"/>
            </w:tcBorders>
            <w:shd w:val="clear" w:color="auto" w:fill="8DB3E2"/>
            <w:vAlign w:val="center"/>
            <w:hideMark/>
          </w:tcPr>
          <w:p w14:paraId="1AE4044B" w14:textId="77777777" w:rsidR="00614DC4" w:rsidRDefault="00614DC4" w:rsidP="002B4FF0">
            <w:pPr>
              <w:pStyle w:val="cuadroCabe"/>
              <w:rPr>
                <w:snapToGrid w:val="0"/>
              </w:rPr>
            </w:pPr>
            <w:r>
              <w:rPr>
                <w:snapToGrid w:val="0"/>
              </w:rPr>
              <w:br w:type="page"/>
            </w:r>
            <w:r>
              <w:rPr>
                <w:snapToGrid w:val="0"/>
              </w:rPr>
              <w:br w:type="page"/>
              <w:t>P</w:t>
            </w:r>
            <w:r w:rsidR="002B4FF0">
              <w:rPr>
                <w:snapToGrid w:val="0"/>
              </w:rPr>
              <w:t>atrimonio Neto y Pasivo</w:t>
            </w:r>
          </w:p>
        </w:tc>
        <w:tc>
          <w:tcPr>
            <w:tcW w:w="887" w:type="pct"/>
            <w:tcBorders>
              <w:top w:val="single" w:sz="4" w:space="0" w:color="auto"/>
              <w:left w:val="nil"/>
              <w:bottom w:val="single" w:sz="4" w:space="0" w:color="auto"/>
            </w:tcBorders>
            <w:shd w:val="clear" w:color="auto" w:fill="8DB3E2"/>
            <w:vAlign w:val="center"/>
            <w:hideMark/>
          </w:tcPr>
          <w:p w14:paraId="38856C97" w14:textId="77777777" w:rsidR="00614DC4" w:rsidRDefault="00614DC4" w:rsidP="003B4290">
            <w:pPr>
              <w:pStyle w:val="cuadroCabe"/>
              <w:jc w:val="right"/>
              <w:rPr>
                <w:snapToGrid w:val="0"/>
              </w:rPr>
            </w:pPr>
            <w:r>
              <w:rPr>
                <w:snapToGrid w:val="0"/>
              </w:rPr>
              <w:t>Ejercicio 202</w:t>
            </w:r>
            <w:r w:rsidR="00802F88">
              <w:rPr>
                <w:snapToGrid w:val="0"/>
              </w:rPr>
              <w:t>3</w:t>
            </w:r>
          </w:p>
        </w:tc>
        <w:tc>
          <w:tcPr>
            <w:tcW w:w="1049" w:type="pct"/>
            <w:tcBorders>
              <w:top w:val="single" w:sz="4" w:space="0" w:color="auto"/>
              <w:left w:val="nil"/>
              <w:bottom w:val="single" w:sz="4" w:space="0" w:color="auto"/>
              <w:right w:val="nil"/>
            </w:tcBorders>
            <w:shd w:val="clear" w:color="auto" w:fill="8DB3E2"/>
            <w:vAlign w:val="center"/>
            <w:hideMark/>
          </w:tcPr>
          <w:p w14:paraId="71A3B14C" w14:textId="77777777" w:rsidR="00614DC4" w:rsidRDefault="00614DC4" w:rsidP="003B4290">
            <w:pPr>
              <w:pStyle w:val="cuadroCabe"/>
              <w:jc w:val="right"/>
              <w:rPr>
                <w:snapToGrid w:val="0"/>
              </w:rPr>
            </w:pPr>
            <w:r>
              <w:rPr>
                <w:snapToGrid w:val="0"/>
              </w:rPr>
              <w:t>Ejercicio 202</w:t>
            </w:r>
            <w:r w:rsidR="00802F88">
              <w:rPr>
                <w:snapToGrid w:val="0"/>
              </w:rPr>
              <w:t>2</w:t>
            </w:r>
          </w:p>
        </w:tc>
      </w:tr>
      <w:tr w:rsidR="001F66E1" w:rsidRPr="007728A2" w14:paraId="54E89F02" w14:textId="77777777" w:rsidTr="007728A2">
        <w:trPr>
          <w:trHeight w:val="198"/>
          <w:jc w:val="center"/>
        </w:trPr>
        <w:tc>
          <w:tcPr>
            <w:tcW w:w="3064" w:type="pct"/>
            <w:tcBorders>
              <w:top w:val="single" w:sz="4" w:space="0" w:color="auto"/>
              <w:left w:val="nil"/>
              <w:bottom w:val="single" w:sz="4" w:space="0" w:color="auto"/>
              <w:right w:val="nil"/>
            </w:tcBorders>
            <w:vAlign w:val="center"/>
            <w:hideMark/>
          </w:tcPr>
          <w:p w14:paraId="3240A0A8" w14:textId="77777777" w:rsidR="001F66E1" w:rsidRPr="007728A2" w:rsidRDefault="001F66E1" w:rsidP="005E5C0D">
            <w:pPr>
              <w:pStyle w:val="cuatexto"/>
              <w:rPr>
                <w:b/>
                <w:snapToGrid w:val="0"/>
              </w:rPr>
            </w:pPr>
            <w:r w:rsidRPr="007728A2">
              <w:rPr>
                <w:b/>
                <w:snapToGrid w:val="0"/>
              </w:rPr>
              <w:t>A) Fondos Propios</w:t>
            </w:r>
          </w:p>
        </w:tc>
        <w:tc>
          <w:tcPr>
            <w:tcW w:w="887" w:type="pct"/>
            <w:tcBorders>
              <w:top w:val="single" w:sz="4" w:space="0" w:color="auto"/>
              <w:left w:val="nil"/>
              <w:bottom w:val="single" w:sz="4" w:space="0" w:color="auto"/>
            </w:tcBorders>
            <w:shd w:val="clear" w:color="auto" w:fill="auto"/>
            <w:vAlign w:val="center"/>
          </w:tcPr>
          <w:p w14:paraId="74600E37" w14:textId="77777777" w:rsidR="001F66E1" w:rsidRPr="007728A2" w:rsidRDefault="001F66E1" w:rsidP="003B4290">
            <w:pPr>
              <w:pStyle w:val="cuatexto"/>
              <w:jc w:val="right"/>
              <w:rPr>
                <w:b/>
                <w:snapToGrid w:val="0"/>
              </w:rPr>
            </w:pPr>
            <w:r w:rsidRPr="007728A2">
              <w:rPr>
                <w:b/>
                <w:snapToGrid w:val="0"/>
              </w:rPr>
              <w:t>1.349.241.595</w:t>
            </w:r>
          </w:p>
        </w:tc>
        <w:tc>
          <w:tcPr>
            <w:tcW w:w="1049" w:type="pct"/>
            <w:tcBorders>
              <w:top w:val="single" w:sz="4" w:space="0" w:color="auto"/>
              <w:left w:val="nil"/>
              <w:bottom w:val="single" w:sz="4" w:space="0" w:color="auto"/>
              <w:right w:val="nil"/>
            </w:tcBorders>
            <w:vAlign w:val="center"/>
          </w:tcPr>
          <w:p w14:paraId="240E553C" w14:textId="77777777" w:rsidR="001F66E1" w:rsidRPr="007728A2" w:rsidRDefault="001F66E1" w:rsidP="003B4290">
            <w:pPr>
              <w:pStyle w:val="cuatexto"/>
              <w:jc w:val="right"/>
              <w:rPr>
                <w:b/>
                <w:snapToGrid w:val="0"/>
              </w:rPr>
            </w:pPr>
            <w:r w:rsidRPr="007728A2">
              <w:rPr>
                <w:b/>
                <w:snapToGrid w:val="0"/>
              </w:rPr>
              <w:t>837.893.636</w:t>
            </w:r>
          </w:p>
        </w:tc>
      </w:tr>
      <w:tr w:rsidR="001F66E1" w14:paraId="679FC885" w14:textId="77777777" w:rsidTr="007728A2">
        <w:trPr>
          <w:trHeight w:val="198"/>
          <w:jc w:val="center"/>
        </w:trPr>
        <w:tc>
          <w:tcPr>
            <w:tcW w:w="3064" w:type="pct"/>
            <w:tcBorders>
              <w:top w:val="single" w:sz="4" w:space="0" w:color="auto"/>
              <w:left w:val="nil"/>
              <w:bottom w:val="single" w:sz="2" w:space="0" w:color="auto"/>
              <w:right w:val="nil"/>
            </w:tcBorders>
            <w:vAlign w:val="center"/>
            <w:hideMark/>
          </w:tcPr>
          <w:p w14:paraId="7B29031D" w14:textId="77777777" w:rsidR="001F66E1" w:rsidRPr="00D76B08" w:rsidRDefault="001F66E1" w:rsidP="005E5C0D">
            <w:pPr>
              <w:pStyle w:val="cuatexto"/>
              <w:rPr>
                <w:snapToGrid w:val="0"/>
              </w:rPr>
            </w:pPr>
            <w:r w:rsidRPr="00D76B08">
              <w:rPr>
                <w:snapToGrid w:val="0"/>
              </w:rPr>
              <w:t xml:space="preserve">I. Patrimonio </w:t>
            </w:r>
          </w:p>
        </w:tc>
        <w:tc>
          <w:tcPr>
            <w:tcW w:w="887" w:type="pct"/>
            <w:tcBorders>
              <w:top w:val="single" w:sz="4" w:space="0" w:color="auto"/>
              <w:left w:val="nil"/>
              <w:bottom w:val="single" w:sz="2" w:space="0" w:color="auto"/>
            </w:tcBorders>
            <w:shd w:val="clear" w:color="auto" w:fill="auto"/>
            <w:vAlign w:val="center"/>
          </w:tcPr>
          <w:p w14:paraId="6F69653F" w14:textId="77777777" w:rsidR="001F66E1" w:rsidRPr="00D76B08" w:rsidRDefault="001F66E1" w:rsidP="003B4290">
            <w:pPr>
              <w:pStyle w:val="cuatexto"/>
              <w:jc w:val="right"/>
              <w:rPr>
                <w:snapToGrid w:val="0"/>
              </w:rPr>
            </w:pPr>
            <w:r w:rsidRPr="00D76B08">
              <w:rPr>
                <w:snapToGrid w:val="0"/>
              </w:rPr>
              <w:t>363.011.285</w:t>
            </w:r>
          </w:p>
        </w:tc>
        <w:tc>
          <w:tcPr>
            <w:tcW w:w="1049" w:type="pct"/>
            <w:tcBorders>
              <w:top w:val="single" w:sz="4" w:space="0" w:color="auto"/>
              <w:left w:val="nil"/>
              <w:bottom w:val="single" w:sz="2" w:space="0" w:color="auto"/>
              <w:right w:val="nil"/>
            </w:tcBorders>
            <w:vAlign w:val="center"/>
          </w:tcPr>
          <w:p w14:paraId="395E0983" w14:textId="77777777" w:rsidR="001F66E1" w:rsidRPr="00D76B08" w:rsidRDefault="001F66E1" w:rsidP="003B4290">
            <w:pPr>
              <w:pStyle w:val="cuatexto"/>
              <w:jc w:val="right"/>
              <w:rPr>
                <w:snapToGrid w:val="0"/>
              </w:rPr>
            </w:pPr>
            <w:r w:rsidRPr="00D76B08">
              <w:rPr>
                <w:snapToGrid w:val="0"/>
              </w:rPr>
              <w:t>-145.921.497</w:t>
            </w:r>
          </w:p>
        </w:tc>
      </w:tr>
      <w:tr w:rsidR="001F66E1" w14:paraId="60CA6639" w14:textId="77777777" w:rsidTr="00053346">
        <w:trPr>
          <w:trHeight w:val="198"/>
          <w:jc w:val="center"/>
        </w:trPr>
        <w:tc>
          <w:tcPr>
            <w:tcW w:w="3064" w:type="pct"/>
            <w:tcBorders>
              <w:top w:val="single" w:sz="2" w:space="0" w:color="auto"/>
              <w:left w:val="nil"/>
              <w:bottom w:val="single" w:sz="2" w:space="0" w:color="auto"/>
              <w:right w:val="nil"/>
            </w:tcBorders>
            <w:vAlign w:val="center"/>
            <w:hideMark/>
          </w:tcPr>
          <w:p w14:paraId="77DC7FAA" w14:textId="77777777" w:rsidR="001F66E1" w:rsidRPr="00D76B08" w:rsidRDefault="001F66E1" w:rsidP="005E5C0D">
            <w:pPr>
              <w:pStyle w:val="cuatexto"/>
              <w:rPr>
                <w:snapToGrid w:val="0"/>
              </w:rPr>
            </w:pPr>
            <w:r w:rsidRPr="00D76B08">
              <w:rPr>
                <w:snapToGrid w:val="0"/>
              </w:rPr>
              <w:t xml:space="preserve">1. Patrimonio </w:t>
            </w:r>
          </w:p>
        </w:tc>
        <w:tc>
          <w:tcPr>
            <w:tcW w:w="887" w:type="pct"/>
            <w:tcBorders>
              <w:top w:val="single" w:sz="2" w:space="0" w:color="auto"/>
              <w:left w:val="nil"/>
              <w:bottom w:val="single" w:sz="2" w:space="0" w:color="auto"/>
            </w:tcBorders>
            <w:shd w:val="clear" w:color="auto" w:fill="auto"/>
            <w:vAlign w:val="center"/>
          </w:tcPr>
          <w:p w14:paraId="611A856E" w14:textId="77777777" w:rsidR="001F66E1" w:rsidRPr="00D76B08" w:rsidRDefault="001F66E1" w:rsidP="003B4290">
            <w:pPr>
              <w:pStyle w:val="cuatexto"/>
              <w:jc w:val="right"/>
              <w:rPr>
                <w:snapToGrid w:val="0"/>
              </w:rPr>
            </w:pPr>
            <w:r w:rsidRPr="00D76B08">
              <w:rPr>
                <w:snapToGrid w:val="0"/>
              </w:rPr>
              <w:t>363.011.285</w:t>
            </w:r>
          </w:p>
        </w:tc>
        <w:tc>
          <w:tcPr>
            <w:tcW w:w="1049" w:type="pct"/>
            <w:tcBorders>
              <w:top w:val="single" w:sz="2" w:space="0" w:color="auto"/>
              <w:left w:val="nil"/>
              <w:bottom w:val="single" w:sz="2" w:space="0" w:color="auto"/>
              <w:right w:val="nil"/>
            </w:tcBorders>
            <w:vAlign w:val="center"/>
          </w:tcPr>
          <w:p w14:paraId="517DC3B9" w14:textId="77777777" w:rsidR="001F66E1" w:rsidRPr="00D76B08" w:rsidRDefault="001F66E1" w:rsidP="003B4290">
            <w:pPr>
              <w:pStyle w:val="cuatexto"/>
              <w:jc w:val="right"/>
              <w:rPr>
                <w:snapToGrid w:val="0"/>
              </w:rPr>
            </w:pPr>
            <w:r w:rsidRPr="00D76B08">
              <w:rPr>
                <w:snapToGrid w:val="0"/>
              </w:rPr>
              <w:t>-145.921.497</w:t>
            </w:r>
          </w:p>
        </w:tc>
      </w:tr>
      <w:tr w:rsidR="001F66E1" w14:paraId="2BB4CEAD" w14:textId="77777777" w:rsidTr="00053346">
        <w:trPr>
          <w:trHeight w:val="198"/>
          <w:jc w:val="center"/>
        </w:trPr>
        <w:tc>
          <w:tcPr>
            <w:tcW w:w="3064" w:type="pct"/>
            <w:tcBorders>
              <w:top w:val="single" w:sz="2" w:space="0" w:color="auto"/>
              <w:left w:val="nil"/>
              <w:bottom w:val="single" w:sz="2" w:space="0" w:color="auto"/>
              <w:right w:val="nil"/>
            </w:tcBorders>
            <w:vAlign w:val="center"/>
            <w:hideMark/>
          </w:tcPr>
          <w:p w14:paraId="4FC086A0" w14:textId="77777777" w:rsidR="001F66E1" w:rsidRPr="00D76B08" w:rsidRDefault="001F66E1" w:rsidP="005E5C0D">
            <w:pPr>
              <w:pStyle w:val="cuatexto"/>
              <w:rPr>
                <w:snapToGrid w:val="0"/>
              </w:rPr>
            </w:pPr>
            <w:r w:rsidRPr="00D76B08">
              <w:rPr>
                <w:snapToGrid w:val="0"/>
              </w:rPr>
              <w:t>III. Resultados del ejercicio anterior</w:t>
            </w:r>
          </w:p>
        </w:tc>
        <w:tc>
          <w:tcPr>
            <w:tcW w:w="887" w:type="pct"/>
            <w:tcBorders>
              <w:top w:val="single" w:sz="2" w:space="0" w:color="auto"/>
              <w:left w:val="nil"/>
              <w:bottom w:val="single" w:sz="2" w:space="0" w:color="auto"/>
            </w:tcBorders>
            <w:shd w:val="clear" w:color="auto" w:fill="auto"/>
            <w:vAlign w:val="center"/>
          </w:tcPr>
          <w:p w14:paraId="27F993E0" w14:textId="77777777" w:rsidR="001F66E1" w:rsidRPr="00D76B08" w:rsidRDefault="001F66E1" w:rsidP="003B4290">
            <w:pPr>
              <w:pStyle w:val="cuatexto"/>
              <w:jc w:val="right"/>
              <w:rPr>
                <w:snapToGrid w:val="0"/>
              </w:rPr>
            </w:pPr>
            <w:r w:rsidRPr="00D76B08">
              <w:rPr>
                <w:snapToGrid w:val="0"/>
              </w:rPr>
              <w:t>473.883.394</w:t>
            </w:r>
          </w:p>
        </w:tc>
        <w:tc>
          <w:tcPr>
            <w:tcW w:w="1049" w:type="pct"/>
            <w:tcBorders>
              <w:top w:val="single" w:sz="2" w:space="0" w:color="auto"/>
              <w:left w:val="nil"/>
              <w:bottom w:val="single" w:sz="2" w:space="0" w:color="auto"/>
              <w:right w:val="nil"/>
            </w:tcBorders>
            <w:vAlign w:val="center"/>
          </w:tcPr>
          <w:p w14:paraId="2CAAB37F" w14:textId="77777777" w:rsidR="001F66E1" w:rsidRPr="00D76B08" w:rsidRDefault="001F66E1" w:rsidP="003B4290">
            <w:pPr>
              <w:pStyle w:val="cuatexto"/>
              <w:jc w:val="right"/>
              <w:rPr>
                <w:snapToGrid w:val="0"/>
              </w:rPr>
            </w:pPr>
            <w:r w:rsidRPr="00D76B08">
              <w:rPr>
                <w:snapToGrid w:val="0"/>
              </w:rPr>
              <w:t>508.932.782</w:t>
            </w:r>
          </w:p>
        </w:tc>
      </w:tr>
      <w:tr w:rsidR="001F66E1" w14:paraId="0E7BCE49" w14:textId="77777777" w:rsidTr="00053346">
        <w:trPr>
          <w:trHeight w:val="198"/>
          <w:jc w:val="center"/>
        </w:trPr>
        <w:tc>
          <w:tcPr>
            <w:tcW w:w="3064" w:type="pct"/>
            <w:tcBorders>
              <w:top w:val="single" w:sz="2" w:space="0" w:color="auto"/>
              <w:left w:val="nil"/>
              <w:bottom w:val="single" w:sz="2" w:space="0" w:color="auto"/>
              <w:right w:val="nil"/>
            </w:tcBorders>
            <w:vAlign w:val="center"/>
            <w:hideMark/>
          </w:tcPr>
          <w:p w14:paraId="52699DE2" w14:textId="77777777" w:rsidR="001F66E1" w:rsidRPr="00D76B08" w:rsidRDefault="001F66E1" w:rsidP="005E5C0D">
            <w:pPr>
              <w:pStyle w:val="cuatexto"/>
              <w:rPr>
                <w:snapToGrid w:val="0"/>
              </w:rPr>
            </w:pPr>
            <w:r w:rsidRPr="00D76B08">
              <w:rPr>
                <w:snapToGrid w:val="0"/>
              </w:rPr>
              <w:t>1. Resultados del ejercicio anterior</w:t>
            </w:r>
          </w:p>
        </w:tc>
        <w:tc>
          <w:tcPr>
            <w:tcW w:w="887" w:type="pct"/>
            <w:tcBorders>
              <w:top w:val="single" w:sz="2" w:space="0" w:color="auto"/>
              <w:left w:val="nil"/>
              <w:bottom w:val="single" w:sz="2" w:space="0" w:color="auto"/>
            </w:tcBorders>
            <w:shd w:val="clear" w:color="auto" w:fill="auto"/>
            <w:vAlign w:val="center"/>
          </w:tcPr>
          <w:p w14:paraId="38DADB8A" w14:textId="77777777" w:rsidR="001F66E1" w:rsidRPr="00D76B08" w:rsidRDefault="001F66E1" w:rsidP="003B4290">
            <w:pPr>
              <w:pStyle w:val="cuatexto"/>
              <w:jc w:val="right"/>
              <w:rPr>
                <w:snapToGrid w:val="0"/>
              </w:rPr>
            </w:pPr>
            <w:r w:rsidRPr="00D76B08">
              <w:rPr>
                <w:snapToGrid w:val="0"/>
              </w:rPr>
              <w:t>473.883.394</w:t>
            </w:r>
          </w:p>
        </w:tc>
        <w:tc>
          <w:tcPr>
            <w:tcW w:w="1049" w:type="pct"/>
            <w:tcBorders>
              <w:top w:val="single" w:sz="2" w:space="0" w:color="auto"/>
              <w:left w:val="nil"/>
              <w:bottom w:val="single" w:sz="2" w:space="0" w:color="auto"/>
              <w:right w:val="nil"/>
            </w:tcBorders>
            <w:vAlign w:val="center"/>
          </w:tcPr>
          <w:p w14:paraId="3F252150" w14:textId="77777777" w:rsidR="001F66E1" w:rsidRPr="00D76B08" w:rsidRDefault="001F66E1" w:rsidP="003B4290">
            <w:pPr>
              <w:pStyle w:val="cuatexto"/>
              <w:jc w:val="right"/>
              <w:rPr>
                <w:snapToGrid w:val="0"/>
              </w:rPr>
            </w:pPr>
            <w:r w:rsidRPr="00D76B08">
              <w:rPr>
                <w:snapToGrid w:val="0"/>
              </w:rPr>
              <w:t>508.932.782</w:t>
            </w:r>
          </w:p>
        </w:tc>
      </w:tr>
      <w:tr w:rsidR="001F66E1" w14:paraId="6CEF26AF" w14:textId="77777777" w:rsidTr="00053346">
        <w:trPr>
          <w:trHeight w:val="198"/>
          <w:jc w:val="center"/>
        </w:trPr>
        <w:tc>
          <w:tcPr>
            <w:tcW w:w="3064" w:type="pct"/>
            <w:tcBorders>
              <w:top w:val="single" w:sz="2" w:space="0" w:color="auto"/>
              <w:left w:val="nil"/>
              <w:bottom w:val="single" w:sz="2" w:space="0" w:color="auto"/>
              <w:right w:val="nil"/>
            </w:tcBorders>
            <w:vAlign w:val="center"/>
            <w:hideMark/>
          </w:tcPr>
          <w:p w14:paraId="3EA5804A" w14:textId="77777777" w:rsidR="001F66E1" w:rsidRPr="00D76B08" w:rsidRDefault="001F66E1" w:rsidP="005E5C0D">
            <w:pPr>
              <w:pStyle w:val="cuatexto"/>
              <w:rPr>
                <w:snapToGrid w:val="0"/>
              </w:rPr>
            </w:pPr>
            <w:r w:rsidRPr="00D76B08">
              <w:rPr>
                <w:snapToGrid w:val="0"/>
              </w:rPr>
              <w:t xml:space="preserve">IV. Resultados del ejercicio </w:t>
            </w:r>
          </w:p>
        </w:tc>
        <w:tc>
          <w:tcPr>
            <w:tcW w:w="887" w:type="pct"/>
            <w:tcBorders>
              <w:top w:val="single" w:sz="2" w:space="0" w:color="auto"/>
              <w:left w:val="nil"/>
              <w:bottom w:val="single" w:sz="2" w:space="0" w:color="auto"/>
            </w:tcBorders>
            <w:shd w:val="clear" w:color="auto" w:fill="auto"/>
            <w:vAlign w:val="center"/>
          </w:tcPr>
          <w:p w14:paraId="6E377271" w14:textId="77777777" w:rsidR="001F66E1" w:rsidRPr="00D76B08" w:rsidRDefault="001F66E1" w:rsidP="003B4290">
            <w:pPr>
              <w:pStyle w:val="cuatexto"/>
              <w:jc w:val="right"/>
              <w:rPr>
                <w:snapToGrid w:val="0"/>
              </w:rPr>
            </w:pPr>
            <w:r w:rsidRPr="00D76B08">
              <w:rPr>
                <w:snapToGrid w:val="0"/>
              </w:rPr>
              <w:t>510.868.767</w:t>
            </w:r>
          </w:p>
        </w:tc>
        <w:tc>
          <w:tcPr>
            <w:tcW w:w="1049" w:type="pct"/>
            <w:tcBorders>
              <w:top w:val="single" w:sz="2" w:space="0" w:color="auto"/>
              <w:left w:val="nil"/>
              <w:bottom w:val="single" w:sz="2" w:space="0" w:color="auto"/>
              <w:right w:val="nil"/>
            </w:tcBorders>
            <w:vAlign w:val="center"/>
          </w:tcPr>
          <w:p w14:paraId="602E57E7" w14:textId="77777777" w:rsidR="001F66E1" w:rsidRPr="00D76B08" w:rsidRDefault="001F66E1" w:rsidP="003B4290">
            <w:pPr>
              <w:pStyle w:val="cuatexto"/>
              <w:jc w:val="right"/>
              <w:rPr>
                <w:snapToGrid w:val="0"/>
              </w:rPr>
            </w:pPr>
            <w:r w:rsidRPr="00D76B08">
              <w:rPr>
                <w:snapToGrid w:val="0"/>
              </w:rPr>
              <w:t>473.892.739</w:t>
            </w:r>
          </w:p>
        </w:tc>
      </w:tr>
      <w:tr w:rsidR="001F66E1" w14:paraId="0C6E753D" w14:textId="77777777" w:rsidTr="009B2DAA">
        <w:trPr>
          <w:trHeight w:val="198"/>
          <w:jc w:val="center"/>
        </w:trPr>
        <w:tc>
          <w:tcPr>
            <w:tcW w:w="3064" w:type="pct"/>
            <w:tcBorders>
              <w:top w:val="single" w:sz="2" w:space="0" w:color="auto"/>
              <w:left w:val="nil"/>
              <w:bottom w:val="single" w:sz="4" w:space="0" w:color="auto"/>
              <w:right w:val="nil"/>
            </w:tcBorders>
            <w:vAlign w:val="center"/>
            <w:hideMark/>
          </w:tcPr>
          <w:p w14:paraId="2DAC0BC0" w14:textId="77777777" w:rsidR="001F66E1" w:rsidRPr="00D76B08" w:rsidRDefault="001F66E1" w:rsidP="005E5C0D">
            <w:pPr>
              <w:pStyle w:val="cuatexto"/>
              <w:rPr>
                <w:snapToGrid w:val="0"/>
              </w:rPr>
            </w:pPr>
            <w:r w:rsidRPr="00D76B08">
              <w:rPr>
                <w:snapToGrid w:val="0"/>
              </w:rPr>
              <w:t>V. Incremento patrimonio pendiente imputar</w:t>
            </w:r>
          </w:p>
        </w:tc>
        <w:tc>
          <w:tcPr>
            <w:tcW w:w="887" w:type="pct"/>
            <w:tcBorders>
              <w:top w:val="single" w:sz="2" w:space="0" w:color="auto"/>
              <w:left w:val="nil"/>
              <w:bottom w:val="single" w:sz="4" w:space="0" w:color="auto"/>
            </w:tcBorders>
            <w:shd w:val="clear" w:color="auto" w:fill="auto"/>
            <w:vAlign w:val="center"/>
          </w:tcPr>
          <w:p w14:paraId="3C4B881C" w14:textId="77777777" w:rsidR="001F66E1" w:rsidRPr="00D76B08" w:rsidRDefault="001F66E1" w:rsidP="003B4290">
            <w:pPr>
              <w:pStyle w:val="cuatexto"/>
              <w:jc w:val="right"/>
              <w:rPr>
                <w:snapToGrid w:val="0"/>
              </w:rPr>
            </w:pPr>
            <w:r w:rsidRPr="00D76B08">
              <w:rPr>
                <w:snapToGrid w:val="0"/>
              </w:rPr>
              <w:t>1.478.150</w:t>
            </w:r>
          </w:p>
        </w:tc>
        <w:tc>
          <w:tcPr>
            <w:tcW w:w="1049" w:type="pct"/>
            <w:tcBorders>
              <w:top w:val="single" w:sz="2" w:space="0" w:color="auto"/>
              <w:left w:val="nil"/>
              <w:bottom w:val="single" w:sz="4" w:space="0" w:color="auto"/>
              <w:right w:val="nil"/>
            </w:tcBorders>
            <w:vAlign w:val="center"/>
          </w:tcPr>
          <w:p w14:paraId="38B17F53" w14:textId="77777777" w:rsidR="001F66E1" w:rsidRPr="00D76B08" w:rsidRDefault="001F66E1" w:rsidP="003B4290">
            <w:pPr>
              <w:pStyle w:val="cuatexto"/>
              <w:jc w:val="right"/>
              <w:rPr>
                <w:snapToGrid w:val="0"/>
              </w:rPr>
            </w:pPr>
            <w:r w:rsidRPr="00D76B08">
              <w:rPr>
                <w:snapToGrid w:val="0"/>
              </w:rPr>
              <w:t>989.612</w:t>
            </w:r>
          </w:p>
        </w:tc>
      </w:tr>
      <w:tr w:rsidR="001F66E1" w:rsidRPr="009B2DAA" w14:paraId="7C3206A7" w14:textId="77777777" w:rsidTr="009B2DAA">
        <w:trPr>
          <w:trHeight w:val="198"/>
          <w:jc w:val="center"/>
        </w:trPr>
        <w:tc>
          <w:tcPr>
            <w:tcW w:w="3064" w:type="pct"/>
            <w:tcBorders>
              <w:top w:val="single" w:sz="4" w:space="0" w:color="auto"/>
              <w:left w:val="nil"/>
              <w:bottom w:val="single" w:sz="4" w:space="0" w:color="auto"/>
              <w:right w:val="nil"/>
            </w:tcBorders>
            <w:vAlign w:val="center"/>
            <w:hideMark/>
          </w:tcPr>
          <w:p w14:paraId="04944FB9" w14:textId="77777777" w:rsidR="001F66E1" w:rsidRPr="009B2DAA" w:rsidRDefault="001F66E1" w:rsidP="005E5C0D">
            <w:pPr>
              <w:pStyle w:val="cuatexto"/>
              <w:rPr>
                <w:b/>
                <w:snapToGrid w:val="0"/>
              </w:rPr>
            </w:pPr>
            <w:r w:rsidRPr="009B2DAA">
              <w:rPr>
                <w:b/>
                <w:snapToGrid w:val="0"/>
              </w:rPr>
              <w:t>C) Acreedores a largo plazo</w:t>
            </w:r>
          </w:p>
        </w:tc>
        <w:tc>
          <w:tcPr>
            <w:tcW w:w="887" w:type="pct"/>
            <w:tcBorders>
              <w:top w:val="single" w:sz="4" w:space="0" w:color="auto"/>
              <w:left w:val="nil"/>
              <w:bottom w:val="single" w:sz="4" w:space="0" w:color="auto"/>
            </w:tcBorders>
            <w:shd w:val="clear" w:color="auto" w:fill="auto"/>
            <w:vAlign w:val="center"/>
          </w:tcPr>
          <w:p w14:paraId="48C32647" w14:textId="77777777" w:rsidR="001F66E1" w:rsidRPr="009B2DAA" w:rsidRDefault="001F66E1" w:rsidP="003B4290">
            <w:pPr>
              <w:pStyle w:val="cuatexto"/>
              <w:jc w:val="right"/>
              <w:rPr>
                <w:b/>
                <w:snapToGrid w:val="0"/>
              </w:rPr>
            </w:pPr>
            <w:r w:rsidRPr="009B2DAA">
              <w:rPr>
                <w:b/>
                <w:snapToGrid w:val="0"/>
              </w:rPr>
              <w:t>2.448.576.766</w:t>
            </w:r>
          </w:p>
        </w:tc>
        <w:tc>
          <w:tcPr>
            <w:tcW w:w="1049" w:type="pct"/>
            <w:tcBorders>
              <w:top w:val="single" w:sz="4" w:space="0" w:color="auto"/>
              <w:left w:val="nil"/>
              <w:bottom w:val="single" w:sz="4" w:space="0" w:color="auto"/>
              <w:right w:val="nil"/>
            </w:tcBorders>
            <w:vAlign w:val="center"/>
          </w:tcPr>
          <w:p w14:paraId="01A042DF" w14:textId="77777777" w:rsidR="001F66E1" w:rsidRPr="009B2DAA" w:rsidRDefault="001F66E1" w:rsidP="003B4290">
            <w:pPr>
              <w:pStyle w:val="cuatexto"/>
              <w:jc w:val="right"/>
              <w:rPr>
                <w:b/>
                <w:snapToGrid w:val="0"/>
              </w:rPr>
            </w:pPr>
            <w:r w:rsidRPr="009B2DAA">
              <w:rPr>
                <w:b/>
                <w:snapToGrid w:val="0"/>
              </w:rPr>
              <w:t>2.633.217.899</w:t>
            </w:r>
          </w:p>
        </w:tc>
      </w:tr>
      <w:tr w:rsidR="001F66E1" w14:paraId="60081117" w14:textId="77777777" w:rsidTr="009B2DAA">
        <w:trPr>
          <w:trHeight w:val="198"/>
          <w:jc w:val="center"/>
        </w:trPr>
        <w:tc>
          <w:tcPr>
            <w:tcW w:w="3064" w:type="pct"/>
            <w:tcBorders>
              <w:top w:val="single" w:sz="4" w:space="0" w:color="auto"/>
              <w:left w:val="nil"/>
              <w:bottom w:val="single" w:sz="2" w:space="0" w:color="auto"/>
              <w:right w:val="nil"/>
            </w:tcBorders>
            <w:vAlign w:val="center"/>
            <w:hideMark/>
          </w:tcPr>
          <w:p w14:paraId="263623DD" w14:textId="77777777" w:rsidR="001F66E1" w:rsidRPr="00D76B08" w:rsidRDefault="001F66E1" w:rsidP="005E5C0D">
            <w:pPr>
              <w:pStyle w:val="cuatexto"/>
              <w:rPr>
                <w:snapToGrid w:val="0"/>
              </w:rPr>
            </w:pPr>
            <w:r w:rsidRPr="00D76B08">
              <w:rPr>
                <w:snapToGrid w:val="0"/>
              </w:rPr>
              <w:t>I. Emisiones de obligaciones y otros valores negociables</w:t>
            </w:r>
          </w:p>
        </w:tc>
        <w:tc>
          <w:tcPr>
            <w:tcW w:w="887" w:type="pct"/>
            <w:tcBorders>
              <w:top w:val="single" w:sz="4" w:space="0" w:color="auto"/>
              <w:left w:val="nil"/>
              <w:bottom w:val="single" w:sz="2" w:space="0" w:color="auto"/>
            </w:tcBorders>
            <w:shd w:val="clear" w:color="auto" w:fill="auto"/>
            <w:vAlign w:val="center"/>
          </w:tcPr>
          <w:p w14:paraId="060AA995" w14:textId="77777777" w:rsidR="001F66E1" w:rsidRPr="00D76B08" w:rsidRDefault="001F66E1" w:rsidP="003B4290">
            <w:pPr>
              <w:pStyle w:val="cuatexto"/>
              <w:jc w:val="right"/>
              <w:rPr>
                <w:snapToGrid w:val="0"/>
              </w:rPr>
            </w:pPr>
            <w:r w:rsidRPr="00D76B08">
              <w:rPr>
                <w:snapToGrid w:val="0"/>
              </w:rPr>
              <w:t>956.511.387</w:t>
            </w:r>
          </w:p>
        </w:tc>
        <w:tc>
          <w:tcPr>
            <w:tcW w:w="1049" w:type="pct"/>
            <w:tcBorders>
              <w:top w:val="single" w:sz="4" w:space="0" w:color="auto"/>
              <w:left w:val="nil"/>
              <w:bottom w:val="single" w:sz="2" w:space="0" w:color="auto"/>
              <w:right w:val="nil"/>
            </w:tcBorders>
            <w:vAlign w:val="center"/>
          </w:tcPr>
          <w:p w14:paraId="621879DD" w14:textId="77777777" w:rsidR="001F66E1" w:rsidRPr="00D76B08" w:rsidRDefault="001F66E1" w:rsidP="003B4290">
            <w:pPr>
              <w:pStyle w:val="cuatexto"/>
              <w:jc w:val="right"/>
              <w:rPr>
                <w:snapToGrid w:val="0"/>
              </w:rPr>
            </w:pPr>
            <w:r w:rsidRPr="00D76B08">
              <w:rPr>
                <w:snapToGrid w:val="0"/>
              </w:rPr>
              <w:t>1.060.323.073</w:t>
            </w:r>
          </w:p>
        </w:tc>
      </w:tr>
      <w:tr w:rsidR="001F66E1" w14:paraId="58C896F1" w14:textId="77777777" w:rsidTr="00053346">
        <w:trPr>
          <w:trHeight w:val="198"/>
          <w:jc w:val="center"/>
        </w:trPr>
        <w:tc>
          <w:tcPr>
            <w:tcW w:w="3064" w:type="pct"/>
            <w:tcBorders>
              <w:top w:val="single" w:sz="2" w:space="0" w:color="auto"/>
              <w:left w:val="nil"/>
              <w:bottom w:val="single" w:sz="2" w:space="0" w:color="auto"/>
              <w:right w:val="nil"/>
            </w:tcBorders>
            <w:vAlign w:val="center"/>
            <w:hideMark/>
          </w:tcPr>
          <w:p w14:paraId="30847839" w14:textId="77777777" w:rsidR="001F66E1" w:rsidRPr="00D76B08" w:rsidRDefault="001F66E1" w:rsidP="005E5C0D">
            <w:pPr>
              <w:pStyle w:val="cuatexto"/>
              <w:rPr>
                <w:snapToGrid w:val="0"/>
              </w:rPr>
            </w:pPr>
            <w:r w:rsidRPr="00D76B08">
              <w:rPr>
                <w:snapToGrid w:val="0"/>
              </w:rPr>
              <w:t xml:space="preserve">1. Obligaciones y bonos </w:t>
            </w:r>
          </w:p>
        </w:tc>
        <w:tc>
          <w:tcPr>
            <w:tcW w:w="887" w:type="pct"/>
            <w:tcBorders>
              <w:top w:val="single" w:sz="2" w:space="0" w:color="auto"/>
              <w:left w:val="nil"/>
              <w:bottom w:val="single" w:sz="2" w:space="0" w:color="auto"/>
            </w:tcBorders>
            <w:shd w:val="clear" w:color="auto" w:fill="auto"/>
            <w:vAlign w:val="center"/>
          </w:tcPr>
          <w:p w14:paraId="6504E684" w14:textId="77777777" w:rsidR="001F66E1" w:rsidRPr="00D76B08" w:rsidRDefault="001F66E1" w:rsidP="003B4290">
            <w:pPr>
              <w:pStyle w:val="cuatexto"/>
              <w:jc w:val="right"/>
              <w:rPr>
                <w:snapToGrid w:val="0"/>
              </w:rPr>
            </w:pPr>
            <w:r w:rsidRPr="00D76B08">
              <w:rPr>
                <w:snapToGrid w:val="0"/>
              </w:rPr>
              <w:t>956.511.387</w:t>
            </w:r>
          </w:p>
        </w:tc>
        <w:tc>
          <w:tcPr>
            <w:tcW w:w="1049" w:type="pct"/>
            <w:tcBorders>
              <w:top w:val="single" w:sz="2" w:space="0" w:color="auto"/>
              <w:left w:val="nil"/>
              <w:bottom w:val="single" w:sz="2" w:space="0" w:color="auto"/>
              <w:right w:val="nil"/>
            </w:tcBorders>
            <w:vAlign w:val="center"/>
          </w:tcPr>
          <w:p w14:paraId="080C3E8F" w14:textId="77777777" w:rsidR="001F66E1" w:rsidRPr="00D76B08" w:rsidRDefault="001F66E1" w:rsidP="003B4290">
            <w:pPr>
              <w:pStyle w:val="cuatexto"/>
              <w:jc w:val="right"/>
              <w:rPr>
                <w:snapToGrid w:val="0"/>
              </w:rPr>
            </w:pPr>
            <w:r w:rsidRPr="00D76B08">
              <w:rPr>
                <w:snapToGrid w:val="0"/>
              </w:rPr>
              <w:t>1.060.323.073</w:t>
            </w:r>
          </w:p>
        </w:tc>
      </w:tr>
      <w:tr w:rsidR="001F66E1" w14:paraId="0168C483" w14:textId="77777777" w:rsidTr="00053346">
        <w:trPr>
          <w:trHeight w:val="198"/>
          <w:jc w:val="center"/>
        </w:trPr>
        <w:tc>
          <w:tcPr>
            <w:tcW w:w="3064" w:type="pct"/>
            <w:tcBorders>
              <w:top w:val="single" w:sz="2" w:space="0" w:color="auto"/>
              <w:left w:val="nil"/>
              <w:bottom w:val="single" w:sz="2" w:space="0" w:color="auto"/>
              <w:right w:val="nil"/>
            </w:tcBorders>
            <w:vAlign w:val="center"/>
            <w:hideMark/>
          </w:tcPr>
          <w:p w14:paraId="22536EB9" w14:textId="77777777" w:rsidR="001F66E1" w:rsidRPr="00D76B08" w:rsidRDefault="001F66E1" w:rsidP="005E5C0D">
            <w:pPr>
              <w:pStyle w:val="cuatexto"/>
              <w:rPr>
                <w:snapToGrid w:val="0"/>
              </w:rPr>
            </w:pPr>
            <w:r w:rsidRPr="00D76B08">
              <w:rPr>
                <w:snapToGrid w:val="0"/>
              </w:rPr>
              <w:t xml:space="preserve">II. Otras deudas a largo plazo </w:t>
            </w:r>
          </w:p>
        </w:tc>
        <w:tc>
          <w:tcPr>
            <w:tcW w:w="887" w:type="pct"/>
            <w:tcBorders>
              <w:top w:val="single" w:sz="2" w:space="0" w:color="auto"/>
              <w:left w:val="nil"/>
              <w:bottom w:val="single" w:sz="2" w:space="0" w:color="auto"/>
            </w:tcBorders>
            <w:shd w:val="clear" w:color="auto" w:fill="auto"/>
            <w:vAlign w:val="center"/>
          </w:tcPr>
          <w:p w14:paraId="75CB7A82" w14:textId="77777777" w:rsidR="001F66E1" w:rsidRPr="00D76B08" w:rsidRDefault="001F66E1" w:rsidP="003B4290">
            <w:pPr>
              <w:pStyle w:val="cuatexto"/>
              <w:jc w:val="right"/>
              <w:rPr>
                <w:snapToGrid w:val="0"/>
              </w:rPr>
            </w:pPr>
            <w:r w:rsidRPr="00D76B08">
              <w:rPr>
                <w:snapToGrid w:val="0"/>
              </w:rPr>
              <w:t>1.492.065.379</w:t>
            </w:r>
          </w:p>
        </w:tc>
        <w:tc>
          <w:tcPr>
            <w:tcW w:w="1049" w:type="pct"/>
            <w:tcBorders>
              <w:top w:val="single" w:sz="2" w:space="0" w:color="auto"/>
              <w:left w:val="nil"/>
              <w:bottom w:val="single" w:sz="2" w:space="0" w:color="auto"/>
              <w:right w:val="nil"/>
            </w:tcBorders>
            <w:vAlign w:val="center"/>
          </w:tcPr>
          <w:p w14:paraId="1A27BC20" w14:textId="77777777" w:rsidR="001F66E1" w:rsidRPr="00D76B08" w:rsidRDefault="001F66E1" w:rsidP="003B4290">
            <w:pPr>
              <w:pStyle w:val="cuatexto"/>
              <w:jc w:val="right"/>
              <w:rPr>
                <w:snapToGrid w:val="0"/>
              </w:rPr>
            </w:pPr>
            <w:r w:rsidRPr="00D76B08">
              <w:rPr>
                <w:snapToGrid w:val="0"/>
              </w:rPr>
              <w:t>1.572.894.826</w:t>
            </w:r>
          </w:p>
        </w:tc>
      </w:tr>
      <w:tr w:rsidR="001F66E1" w14:paraId="0B48C8A4" w14:textId="77777777" w:rsidTr="00053346">
        <w:trPr>
          <w:trHeight w:val="198"/>
          <w:jc w:val="center"/>
        </w:trPr>
        <w:tc>
          <w:tcPr>
            <w:tcW w:w="3064" w:type="pct"/>
            <w:tcBorders>
              <w:top w:val="single" w:sz="2" w:space="0" w:color="auto"/>
              <w:left w:val="nil"/>
              <w:bottom w:val="single" w:sz="2" w:space="0" w:color="auto"/>
              <w:right w:val="nil"/>
            </w:tcBorders>
            <w:vAlign w:val="center"/>
            <w:hideMark/>
          </w:tcPr>
          <w:p w14:paraId="2B478180" w14:textId="77777777" w:rsidR="001F66E1" w:rsidRPr="00D76B08" w:rsidRDefault="001F66E1" w:rsidP="005E5C0D">
            <w:pPr>
              <w:pStyle w:val="cuatexto"/>
              <w:rPr>
                <w:snapToGrid w:val="0"/>
              </w:rPr>
            </w:pPr>
            <w:r w:rsidRPr="00D76B08">
              <w:rPr>
                <w:snapToGrid w:val="0"/>
              </w:rPr>
              <w:t xml:space="preserve">2. Otras deudas </w:t>
            </w:r>
          </w:p>
        </w:tc>
        <w:tc>
          <w:tcPr>
            <w:tcW w:w="887" w:type="pct"/>
            <w:tcBorders>
              <w:top w:val="single" w:sz="2" w:space="0" w:color="auto"/>
              <w:left w:val="nil"/>
              <w:bottom w:val="single" w:sz="2" w:space="0" w:color="auto"/>
            </w:tcBorders>
            <w:shd w:val="clear" w:color="auto" w:fill="auto"/>
            <w:vAlign w:val="center"/>
          </w:tcPr>
          <w:p w14:paraId="713FCFE8" w14:textId="77777777" w:rsidR="001F66E1" w:rsidRPr="00D76B08" w:rsidRDefault="001F66E1" w:rsidP="003B4290">
            <w:pPr>
              <w:pStyle w:val="cuatexto"/>
              <w:jc w:val="right"/>
              <w:rPr>
                <w:snapToGrid w:val="0"/>
              </w:rPr>
            </w:pPr>
            <w:r w:rsidRPr="00D76B08">
              <w:rPr>
                <w:snapToGrid w:val="0"/>
              </w:rPr>
              <w:t>1.491.668.115</w:t>
            </w:r>
          </w:p>
        </w:tc>
        <w:tc>
          <w:tcPr>
            <w:tcW w:w="1049" w:type="pct"/>
            <w:tcBorders>
              <w:top w:val="single" w:sz="2" w:space="0" w:color="auto"/>
              <w:left w:val="nil"/>
              <w:bottom w:val="single" w:sz="2" w:space="0" w:color="auto"/>
              <w:right w:val="nil"/>
            </w:tcBorders>
            <w:vAlign w:val="center"/>
          </w:tcPr>
          <w:p w14:paraId="3817FCC4" w14:textId="77777777" w:rsidR="001F66E1" w:rsidRPr="00D76B08" w:rsidRDefault="001F66E1" w:rsidP="003B4290">
            <w:pPr>
              <w:pStyle w:val="cuatexto"/>
              <w:jc w:val="right"/>
              <w:rPr>
                <w:snapToGrid w:val="0"/>
              </w:rPr>
            </w:pPr>
            <w:r w:rsidRPr="00D76B08">
              <w:rPr>
                <w:snapToGrid w:val="0"/>
              </w:rPr>
              <w:t>1.572.494.691</w:t>
            </w:r>
          </w:p>
        </w:tc>
      </w:tr>
      <w:tr w:rsidR="001F66E1" w14:paraId="0B0D1266" w14:textId="77777777" w:rsidTr="009B2DAA">
        <w:trPr>
          <w:trHeight w:val="198"/>
          <w:jc w:val="center"/>
        </w:trPr>
        <w:tc>
          <w:tcPr>
            <w:tcW w:w="3064" w:type="pct"/>
            <w:tcBorders>
              <w:top w:val="single" w:sz="2" w:space="0" w:color="auto"/>
              <w:left w:val="nil"/>
              <w:bottom w:val="single" w:sz="4" w:space="0" w:color="auto"/>
              <w:right w:val="nil"/>
            </w:tcBorders>
            <w:vAlign w:val="center"/>
            <w:hideMark/>
          </w:tcPr>
          <w:p w14:paraId="02460277" w14:textId="77777777" w:rsidR="001F66E1" w:rsidRPr="00D76B08" w:rsidRDefault="001F66E1" w:rsidP="005E5C0D">
            <w:pPr>
              <w:pStyle w:val="cuatexto"/>
              <w:rPr>
                <w:snapToGrid w:val="0"/>
              </w:rPr>
            </w:pPr>
            <w:r w:rsidRPr="00D76B08">
              <w:rPr>
                <w:snapToGrid w:val="0"/>
              </w:rPr>
              <w:t>4. Fianzas y depósitos recibidos a largo plazo</w:t>
            </w:r>
          </w:p>
        </w:tc>
        <w:tc>
          <w:tcPr>
            <w:tcW w:w="887" w:type="pct"/>
            <w:tcBorders>
              <w:top w:val="single" w:sz="2" w:space="0" w:color="auto"/>
              <w:left w:val="nil"/>
              <w:bottom w:val="single" w:sz="4" w:space="0" w:color="auto"/>
            </w:tcBorders>
            <w:shd w:val="clear" w:color="auto" w:fill="auto"/>
            <w:vAlign w:val="center"/>
          </w:tcPr>
          <w:p w14:paraId="52D93C43" w14:textId="77777777" w:rsidR="001F66E1" w:rsidRPr="00D76B08" w:rsidRDefault="001F66E1" w:rsidP="003B4290">
            <w:pPr>
              <w:pStyle w:val="cuatexto"/>
              <w:jc w:val="right"/>
              <w:rPr>
                <w:snapToGrid w:val="0"/>
              </w:rPr>
            </w:pPr>
            <w:r w:rsidRPr="00D76B08">
              <w:rPr>
                <w:snapToGrid w:val="0"/>
              </w:rPr>
              <w:t>397.265</w:t>
            </w:r>
          </w:p>
        </w:tc>
        <w:tc>
          <w:tcPr>
            <w:tcW w:w="1049" w:type="pct"/>
            <w:tcBorders>
              <w:top w:val="single" w:sz="2" w:space="0" w:color="auto"/>
              <w:left w:val="nil"/>
              <w:bottom w:val="single" w:sz="4" w:space="0" w:color="auto"/>
              <w:right w:val="nil"/>
            </w:tcBorders>
            <w:vAlign w:val="center"/>
          </w:tcPr>
          <w:p w14:paraId="72E9B68C" w14:textId="77777777" w:rsidR="001F66E1" w:rsidRPr="00D76B08" w:rsidRDefault="001F66E1" w:rsidP="003B4290">
            <w:pPr>
              <w:pStyle w:val="cuatexto"/>
              <w:jc w:val="right"/>
              <w:rPr>
                <w:snapToGrid w:val="0"/>
              </w:rPr>
            </w:pPr>
            <w:r w:rsidRPr="00D76B08">
              <w:rPr>
                <w:snapToGrid w:val="0"/>
              </w:rPr>
              <w:t>400.134</w:t>
            </w:r>
          </w:p>
        </w:tc>
      </w:tr>
      <w:tr w:rsidR="001F66E1" w:rsidRPr="009B2DAA" w14:paraId="4DC8F553" w14:textId="77777777" w:rsidTr="009B2DAA">
        <w:trPr>
          <w:trHeight w:val="198"/>
          <w:jc w:val="center"/>
        </w:trPr>
        <w:tc>
          <w:tcPr>
            <w:tcW w:w="3064" w:type="pct"/>
            <w:tcBorders>
              <w:top w:val="single" w:sz="4" w:space="0" w:color="auto"/>
              <w:left w:val="nil"/>
              <w:bottom w:val="single" w:sz="4" w:space="0" w:color="auto"/>
              <w:right w:val="nil"/>
            </w:tcBorders>
            <w:vAlign w:val="center"/>
            <w:hideMark/>
          </w:tcPr>
          <w:p w14:paraId="0F877826" w14:textId="77777777" w:rsidR="001F66E1" w:rsidRPr="009B2DAA" w:rsidRDefault="001F66E1" w:rsidP="005E5C0D">
            <w:pPr>
              <w:pStyle w:val="cuatexto"/>
              <w:rPr>
                <w:b/>
                <w:snapToGrid w:val="0"/>
              </w:rPr>
            </w:pPr>
            <w:r w:rsidRPr="009B2DAA">
              <w:rPr>
                <w:b/>
                <w:snapToGrid w:val="0"/>
              </w:rPr>
              <w:t>D) Acreedores a corto plazo</w:t>
            </w:r>
          </w:p>
        </w:tc>
        <w:tc>
          <w:tcPr>
            <w:tcW w:w="887" w:type="pct"/>
            <w:tcBorders>
              <w:top w:val="single" w:sz="4" w:space="0" w:color="auto"/>
              <w:left w:val="nil"/>
              <w:bottom w:val="single" w:sz="4" w:space="0" w:color="auto"/>
            </w:tcBorders>
            <w:shd w:val="clear" w:color="auto" w:fill="auto"/>
            <w:vAlign w:val="center"/>
          </w:tcPr>
          <w:p w14:paraId="5B18F9E8" w14:textId="77777777" w:rsidR="001F66E1" w:rsidRPr="009B2DAA" w:rsidRDefault="001F66E1" w:rsidP="003B4290">
            <w:pPr>
              <w:pStyle w:val="cuatexto"/>
              <w:jc w:val="right"/>
              <w:rPr>
                <w:b/>
                <w:snapToGrid w:val="0"/>
              </w:rPr>
            </w:pPr>
            <w:r w:rsidRPr="009B2DAA">
              <w:rPr>
                <w:b/>
                <w:snapToGrid w:val="0"/>
              </w:rPr>
              <w:t>710.387.300</w:t>
            </w:r>
          </w:p>
        </w:tc>
        <w:tc>
          <w:tcPr>
            <w:tcW w:w="1049" w:type="pct"/>
            <w:tcBorders>
              <w:top w:val="single" w:sz="4" w:space="0" w:color="auto"/>
              <w:left w:val="nil"/>
              <w:bottom w:val="single" w:sz="4" w:space="0" w:color="auto"/>
              <w:right w:val="nil"/>
            </w:tcBorders>
            <w:vAlign w:val="center"/>
          </w:tcPr>
          <w:p w14:paraId="68382AA5" w14:textId="77777777" w:rsidR="001F66E1" w:rsidRPr="009B2DAA" w:rsidRDefault="001F66E1" w:rsidP="00141B96">
            <w:pPr>
              <w:pStyle w:val="cuatexto"/>
              <w:jc w:val="right"/>
              <w:rPr>
                <w:b/>
                <w:snapToGrid w:val="0"/>
              </w:rPr>
            </w:pPr>
            <w:r w:rsidRPr="009B2DAA">
              <w:rPr>
                <w:b/>
                <w:snapToGrid w:val="0"/>
              </w:rPr>
              <w:t>745.</w:t>
            </w:r>
            <w:r w:rsidR="00141B96" w:rsidRPr="009B2DAA">
              <w:rPr>
                <w:b/>
                <w:snapToGrid w:val="0"/>
              </w:rPr>
              <w:t>621.441</w:t>
            </w:r>
          </w:p>
        </w:tc>
      </w:tr>
      <w:tr w:rsidR="001F66E1" w14:paraId="32D07D67" w14:textId="77777777" w:rsidTr="009B2DAA">
        <w:trPr>
          <w:trHeight w:val="198"/>
          <w:jc w:val="center"/>
        </w:trPr>
        <w:tc>
          <w:tcPr>
            <w:tcW w:w="3064" w:type="pct"/>
            <w:tcBorders>
              <w:top w:val="single" w:sz="4" w:space="0" w:color="auto"/>
              <w:left w:val="nil"/>
              <w:bottom w:val="single" w:sz="2" w:space="0" w:color="auto"/>
              <w:right w:val="nil"/>
            </w:tcBorders>
            <w:vAlign w:val="center"/>
            <w:hideMark/>
          </w:tcPr>
          <w:p w14:paraId="317854E2" w14:textId="77777777" w:rsidR="001F66E1" w:rsidRPr="00D76B08" w:rsidRDefault="001F66E1" w:rsidP="005E5C0D">
            <w:pPr>
              <w:pStyle w:val="cuatexto"/>
              <w:rPr>
                <w:snapToGrid w:val="0"/>
              </w:rPr>
            </w:pPr>
            <w:r w:rsidRPr="00D76B08">
              <w:rPr>
                <w:snapToGrid w:val="0"/>
              </w:rPr>
              <w:t>I. Emisiones de obligaciones y otros valores negociables</w:t>
            </w:r>
          </w:p>
        </w:tc>
        <w:tc>
          <w:tcPr>
            <w:tcW w:w="887" w:type="pct"/>
            <w:tcBorders>
              <w:top w:val="single" w:sz="4" w:space="0" w:color="auto"/>
              <w:left w:val="nil"/>
              <w:bottom w:val="single" w:sz="2" w:space="0" w:color="auto"/>
            </w:tcBorders>
            <w:shd w:val="clear" w:color="auto" w:fill="auto"/>
            <w:vAlign w:val="center"/>
          </w:tcPr>
          <w:p w14:paraId="705D32DF" w14:textId="77777777" w:rsidR="001F66E1" w:rsidRPr="00D76B08" w:rsidRDefault="001F66E1" w:rsidP="003B4290">
            <w:pPr>
              <w:pStyle w:val="cuatexto"/>
              <w:jc w:val="right"/>
              <w:rPr>
                <w:snapToGrid w:val="0"/>
              </w:rPr>
            </w:pPr>
            <w:r w:rsidRPr="00D76B08">
              <w:rPr>
                <w:snapToGrid w:val="0"/>
              </w:rPr>
              <w:t>257.759.677</w:t>
            </w:r>
          </w:p>
        </w:tc>
        <w:tc>
          <w:tcPr>
            <w:tcW w:w="1049" w:type="pct"/>
            <w:tcBorders>
              <w:top w:val="single" w:sz="4" w:space="0" w:color="auto"/>
              <w:left w:val="nil"/>
              <w:bottom w:val="single" w:sz="2" w:space="0" w:color="auto"/>
              <w:right w:val="nil"/>
            </w:tcBorders>
            <w:vAlign w:val="center"/>
          </w:tcPr>
          <w:p w14:paraId="42758DDF" w14:textId="77777777" w:rsidR="001F66E1" w:rsidRPr="00D76B08" w:rsidRDefault="001F66E1" w:rsidP="003B4290">
            <w:pPr>
              <w:pStyle w:val="cuatexto"/>
              <w:jc w:val="right"/>
              <w:rPr>
                <w:snapToGrid w:val="0"/>
              </w:rPr>
            </w:pPr>
            <w:r w:rsidRPr="00D76B08">
              <w:rPr>
                <w:snapToGrid w:val="0"/>
              </w:rPr>
              <w:t>245.789.277</w:t>
            </w:r>
          </w:p>
        </w:tc>
      </w:tr>
      <w:tr w:rsidR="001F66E1" w14:paraId="6FA8B775" w14:textId="77777777" w:rsidTr="00053346">
        <w:trPr>
          <w:trHeight w:val="198"/>
          <w:jc w:val="center"/>
        </w:trPr>
        <w:tc>
          <w:tcPr>
            <w:tcW w:w="3064" w:type="pct"/>
            <w:tcBorders>
              <w:top w:val="single" w:sz="2" w:space="0" w:color="auto"/>
              <w:left w:val="nil"/>
              <w:bottom w:val="single" w:sz="2" w:space="0" w:color="auto"/>
              <w:right w:val="nil"/>
            </w:tcBorders>
            <w:vAlign w:val="center"/>
            <w:hideMark/>
          </w:tcPr>
          <w:p w14:paraId="0367A6A6" w14:textId="77777777" w:rsidR="001F66E1" w:rsidRPr="00D76B08" w:rsidRDefault="001F66E1" w:rsidP="005E5C0D">
            <w:pPr>
              <w:pStyle w:val="cuatexto"/>
              <w:rPr>
                <w:snapToGrid w:val="0"/>
              </w:rPr>
            </w:pPr>
            <w:r w:rsidRPr="00D76B08">
              <w:rPr>
                <w:snapToGrid w:val="0"/>
              </w:rPr>
              <w:t xml:space="preserve">1. Obligaciones y bonos a corto plazo </w:t>
            </w:r>
          </w:p>
        </w:tc>
        <w:tc>
          <w:tcPr>
            <w:tcW w:w="887" w:type="pct"/>
            <w:tcBorders>
              <w:top w:val="single" w:sz="2" w:space="0" w:color="auto"/>
              <w:left w:val="nil"/>
              <w:bottom w:val="single" w:sz="2" w:space="0" w:color="auto"/>
            </w:tcBorders>
            <w:shd w:val="clear" w:color="auto" w:fill="auto"/>
            <w:vAlign w:val="center"/>
          </w:tcPr>
          <w:p w14:paraId="3A70D3B2" w14:textId="77777777" w:rsidR="001F66E1" w:rsidRPr="00D76B08" w:rsidRDefault="001F66E1" w:rsidP="003B4290">
            <w:pPr>
              <w:pStyle w:val="cuatexto"/>
              <w:jc w:val="right"/>
              <w:rPr>
                <w:snapToGrid w:val="0"/>
              </w:rPr>
            </w:pPr>
            <w:r w:rsidRPr="00D76B08">
              <w:rPr>
                <w:snapToGrid w:val="0"/>
              </w:rPr>
              <w:t>117.252.585</w:t>
            </w:r>
          </w:p>
        </w:tc>
        <w:tc>
          <w:tcPr>
            <w:tcW w:w="1049" w:type="pct"/>
            <w:tcBorders>
              <w:top w:val="single" w:sz="2" w:space="0" w:color="auto"/>
              <w:left w:val="nil"/>
              <w:bottom w:val="single" w:sz="2" w:space="0" w:color="auto"/>
              <w:right w:val="nil"/>
            </w:tcBorders>
            <w:vAlign w:val="center"/>
          </w:tcPr>
          <w:p w14:paraId="15761FA5" w14:textId="77777777" w:rsidR="001F66E1" w:rsidRPr="00D76B08" w:rsidRDefault="001F66E1" w:rsidP="003B4290">
            <w:pPr>
              <w:pStyle w:val="cuatexto"/>
              <w:jc w:val="right"/>
              <w:rPr>
                <w:snapToGrid w:val="0"/>
              </w:rPr>
            </w:pPr>
            <w:r w:rsidRPr="00D76B08">
              <w:rPr>
                <w:snapToGrid w:val="0"/>
              </w:rPr>
              <w:t>134.685.856</w:t>
            </w:r>
          </w:p>
        </w:tc>
      </w:tr>
      <w:tr w:rsidR="001F66E1" w14:paraId="61F677BD" w14:textId="77777777" w:rsidTr="00053346">
        <w:trPr>
          <w:trHeight w:val="198"/>
          <w:jc w:val="center"/>
        </w:trPr>
        <w:tc>
          <w:tcPr>
            <w:tcW w:w="3064" w:type="pct"/>
            <w:tcBorders>
              <w:top w:val="single" w:sz="2" w:space="0" w:color="auto"/>
              <w:left w:val="nil"/>
              <w:bottom w:val="single" w:sz="2" w:space="0" w:color="auto"/>
              <w:right w:val="nil"/>
            </w:tcBorders>
            <w:vAlign w:val="center"/>
            <w:hideMark/>
          </w:tcPr>
          <w:p w14:paraId="3692FE63" w14:textId="77777777" w:rsidR="001F66E1" w:rsidRPr="00D76B08" w:rsidRDefault="001F66E1" w:rsidP="005E5C0D">
            <w:pPr>
              <w:pStyle w:val="cuatexto"/>
              <w:rPr>
                <w:snapToGrid w:val="0"/>
              </w:rPr>
            </w:pPr>
            <w:r w:rsidRPr="00D76B08">
              <w:rPr>
                <w:snapToGrid w:val="0"/>
              </w:rPr>
              <w:t>2. Deudas con entidades de crédito a corto plazo</w:t>
            </w:r>
          </w:p>
        </w:tc>
        <w:tc>
          <w:tcPr>
            <w:tcW w:w="887" w:type="pct"/>
            <w:tcBorders>
              <w:top w:val="single" w:sz="2" w:space="0" w:color="auto"/>
              <w:left w:val="nil"/>
              <w:bottom w:val="single" w:sz="2" w:space="0" w:color="auto"/>
            </w:tcBorders>
            <w:shd w:val="clear" w:color="auto" w:fill="auto"/>
            <w:vAlign w:val="center"/>
          </w:tcPr>
          <w:p w14:paraId="4035F19C" w14:textId="77777777" w:rsidR="001F66E1" w:rsidRPr="00D76B08" w:rsidRDefault="001F66E1" w:rsidP="003B4290">
            <w:pPr>
              <w:pStyle w:val="cuatexto"/>
              <w:jc w:val="right"/>
              <w:rPr>
                <w:snapToGrid w:val="0"/>
              </w:rPr>
            </w:pPr>
            <w:r w:rsidRPr="00D76B08">
              <w:rPr>
                <w:snapToGrid w:val="0"/>
              </w:rPr>
              <w:t>140.507.092</w:t>
            </w:r>
          </w:p>
        </w:tc>
        <w:tc>
          <w:tcPr>
            <w:tcW w:w="1049" w:type="pct"/>
            <w:tcBorders>
              <w:top w:val="single" w:sz="2" w:space="0" w:color="auto"/>
              <w:left w:val="nil"/>
              <w:bottom w:val="single" w:sz="2" w:space="0" w:color="auto"/>
              <w:right w:val="nil"/>
            </w:tcBorders>
            <w:vAlign w:val="center"/>
          </w:tcPr>
          <w:p w14:paraId="7082B8BF" w14:textId="77777777" w:rsidR="001F66E1" w:rsidRPr="00D76B08" w:rsidRDefault="001F66E1" w:rsidP="003B4290">
            <w:pPr>
              <w:pStyle w:val="cuatexto"/>
              <w:jc w:val="right"/>
              <w:rPr>
                <w:snapToGrid w:val="0"/>
              </w:rPr>
            </w:pPr>
            <w:r w:rsidRPr="00D76B08">
              <w:rPr>
                <w:snapToGrid w:val="0"/>
              </w:rPr>
              <w:t>111.103.421</w:t>
            </w:r>
          </w:p>
        </w:tc>
      </w:tr>
      <w:tr w:rsidR="001F66E1" w14:paraId="3B97B0EB" w14:textId="77777777" w:rsidTr="00053346">
        <w:trPr>
          <w:trHeight w:val="198"/>
          <w:jc w:val="center"/>
        </w:trPr>
        <w:tc>
          <w:tcPr>
            <w:tcW w:w="3064" w:type="pct"/>
            <w:tcBorders>
              <w:top w:val="single" w:sz="2" w:space="0" w:color="auto"/>
              <w:left w:val="nil"/>
              <w:bottom w:val="single" w:sz="2" w:space="0" w:color="auto"/>
              <w:right w:val="nil"/>
            </w:tcBorders>
            <w:vAlign w:val="center"/>
            <w:hideMark/>
          </w:tcPr>
          <w:p w14:paraId="475C6D58" w14:textId="77777777" w:rsidR="001F66E1" w:rsidRPr="00D76B08" w:rsidRDefault="001F66E1" w:rsidP="005E5C0D">
            <w:pPr>
              <w:pStyle w:val="cuatexto"/>
              <w:rPr>
                <w:snapToGrid w:val="0"/>
              </w:rPr>
            </w:pPr>
            <w:r w:rsidRPr="00D76B08">
              <w:rPr>
                <w:snapToGrid w:val="0"/>
              </w:rPr>
              <w:t xml:space="preserve">III. Acreedores </w:t>
            </w:r>
          </w:p>
        </w:tc>
        <w:tc>
          <w:tcPr>
            <w:tcW w:w="887" w:type="pct"/>
            <w:tcBorders>
              <w:top w:val="single" w:sz="2" w:space="0" w:color="auto"/>
              <w:left w:val="nil"/>
              <w:bottom w:val="single" w:sz="2" w:space="0" w:color="auto"/>
            </w:tcBorders>
            <w:shd w:val="clear" w:color="auto" w:fill="auto"/>
            <w:vAlign w:val="center"/>
          </w:tcPr>
          <w:p w14:paraId="3FDBA116" w14:textId="77777777" w:rsidR="001F66E1" w:rsidRPr="00D76B08" w:rsidRDefault="001F66E1" w:rsidP="003B4290">
            <w:pPr>
              <w:pStyle w:val="cuatexto"/>
              <w:jc w:val="right"/>
              <w:rPr>
                <w:snapToGrid w:val="0"/>
              </w:rPr>
            </w:pPr>
            <w:r w:rsidRPr="00D76B08">
              <w:rPr>
                <w:snapToGrid w:val="0"/>
              </w:rPr>
              <w:t>452.627.623</w:t>
            </w:r>
          </w:p>
        </w:tc>
        <w:tc>
          <w:tcPr>
            <w:tcW w:w="1049" w:type="pct"/>
            <w:tcBorders>
              <w:top w:val="single" w:sz="2" w:space="0" w:color="auto"/>
              <w:left w:val="nil"/>
              <w:bottom w:val="single" w:sz="2" w:space="0" w:color="auto"/>
              <w:right w:val="nil"/>
            </w:tcBorders>
            <w:vAlign w:val="center"/>
          </w:tcPr>
          <w:p w14:paraId="67BF93D8" w14:textId="77777777" w:rsidR="001F66E1" w:rsidRPr="00D76B08" w:rsidRDefault="001F66E1" w:rsidP="00141B96">
            <w:pPr>
              <w:pStyle w:val="cuatexto"/>
              <w:jc w:val="right"/>
              <w:rPr>
                <w:snapToGrid w:val="0"/>
              </w:rPr>
            </w:pPr>
            <w:r w:rsidRPr="00D76B08">
              <w:rPr>
                <w:snapToGrid w:val="0"/>
              </w:rPr>
              <w:t>499.</w:t>
            </w:r>
            <w:r w:rsidR="00141B96" w:rsidRPr="00D76B08">
              <w:rPr>
                <w:snapToGrid w:val="0"/>
              </w:rPr>
              <w:t>832.163</w:t>
            </w:r>
          </w:p>
        </w:tc>
      </w:tr>
      <w:tr w:rsidR="001F66E1" w14:paraId="573BDAE8" w14:textId="77777777" w:rsidTr="00053346">
        <w:trPr>
          <w:trHeight w:val="198"/>
          <w:jc w:val="center"/>
        </w:trPr>
        <w:tc>
          <w:tcPr>
            <w:tcW w:w="3064" w:type="pct"/>
            <w:tcBorders>
              <w:top w:val="single" w:sz="2" w:space="0" w:color="auto"/>
              <w:left w:val="nil"/>
              <w:bottom w:val="single" w:sz="2" w:space="0" w:color="auto"/>
              <w:right w:val="nil"/>
            </w:tcBorders>
            <w:vAlign w:val="center"/>
            <w:hideMark/>
          </w:tcPr>
          <w:p w14:paraId="456AECFB" w14:textId="77777777" w:rsidR="001F66E1" w:rsidRPr="00D76B08" w:rsidRDefault="001F66E1" w:rsidP="005E5C0D">
            <w:pPr>
              <w:pStyle w:val="cuatexto"/>
              <w:rPr>
                <w:snapToGrid w:val="0"/>
              </w:rPr>
            </w:pPr>
            <w:r w:rsidRPr="00D76B08">
              <w:rPr>
                <w:snapToGrid w:val="0"/>
              </w:rPr>
              <w:t xml:space="preserve">1. Acreedores presupuestarios </w:t>
            </w:r>
          </w:p>
        </w:tc>
        <w:tc>
          <w:tcPr>
            <w:tcW w:w="887" w:type="pct"/>
            <w:tcBorders>
              <w:top w:val="single" w:sz="2" w:space="0" w:color="auto"/>
              <w:left w:val="nil"/>
              <w:bottom w:val="single" w:sz="2" w:space="0" w:color="auto"/>
            </w:tcBorders>
            <w:shd w:val="clear" w:color="auto" w:fill="auto"/>
            <w:vAlign w:val="center"/>
          </w:tcPr>
          <w:p w14:paraId="32122935" w14:textId="77777777" w:rsidR="001F66E1" w:rsidRPr="00D76B08" w:rsidRDefault="001F66E1" w:rsidP="003B4290">
            <w:pPr>
              <w:pStyle w:val="cuatexto"/>
              <w:jc w:val="right"/>
              <w:rPr>
                <w:snapToGrid w:val="0"/>
              </w:rPr>
            </w:pPr>
            <w:r w:rsidRPr="00D76B08">
              <w:rPr>
                <w:snapToGrid w:val="0"/>
              </w:rPr>
              <w:t>338.446.343</w:t>
            </w:r>
          </w:p>
        </w:tc>
        <w:tc>
          <w:tcPr>
            <w:tcW w:w="1049" w:type="pct"/>
            <w:tcBorders>
              <w:top w:val="single" w:sz="2" w:space="0" w:color="auto"/>
              <w:left w:val="nil"/>
              <w:bottom w:val="single" w:sz="2" w:space="0" w:color="auto"/>
              <w:right w:val="nil"/>
            </w:tcBorders>
            <w:vAlign w:val="center"/>
          </w:tcPr>
          <w:p w14:paraId="7DC3AFCA" w14:textId="77777777" w:rsidR="001F66E1" w:rsidRPr="00D76B08" w:rsidRDefault="001F66E1" w:rsidP="003B4290">
            <w:pPr>
              <w:pStyle w:val="cuatexto"/>
              <w:jc w:val="right"/>
              <w:rPr>
                <w:snapToGrid w:val="0"/>
              </w:rPr>
            </w:pPr>
            <w:r w:rsidRPr="00D76B08">
              <w:rPr>
                <w:snapToGrid w:val="0"/>
              </w:rPr>
              <w:t>350.899.248</w:t>
            </w:r>
          </w:p>
        </w:tc>
      </w:tr>
      <w:tr w:rsidR="001F66E1" w14:paraId="2E273001" w14:textId="77777777" w:rsidTr="00053346">
        <w:trPr>
          <w:trHeight w:val="198"/>
          <w:jc w:val="center"/>
        </w:trPr>
        <w:tc>
          <w:tcPr>
            <w:tcW w:w="3064" w:type="pct"/>
            <w:tcBorders>
              <w:top w:val="single" w:sz="2" w:space="0" w:color="auto"/>
              <w:left w:val="nil"/>
              <w:bottom w:val="single" w:sz="2" w:space="0" w:color="auto"/>
              <w:right w:val="nil"/>
            </w:tcBorders>
            <w:vAlign w:val="center"/>
            <w:hideMark/>
          </w:tcPr>
          <w:p w14:paraId="2E49E04E" w14:textId="77777777" w:rsidR="001F66E1" w:rsidRPr="00D76B08" w:rsidRDefault="001F66E1" w:rsidP="005E5C0D">
            <w:pPr>
              <w:pStyle w:val="cuatexto"/>
              <w:rPr>
                <w:snapToGrid w:val="0"/>
              </w:rPr>
            </w:pPr>
            <w:r w:rsidRPr="00D76B08">
              <w:rPr>
                <w:snapToGrid w:val="0"/>
              </w:rPr>
              <w:t xml:space="preserve">3. Acreedores por admón. de recursos por cuenta de otros EEPP </w:t>
            </w:r>
          </w:p>
        </w:tc>
        <w:tc>
          <w:tcPr>
            <w:tcW w:w="887" w:type="pct"/>
            <w:tcBorders>
              <w:top w:val="single" w:sz="2" w:space="0" w:color="auto"/>
              <w:left w:val="nil"/>
              <w:bottom w:val="single" w:sz="2" w:space="0" w:color="auto"/>
            </w:tcBorders>
            <w:shd w:val="clear" w:color="auto" w:fill="auto"/>
            <w:vAlign w:val="center"/>
          </w:tcPr>
          <w:p w14:paraId="632EEAFF" w14:textId="77777777" w:rsidR="001F66E1" w:rsidRPr="00D76B08" w:rsidRDefault="001F66E1" w:rsidP="003B4290">
            <w:pPr>
              <w:pStyle w:val="cuatexto"/>
              <w:jc w:val="right"/>
              <w:rPr>
                <w:snapToGrid w:val="0"/>
              </w:rPr>
            </w:pPr>
            <w:r w:rsidRPr="00D76B08">
              <w:rPr>
                <w:snapToGrid w:val="0"/>
              </w:rPr>
              <w:t>10.413.683</w:t>
            </w:r>
          </w:p>
        </w:tc>
        <w:tc>
          <w:tcPr>
            <w:tcW w:w="1049" w:type="pct"/>
            <w:tcBorders>
              <w:top w:val="single" w:sz="2" w:space="0" w:color="auto"/>
              <w:left w:val="nil"/>
              <w:bottom w:val="single" w:sz="2" w:space="0" w:color="auto"/>
              <w:right w:val="nil"/>
            </w:tcBorders>
            <w:vAlign w:val="center"/>
          </w:tcPr>
          <w:p w14:paraId="19FA3099" w14:textId="77777777" w:rsidR="001F66E1" w:rsidRPr="00D76B08" w:rsidRDefault="001F66E1" w:rsidP="003B4290">
            <w:pPr>
              <w:pStyle w:val="cuatexto"/>
              <w:jc w:val="right"/>
              <w:rPr>
                <w:snapToGrid w:val="0"/>
              </w:rPr>
            </w:pPr>
            <w:r w:rsidRPr="00D76B08">
              <w:rPr>
                <w:snapToGrid w:val="0"/>
              </w:rPr>
              <w:t>11.347.816</w:t>
            </w:r>
          </w:p>
        </w:tc>
      </w:tr>
      <w:tr w:rsidR="001F66E1" w14:paraId="48F1B857" w14:textId="77777777" w:rsidTr="00053346">
        <w:trPr>
          <w:trHeight w:val="198"/>
          <w:jc w:val="center"/>
        </w:trPr>
        <w:tc>
          <w:tcPr>
            <w:tcW w:w="3064" w:type="pct"/>
            <w:tcBorders>
              <w:top w:val="single" w:sz="2" w:space="0" w:color="auto"/>
              <w:left w:val="nil"/>
              <w:bottom w:val="single" w:sz="2" w:space="0" w:color="auto"/>
              <w:right w:val="nil"/>
            </w:tcBorders>
            <w:vAlign w:val="center"/>
            <w:hideMark/>
          </w:tcPr>
          <w:p w14:paraId="306968B6" w14:textId="77777777" w:rsidR="001F66E1" w:rsidRPr="00D76B08" w:rsidRDefault="001F66E1" w:rsidP="005E5C0D">
            <w:pPr>
              <w:pStyle w:val="cuatexto"/>
              <w:rPr>
                <w:snapToGrid w:val="0"/>
              </w:rPr>
            </w:pPr>
            <w:r w:rsidRPr="00D76B08">
              <w:rPr>
                <w:snapToGrid w:val="0"/>
              </w:rPr>
              <w:t xml:space="preserve">4. Administraciones públicas </w:t>
            </w:r>
          </w:p>
        </w:tc>
        <w:tc>
          <w:tcPr>
            <w:tcW w:w="887" w:type="pct"/>
            <w:tcBorders>
              <w:top w:val="single" w:sz="2" w:space="0" w:color="auto"/>
              <w:left w:val="nil"/>
              <w:bottom w:val="single" w:sz="2" w:space="0" w:color="auto"/>
            </w:tcBorders>
            <w:shd w:val="clear" w:color="auto" w:fill="auto"/>
            <w:vAlign w:val="center"/>
          </w:tcPr>
          <w:p w14:paraId="56E2D97E" w14:textId="77777777" w:rsidR="001F66E1" w:rsidRPr="00D76B08" w:rsidRDefault="001F66E1" w:rsidP="003B4290">
            <w:pPr>
              <w:pStyle w:val="cuatexto"/>
              <w:jc w:val="right"/>
              <w:rPr>
                <w:snapToGrid w:val="0"/>
              </w:rPr>
            </w:pPr>
            <w:r w:rsidRPr="00D76B08">
              <w:rPr>
                <w:snapToGrid w:val="0"/>
              </w:rPr>
              <w:t>5.387.666</w:t>
            </w:r>
          </w:p>
        </w:tc>
        <w:tc>
          <w:tcPr>
            <w:tcW w:w="1049" w:type="pct"/>
            <w:tcBorders>
              <w:top w:val="single" w:sz="2" w:space="0" w:color="auto"/>
              <w:left w:val="nil"/>
              <w:bottom w:val="single" w:sz="2" w:space="0" w:color="auto"/>
              <w:right w:val="nil"/>
            </w:tcBorders>
            <w:vAlign w:val="center"/>
          </w:tcPr>
          <w:p w14:paraId="57BEACA2" w14:textId="77777777" w:rsidR="001F66E1" w:rsidRPr="00D76B08" w:rsidRDefault="001F66E1" w:rsidP="003B4290">
            <w:pPr>
              <w:pStyle w:val="cuatexto"/>
              <w:jc w:val="right"/>
              <w:rPr>
                <w:snapToGrid w:val="0"/>
              </w:rPr>
            </w:pPr>
            <w:r w:rsidRPr="00D76B08">
              <w:rPr>
                <w:snapToGrid w:val="0"/>
              </w:rPr>
              <w:t>4.974.346</w:t>
            </w:r>
          </w:p>
        </w:tc>
      </w:tr>
      <w:tr w:rsidR="001F66E1" w14:paraId="781CA119" w14:textId="77777777" w:rsidTr="00053346">
        <w:trPr>
          <w:trHeight w:val="198"/>
          <w:jc w:val="center"/>
        </w:trPr>
        <w:tc>
          <w:tcPr>
            <w:tcW w:w="3064" w:type="pct"/>
            <w:tcBorders>
              <w:top w:val="single" w:sz="2" w:space="0" w:color="auto"/>
              <w:left w:val="nil"/>
              <w:bottom w:val="single" w:sz="2" w:space="0" w:color="auto"/>
              <w:right w:val="nil"/>
            </w:tcBorders>
            <w:vAlign w:val="center"/>
            <w:hideMark/>
          </w:tcPr>
          <w:p w14:paraId="7C39B43F" w14:textId="77777777" w:rsidR="001F66E1" w:rsidRPr="00D76B08" w:rsidRDefault="001F66E1" w:rsidP="005E5C0D">
            <w:pPr>
              <w:pStyle w:val="cuatexto"/>
              <w:rPr>
                <w:snapToGrid w:val="0"/>
              </w:rPr>
            </w:pPr>
            <w:r w:rsidRPr="00D76B08">
              <w:rPr>
                <w:snapToGrid w:val="0"/>
              </w:rPr>
              <w:t>5. Otros acreedores</w:t>
            </w:r>
          </w:p>
        </w:tc>
        <w:tc>
          <w:tcPr>
            <w:tcW w:w="887" w:type="pct"/>
            <w:tcBorders>
              <w:top w:val="single" w:sz="2" w:space="0" w:color="auto"/>
              <w:left w:val="nil"/>
              <w:bottom w:val="single" w:sz="2" w:space="0" w:color="auto"/>
            </w:tcBorders>
            <w:shd w:val="clear" w:color="auto" w:fill="auto"/>
            <w:vAlign w:val="center"/>
          </w:tcPr>
          <w:p w14:paraId="4CC4E280" w14:textId="77777777" w:rsidR="001F66E1" w:rsidRPr="00D76B08" w:rsidRDefault="001F66E1" w:rsidP="003B4290">
            <w:pPr>
              <w:pStyle w:val="cuatexto"/>
              <w:jc w:val="right"/>
              <w:rPr>
                <w:snapToGrid w:val="0"/>
              </w:rPr>
            </w:pPr>
            <w:r w:rsidRPr="00D76B08">
              <w:rPr>
                <w:snapToGrid w:val="0"/>
              </w:rPr>
              <w:t>91.101.039</w:t>
            </w:r>
          </w:p>
        </w:tc>
        <w:tc>
          <w:tcPr>
            <w:tcW w:w="1049" w:type="pct"/>
            <w:tcBorders>
              <w:top w:val="single" w:sz="2" w:space="0" w:color="auto"/>
              <w:left w:val="nil"/>
              <w:bottom w:val="single" w:sz="2" w:space="0" w:color="auto"/>
              <w:right w:val="nil"/>
            </w:tcBorders>
            <w:vAlign w:val="center"/>
          </w:tcPr>
          <w:p w14:paraId="38322E07" w14:textId="77777777" w:rsidR="001F66E1" w:rsidRPr="00D76B08" w:rsidRDefault="001F66E1" w:rsidP="00141B96">
            <w:pPr>
              <w:pStyle w:val="cuatexto"/>
              <w:jc w:val="right"/>
              <w:rPr>
                <w:snapToGrid w:val="0"/>
              </w:rPr>
            </w:pPr>
            <w:r w:rsidRPr="00D76B08">
              <w:rPr>
                <w:snapToGrid w:val="0"/>
              </w:rPr>
              <w:t>125.</w:t>
            </w:r>
            <w:r w:rsidR="00141B96" w:rsidRPr="00D76B08">
              <w:rPr>
                <w:snapToGrid w:val="0"/>
              </w:rPr>
              <w:t>283.631</w:t>
            </w:r>
          </w:p>
        </w:tc>
      </w:tr>
      <w:tr w:rsidR="001F66E1" w14:paraId="2FB9B2CA" w14:textId="77777777" w:rsidTr="00053346">
        <w:trPr>
          <w:trHeight w:val="198"/>
          <w:jc w:val="center"/>
        </w:trPr>
        <w:tc>
          <w:tcPr>
            <w:tcW w:w="3064" w:type="pct"/>
            <w:tcBorders>
              <w:top w:val="single" w:sz="2" w:space="0" w:color="auto"/>
              <w:left w:val="nil"/>
              <w:bottom w:val="single" w:sz="4" w:space="0" w:color="auto"/>
              <w:right w:val="nil"/>
            </w:tcBorders>
            <w:vAlign w:val="center"/>
            <w:hideMark/>
          </w:tcPr>
          <w:p w14:paraId="7D5D451F" w14:textId="77777777" w:rsidR="001F66E1" w:rsidRPr="00D76B08" w:rsidRDefault="001F66E1" w:rsidP="005E5C0D">
            <w:pPr>
              <w:pStyle w:val="cuatexto"/>
              <w:rPr>
                <w:snapToGrid w:val="0"/>
              </w:rPr>
            </w:pPr>
            <w:r w:rsidRPr="00D76B08">
              <w:rPr>
                <w:snapToGrid w:val="0"/>
              </w:rPr>
              <w:t xml:space="preserve">6. Fianzas y depósitos recibidos a corto plazo </w:t>
            </w:r>
          </w:p>
        </w:tc>
        <w:tc>
          <w:tcPr>
            <w:tcW w:w="887" w:type="pct"/>
            <w:tcBorders>
              <w:top w:val="single" w:sz="2" w:space="0" w:color="auto"/>
              <w:left w:val="nil"/>
              <w:bottom w:val="single" w:sz="4" w:space="0" w:color="auto"/>
            </w:tcBorders>
            <w:shd w:val="clear" w:color="auto" w:fill="auto"/>
            <w:vAlign w:val="center"/>
          </w:tcPr>
          <w:p w14:paraId="7E31BF01" w14:textId="77777777" w:rsidR="001F66E1" w:rsidRPr="00D76B08" w:rsidRDefault="001F66E1" w:rsidP="003B4290">
            <w:pPr>
              <w:pStyle w:val="cuatexto"/>
              <w:jc w:val="right"/>
              <w:rPr>
                <w:snapToGrid w:val="0"/>
              </w:rPr>
            </w:pPr>
            <w:r w:rsidRPr="00D76B08">
              <w:rPr>
                <w:snapToGrid w:val="0"/>
              </w:rPr>
              <w:t>7.278.891</w:t>
            </w:r>
          </w:p>
        </w:tc>
        <w:tc>
          <w:tcPr>
            <w:tcW w:w="1049" w:type="pct"/>
            <w:tcBorders>
              <w:top w:val="single" w:sz="2" w:space="0" w:color="auto"/>
              <w:left w:val="nil"/>
              <w:bottom w:val="single" w:sz="4" w:space="0" w:color="auto"/>
              <w:right w:val="nil"/>
            </w:tcBorders>
            <w:vAlign w:val="center"/>
          </w:tcPr>
          <w:p w14:paraId="5579763C" w14:textId="77777777" w:rsidR="001F66E1" w:rsidRPr="00D76B08" w:rsidRDefault="001F66E1" w:rsidP="003B4290">
            <w:pPr>
              <w:pStyle w:val="cuatexto"/>
              <w:jc w:val="right"/>
              <w:rPr>
                <w:snapToGrid w:val="0"/>
              </w:rPr>
            </w:pPr>
            <w:r w:rsidRPr="00D76B08">
              <w:rPr>
                <w:snapToGrid w:val="0"/>
              </w:rPr>
              <w:t>7.327.121</w:t>
            </w:r>
          </w:p>
        </w:tc>
      </w:tr>
      <w:tr w:rsidR="001F66E1" w:rsidRPr="00B4153F" w14:paraId="21064CC1" w14:textId="77777777" w:rsidTr="00053346">
        <w:trPr>
          <w:trHeight w:val="255"/>
          <w:jc w:val="center"/>
        </w:trPr>
        <w:tc>
          <w:tcPr>
            <w:tcW w:w="3064" w:type="pct"/>
            <w:tcBorders>
              <w:top w:val="single" w:sz="4" w:space="0" w:color="auto"/>
              <w:left w:val="nil"/>
              <w:bottom w:val="single" w:sz="4" w:space="0" w:color="auto"/>
              <w:right w:val="nil"/>
            </w:tcBorders>
            <w:shd w:val="clear" w:color="auto" w:fill="8DB3E2"/>
            <w:vAlign w:val="center"/>
            <w:hideMark/>
          </w:tcPr>
          <w:p w14:paraId="020CC4CE" w14:textId="77777777" w:rsidR="001F66E1" w:rsidRPr="00B4153F" w:rsidRDefault="001F66E1" w:rsidP="005E5C0D">
            <w:pPr>
              <w:pStyle w:val="cuadroCabe"/>
              <w:rPr>
                <w:rFonts w:cs="Arial"/>
                <w:snapToGrid w:val="0"/>
              </w:rPr>
            </w:pPr>
            <w:r w:rsidRPr="00B4153F">
              <w:rPr>
                <w:rFonts w:cs="Arial"/>
                <w:snapToGrid w:val="0"/>
              </w:rPr>
              <w:t xml:space="preserve">Total Patrimonio Neto y Pasivo (A+C+D) </w:t>
            </w:r>
          </w:p>
        </w:tc>
        <w:tc>
          <w:tcPr>
            <w:tcW w:w="887" w:type="pct"/>
            <w:tcBorders>
              <w:top w:val="single" w:sz="4" w:space="0" w:color="auto"/>
              <w:left w:val="nil"/>
              <w:bottom w:val="single" w:sz="4" w:space="0" w:color="auto"/>
            </w:tcBorders>
            <w:shd w:val="clear" w:color="000000" w:fill="8DB3E2"/>
            <w:vAlign w:val="center"/>
          </w:tcPr>
          <w:p w14:paraId="3EE6C902" w14:textId="77777777" w:rsidR="001F66E1" w:rsidRPr="00B4153F" w:rsidRDefault="001F66E1" w:rsidP="003B4290">
            <w:pPr>
              <w:pStyle w:val="cuadroCabe"/>
              <w:jc w:val="right"/>
              <w:rPr>
                <w:rFonts w:cs="Arial"/>
                <w:color w:val="000000"/>
              </w:rPr>
            </w:pPr>
            <w:r w:rsidRPr="00B4153F">
              <w:rPr>
                <w:rFonts w:cs="Arial"/>
                <w:color w:val="000000"/>
              </w:rPr>
              <w:t>4.508.205.660</w:t>
            </w:r>
          </w:p>
        </w:tc>
        <w:tc>
          <w:tcPr>
            <w:tcW w:w="1049" w:type="pct"/>
            <w:tcBorders>
              <w:top w:val="single" w:sz="4" w:space="0" w:color="auto"/>
              <w:left w:val="nil"/>
              <w:bottom w:val="single" w:sz="4" w:space="0" w:color="auto"/>
              <w:right w:val="nil"/>
            </w:tcBorders>
            <w:shd w:val="clear" w:color="auto" w:fill="8DB3E2"/>
            <w:vAlign w:val="center"/>
          </w:tcPr>
          <w:p w14:paraId="36BA3815" w14:textId="77777777" w:rsidR="001F66E1" w:rsidRPr="00B4153F" w:rsidRDefault="00141B96" w:rsidP="003B4290">
            <w:pPr>
              <w:pStyle w:val="cuadroCabe"/>
              <w:jc w:val="right"/>
              <w:rPr>
                <w:rFonts w:cs="Arial"/>
                <w:bCs/>
                <w:szCs w:val="18"/>
              </w:rPr>
            </w:pPr>
            <w:r w:rsidRPr="00B4153F">
              <w:rPr>
                <w:rFonts w:cs="Arial"/>
                <w:bCs/>
              </w:rPr>
              <w:t>4.216.732.976</w:t>
            </w:r>
          </w:p>
        </w:tc>
      </w:tr>
    </w:tbl>
    <w:p w14:paraId="09BB5AC3" w14:textId="77777777" w:rsidR="00141B96" w:rsidRDefault="00141B96" w:rsidP="00614DC4">
      <w:pPr>
        <w:pStyle w:val="atitulo2"/>
      </w:pPr>
      <w:bookmarkStart w:id="68" w:name="_Toc52267365"/>
      <w:bookmarkStart w:id="69" w:name="_Toc525907436"/>
      <w:bookmarkStart w:id="70" w:name="_Toc494270379"/>
      <w:bookmarkStart w:id="71" w:name="_Toc463350245"/>
      <w:bookmarkStart w:id="72" w:name="_Toc399859620"/>
    </w:p>
    <w:p w14:paraId="7395ABBA" w14:textId="77777777" w:rsidR="00141B96" w:rsidRDefault="00141B96">
      <w:pPr>
        <w:rPr>
          <w:rFonts w:ascii="Arial" w:hAnsi="Arial"/>
          <w:bCs/>
          <w:iCs/>
          <w:color w:val="000000"/>
          <w:spacing w:val="10"/>
          <w:kern w:val="28"/>
          <w:sz w:val="25"/>
          <w:szCs w:val="26"/>
        </w:rPr>
      </w:pPr>
      <w:r>
        <w:br w:type="page"/>
      </w:r>
    </w:p>
    <w:p w14:paraId="4FE9E3F3" w14:textId="77777777" w:rsidR="00614DC4" w:rsidRDefault="00614DC4" w:rsidP="00614DC4">
      <w:pPr>
        <w:pStyle w:val="texto"/>
        <w:ind w:firstLine="0"/>
        <w:rPr>
          <w:rFonts w:ascii="Arial" w:hAnsi="Arial" w:cs="Arial"/>
          <w:sz w:val="25"/>
          <w:szCs w:val="25"/>
        </w:rPr>
      </w:pPr>
      <w:r>
        <w:rPr>
          <w:rFonts w:ascii="Arial" w:hAnsi="Arial" w:cs="Arial"/>
          <w:sz w:val="25"/>
          <w:szCs w:val="25"/>
        </w:rPr>
        <w:lastRenderedPageBreak/>
        <w:t xml:space="preserve">Cuenta de Resultados </w:t>
      </w:r>
      <w:bookmarkEnd w:id="68"/>
      <w:bookmarkEnd w:id="69"/>
      <w:bookmarkEnd w:id="70"/>
      <w:bookmarkEnd w:id="71"/>
      <w:bookmarkEnd w:id="72"/>
      <w:r>
        <w:rPr>
          <w:rFonts w:ascii="Arial" w:hAnsi="Arial" w:cs="Arial"/>
          <w:sz w:val="25"/>
          <w:szCs w:val="25"/>
        </w:rPr>
        <w:t>202</w:t>
      </w:r>
      <w:r w:rsidR="00802F88">
        <w:rPr>
          <w:rFonts w:ascii="Arial" w:hAnsi="Arial" w:cs="Arial"/>
          <w:sz w:val="25"/>
          <w:szCs w:val="25"/>
        </w:rPr>
        <w:t>3</w:t>
      </w:r>
    </w:p>
    <w:p w14:paraId="5ADAB1F9" w14:textId="77777777" w:rsidR="00614DC4" w:rsidRDefault="00614DC4" w:rsidP="00614DC4">
      <w:pPr>
        <w:suppressAutoHyphens/>
        <w:spacing w:after="60"/>
        <w:jc w:val="right"/>
        <w:rPr>
          <w:rFonts w:ascii="Arial" w:hAnsi="Arial"/>
          <w:spacing w:val="6"/>
          <w:sz w:val="17"/>
          <w:szCs w:val="17"/>
        </w:rPr>
      </w:pPr>
      <w:r>
        <w:rPr>
          <w:rFonts w:ascii="Arial" w:hAnsi="Arial"/>
          <w:spacing w:val="6"/>
          <w:sz w:val="17"/>
          <w:szCs w:val="17"/>
        </w:rPr>
        <w:t>(en euros)</w:t>
      </w:r>
    </w:p>
    <w:tbl>
      <w:tblPr>
        <w:tblW w:w="5001" w:type="pct"/>
        <w:jc w:val="center"/>
        <w:tblLayout w:type="fixed"/>
        <w:tblCellMar>
          <w:left w:w="70" w:type="dxa"/>
          <w:right w:w="70" w:type="dxa"/>
        </w:tblCellMar>
        <w:tblLook w:val="04A0" w:firstRow="1" w:lastRow="0" w:firstColumn="1" w:lastColumn="0" w:noHBand="0" w:noVBand="1"/>
      </w:tblPr>
      <w:tblGrid>
        <w:gridCol w:w="5023"/>
        <w:gridCol w:w="1846"/>
        <w:gridCol w:w="1922"/>
      </w:tblGrid>
      <w:tr w:rsidR="00614DC4" w:rsidRPr="005E5C0D" w14:paraId="6849812C" w14:textId="77777777" w:rsidTr="00F3357D">
        <w:trPr>
          <w:trHeight w:hRule="exact" w:val="255"/>
          <w:jc w:val="center"/>
        </w:trPr>
        <w:tc>
          <w:tcPr>
            <w:tcW w:w="2857" w:type="pct"/>
            <w:tcBorders>
              <w:top w:val="single" w:sz="4" w:space="0" w:color="auto"/>
              <w:left w:val="nil"/>
              <w:bottom w:val="single" w:sz="2" w:space="0" w:color="auto"/>
              <w:right w:val="nil"/>
            </w:tcBorders>
            <w:shd w:val="clear" w:color="auto" w:fill="8DB3E2"/>
            <w:vAlign w:val="center"/>
            <w:hideMark/>
          </w:tcPr>
          <w:p w14:paraId="12EA8F5A" w14:textId="77777777" w:rsidR="00614DC4" w:rsidRDefault="00614DC4" w:rsidP="005E5C0D">
            <w:pPr>
              <w:pStyle w:val="cuadroCabe"/>
              <w:rPr>
                <w:snapToGrid w:val="0"/>
              </w:rPr>
            </w:pPr>
            <w:r>
              <w:rPr>
                <w:snapToGrid w:val="0"/>
              </w:rPr>
              <w:t>Debe</w:t>
            </w:r>
          </w:p>
        </w:tc>
        <w:tc>
          <w:tcPr>
            <w:tcW w:w="1050" w:type="pct"/>
            <w:tcBorders>
              <w:top w:val="single" w:sz="4" w:space="0" w:color="auto"/>
              <w:left w:val="nil"/>
              <w:bottom w:val="single" w:sz="2" w:space="0" w:color="auto"/>
              <w:right w:val="nil"/>
            </w:tcBorders>
            <w:shd w:val="clear" w:color="auto" w:fill="8DB3E2"/>
            <w:vAlign w:val="center"/>
            <w:hideMark/>
          </w:tcPr>
          <w:p w14:paraId="4B8A26C4" w14:textId="77777777" w:rsidR="00614DC4" w:rsidRDefault="00614DC4" w:rsidP="003B4290">
            <w:pPr>
              <w:pStyle w:val="cuadroCabe"/>
              <w:jc w:val="right"/>
              <w:rPr>
                <w:snapToGrid w:val="0"/>
              </w:rPr>
            </w:pPr>
            <w:r>
              <w:rPr>
                <w:snapToGrid w:val="0"/>
              </w:rPr>
              <w:t>Ejercicio 202</w:t>
            </w:r>
            <w:r w:rsidR="00802F88">
              <w:rPr>
                <w:snapToGrid w:val="0"/>
              </w:rPr>
              <w:t>3</w:t>
            </w:r>
          </w:p>
        </w:tc>
        <w:tc>
          <w:tcPr>
            <w:tcW w:w="1093" w:type="pct"/>
            <w:tcBorders>
              <w:top w:val="single" w:sz="4" w:space="0" w:color="auto"/>
              <w:left w:val="nil"/>
              <w:bottom w:val="single" w:sz="2" w:space="0" w:color="auto"/>
              <w:right w:val="nil"/>
            </w:tcBorders>
            <w:shd w:val="clear" w:color="auto" w:fill="8DB3E2"/>
            <w:vAlign w:val="center"/>
            <w:hideMark/>
          </w:tcPr>
          <w:p w14:paraId="0DFE1A74" w14:textId="77777777" w:rsidR="00614DC4" w:rsidRDefault="00614DC4" w:rsidP="003B4290">
            <w:pPr>
              <w:pStyle w:val="cuadroCabe"/>
              <w:jc w:val="right"/>
              <w:rPr>
                <w:snapToGrid w:val="0"/>
              </w:rPr>
            </w:pPr>
            <w:r>
              <w:rPr>
                <w:snapToGrid w:val="0"/>
              </w:rPr>
              <w:t>Ejercicio 202</w:t>
            </w:r>
            <w:r w:rsidR="00802F88">
              <w:rPr>
                <w:snapToGrid w:val="0"/>
              </w:rPr>
              <w:t>2</w:t>
            </w:r>
          </w:p>
        </w:tc>
      </w:tr>
      <w:tr w:rsidR="00614DC4" w14:paraId="32A43EF5" w14:textId="77777777" w:rsidTr="009B2DAA">
        <w:trPr>
          <w:trHeight w:val="255"/>
          <w:jc w:val="center"/>
        </w:trPr>
        <w:tc>
          <w:tcPr>
            <w:tcW w:w="2857" w:type="pct"/>
            <w:tcBorders>
              <w:top w:val="single" w:sz="2" w:space="0" w:color="auto"/>
              <w:left w:val="nil"/>
              <w:bottom w:val="single" w:sz="4" w:space="0" w:color="auto"/>
              <w:right w:val="nil"/>
            </w:tcBorders>
            <w:vAlign w:val="center"/>
            <w:hideMark/>
          </w:tcPr>
          <w:p w14:paraId="66ED5531" w14:textId="77777777" w:rsidR="00614DC4" w:rsidRPr="00F3357D" w:rsidRDefault="00614DC4" w:rsidP="005E5C0D">
            <w:pPr>
              <w:pStyle w:val="cuatexto"/>
              <w:rPr>
                <w:snapToGrid w:val="0"/>
                <w:szCs w:val="20"/>
              </w:rPr>
            </w:pPr>
            <w:r w:rsidRPr="00F3357D">
              <w:rPr>
                <w:snapToGrid w:val="0"/>
                <w:szCs w:val="20"/>
              </w:rPr>
              <w:t>A) Gastos</w:t>
            </w:r>
          </w:p>
        </w:tc>
        <w:tc>
          <w:tcPr>
            <w:tcW w:w="1050" w:type="pct"/>
            <w:tcBorders>
              <w:top w:val="single" w:sz="2" w:space="0" w:color="auto"/>
              <w:left w:val="nil"/>
              <w:bottom w:val="single" w:sz="4" w:space="0" w:color="auto"/>
              <w:right w:val="nil"/>
            </w:tcBorders>
            <w:vAlign w:val="center"/>
          </w:tcPr>
          <w:p w14:paraId="39EA1B55" w14:textId="77777777" w:rsidR="00614DC4" w:rsidRPr="00F3357D" w:rsidRDefault="00614DC4" w:rsidP="003B4290">
            <w:pPr>
              <w:pStyle w:val="cuatexto"/>
              <w:jc w:val="right"/>
              <w:rPr>
                <w:snapToGrid w:val="0"/>
                <w:color w:val="000000"/>
                <w:szCs w:val="20"/>
              </w:rPr>
            </w:pPr>
          </w:p>
        </w:tc>
        <w:tc>
          <w:tcPr>
            <w:tcW w:w="1093" w:type="pct"/>
            <w:tcBorders>
              <w:top w:val="single" w:sz="2" w:space="0" w:color="auto"/>
              <w:left w:val="nil"/>
              <w:bottom w:val="single" w:sz="4" w:space="0" w:color="auto"/>
              <w:right w:val="nil"/>
            </w:tcBorders>
            <w:vAlign w:val="center"/>
          </w:tcPr>
          <w:p w14:paraId="6527603F" w14:textId="77777777" w:rsidR="00614DC4" w:rsidRPr="00F3357D" w:rsidRDefault="00614DC4" w:rsidP="003B4290">
            <w:pPr>
              <w:pStyle w:val="cuatexto"/>
              <w:jc w:val="right"/>
              <w:rPr>
                <w:snapToGrid w:val="0"/>
                <w:color w:val="000000"/>
                <w:szCs w:val="20"/>
              </w:rPr>
            </w:pPr>
          </w:p>
        </w:tc>
      </w:tr>
      <w:tr w:rsidR="00451FD6" w14:paraId="276F2C2E" w14:textId="77777777" w:rsidTr="009B2DAA">
        <w:trPr>
          <w:trHeight w:val="198"/>
          <w:jc w:val="center"/>
        </w:trPr>
        <w:tc>
          <w:tcPr>
            <w:tcW w:w="2857" w:type="pct"/>
            <w:tcBorders>
              <w:top w:val="single" w:sz="4" w:space="0" w:color="auto"/>
              <w:left w:val="nil"/>
              <w:bottom w:val="single" w:sz="4" w:space="0" w:color="auto"/>
            </w:tcBorders>
            <w:vAlign w:val="center"/>
            <w:hideMark/>
          </w:tcPr>
          <w:p w14:paraId="62101053" w14:textId="77777777" w:rsidR="00451FD6" w:rsidRPr="00F3357D" w:rsidRDefault="00451FD6" w:rsidP="005E5C0D">
            <w:pPr>
              <w:pStyle w:val="cuatexto"/>
              <w:rPr>
                <w:b/>
                <w:snapToGrid w:val="0"/>
                <w:szCs w:val="20"/>
              </w:rPr>
            </w:pPr>
            <w:r w:rsidRPr="00F3357D">
              <w:rPr>
                <w:b/>
                <w:snapToGrid w:val="0"/>
                <w:szCs w:val="20"/>
              </w:rPr>
              <w:t xml:space="preserve">2. Aprovisionamientos </w:t>
            </w:r>
          </w:p>
        </w:tc>
        <w:tc>
          <w:tcPr>
            <w:tcW w:w="1050" w:type="pct"/>
            <w:tcBorders>
              <w:top w:val="single" w:sz="4" w:space="0" w:color="auto"/>
              <w:bottom w:val="single" w:sz="4" w:space="0" w:color="auto"/>
            </w:tcBorders>
            <w:shd w:val="clear" w:color="auto" w:fill="auto"/>
            <w:vAlign w:val="center"/>
          </w:tcPr>
          <w:p w14:paraId="1D4F1965" w14:textId="77777777" w:rsidR="00451FD6" w:rsidRPr="00F3357D" w:rsidRDefault="00451FD6" w:rsidP="003B4290">
            <w:pPr>
              <w:pStyle w:val="cuatexto"/>
              <w:jc w:val="right"/>
              <w:rPr>
                <w:rFonts w:cs="Calibri"/>
                <w:b/>
                <w:bCs/>
                <w:color w:val="000000"/>
                <w:szCs w:val="20"/>
              </w:rPr>
            </w:pPr>
            <w:r w:rsidRPr="00F3357D">
              <w:rPr>
                <w:rFonts w:cs="Calibri"/>
                <w:b/>
                <w:bCs/>
                <w:color w:val="000000"/>
                <w:szCs w:val="20"/>
              </w:rPr>
              <w:t>354.020.366</w:t>
            </w:r>
          </w:p>
        </w:tc>
        <w:tc>
          <w:tcPr>
            <w:tcW w:w="1093" w:type="pct"/>
            <w:tcBorders>
              <w:top w:val="single" w:sz="4" w:space="0" w:color="auto"/>
              <w:left w:val="nil"/>
              <w:bottom w:val="single" w:sz="4" w:space="0" w:color="auto"/>
              <w:right w:val="nil"/>
            </w:tcBorders>
            <w:vAlign w:val="center"/>
          </w:tcPr>
          <w:p w14:paraId="7E8DF7FA" w14:textId="77777777" w:rsidR="00451FD6" w:rsidRPr="00F3357D" w:rsidRDefault="00451FD6" w:rsidP="003B4290">
            <w:pPr>
              <w:pStyle w:val="cuatexto"/>
              <w:jc w:val="right"/>
              <w:rPr>
                <w:b/>
                <w:snapToGrid w:val="0"/>
                <w:szCs w:val="20"/>
              </w:rPr>
            </w:pPr>
            <w:r w:rsidRPr="00F3357D">
              <w:rPr>
                <w:b/>
                <w:snapToGrid w:val="0"/>
                <w:szCs w:val="20"/>
              </w:rPr>
              <w:t>339.511.483</w:t>
            </w:r>
          </w:p>
        </w:tc>
      </w:tr>
      <w:tr w:rsidR="00451FD6" w14:paraId="61474104" w14:textId="77777777" w:rsidTr="009B2DAA">
        <w:trPr>
          <w:trHeight w:val="255"/>
          <w:jc w:val="center"/>
        </w:trPr>
        <w:tc>
          <w:tcPr>
            <w:tcW w:w="2857" w:type="pct"/>
            <w:tcBorders>
              <w:top w:val="single" w:sz="4" w:space="0" w:color="auto"/>
              <w:left w:val="nil"/>
              <w:bottom w:val="single" w:sz="4" w:space="0" w:color="auto"/>
            </w:tcBorders>
            <w:vAlign w:val="center"/>
            <w:hideMark/>
          </w:tcPr>
          <w:p w14:paraId="6EFEAC03" w14:textId="77777777" w:rsidR="00451FD6" w:rsidRPr="00F3357D" w:rsidRDefault="00451FD6" w:rsidP="005E5C0D">
            <w:pPr>
              <w:pStyle w:val="cuatexto"/>
              <w:rPr>
                <w:snapToGrid w:val="0"/>
                <w:szCs w:val="20"/>
              </w:rPr>
            </w:pPr>
            <w:r w:rsidRPr="00F3357D">
              <w:rPr>
                <w:snapToGrid w:val="0"/>
                <w:szCs w:val="20"/>
              </w:rPr>
              <w:t xml:space="preserve">b) Consumos del ejercicio </w:t>
            </w:r>
          </w:p>
        </w:tc>
        <w:tc>
          <w:tcPr>
            <w:tcW w:w="1050" w:type="pct"/>
            <w:tcBorders>
              <w:top w:val="single" w:sz="4" w:space="0" w:color="auto"/>
              <w:bottom w:val="single" w:sz="4" w:space="0" w:color="auto"/>
            </w:tcBorders>
            <w:shd w:val="clear" w:color="auto" w:fill="auto"/>
            <w:vAlign w:val="center"/>
          </w:tcPr>
          <w:p w14:paraId="3B19DDFC" w14:textId="77777777" w:rsidR="00451FD6" w:rsidRPr="00F3357D" w:rsidRDefault="00451FD6" w:rsidP="003B4290">
            <w:pPr>
              <w:pStyle w:val="cuatexto"/>
              <w:jc w:val="right"/>
              <w:rPr>
                <w:rFonts w:cs="Calibri"/>
                <w:color w:val="000000"/>
                <w:szCs w:val="20"/>
              </w:rPr>
            </w:pPr>
            <w:r w:rsidRPr="00F3357D">
              <w:rPr>
                <w:rFonts w:cs="Calibri"/>
                <w:color w:val="000000"/>
                <w:szCs w:val="20"/>
              </w:rPr>
              <w:t>354.020.366</w:t>
            </w:r>
          </w:p>
        </w:tc>
        <w:tc>
          <w:tcPr>
            <w:tcW w:w="1093" w:type="pct"/>
            <w:tcBorders>
              <w:top w:val="single" w:sz="4" w:space="0" w:color="auto"/>
              <w:left w:val="nil"/>
              <w:bottom w:val="single" w:sz="4" w:space="0" w:color="auto"/>
              <w:right w:val="nil"/>
            </w:tcBorders>
            <w:vAlign w:val="center"/>
          </w:tcPr>
          <w:p w14:paraId="6A65DFCA" w14:textId="77777777" w:rsidR="00451FD6" w:rsidRPr="00F3357D" w:rsidRDefault="00451FD6" w:rsidP="003B4290">
            <w:pPr>
              <w:pStyle w:val="cuatexto"/>
              <w:jc w:val="right"/>
              <w:rPr>
                <w:szCs w:val="20"/>
              </w:rPr>
            </w:pPr>
            <w:r w:rsidRPr="00F3357D">
              <w:rPr>
                <w:szCs w:val="20"/>
              </w:rPr>
              <w:t>339.511.483</w:t>
            </w:r>
          </w:p>
        </w:tc>
      </w:tr>
      <w:tr w:rsidR="00451FD6" w14:paraId="0A05F2F8" w14:textId="77777777" w:rsidTr="009B2DAA">
        <w:trPr>
          <w:trHeight w:val="198"/>
          <w:jc w:val="center"/>
        </w:trPr>
        <w:tc>
          <w:tcPr>
            <w:tcW w:w="2857" w:type="pct"/>
            <w:tcBorders>
              <w:top w:val="single" w:sz="4" w:space="0" w:color="auto"/>
              <w:left w:val="nil"/>
              <w:bottom w:val="single" w:sz="4" w:space="0" w:color="auto"/>
            </w:tcBorders>
            <w:vAlign w:val="center"/>
            <w:hideMark/>
          </w:tcPr>
          <w:p w14:paraId="0596213B" w14:textId="77777777" w:rsidR="00451FD6" w:rsidRPr="00F3357D" w:rsidRDefault="00451FD6" w:rsidP="005E5C0D">
            <w:pPr>
              <w:pStyle w:val="cuatexto"/>
              <w:rPr>
                <w:b/>
                <w:snapToGrid w:val="0"/>
                <w:szCs w:val="20"/>
              </w:rPr>
            </w:pPr>
            <w:r w:rsidRPr="00F3357D">
              <w:rPr>
                <w:b/>
                <w:snapToGrid w:val="0"/>
                <w:szCs w:val="20"/>
              </w:rPr>
              <w:t>3. Otros gastos de gestión ordinaria</w:t>
            </w:r>
          </w:p>
        </w:tc>
        <w:tc>
          <w:tcPr>
            <w:tcW w:w="1050" w:type="pct"/>
            <w:tcBorders>
              <w:top w:val="single" w:sz="4" w:space="0" w:color="auto"/>
              <w:bottom w:val="single" w:sz="4" w:space="0" w:color="auto"/>
            </w:tcBorders>
            <w:shd w:val="clear" w:color="auto" w:fill="auto"/>
            <w:vAlign w:val="center"/>
          </w:tcPr>
          <w:p w14:paraId="6B8581B0" w14:textId="77777777" w:rsidR="00451FD6" w:rsidRPr="00F3357D" w:rsidRDefault="00451FD6" w:rsidP="003B4290">
            <w:pPr>
              <w:pStyle w:val="cuatexto"/>
              <w:jc w:val="right"/>
              <w:rPr>
                <w:rFonts w:cs="Calibri"/>
                <w:b/>
                <w:bCs/>
                <w:color w:val="000000"/>
                <w:szCs w:val="20"/>
              </w:rPr>
            </w:pPr>
            <w:r w:rsidRPr="00F3357D">
              <w:rPr>
                <w:rFonts w:cs="Calibri"/>
                <w:b/>
                <w:bCs/>
                <w:color w:val="000000"/>
                <w:szCs w:val="20"/>
              </w:rPr>
              <w:t>2.346.246.105</w:t>
            </w:r>
          </w:p>
        </w:tc>
        <w:tc>
          <w:tcPr>
            <w:tcW w:w="1093" w:type="pct"/>
            <w:tcBorders>
              <w:top w:val="single" w:sz="4" w:space="0" w:color="auto"/>
              <w:left w:val="nil"/>
              <w:bottom w:val="single" w:sz="4" w:space="0" w:color="auto"/>
              <w:right w:val="nil"/>
            </w:tcBorders>
            <w:vAlign w:val="center"/>
          </w:tcPr>
          <w:p w14:paraId="7BCD320C" w14:textId="77777777" w:rsidR="00451FD6" w:rsidRPr="00F3357D" w:rsidRDefault="00451FD6" w:rsidP="003B4290">
            <w:pPr>
              <w:pStyle w:val="cuatexto"/>
              <w:jc w:val="right"/>
              <w:rPr>
                <w:b/>
                <w:szCs w:val="20"/>
              </w:rPr>
            </w:pPr>
            <w:r w:rsidRPr="00F3357D">
              <w:rPr>
                <w:b/>
                <w:szCs w:val="20"/>
              </w:rPr>
              <w:t>2.172.637.581</w:t>
            </w:r>
          </w:p>
        </w:tc>
      </w:tr>
      <w:tr w:rsidR="00451FD6" w14:paraId="148A78C1" w14:textId="77777777" w:rsidTr="009B2DAA">
        <w:trPr>
          <w:trHeight w:val="255"/>
          <w:jc w:val="center"/>
        </w:trPr>
        <w:tc>
          <w:tcPr>
            <w:tcW w:w="2857" w:type="pct"/>
            <w:tcBorders>
              <w:top w:val="single" w:sz="4" w:space="0" w:color="auto"/>
              <w:left w:val="nil"/>
              <w:bottom w:val="single" w:sz="2" w:space="0" w:color="auto"/>
            </w:tcBorders>
            <w:vAlign w:val="center"/>
            <w:hideMark/>
          </w:tcPr>
          <w:p w14:paraId="2146CA45" w14:textId="77777777" w:rsidR="00451FD6" w:rsidRPr="00F3357D" w:rsidRDefault="00451FD6" w:rsidP="005E5C0D">
            <w:pPr>
              <w:pStyle w:val="cuatexto"/>
              <w:rPr>
                <w:b/>
                <w:snapToGrid w:val="0"/>
                <w:szCs w:val="20"/>
              </w:rPr>
            </w:pPr>
            <w:r w:rsidRPr="00F3357D">
              <w:rPr>
                <w:b/>
                <w:snapToGrid w:val="0"/>
                <w:szCs w:val="20"/>
              </w:rPr>
              <w:t>a) Gastos de personal</w:t>
            </w:r>
          </w:p>
        </w:tc>
        <w:tc>
          <w:tcPr>
            <w:tcW w:w="1050" w:type="pct"/>
            <w:tcBorders>
              <w:top w:val="single" w:sz="4" w:space="0" w:color="auto"/>
              <w:bottom w:val="single" w:sz="2" w:space="0" w:color="auto"/>
            </w:tcBorders>
            <w:shd w:val="clear" w:color="auto" w:fill="auto"/>
            <w:vAlign w:val="center"/>
          </w:tcPr>
          <w:p w14:paraId="33CA790E" w14:textId="77777777" w:rsidR="00451FD6" w:rsidRPr="00F3357D" w:rsidRDefault="00451FD6" w:rsidP="003B4290">
            <w:pPr>
              <w:pStyle w:val="cuatexto"/>
              <w:jc w:val="right"/>
              <w:rPr>
                <w:rFonts w:cs="Calibri"/>
                <w:b/>
                <w:bCs/>
                <w:color w:val="000000"/>
                <w:szCs w:val="20"/>
              </w:rPr>
            </w:pPr>
            <w:r w:rsidRPr="00F3357D">
              <w:rPr>
                <w:rFonts w:cs="Calibri"/>
                <w:b/>
                <w:bCs/>
                <w:color w:val="000000"/>
                <w:szCs w:val="20"/>
              </w:rPr>
              <w:t>1.616.699.842</w:t>
            </w:r>
          </w:p>
        </w:tc>
        <w:tc>
          <w:tcPr>
            <w:tcW w:w="1093" w:type="pct"/>
            <w:tcBorders>
              <w:top w:val="single" w:sz="4" w:space="0" w:color="auto"/>
              <w:left w:val="nil"/>
              <w:bottom w:val="single" w:sz="2" w:space="0" w:color="auto"/>
              <w:right w:val="nil"/>
            </w:tcBorders>
            <w:vAlign w:val="center"/>
          </w:tcPr>
          <w:p w14:paraId="7992EC91" w14:textId="77777777" w:rsidR="00451FD6" w:rsidRPr="00F3357D" w:rsidRDefault="00451FD6" w:rsidP="003B4290">
            <w:pPr>
              <w:pStyle w:val="cuatexto"/>
              <w:jc w:val="right"/>
              <w:rPr>
                <w:b/>
                <w:szCs w:val="20"/>
              </w:rPr>
            </w:pPr>
            <w:r w:rsidRPr="00F3357D">
              <w:rPr>
                <w:b/>
                <w:szCs w:val="20"/>
              </w:rPr>
              <w:t>1.502.350.247</w:t>
            </w:r>
          </w:p>
        </w:tc>
      </w:tr>
      <w:tr w:rsidR="00451FD6" w14:paraId="2588EB9E" w14:textId="77777777" w:rsidTr="00053346">
        <w:trPr>
          <w:trHeight w:val="255"/>
          <w:jc w:val="center"/>
        </w:trPr>
        <w:tc>
          <w:tcPr>
            <w:tcW w:w="2857" w:type="pct"/>
            <w:tcBorders>
              <w:top w:val="single" w:sz="2" w:space="0" w:color="auto"/>
              <w:left w:val="nil"/>
              <w:bottom w:val="single" w:sz="2" w:space="0" w:color="auto"/>
            </w:tcBorders>
            <w:vAlign w:val="center"/>
            <w:hideMark/>
          </w:tcPr>
          <w:p w14:paraId="1F47442E" w14:textId="77777777" w:rsidR="00451FD6" w:rsidRPr="00F3357D" w:rsidRDefault="00451FD6" w:rsidP="005E5C0D">
            <w:pPr>
              <w:pStyle w:val="cuatexto"/>
              <w:rPr>
                <w:snapToGrid w:val="0"/>
                <w:szCs w:val="20"/>
              </w:rPr>
            </w:pPr>
            <w:r w:rsidRPr="00F3357D">
              <w:rPr>
                <w:snapToGrid w:val="0"/>
                <w:szCs w:val="20"/>
              </w:rPr>
              <w:t xml:space="preserve">a.1) Sueldos y salarios </w:t>
            </w:r>
          </w:p>
        </w:tc>
        <w:tc>
          <w:tcPr>
            <w:tcW w:w="1050" w:type="pct"/>
            <w:tcBorders>
              <w:top w:val="single" w:sz="2" w:space="0" w:color="auto"/>
              <w:bottom w:val="single" w:sz="2" w:space="0" w:color="auto"/>
            </w:tcBorders>
            <w:shd w:val="clear" w:color="auto" w:fill="auto"/>
            <w:vAlign w:val="center"/>
          </w:tcPr>
          <w:p w14:paraId="0C0F57CE" w14:textId="77777777" w:rsidR="00451FD6" w:rsidRPr="00F3357D" w:rsidRDefault="00451FD6" w:rsidP="003B4290">
            <w:pPr>
              <w:pStyle w:val="cuatexto"/>
              <w:jc w:val="right"/>
              <w:rPr>
                <w:rFonts w:cs="Calibri"/>
                <w:color w:val="000000"/>
                <w:szCs w:val="20"/>
              </w:rPr>
            </w:pPr>
            <w:r w:rsidRPr="00F3357D">
              <w:rPr>
                <w:rFonts w:cs="Calibri"/>
                <w:color w:val="000000"/>
                <w:szCs w:val="20"/>
              </w:rPr>
              <w:t>1.327.338.039</w:t>
            </w:r>
          </w:p>
        </w:tc>
        <w:tc>
          <w:tcPr>
            <w:tcW w:w="1093" w:type="pct"/>
            <w:tcBorders>
              <w:top w:val="single" w:sz="2" w:space="0" w:color="auto"/>
              <w:left w:val="nil"/>
              <w:bottom w:val="single" w:sz="2" w:space="0" w:color="auto"/>
              <w:right w:val="nil"/>
            </w:tcBorders>
            <w:vAlign w:val="center"/>
          </w:tcPr>
          <w:p w14:paraId="43A82B10" w14:textId="77777777" w:rsidR="00451FD6" w:rsidRPr="00F3357D" w:rsidRDefault="00451FD6" w:rsidP="003B4290">
            <w:pPr>
              <w:pStyle w:val="cuatexto"/>
              <w:jc w:val="right"/>
              <w:rPr>
                <w:szCs w:val="20"/>
              </w:rPr>
            </w:pPr>
            <w:r w:rsidRPr="00F3357D">
              <w:rPr>
                <w:szCs w:val="20"/>
              </w:rPr>
              <w:t>1.240.589.860</w:t>
            </w:r>
          </w:p>
        </w:tc>
      </w:tr>
      <w:tr w:rsidR="00451FD6" w14:paraId="21B8D0E0" w14:textId="77777777" w:rsidTr="00053346">
        <w:trPr>
          <w:trHeight w:val="255"/>
          <w:jc w:val="center"/>
        </w:trPr>
        <w:tc>
          <w:tcPr>
            <w:tcW w:w="2857" w:type="pct"/>
            <w:tcBorders>
              <w:top w:val="single" w:sz="2" w:space="0" w:color="auto"/>
              <w:left w:val="nil"/>
              <w:bottom w:val="single" w:sz="2" w:space="0" w:color="auto"/>
            </w:tcBorders>
            <w:vAlign w:val="center"/>
            <w:hideMark/>
          </w:tcPr>
          <w:p w14:paraId="10C3C7F8" w14:textId="77777777" w:rsidR="00451FD6" w:rsidRPr="00F3357D" w:rsidRDefault="00451FD6" w:rsidP="005E5C0D">
            <w:pPr>
              <w:pStyle w:val="cuatexto"/>
              <w:rPr>
                <w:snapToGrid w:val="0"/>
                <w:szCs w:val="20"/>
              </w:rPr>
            </w:pPr>
            <w:r w:rsidRPr="00F3357D">
              <w:rPr>
                <w:snapToGrid w:val="0"/>
                <w:szCs w:val="20"/>
              </w:rPr>
              <w:t xml:space="preserve">a.2) Cargas sociales </w:t>
            </w:r>
          </w:p>
        </w:tc>
        <w:tc>
          <w:tcPr>
            <w:tcW w:w="1050" w:type="pct"/>
            <w:tcBorders>
              <w:top w:val="single" w:sz="2" w:space="0" w:color="auto"/>
              <w:bottom w:val="single" w:sz="2" w:space="0" w:color="auto"/>
            </w:tcBorders>
            <w:shd w:val="clear" w:color="auto" w:fill="auto"/>
            <w:vAlign w:val="center"/>
          </w:tcPr>
          <w:p w14:paraId="41DB3814" w14:textId="77777777" w:rsidR="00451FD6" w:rsidRPr="00F3357D" w:rsidRDefault="00451FD6" w:rsidP="003B4290">
            <w:pPr>
              <w:pStyle w:val="cuatexto"/>
              <w:jc w:val="right"/>
              <w:rPr>
                <w:rFonts w:cs="Calibri"/>
                <w:color w:val="000000"/>
                <w:szCs w:val="20"/>
              </w:rPr>
            </w:pPr>
            <w:r w:rsidRPr="00F3357D">
              <w:rPr>
                <w:rFonts w:cs="Calibri"/>
                <w:color w:val="000000"/>
                <w:szCs w:val="20"/>
              </w:rPr>
              <w:t>289.361.803</w:t>
            </w:r>
          </w:p>
        </w:tc>
        <w:tc>
          <w:tcPr>
            <w:tcW w:w="1093" w:type="pct"/>
            <w:tcBorders>
              <w:top w:val="single" w:sz="2" w:space="0" w:color="auto"/>
              <w:left w:val="nil"/>
              <w:bottom w:val="single" w:sz="2" w:space="0" w:color="auto"/>
              <w:right w:val="nil"/>
            </w:tcBorders>
            <w:vAlign w:val="center"/>
          </w:tcPr>
          <w:p w14:paraId="12033FF2" w14:textId="77777777" w:rsidR="00451FD6" w:rsidRPr="00F3357D" w:rsidRDefault="00451FD6" w:rsidP="003B4290">
            <w:pPr>
              <w:pStyle w:val="cuatexto"/>
              <w:jc w:val="right"/>
              <w:rPr>
                <w:szCs w:val="20"/>
              </w:rPr>
            </w:pPr>
            <w:r w:rsidRPr="00F3357D">
              <w:rPr>
                <w:szCs w:val="20"/>
              </w:rPr>
              <w:t>261.760.387</w:t>
            </w:r>
          </w:p>
        </w:tc>
      </w:tr>
      <w:tr w:rsidR="00451FD6" w14:paraId="1CD1FE8E" w14:textId="77777777" w:rsidTr="00053346">
        <w:trPr>
          <w:trHeight w:val="255"/>
          <w:jc w:val="center"/>
        </w:trPr>
        <w:tc>
          <w:tcPr>
            <w:tcW w:w="2857" w:type="pct"/>
            <w:tcBorders>
              <w:top w:val="single" w:sz="2" w:space="0" w:color="auto"/>
              <w:left w:val="nil"/>
              <w:bottom w:val="single" w:sz="2" w:space="0" w:color="auto"/>
            </w:tcBorders>
            <w:vAlign w:val="center"/>
            <w:hideMark/>
          </w:tcPr>
          <w:p w14:paraId="4A31F06D" w14:textId="77777777" w:rsidR="00451FD6" w:rsidRPr="00F3357D" w:rsidRDefault="00451FD6" w:rsidP="005E5C0D">
            <w:pPr>
              <w:pStyle w:val="cuatexto"/>
              <w:rPr>
                <w:b/>
                <w:snapToGrid w:val="0"/>
                <w:szCs w:val="20"/>
              </w:rPr>
            </w:pPr>
            <w:r w:rsidRPr="00F3357D">
              <w:rPr>
                <w:b/>
                <w:snapToGrid w:val="0"/>
                <w:szCs w:val="20"/>
              </w:rPr>
              <w:t>b) Prestaciones sociales</w:t>
            </w:r>
          </w:p>
        </w:tc>
        <w:tc>
          <w:tcPr>
            <w:tcW w:w="1050" w:type="pct"/>
            <w:tcBorders>
              <w:top w:val="single" w:sz="2" w:space="0" w:color="auto"/>
              <w:bottom w:val="single" w:sz="2" w:space="0" w:color="auto"/>
            </w:tcBorders>
            <w:shd w:val="clear" w:color="auto" w:fill="auto"/>
            <w:vAlign w:val="center"/>
          </w:tcPr>
          <w:p w14:paraId="78E15146" w14:textId="77777777" w:rsidR="00451FD6" w:rsidRPr="00F3357D" w:rsidRDefault="00451FD6" w:rsidP="003B4290">
            <w:pPr>
              <w:pStyle w:val="cuatexto"/>
              <w:jc w:val="right"/>
              <w:rPr>
                <w:rFonts w:cs="Calibri"/>
                <w:b/>
                <w:bCs/>
                <w:color w:val="000000"/>
                <w:szCs w:val="20"/>
              </w:rPr>
            </w:pPr>
            <w:r w:rsidRPr="00F3357D">
              <w:rPr>
                <w:rFonts w:cs="Calibri"/>
                <w:b/>
                <w:bCs/>
                <w:color w:val="000000"/>
                <w:szCs w:val="20"/>
              </w:rPr>
              <w:t>118.026.115</w:t>
            </w:r>
          </w:p>
        </w:tc>
        <w:tc>
          <w:tcPr>
            <w:tcW w:w="1093" w:type="pct"/>
            <w:tcBorders>
              <w:top w:val="single" w:sz="2" w:space="0" w:color="auto"/>
              <w:left w:val="nil"/>
              <w:bottom w:val="single" w:sz="2" w:space="0" w:color="auto"/>
              <w:right w:val="nil"/>
            </w:tcBorders>
            <w:vAlign w:val="center"/>
          </w:tcPr>
          <w:p w14:paraId="76F7D5CD" w14:textId="77777777" w:rsidR="00451FD6" w:rsidRPr="00F3357D" w:rsidRDefault="00451FD6" w:rsidP="003B4290">
            <w:pPr>
              <w:pStyle w:val="cuatexto"/>
              <w:jc w:val="right"/>
              <w:rPr>
                <w:b/>
                <w:szCs w:val="20"/>
              </w:rPr>
            </w:pPr>
            <w:r w:rsidRPr="00F3357D">
              <w:rPr>
                <w:b/>
                <w:szCs w:val="20"/>
              </w:rPr>
              <w:t>109.177.835</w:t>
            </w:r>
          </w:p>
        </w:tc>
      </w:tr>
      <w:tr w:rsidR="00451FD6" w14:paraId="182BA491" w14:textId="77777777" w:rsidTr="00053346">
        <w:trPr>
          <w:trHeight w:val="255"/>
          <w:jc w:val="center"/>
        </w:trPr>
        <w:tc>
          <w:tcPr>
            <w:tcW w:w="2857" w:type="pct"/>
            <w:tcBorders>
              <w:top w:val="single" w:sz="2" w:space="0" w:color="auto"/>
              <w:left w:val="nil"/>
              <w:bottom w:val="single" w:sz="2" w:space="0" w:color="auto"/>
            </w:tcBorders>
            <w:vAlign w:val="center"/>
            <w:hideMark/>
          </w:tcPr>
          <w:p w14:paraId="3F1F4269" w14:textId="77777777" w:rsidR="00451FD6" w:rsidRPr="00F3357D" w:rsidRDefault="00451FD6" w:rsidP="005E5C0D">
            <w:pPr>
              <w:pStyle w:val="cuatexto"/>
              <w:rPr>
                <w:b/>
                <w:snapToGrid w:val="0"/>
                <w:szCs w:val="20"/>
              </w:rPr>
            </w:pPr>
            <w:r w:rsidRPr="00F3357D">
              <w:rPr>
                <w:b/>
                <w:snapToGrid w:val="0"/>
                <w:szCs w:val="20"/>
              </w:rPr>
              <w:t>d) Variación de provisiones de tráfico</w:t>
            </w:r>
          </w:p>
        </w:tc>
        <w:tc>
          <w:tcPr>
            <w:tcW w:w="1050" w:type="pct"/>
            <w:tcBorders>
              <w:top w:val="single" w:sz="2" w:space="0" w:color="auto"/>
              <w:bottom w:val="single" w:sz="2" w:space="0" w:color="auto"/>
            </w:tcBorders>
            <w:shd w:val="clear" w:color="auto" w:fill="auto"/>
            <w:vAlign w:val="center"/>
          </w:tcPr>
          <w:p w14:paraId="2D439228" w14:textId="77777777" w:rsidR="00451FD6" w:rsidRPr="00F3357D" w:rsidRDefault="00451FD6" w:rsidP="003B4290">
            <w:pPr>
              <w:pStyle w:val="cuatexto"/>
              <w:jc w:val="right"/>
              <w:rPr>
                <w:rFonts w:cs="Calibri"/>
                <w:b/>
                <w:bCs/>
                <w:color w:val="000000"/>
                <w:szCs w:val="20"/>
              </w:rPr>
            </w:pPr>
            <w:r w:rsidRPr="00F3357D">
              <w:rPr>
                <w:rFonts w:cs="Calibri"/>
                <w:b/>
                <w:bCs/>
                <w:color w:val="000000"/>
                <w:szCs w:val="20"/>
              </w:rPr>
              <w:t>2.477.511</w:t>
            </w:r>
          </w:p>
        </w:tc>
        <w:tc>
          <w:tcPr>
            <w:tcW w:w="1093" w:type="pct"/>
            <w:tcBorders>
              <w:top w:val="single" w:sz="2" w:space="0" w:color="auto"/>
              <w:left w:val="nil"/>
              <w:bottom w:val="single" w:sz="2" w:space="0" w:color="auto"/>
              <w:right w:val="nil"/>
            </w:tcBorders>
            <w:vAlign w:val="center"/>
          </w:tcPr>
          <w:p w14:paraId="144AE479" w14:textId="77777777" w:rsidR="00451FD6" w:rsidRPr="00F3357D" w:rsidRDefault="00451FD6" w:rsidP="003B4290">
            <w:pPr>
              <w:pStyle w:val="cuatexto"/>
              <w:jc w:val="right"/>
              <w:rPr>
                <w:b/>
                <w:szCs w:val="20"/>
              </w:rPr>
            </w:pPr>
            <w:r w:rsidRPr="00F3357D">
              <w:rPr>
                <w:b/>
                <w:szCs w:val="20"/>
              </w:rPr>
              <w:t>16.087.551</w:t>
            </w:r>
          </w:p>
        </w:tc>
      </w:tr>
      <w:tr w:rsidR="00451FD6" w14:paraId="0BAE9C56" w14:textId="77777777" w:rsidTr="00053346">
        <w:trPr>
          <w:trHeight w:val="255"/>
          <w:jc w:val="center"/>
        </w:trPr>
        <w:tc>
          <w:tcPr>
            <w:tcW w:w="2857" w:type="pct"/>
            <w:tcBorders>
              <w:top w:val="single" w:sz="2" w:space="0" w:color="auto"/>
              <w:left w:val="nil"/>
              <w:bottom w:val="single" w:sz="2" w:space="0" w:color="auto"/>
            </w:tcBorders>
            <w:vAlign w:val="center"/>
            <w:hideMark/>
          </w:tcPr>
          <w:p w14:paraId="5D550167" w14:textId="77777777" w:rsidR="00451FD6" w:rsidRPr="00F3357D" w:rsidRDefault="00451FD6" w:rsidP="009B2DAA">
            <w:pPr>
              <w:pStyle w:val="cuatexto"/>
              <w:rPr>
                <w:snapToGrid w:val="0"/>
                <w:szCs w:val="20"/>
              </w:rPr>
            </w:pPr>
            <w:r w:rsidRPr="00F3357D">
              <w:rPr>
                <w:snapToGrid w:val="0"/>
                <w:szCs w:val="20"/>
              </w:rPr>
              <w:t xml:space="preserve">d.1) Variación de provisiones y pérdidas de </w:t>
            </w:r>
            <w:proofErr w:type="spellStart"/>
            <w:r w:rsidRPr="00F3357D">
              <w:rPr>
                <w:snapToGrid w:val="0"/>
                <w:szCs w:val="20"/>
              </w:rPr>
              <w:t>c</w:t>
            </w:r>
            <w:r w:rsidR="009B2DAA">
              <w:rPr>
                <w:snapToGrid w:val="0"/>
                <w:szCs w:val="20"/>
              </w:rPr>
              <w:t>tos.</w:t>
            </w:r>
            <w:r w:rsidRPr="00F3357D">
              <w:rPr>
                <w:snapToGrid w:val="0"/>
                <w:szCs w:val="20"/>
              </w:rPr>
              <w:t>incobrables</w:t>
            </w:r>
            <w:proofErr w:type="spellEnd"/>
            <w:r w:rsidRPr="00F3357D">
              <w:rPr>
                <w:snapToGrid w:val="0"/>
                <w:szCs w:val="20"/>
              </w:rPr>
              <w:t xml:space="preserve"> </w:t>
            </w:r>
          </w:p>
        </w:tc>
        <w:tc>
          <w:tcPr>
            <w:tcW w:w="1050" w:type="pct"/>
            <w:tcBorders>
              <w:top w:val="single" w:sz="2" w:space="0" w:color="auto"/>
              <w:bottom w:val="single" w:sz="2" w:space="0" w:color="auto"/>
            </w:tcBorders>
            <w:shd w:val="clear" w:color="auto" w:fill="auto"/>
            <w:vAlign w:val="center"/>
          </w:tcPr>
          <w:p w14:paraId="2123A523" w14:textId="77777777" w:rsidR="00451FD6" w:rsidRPr="00F3357D" w:rsidRDefault="00451FD6" w:rsidP="003B4290">
            <w:pPr>
              <w:pStyle w:val="cuatexto"/>
              <w:jc w:val="right"/>
              <w:rPr>
                <w:rFonts w:cs="Calibri"/>
                <w:color w:val="000000"/>
                <w:szCs w:val="20"/>
              </w:rPr>
            </w:pPr>
            <w:r w:rsidRPr="00F3357D">
              <w:rPr>
                <w:rFonts w:cs="Calibri"/>
                <w:color w:val="000000"/>
                <w:szCs w:val="20"/>
              </w:rPr>
              <w:t>2.477.511</w:t>
            </w:r>
          </w:p>
        </w:tc>
        <w:tc>
          <w:tcPr>
            <w:tcW w:w="1093" w:type="pct"/>
            <w:tcBorders>
              <w:top w:val="single" w:sz="2" w:space="0" w:color="auto"/>
              <w:left w:val="nil"/>
              <w:bottom w:val="single" w:sz="2" w:space="0" w:color="auto"/>
              <w:right w:val="nil"/>
            </w:tcBorders>
            <w:vAlign w:val="center"/>
          </w:tcPr>
          <w:p w14:paraId="6F82E596" w14:textId="77777777" w:rsidR="00451FD6" w:rsidRPr="00F3357D" w:rsidRDefault="00451FD6" w:rsidP="003B4290">
            <w:pPr>
              <w:pStyle w:val="cuatexto"/>
              <w:jc w:val="right"/>
              <w:rPr>
                <w:szCs w:val="20"/>
              </w:rPr>
            </w:pPr>
            <w:r w:rsidRPr="00F3357D">
              <w:rPr>
                <w:szCs w:val="20"/>
              </w:rPr>
              <w:t>16.087.551</w:t>
            </w:r>
          </w:p>
        </w:tc>
      </w:tr>
      <w:tr w:rsidR="00451FD6" w14:paraId="280F42C8" w14:textId="77777777" w:rsidTr="00053346">
        <w:trPr>
          <w:trHeight w:val="255"/>
          <w:jc w:val="center"/>
        </w:trPr>
        <w:tc>
          <w:tcPr>
            <w:tcW w:w="2857" w:type="pct"/>
            <w:tcBorders>
              <w:top w:val="single" w:sz="2" w:space="0" w:color="auto"/>
              <w:left w:val="nil"/>
              <w:bottom w:val="single" w:sz="2" w:space="0" w:color="auto"/>
            </w:tcBorders>
            <w:vAlign w:val="center"/>
            <w:hideMark/>
          </w:tcPr>
          <w:p w14:paraId="44B057FF" w14:textId="77777777" w:rsidR="00451FD6" w:rsidRPr="00F3357D" w:rsidRDefault="00451FD6" w:rsidP="005E5C0D">
            <w:pPr>
              <w:pStyle w:val="cuatexto"/>
              <w:rPr>
                <w:b/>
                <w:snapToGrid w:val="0"/>
                <w:szCs w:val="20"/>
              </w:rPr>
            </w:pPr>
            <w:r w:rsidRPr="00F3357D">
              <w:rPr>
                <w:b/>
                <w:snapToGrid w:val="0"/>
                <w:szCs w:val="20"/>
              </w:rPr>
              <w:t>e) Otros gastos de gestión</w:t>
            </w:r>
          </w:p>
        </w:tc>
        <w:tc>
          <w:tcPr>
            <w:tcW w:w="1050" w:type="pct"/>
            <w:tcBorders>
              <w:top w:val="single" w:sz="2" w:space="0" w:color="auto"/>
              <w:bottom w:val="single" w:sz="2" w:space="0" w:color="auto"/>
            </w:tcBorders>
            <w:shd w:val="clear" w:color="auto" w:fill="auto"/>
            <w:vAlign w:val="center"/>
          </w:tcPr>
          <w:p w14:paraId="3C2CB9CA" w14:textId="77777777" w:rsidR="00451FD6" w:rsidRPr="00F3357D" w:rsidRDefault="00451FD6" w:rsidP="003B4290">
            <w:pPr>
              <w:pStyle w:val="cuatexto"/>
              <w:jc w:val="right"/>
              <w:rPr>
                <w:rFonts w:cs="Calibri"/>
                <w:b/>
                <w:bCs/>
                <w:color w:val="000000"/>
                <w:szCs w:val="20"/>
              </w:rPr>
            </w:pPr>
            <w:r w:rsidRPr="00F3357D">
              <w:rPr>
                <w:rFonts w:cs="Calibri"/>
                <w:b/>
                <w:bCs/>
                <w:color w:val="000000"/>
                <w:szCs w:val="20"/>
              </w:rPr>
              <w:t>548.010.066</w:t>
            </w:r>
          </w:p>
        </w:tc>
        <w:tc>
          <w:tcPr>
            <w:tcW w:w="1093" w:type="pct"/>
            <w:tcBorders>
              <w:top w:val="single" w:sz="2" w:space="0" w:color="auto"/>
              <w:left w:val="nil"/>
              <w:bottom w:val="single" w:sz="2" w:space="0" w:color="auto"/>
              <w:right w:val="nil"/>
            </w:tcBorders>
            <w:vAlign w:val="center"/>
          </w:tcPr>
          <w:p w14:paraId="1AE0404B" w14:textId="77777777" w:rsidR="00451FD6" w:rsidRPr="00F3357D" w:rsidRDefault="00451FD6" w:rsidP="003B4290">
            <w:pPr>
              <w:pStyle w:val="cuatexto"/>
              <w:jc w:val="right"/>
              <w:rPr>
                <w:b/>
                <w:szCs w:val="20"/>
              </w:rPr>
            </w:pPr>
            <w:r w:rsidRPr="00F3357D">
              <w:rPr>
                <w:b/>
                <w:szCs w:val="20"/>
              </w:rPr>
              <w:t>486.555.398</w:t>
            </w:r>
          </w:p>
        </w:tc>
      </w:tr>
      <w:tr w:rsidR="00451FD6" w14:paraId="7A660466" w14:textId="77777777" w:rsidTr="00053346">
        <w:trPr>
          <w:trHeight w:val="255"/>
          <w:jc w:val="center"/>
        </w:trPr>
        <w:tc>
          <w:tcPr>
            <w:tcW w:w="2857" w:type="pct"/>
            <w:tcBorders>
              <w:top w:val="single" w:sz="2" w:space="0" w:color="auto"/>
              <w:left w:val="nil"/>
              <w:bottom w:val="single" w:sz="2" w:space="0" w:color="auto"/>
            </w:tcBorders>
            <w:vAlign w:val="center"/>
            <w:hideMark/>
          </w:tcPr>
          <w:p w14:paraId="6C81BBB5" w14:textId="77777777" w:rsidR="00451FD6" w:rsidRPr="00F3357D" w:rsidRDefault="00451FD6" w:rsidP="005E5C0D">
            <w:pPr>
              <w:pStyle w:val="cuatexto"/>
              <w:rPr>
                <w:snapToGrid w:val="0"/>
                <w:szCs w:val="20"/>
              </w:rPr>
            </w:pPr>
            <w:r w:rsidRPr="00F3357D">
              <w:rPr>
                <w:snapToGrid w:val="0"/>
                <w:szCs w:val="20"/>
              </w:rPr>
              <w:t>e.1) Servicios exteriores</w:t>
            </w:r>
          </w:p>
        </w:tc>
        <w:tc>
          <w:tcPr>
            <w:tcW w:w="1050" w:type="pct"/>
            <w:tcBorders>
              <w:top w:val="single" w:sz="2" w:space="0" w:color="auto"/>
              <w:bottom w:val="single" w:sz="2" w:space="0" w:color="auto"/>
            </w:tcBorders>
            <w:shd w:val="clear" w:color="auto" w:fill="auto"/>
            <w:vAlign w:val="center"/>
          </w:tcPr>
          <w:p w14:paraId="480B12C7" w14:textId="77777777" w:rsidR="00451FD6" w:rsidRPr="00F3357D" w:rsidRDefault="00451FD6" w:rsidP="003B4290">
            <w:pPr>
              <w:pStyle w:val="cuatexto"/>
              <w:jc w:val="right"/>
              <w:rPr>
                <w:rFonts w:cs="Calibri"/>
                <w:color w:val="000000"/>
                <w:szCs w:val="20"/>
              </w:rPr>
            </w:pPr>
            <w:r w:rsidRPr="00F3357D">
              <w:rPr>
                <w:rFonts w:cs="Calibri"/>
                <w:color w:val="000000"/>
                <w:szCs w:val="20"/>
              </w:rPr>
              <w:t>543.120.725</w:t>
            </w:r>
          </w:p>
        </w:tc>
        <w:tc>
          <w:tcPr>
            <w:tcW w:w="1093" w:type="pct"/>
            <w:tcBorders>
              <w:top w:val="single" w:sz="2" w:space="0" w:color="auto"/>
              <w:left w:val="nil"/>
              <w:bottom w:val="single" w:sz="2" w:space="0" w:color="auto"/>
              <w:right w:val="nil"/>
            </w:tcBorders>
            <w:vAlign w:val="center"/>
          </w:tcPr>
          <w:p w14:paraId="6BDC383A" w14:textId="77777777" w:rsidR="00451FD6" w:rsidRPr="00F3357D" w:rsidRDefault="00451FD6" w:rsidP="003B4290">
            <w:pPr>
              <w:pStyle w:val="cuatexto"/>
              <w:jc w:val="right"/>
              <w:rPr>
                <w:szCs w:val="20"/>
              </w:rPr>
            </w:pPr>
            <w:r w:rsidRPr="00F3357D">
              <w:rPr>
                <w:szCs w:val="20"/>
              </w:rPr>
              <w:t>482.178.475</w:t>
            </w:r>
          </w:p>
        </w:tc>
      </w:tr>
      <w:tr w:rsidR="00451FD6" w14:paraId="3D256629" w14:textId="77777777" w:rsidTr="00053346">
        <w:trPr>
          <w:trHeight w:val="255"/>
          <w:jc w:val="center"/>
        </w:trPr>
        <w:tc>
          <w:tcPr>
            <w:tcW w:w="2857" w:type="pct"/>
            <w:tcBorders>
              <w:top w:val="single" w:sz="2" w:space="0" w:color="auto"/>
              <w:left w:val="nil"/>
              <w:bottom w:val="single" w:sz="2" w:space="0" w:color="auto"/>
            </w:tcBorders>
            <w:vAlign w:val="center"/>
            <w:hideMark/>
          </w:tcPr>
          <w:p w14:paraId="36C3BCA9" w14:textId="77777777" w:rsidR="00451FD6" w:rsidRPr="00F3357D" w:rsidRDefault="00451FD6" w:rsidP="005E5C0D">
            <w:pPr>
              <w:pStyle w:val="cuatexto"/>
              <w:rPr>
                <w:snapToGrid w:val="0"/>
                <w:szCs w:val="20"/>
              </w:rPr>
            </w:pPr>
            <w:r w:rsidRPr="00F3357D">
              <w:rPr>
                <w:snapToGrid w:val="0"/>
                <w:szCs w:val="20"/>
              </w:rPr>
              <w:t xml:space="preserve">e.2) Tributos </w:t>
            </w:r>
          </w:p>
        </w:tc>
        <w:tc>
          <w:tcPr>
            <w:tcW w:w="1050" w:type="pct"/>
            <w:tcBorders>
              <w:top w:val="single" w:sz="2" w:space="0" w:color="auto"/>
              <w:bottom w:val="single" w:sz="2" w:space="0" w:color="auto"/>
            </w:tcBorders>
            <w:shd w:val="clear" w:color="auto" w:fill="auto"/>
            <w:vAlign w:val="center"/>
          </w:tcPr>
          <w:p w14:paraId="0E295FC3" w14:textId="77777777" w:rsidR="00451FD6" w:rsidRPr="00F3357D" w:rsidRDefault="00451FD6" w:rsidP="003B4290">
            <w:pPr>
              <w:pStyle w:val="cuatexto"/>
              <w:jc w:val="right"/>
              <w:rPr>
                <w:rFonts w:cs="Calibri"/>
                <w:color w:val="000000"/>
                <w:szCs w:val="20"/>
              </w:rPr>
            </w:pPr>
            <w:r w:rsidRPr="00F3357D">
              <w:rPr>
                <w:rFonts w:cs="Calibri"/>
                <w:color w:val="000000"/>
                <w:szCs w:val="20"/>
              </w:rPr>
              <w:t>122.650</w:t>
            </w:r>
          </w:p>
        </w:tc>
        <w:tc>
          <w:tcPr>
            <w:tcW w:w="1093" w:type="pct"/>
            <w:tcBorders>
              <w:top w:val="single" w:sz="2" w:space="0" w:color="auto"/>
              <w:left w:val="nil"/>
              <w:bottom w:val="single" w:sz="2" w:space="0" w:color="auto"/>
              <w:right w:val="nil"/>
            </w:tcBorders>
            <w:vAlign w:val="center"/>
          </w:tcPr>
          <w:p w14:paraId="644B7070" w14:textId="77777777" w:rsidR="00451FD6" w:rsidRPr="00F3357D" w:rsidRDefault="00451FD6" w:rsidP="003B4290">
            <w:pPr>
              <w:pStyle w:val="cuatexto"/>
              <w:jc w:val="right"/>
              <w:rPr>
                <w:szCs w:val="20"/>
              </w:rPr>
            </w:pPr>
            <w:r w:rsidRPr="00F3357D">
              <w:rPr>
                <w:szCs w:val="20"/>
              </w:rPr>
              <w:t>93.283</w:t>
            </w:r>
          </w:p>
        </w:tc>
      </w:tr>
      <w:tr w:rsidR="00451FD6" w14:paraId="14FD6ABE" w14:textId="77777777" w:rsidTr="00053346">
        <w:trPr>
          <w:trHeight w:val="255"/>
          <w:jc w:val="center"/>
        </w:trPr>
        <w:tc>
          <w:tcPr>
            <w:tcW w:w="2857" w:type="pct"/>
            <w:tcBorders>
              <w:top w:val="single" w:sz="2" w:space="0" w:color="auto"/>
              <w:left w:val="nil"/>
              <w:bottom w:val="single" w:sz="2" w:space="0" w:color="auto"/>
            </w:tcBorders>
            <w:vAlign w:val="center"/>
            <w:hideMark/>
          </w:tcPr>
          <w:p w14:paraId="5ECCF4D4" w14:textId="77777777" w:rsidR="00451FD6" w:rsidRPr="00F3357D" w:rsidRDefault="00451FD6" w:rsidP="005E5C0D">
            <w:pPr>
              <w:pStyle w:val="cuatexto"/>
              <w:rPr>
                <w:snapToGrid w:val="0"/>
                <w:szCs w:val="20"/>
              </w:rPr>
            </w:pPr>
            <w:r w:rsidRPr="00F3357D">
              <w:rPr>
                <w:snapToGrid w:val="0"/>
                <w:szCs w:val="20"/>
              </w:rPr>
              <w:t>e.3) Gastos diversos</w:t>
            </w:r>
          </w:p>
        </w:tc>
        <w:tc>
          <w:tcPr>
            <w:tcW w:w="1050" w:type="pct"/>
            <w:tcBorders>
              <w:top w:val="single" w:sz="2" w:space="0" w:color="auto"/>
              <w:bottom w:val="single" w:sz="2" w:space="0" w:color="auto"/>
            </w:tcBorders>
            <w:shd w:val="clear" w:color="auto" w:fill="auto"/>
            <w:vAlign w:val="center"/>
          </w:tcPr>
          <w:p w14:paraId="77D96338" w14:textId="77777777" w:rsidR="00451FD6" w:rsidRPr="00F3357D" w:rsidRDefault="00451FD6" w:rsidP="003B4290">
            <w:pPr>
              <w:pStyle w:val="cuatexto"/>
              <w:jc w:val="right"/>
              <w:rPr>
                <w:rFonts w:cs="Calibri"/>
                <w:color w:val="000000"/>
                <w:szCs w:val="20"/>
              </w:rPr>
            </w:pPr>
            <w:r w:rsidRPr="00F3357D">
              <w:rPr>
                <w:rFonts w:cs="Calibri"/>
                <w:color w:val="000000"/>
                <w:szCs w:val="20"/>
              </w:rPr>
              <w:t>4.766.691</w:t>
            </w:r>
          </w:p>
        </w:tc>
        <w:tc>
          <w:tcPr>
            <w:tcW w:w="1093" w:type="pct"/>
            <w:tcBorders>
              <w:top w:val="single" w:sz="2" w:space="0" w:color="auto"/>
              <w:left w:val="nil"/>
              <w:bottom w:val="single" w:sz="2" w:space="0" w:color="auto"/>
              <w:right w:val="nil"/>
            </w:tcBorders>
            <w:vAlign w:val="center"/>
          </w:tcPr>
          <w:p w14:paraId="69C0655C" w14:textId="77777777" w:rsidR="00451FD6" w:rsidRPr="00F3357D" w:rsidRDefault="00451FD6" w:rsidP="003B4290">
            <w:pPr>
              <w:pStyle w:val="cuatexto"/>
              <w:jc w:val="right"/>
              <w:rPr>
                <w:szCs w:val="20"/>
              </w:rPr>
            </w:pPr>
            <w:r w:rsidRPr="00F3357D">
              <w:rPr>
                <w:szCs w:val="20"/>
              </w:rPr>
              <w:t>4.283.640</w:t>
            </w:r>
          </w:p>
        </w:tc>
      </w:tr>
      <w:tr w:rsidR="00451FD6" w14:paraId="66697118" w14:textId="77777777" w:rsidTr="00053346">
        <w:trPr>
          <w:trHeight w:val="255"/>
          <w:jc w:val="center"/>
        </w:trPr>
        <w:tc>
          <w:tcPr>
            <w:tcW w:w="2857" w:type="pct"/>
            <w:tcBorders>
              <w:top w:val="single" w:sz="2" w:space="0" w:color="auto"/>
              <w:left w:val="nil"/>
              <w:bottom w:val="single" w:sz="2" w:space="0" w:color="auto"/>
            </w:tcBorders>
            <w:vAlign w:val="center"/>
            <w:hideMark/>
          </w:tcPr>
          <w:p w14:paraId="58F4B936" w14:textId="77777777" w:rsidR="00451FD6" w:rsidRPr="00F3357D" w:rsidRDefault="00451FD6" w:rsidP="005E5C0D">
            <w:pPr>
              <w:pStyle w:val="cuatexto"/>
              <w:rPr>
                <w:b/>
                <w:snapToGrid w:val="0"/>
                <w:szCs w:val="20"/>
              </w:rPr>
            </w:pPr>
            <w:r w:rsidRPr="00F3357D">
              <w:rPr>
                <w:b/>
                <w:snapToGrid w:val="0"/>
                <w:szCs w:val="20"/>
              </w:rPr>
              <w:t>f) Gastos financieros y asimilables</w:t>
            </w:r>
          </w:p>
        </w:tc>
        <w:tc>
          <w:tcPr>
            <w:tcW w:w="1050" w:type="pct"/>
            <w:tcBorders>
              <w:top w:val="single" w:sz="2" w:space="0" w:color="auto"/>
              <w:bottom w:val="single" w:sz="2" w:space="0" w:color="auto"/>
            </w:tcBorders>
            <w:shd w:val="clear" w:color="auto" w:fill="auto"/>
            <w:vAlign w:val="center"/>
          </w:tcPr>
          <w:p w14:paraId="3F7243AE" w14:textId="77777777" w:rsidR="00451FD6" w:rsidRPr="00F3357D" w:rsidRDefault="00451FD6" w:rsidP="003B4290">
            <w:pPr>
              <w:pStyle w:val="cuatexto"/>
              <w:jc w:val="right"/>
              <w:rPr>
                <w:rFonts w:cs="Calibri"/>
                <w:b/>
                <w:bCs/>
                <w:color w:val="000000"/>
                <w:szCs w:val="20"/>
              </w:rPr>
            </w:pPr>
            <w:r w:rsidRPr="00F3357D">
              <w:rPr>
                <w:rFonts w:cs="Calibri"/>
                <w:b/>
                <w:bCs/>
                <w:color w:val="000000"/>
                <w:szCs w:val="20"/>
              </w:rPr>
              <w:t>43.993.882</w:t>
            </w:r>
          </w:p>
        </w:tc>
        <w:tc>
          <w:tcPr>
            <w:tcW w:w="1093" w:type="pct"/>
            <w:tcBorders>
              <w:top w:val="single" w:sz="2" w:space="0" w:color="auto"/>
              <w:left w:val="nil"/>
              <w:bottom w:val="single" w:sz="2" w:space="0" w:color="auto"/>
              <w:right w:val="nil"/>
            </w:tcBorders>
            <w:vAlign w:val="center"/>
          </w:tcPr>
          <w:p w14:paraId="1D9B35BE" w14:textId="77777777" w:rsidR="00451FD6" w:rsidRPr="00F3357D" w:rsidRDefault="00451FD6" w:rsidP="003B4290">
            <w:pPr>
              <w:pStyle w:val="cuatexto"/>
              <w:jc w:val="right"/>
              <w:rPr>
                <w:b/>
                <w:szCs w:val="20"/>
              </w:rPr>
            </w:pPr>
            <w:r w:rsidRPr="00F3357D">
              <w:rPr>
                <w:b/>
                <w:szCs w:val="20"/>
              </w:rPr>
              <w:t>41.914.137</w:t>
            </w:r>
          </w:p>
        </w:tc>
      </w:tr>
      <w:tr w:rsidR="00451FD6" w14:paraId="55A075DB" w14:textId="77777777" w:rsidTr="00053346">
        <w:trPr>
          <w:trHeight w:val="255"/>
          <w:jc w:val="center"/>
        </w:trPr>
        <w:tc>
          <w:tcPr>
            <w:tcW w:w="2857" w:type="pct"/>
            <w:tcBorders>
              <w:top w:val="single" w:sz="2" w:space="0" w:color="auto"/>
              <w:left w:val="nil"/>
              <w:bottom w:val="single" w:sz="2" w:space="0" w:color="auto"/>
            </w:tcBorders>
            <w:vAlign w:val="center"/>
            <w:hideMark/>
          </w:tcPr>
          <w:p w14:paraId="762492F6" w14:textId="77777777" w:rsidR="00451FD6" w:rsidRPr="00F3357D" w:rsidRDefault="00451FD6" w:rsidP="005E5C0D">
            <w:pPr>
              <w:pStyle w:val="cuatexto"/>
              <w:rPr>
                <w:snapToGrid w:val="0"/>
                <w:szCs w:val="20"/>
              </w:rPr>
            </w:pPr>
            <w:r w:rsidRPr="00F3357D">
              <w:rPr>
                <w:snapToGrid w:val="0"/>
                <w:szCs w:val="20"/>
              </w:rPr>
              <w:t xml:space="preserve">f.1) Por deudas </w:t>
            </w:r>
          </w:p>
        </w:tc>
        <w:tc>
          <w:tcPr>
            <w:tcW w:w="1050" w:type="pct"/>
            <w:tcBorders>
              <w:top w:val="single" w:sz="2" w:space="0" w:color="auto"/>
              <w:bottom w:val="single" w:sz="2" w:space="0" w:color="auto"/>
            </w:tcBorders>
            <w:shd w:val="clear" w:color="auto" w:fill="auto"/>
            <w:vAlign w:val="center"/>
          </w:tcPr>
          <w:p w14:paraId="7426E11F" w14:textId="77777777" w:rsidR="00451FD6" w:rsidRPr="00F3357D" w:rsidRDefault="00451FD6" w:rsidP="003B4290">
            <w:pPr>
              <w:pStyle w:val="cuatexto"/>
              <w:jc w:val="right"/>
              <w:rPr>
                <w:rFonts w:cs="Calibri"/>
                <w:color w:val="000000"/>
                <w:szCs w:val="20"/>
              </w:rPr>
            </w:pPr>
            <w:r w:rsidRPr="00F3357D">
              <w:rPr>
                <w:rFonts w:cs="Calibri"/>
                <w:color w:val="000000"/>
                <w:szCs w:val="20"/>
              </w:rPr>
              <w:t>43.993.882</w:t>
            </w:r>
          </w:p>
        </w:tc>
        <w:tc>
          <w:tcPr>
            <w:tcW w:w="1093" w:type="pct"/>
            <w:tcBorders>
              <w:top w:val="single" w:sz="2" w:space="0" w:color="auto"/>
              <w:left w:val="nil"/>
              <w:bottom w:val="single" w:sz="2" w:space="0" w:color="auto"/>
              <w:right w:val="nil"/>
            </w:tcBorders>
            <w:vAlign w:val="center"/>
          </w:tcPr>
          <w:p w14:paraId="129768E9" w14:textId="77777777" w:rsidR="00451FD6" w:rsidRPr="00F3357D" w:rsidRDefault="00451FD6" w:rsidP="003B4290">
            <w:pPr>
              <w:pStyle w:val="cuatexto"/>
              <w:jc w:val="right"/>
              <w:rPr>
                <w:szCs w:val="20"/>
              </w:rPr>
            </w:pPr>
            <w:r w:rsidRPr="00F3357D">
              <w:rPr>
                <w:szCs w:val="20"/>
              </w:rPr>
              <w:t>41.914.137</w:t>
            </w:r>
          </w:p>
        </w:tc>
      </w:tr>
      <w:tr w:rsidR="00451FD6" w14:paraId="3CAED27F" w14:textId="77777777" w:rsidTr="00053346">
        <w:trPr>
          <w:trHeight w:val="255"/>
          <w:jc w:val="center"/>
        </w:trPr>
        <w:tc>
          <w:tcPr>
            <w:tcW w:w="2857" w:type="pct"/>
            <w:tcBorders>
              <w:top w:val="single" w:sz="2" w:space="0" w:color="auto"/>
              <w:left w:val="nil"/>
              <w:bottom w:val="single" w:sz="2" w:space="0" w:color="auto"/>
            </w:tcBorders>
            <w:vAlign w:val="center"/>
            <w:hideMark/>
          </w:tcPr>
          <w:p w14:paraId="07D629C7" w14:textId="77777777" w:rsidR="00451FD6" w:rsidRPr="00F3357D" w:rsidRDefault="00451FD6" w:rsidP="005E5C0D">
            <w:pPr>
              <w:pStyle w:val="cuatexto"/>
              <w:rPr>
                <w:b/>
                <w:snapToGrid w:val="0"/>
                <w:szCs w:val="20"/>
              </w:rPr>
            </w:pPr>
            <w:r w:rsidRPr="00F3357D">
              <w:rPr>
                <w:b/>
                <w:snapToGrid w:val="0"/>
                <w:szCs w:val="20"/>
              </w:rPr>
              <w:t xml:space="preserve">g) Variación de las provisiones de inversiones financieras </w:t>
            </w:r>
          </w:p>
        </w:tc>
        <w:tc>
          <w:tcPr>
            <w:tcW w:w="1050" w:type="pct"/>
            <w:tcBorders>
              <w:top w:val="single" w:sz="2" w:space="0" w:color="auto"/>
              <w:bottom w:val="single" w:sz="2" w:space="0" w:color="auto"/>
            </w:tcBorders>
            <w:shd w:val="clear" w:color="auto" w:fill="auto"/>
            <w:vAlign w:val="center"/>
          </w:tcPr>
          <w:p w14:paraId="3E0D7B41" w14:textId="77777777" w:rsidR="00451FD6" w:rsidRPr="00F3357D" w:rsidRDefault="00451FD6" w:rsidP="003B4290">
            <w:pPr>
              <w:pStyle w:val="cuatexto"/>
              <w:jc w:val="right"/>
              <w:rPr>
                <w:rFonts w:cs="Calibri"/>
                <w:b/>
                <w:bCs/>
                <w:color w:val="000000"/>
                <w:szCs w:val="20"/>
              </w:rPr>
            </w:pPr>
            <w:r w:rsidRPr="00F3357D">
              <w:rPr>
                <w:rFonts w:cs="Calibri"/>
                <w:b/>
                <w:bCs/>
                <w:color w:val="000000"/>
                <w:szCs w:val="20"/>
              </w:rPr>
              <w:t>-</w:t>
            </w:r>
          </w:p>
        </w:tc>
        <w:tc>
          <w:tcPr>
            <w:tcW w:w="1093" w:type="pct"/>
            <w:tcBorders>
              <w:top w:val="single" w:sz="2" w:space="0" w:color="auto"/>
              <w:left w:val="nil"/>
              <w:bottom w:val="single" w:sz="2" w:space="0" w:color="auto"/>
              <w:right w:val="nil"/>
            </w:tcBorders>
            <w:vAlign w:val="center"/>
          </w:tcPr>
          <w:p w14:paraId="263E3CCA" w14:textId="77777777" w:rsidR="00451FD6" w:rsidRPr="00F3357D" w:rsidRDefault="00451FD6" w:rsidP="003B4290">
            <w:pPr>
              <w:pStyle w:val="cuatexto"/>
              <w:jc w:val="right"/>
              <w:rPr>
                <w:szCs w:val="20"/>
              </w:rPr>
            </w:pPr>
            <w:r w:rsidRPr="00F3357D">
              <w:rPr>
                <w:szCs w:val="20"/>
              </w:rPr>
              <w:t>-</w:t>
            </w:r>
          </w:p>
        </w:tc>
      </w:tr>
      <w:tr w:rsidR="00451FD6" w14:paraId="5C10A777" w14:textId="77777777" w:rsidTr="009B2DAA">
        <w:trPr>
          <w:trHeight w:val="255"/>
          <w:jc w:val="center"/>
        </w:trPr>
        <w:tc>
          <w:tcPr>
            <w:tcW w:w="2857" w:type="pct"/>
            <w:tcBorders>
              <w:top w:val="single" w:sz="2" w:space="0" w:color="auto"/>
              <w:left w:val="nil"/>
              <w:bottom w:val="single" w:sz="4" w:space="0" w:color="auto"/>
            </w:tcBorders>
            <w:vAlign w:val="center"/>
            <w:hideMark/>
          </w:tcPr>
          <w:p w14:paraId="19CE260F" w14:textId="77777777" w:rsidR="00451FD6" w:rsidRPr="00F3357D" w:rsidRDefault="00451FD6" w:rsidP="005E5C0D">
            <w:pPr>
              <w:pStyle w:val="cuatexto"/>
              <w:rPr>
                <w:b/>
                <w:snapToGrid w:val="0"/>
                <w:szCs w:val="20"/>
              </w:rPr>
            </w:pPr>
            <w:r w:rsidRPr="00F3357D">
              <w:rPr>
                <w:b/>
                <w:snapToGrid w:val="0"/>
                <w:szCs w:val="20"/>
              </w:rPr>
              <w:t>h) Amortización del inmovilizado</w:t>
            </w:r>
          </w:p>
        </w:tc>
        <w:tc>
          <w:tcPr>
            <w:tcW w:w="1050" w:type="pct"/>
            <w:tcBorders>
              <w:top w:val="single" w:sz="2" w:space="0" w:color="auto"/>
              <w:bottom w:val="single" w:sz="4" w:space="0" w:color="auto"/>
            </w:tcBorders>
            <w:shd w:val="clear" w:color="auto" w:fill="auto"/>
            <w:vAlign w:val="center"/>
          </w:tcPr>
          <w:p w14:paraId="1496D1B6" w14:textId="77777777" w:rsidR="00451FD6" w:rsidRPr="00F3357D" w:rsidRDefault="00451FD6" w:rsidP="003B4290">
            <w:pPr>
              <w:pStyle w:val="cuatexto"/>
              <w:jc w:val="right"/>
              <w:rPr>
                <w:rFonts w:cs="Calibri"/>
                <w:b/>
                <w:bCs/>
                <w:color w:val="000000"/>
                <w:szCs w:val="20"/>
              </w:rPr>
            </w:pPr>
            <w:r w:rsidRPr="00F3357D">
              <w:rPr>
                <w:rFonts w:cs="Calibri"/>
                <w:b/>
                <w:bCs/>
                <w:color w:val="000000"/>
                <w:szCs w:val="20"/>
              </w:rPr>
              <w:t>17.038.688</w:t>
            </w:r>
          </w:p>
        </w:tc>
        <w:tc>
          <w:tcPr>
            <w:tcW w:w="1093" w:type="pct"/>
            <w:tcBorders>
              <w:top w:val="single" w:sz="2" w:space="0" w:color="auto"/>
              <w:left w:val="nil"/>
              <w:bottom w:val="single" w:sz="4" w:space="0" w:color="auto"/>
              <w:right w:val="nil"/>
            </w:tcBorders>
            <w:vAlign w:val="center"/>
          </w:tcPr>
          <w:p w14:paraId="78F7F8CC" w14:textId="77777777" w:rsidR="00451FD6" w:rsidRPr="00F3357D" w:rsidRDefault="00451FD6" w:rsidP="003B4290">
            <w:pPr>
              <w:pStyle w:val="cuatexto"/>
              <w:jc w:val="right"/>
              <w:rPr>
                <w:szCs w:val="20"/>
              </w:rPr>
            </w:pPr>
            <w:r w:rsidRPr="00F3357D">
              <w:rPr>
                <w:szCs w:val="20"/>
              </w:rPr>
              <w:t>16.552.414</w:t>
            </w:r>
          </w:p>
        </w:tc>
      </w:tr>
      <w:tr w:rsidR="00451FD6" w14:paraId="77E1E230" w14:textId="77777777" w:rsidTr="009B2DAA">
        <w:trPr>
          <w:trHeight w:val="198"/>
          <w:jc w:val="center"/>
        </w:trPr>
        <w:tc>
          <w:tcPr>
            <w:tcW w:w="2857" w:type="pct"/>
            <w:tcBorders>
              <w:top w:val="single" w:sz="4" w:space="0" w:color="auto"/>
              <w:left w:val="nil"/>
              <w:bottom w:val="single" w:sz="4" w:space="0" w:color="auto"/>
            </w:tcBorders>
            <w:vAlign w:val="center"/>
            <w:hideMark/>
          </w:tcPr>
          <w:p w14:paraId="05F555BA" w14:textId="77777777" w:rsidR="00451FD6" w:rsidRPr="00F3357D" w:rsidRDefault="00451FD6" w:rsidP="005E5C0D">
            <w:pPr>
              <w:pStyle w:val="cuatexto"/>
              <w:rPr>
                <w:b/>
                <w:snapToGrid w:val="0"/>
                <w:szCs w:val="20"/>
              </w:rPr>
            </w:pPr>
            <w:r w:rsidRPr="00F3357D">
              <w:rPr>
                <w:b/>
                <w:snapToGrid w:val="0"/>
                <w:szCs w:val="20"/>
              </w:rPr>
              <w:t xml:space="preserve">4. Transferencias y subvenciones </w:t>
            </w:r>
          </w:p>
        </w:tc>
        <w:tc>
          <w:tcPr>
            <w:tcW w:w="1050" w:type="pct"/>
            <w:tcBorders>
              <w:top w:val="single" w:sz="4" w:space="0" w:color="auto"/>
              <w:bottom w:val="single" w:sz="4" w:space="0" w:color="auto"/>
            </w:tcBorders>
            <w:shd w:val="clear" w:color="auto" w:fill="auto"/>
            <w:vAlign w:val="center"/>
          </w:tcPr>
          <w:p w14:paraId="2FE67DB7" w14:textId="77777777" w:rsidR="00451FD6" w:rsidRPr="00F3357D" w:rsidRDefault="00451FD6" w:rsidP="003B4290">
            <w:pPr>
              <w:pStyle w:val="cuatexto"/>
              <w:jc w:val="right"/>
              <w:rPr>
                <w:rFonts w:cs="Calibri"/>
                <w:b/>
                <w:bCs/>
                <w:color w:val="000000"/>
                <w:szCs w:val="20"/>
              </w:rPr>
            </w:pPr>
            <w:r w:rsidRPr="00F3357D">
              <w:rPr>
                <w:rFonts w:cs="Calibri"/>
                <w:b/>
                <w:bCs/>
                <w:color w:val="000000"/>
                <w:szCs w:val="20"/>
              </w:rPr>
              <w:t>2.595.592.326</w:t>
            </w:r>
          </w:p>
        </w:tc>
        <w:tc>
          <w:tcPr>
            <w:tcW w:w="1093" w:type="pct"/>
            <w:tcBorders>
              <w:top w:val="single" w:sz="4" w:space="0" w:color="auto"/>
              <w:left w:val="nil"/>
              <w:bottom w:val="single" w:sz="4" w:space="0" w:color="auto"/>
              <w:right w:val="nil"/>
            </w:tcBorders>
            <w:vAlign w:val="center"/>
          </w:tcPr>
          <w:p w14:paraId="38719159" w14:textId="77777777" w:rsidR="00451FD6" w:rsidRPr="00F3357D" w:rsidRDefault="00451FD6" w:rsidP="003B4290">
            <w:pPr>
              <w:pStyle w:val="cuatexto"/>
              <w:jc w:val="right"/>
              <w:rPr>
                <w:b/>
                <w:szCs w:val="20"/>
              </w:rPr>
            </w:pPr>
            <w:r w:rsidRPr="00F3357D">
              <w:rPr>
                <w:b/>
                <w:szCs w:val="20"/>
              </w:rPr>
              <w:t>2.484.962.373</w:t>
            </w:r>
          </w:p>
        </w:tc>
      </w:tr>
      <w:tr w:rsidR="00451FD6" w14:paraId="65955B3B" w14:textId="77777777" w:rsidTr="009B2DAA">
        <w:trPr>
          <w:trHeight w:val="255"/>
          <w:jc w:val="center"/>
        </w:trPr>
        <w:tc>
          <w:tcPr>
            <w:tcW w:w="2857" w:type="pct"/>
            <w:tcBorders>
              <w:top w:val="single" w:sz="4" w:space="0" w:color="auto"/>
              <w:left w:val="nil"/>
              <w:bottom w:val="single" w:sz="2" w:space="0" w:color="auto"/>
            </w:tcBorders>
            <w:vAlign w:val="center"/>
            <w:hideMark/>
          </w:tcPr>
          <w:p w14:paraId="2FAF49FE" w14:textId="77777777" w:rsidR="00451FD6" w:rsidRPr="00F3357D" w:rsidRDefault="00451FD6" w:rsidP="005E5C0D">
            <w:pPr>
              <w:pStyle w:val="cuatexto"/>
              <w:rPr>
                <w:snapToGrid w:val="0"/>
                <w:szCs w:val="20"/>
              </w:rPr>
            </w:pPr>
            <w:r w:rsidRPr="00F3357D">
              <w:rPr>
                <w:snapToGrid w:val="0"/>
                <w:szCs w:val="20"/>
              </w:rPr>
              <w:t xml:space="preserve">a) Transferencias corrientes </w:t>
            </w:r>
          </w:p>
        </w:tc>
        <w:tc>
          <w:tcPr>
            <w:tcW w:w="1050" w:type="pct"/>
            <w:tcBorders>
              <w:top w:val="single" w:sz="4" w:space="0" w:color="auto"/>
              <w:bottom w:val="single" w:sz="2" w:space="0" w:color="auto"/>
            </w:tcBorders>
            <w:shd w:val="clear" w:color="auto" w:fill="auto"/>
            <w:vAlign w:val="center"/>
          </w:tcPr>
          <w:p w14:paraId="72B6672B" w14:textId="77777777" w:rsidR="00451FD6" w:rsidRPr="00F3357D" w:rsidRDefault="00451FD6" w:rsidP="003B4290">
            <w:pPr>
              <w:pStyle w:val="cuatexto"/>
              <w:jc w:val="right"/>
              <w:rPr>
                <w:rFonts w:cs="Calibri"/>
                <w:color w:val="000000"/>
                <w:szCs w:val="20"/>
              </w:rPr>
            </w:pPr>
            <w:r w:rsidRPr="00F3357D">
              <w:rPr>
                <w:rFonts w:cs="Calibri"/>
                <w:color w:val="000000"/>
                <w:szCs w:val="20"/>
              </w:rPr>
              <w:t>2.334.775.883</w:t>
            </w:r>
          </w:p>
        </w:tc>
        <w:tc>
          <w:tcPr>
            <w:tcW w:w="1093" w:type="pct"/>
            <w:tcBorders>
              <w:top w:val="single" w:sz="4" w:space="0" w:color="auto"/>
              <w:left w:val="nil"/>
              <w:bottom w:val="single" w:sz="2" w:space="0" w:color="auto"/>
              <w:right w:val="nil"/>
            </w:tcBorders>
            <w:vAlign w:val="center"/>
          </w:tcPr>
          <w:p w14:paraId="5AA0CAEA" w14:textId="77777777" w:rsidR="00451FD6" w:rsidRPr="00F3357D" w:rsidRDefault="00451FD6" w:rsidP="003B4290">
            <w:pPr>
              <w:pStyle w:val="cuatexto"/>
              <w:jc w:val="right"/>
              <w:rPr>
                <w:szCs w:val="20"/>
              </w:rPr>
            </w:pPr>
            <w:r w:rsidRPr="00F3357D">
              <w:rPr>
                <w:szCs w:val="20"/>
              </w:rPr>
              <w:t>2.278.519.655</w:t>
            </w:r>
          </w:p>
        </w:tc>
      </w:tr>
      <w:tr w:rsidR="00451FD6" w14:paraId="7964E1B4" w14:textId="77777777" w:rsidTr="009B2DAA">
        <w:trPr>
          <w:trHeight w:val="255"/>
          <w:jc w:val="center"/>
        </w:trPr>
        <w:tc>
          <w:tcPr>
            <w:tcW w:w="2857" w:type="pct"/>
            <w:tcBorders>
              <w:top w:val="single" w:sz="2" w:space="0" w:color="auto"/>
              <w:left w:val="nil"/>
              <w:bottom w:val="single" w:sz="4" w:space="0" w:color="auto"/>
            </w:tcBorders>
            <w:vAlign w:val="center"/>
            <w:hideMark/>
          </w:tcPr>
          <w:p w14:paraId="2DD9D9AD" w14:textId="77777777" w:rsidR="00451FD6" w:rsidRPr="00F3357D" w:rsidRDefault="00451FD6" w:rsidP="005E5C0D">
            <w:pPr>
              <w:pStyle w:val="cuatexto"/>
              <w:rPr>
                <w:snapToGrid w:val="0"/>
                <w:szCs w:val="20"/>
              </w:rPr>
            </w:pPr>
            <w:r w:rsidRPr="00F3357D">
              <w:rPr>
                <w:snapToGrid w:val="0"/>
                <w:szCs w:val="20"/>
              </w:rPr>
              <w:t xml:space="preserve">c) Transferencias de capital </w:t>
            </w:r>
          </w:p>
        </w:tc>
        <w:tc>
          <w:tcPr>
            <w:tcW w:w="1050" w:type="pct"/>
            <w:tcBorders>
              <w:top w:val="single" w:sz="2" w:space="0" w:color="auto"/>
              <w:bottom w:val="single" w:sz="4" w:space="0" w:color="auto"/>
            </w:tcBorders>
            <w:shd w:val="clear" w:color="auto" w:fill="auto"/>
            <w:vAlign w:val="center"/>
          </w:tcPr>
          <w:p w14:paraId="19808343" w14:textId="77777777" w:rsidR="00451FD6" w:rsidRPr="00F3357D" w:rsidRDefault="00451FD6" w:rsidP="003B4290">
            <w:pPr>
              <w:pStyle w:val="cuatexto"/>
              <w:jc w:val="right"/>
              <w:rPr>
                <w:rFonts w:cs="Calibri"/>
                <w:color w:val="000000"/>
                <w:szCs w:val="20"/>
              </w:rPr>
            </w:pPr>
            <w:r w:rsidRPr="00F3357D">
              <w:rPr>
                <w:rFonts w:cs="Calibri"/>
                <w:color w:val="000000"/>
                <w:szCs w:val="20"/>
              </w:rPr>
              <w:t>260.816.443</w:t>
            </w:r>
          </w:p>
        </w:tc>
        <w:tc>
          <w:tcPr>
            <w:tcW w:w="1093" w:type="pct"/>
            <w:tcBorders>
              <w:top w:val="single" w:sz="2" w:space="0" w:color="auto"/>
              <w:left w:val="nil"/>
              <w:bottom w:val="single" w:sz="4" w:space="0" w:color="auto"/>
              <w:right w:val="nil"/>
            </w:tcBorders>
            <w:vAlign w:val="center"/>
          </w:tcPr>
          <w:p w14:paraId="72386AC4" w14:textId="77777777" w:rsidR="00451FD6" w:rsidRPr="00F3357D" w:rsidRDefault="00451FD6" w:rsidP="003B4290">
            <w:pPr>
              <w:pStyle w:val="cuatexto"/>
              <w:jc w:val="right"/>
              <w:rPr>
                <w:szCs w:val="20"/>
              </w:rPr>
            </w:pPr>
            <w:r w:rsidRPr="00F3357D">
              <w:rPr>
                <w:szCs w:val="20"/>
              </w:rPr>
              <w:t>206.442.718</w:t>
            </w:r>
          </w:p>
        </w:tc>
      </w:tr>
      <w:tr w:rsidR="00451FD6" w14:paraId="7F77442C" w14:textId="77777777" w:rsidTr="009B2DAA">
        <w:trPr>
          <w:trHeight w:val="198"/>
          <w:jc w:val="center"/>
        </w:trPr>
        <w:tc>
          <w:tcPr>
            <w:tcW w:w="2857" w:type="pct"/>
            <w:tcBorders>
              <w:top w:val="single" w:sz="4" w:space="0" w:color="auto"/>
              <w:left w:val="nil"/>
              <w:bottom w:val="single" w:sz="4" w:space="0" w:color="auto"/>
            </w:tcBorders>
            <w:vAlign w:val="center"/>
            <w:hideMark/>
          </w:tcPr>
          <w:p w14:paraId="2E33A403" w14:textId="77777777" w:rsidR="00451FD6" w:rsidRPr="00F3357D" w:rsidRDefault="00451FD6" w:rsidP="005E5C0D">
            <w:pPr>
              <w:pStyle w:val="cuatexto"/>
              <w:rPr>
                <w:b/>
                <w:snapToGrid w:val="0"/>
                <w:szCs w:val="20"/>
              </w:rPr>
            </w:pPr>
            <w:r w:rsidRPr="00F3357D">
              <w:rPr>
                <w:b/>
                <w:snapToGrid w:val="0"/>
                <w:szCs w:val="20"/>
              </w:rPr>
              <w:t xml:space="preserve">5. Pérdidas y gastos extraordinarios </w:t>
            </w:r>
          </w:p>
        </w:tc>
        <w:tc>
          <w:tcPr>
            <w:tcW w:w="1050" w:type="pct"/>
            <w:tcBorders>
              <w:top w:val="single" w:sz="4" w:space="0" w:color="auto"/>
              <w:bottom w:val="single" w:sz="4" w:space="0" w:color="auto"/>
            </w:tcBorders>
            <w:shd w:val="clear" w:color="auto" w:fill="auto"/>
            <w:vAlign w:val="center"/>
          </w:tcPr>
          <w:p w14:paraId="0E27D70B" w14:textId="77777777" w:rsidR="00451FD6" w:rsidRPr="00F3357D" w:rsidRDefault="00451FD6" w:rsidP="003B4290">
            <w:pPr>
              <w:pStyle w:val="cuatexto"/>
              <w:jc w:val="right"/>
              <w:rPr>
                <w:rFonts w:cs="Calibri"/>
                <w:b/>
                <w:bCs/>
                <w:color w:val="000000"/>
                <w:szCs w:val="20"/>
              </w:rPr>
            </w:pPr>
            <w:r w:rsidRPr="00F3357D">
              <w:rPr>
                <w:rFonts w:cs="Calibri"/>
                <w:b/>
                <w:bCs/>
                <w:color w:val="000000"/>
                <w:szCs w:val="20"/>
              </w:rPr>
              <w:t>48.768.018</w:t>
            </w:r>
          </w:p>
        </w:tc>
        <w:tc>
          <w:tcPr>
            <w:tcW w:w="1093" w:type="pct"/>
            <w:tcBorders>
              <w:top w:val="single" w:sz="4" w:space="0" w:color="auto"/>
              <w:left w:val="nil"/>
              <w:bottom w:val="single" w:sz="4" w:space="0" w:color="auto"/>
              <w:right w:val="nil"/>
            </w:tcBorders>
            <w:vAlign w:val="center"/>
          </w:tcPr>
          <w:p w14:paraId="29716D35" w14:textId="77777777" w:rsidR="00451FD6" w:rsidRPr="00F3357D" w:rsidRDefault="00451FD6" w:rsidP="003B4290">
            <w:pPr>
              <w:pStyle w:val="cuatexto"/>
              <w:jc w:val="right"/>
              <w:rPr>
                <w:b/>
                <w:szCs w:val="20"/>
              </w:rPr>
            </w:pPr>
            <w:r w:rsidRPr="00F3357D">
              <w:rPr>
                <w:b/>
                <w:szCs w:val="20"/>
              </w:rPr>
              <w:t>33.261.999</w:t>
            </w:r>
          </w:p>
        </w:tc>
      </w:tr>
      <w:tr w:rsidR="00451FD6" w14:paraId="016C4B1B" w14:textId="77777777" w:rsidTr="009B2DAA">
        <w:trPr>
          <w:trHeight w:val="255"/>
          <w:jc w:val="center"/>
        </w:trPr>
        <w:tc>
          <w:tcPr>
            <w:tcW w:w="2857" w:type="pct"/>
            <w:tcBorders>
              <w:top w:val="single" w:sz="4" w:space="0" w:color="auto"/>
              <w:left w:val="nil"/>
              <w:bottom w:val="single" w:sz="2" w:space="0" w:color="auto"/>
            </w:tcBorders>
            <w:vAlign w:val="center"/>
            <w:hideMark/>
          </w:tcPr>
          <w:p w14:paraId="1D7F357C" w14:textId="77777777" w:rsidR="00451FD6" w:rsidRPr="00F3357D" w:rsidRDefault="00451FD6" w:rsidP="005E5C0D">
            <w:pPr>
              <w:pStyle w:val="cuatexto"/>
              <w:rPr>
                <w:snapToGrid w:val="0"/>
                <w:szCs w:val="20"/>
              </w:rPr>
            </w:pPr>
            <w:r w:rsidRPr="00F3357D">
              <w:rPr>
                <w:snapToGrid w:val="0"/>
                <w:szCs w:val="20"/>
              </w:rPr>
              <w:t xml:space="preserve">c) Gastos extraordinarios </w:t>
            </w:r>
          </w:p>
        </w:tc>
        <w:tc>
          <w:tcPr>
            <w:tcW w:w="1050" w:type="pct"/>
            <w:tcBorders>
              <w:top w:val="single" w:sz="4" w:space="0" w:color="auto"/>
              <w:bottom w:val="single" w:sz="2" w:space="0" w:color="auto"/>
            </w:tcBorders>
            <w:shd w:val="clear" w:color="auto" w:fill="auto"/>
            <w:vAlign w:val="center"/>
          </w:tcPr>
          <w:p w14:paraId="3433A64C" w14:textId="77777777" w:rsidR="00451FD6" w:rsidRPr="00F3357D" w:rsidRDefault="00451FD6" w:rsidP="003B4290">
            <w:pPr>
              <w:pStyle w:val="cuatexto"/>
              <w:jc w:val="right"/>
              <w:rPr>
                <w:rFonts w:cs="Calibri"/>
                <w:color w:val="000000"/>
                <w:szCs w:val="20"/>
              </w:rPr>
            </w:pPr>
            <w:r w:rsidRPr="00F3357D">
              <w:rPr>
                <w:rFonts w:cs="Calibri"/>
                <w:color w:val="000000"/>
                <w:szCs w:val="20"/>
              </w:rPr>
              <w:t>721.100</w:t>
            </w:r>
          </w:p>
        </w:tc>
        <w:tc>
          <w:tcPr>
            <w:tcW w:w="1093" w:type="pct"/>
            <w:tcBorders>
              <w:top w:val="single" w:sz="4" w:space="0" w:color="auto"/>
              <w:left w:val="nil"/>
              <w:bottom w:val="single" w:sz="2" w:space="0" w:color="auto"/>
              <w:right w:val="nil"/>
            </w:tcBorders>
            <w:vAlign w:val="center"/>
          </w:tcPr>
          <w:p w14:paraId="3C7F79B1" w14:textId="77777777" w:rsidR="00451FD6" w:rsidRPr="00F3357D" w:rsidRDefault="00451FD6" w:rsidP="003B4290">
            <w:pPr>
              <w:pStyle w:val="cuatexto"/>
              <w:jc w:val="right"/>
              <w:rPr>
                <w:szCs w:val="20"/>
              </w:rPr>
            </w:pPr>
            <w:r w:rsidRPr="00F3357D">
              <w:rPr>
                <w:szCs w:val="20"/>
              </w:rPr>
              <w:t>3.285.636</w:t>
            </w:r>
          </w:p>
        </w:tc>
      </w:tr>
      <w:tr w:rsidR="00451FD6" w14:paraId="000FCDD5" w14:textId="77777777" w:rsidTr="009B2DAA">
        <w:trPr>
          <w:trHeight w:val="255"/>
          <w:jc w:val="center"/>
        </w:trPr>
        <w:tc>
          <w:tcPr>
            <w:tcW w:w="2857" w:type="pct"/>
            <w:tcBorders>
              <w:top w:val="single" w:sz="2" w:space="0" w:color="auto"/>
              <w:left w:val="nil"/>
              <w:bottom w:val="single" w:sz="4" w:space="0" w:color="auto"/>
            </w:tcBorders>
            <w:vAlign w:val="center"/>
            <w:hideMark/>
          </w:tcPr>
          <w:p w14:paraId="3289E915" w14:textId="77777777" w:rsidR="00451FD6" w:rsidRPr="00F3357D" w:rsidRDefault="00451FD6" w:rsidP="005E5C0D">
            <w:pPr>
              <w:pStyle w:val="cuatexto"/>
              <w:rPr>
                <w:snapToGrid w:val="0"/>
                <w:szCs w:val="20"/>
              </w:rPr>
            </w:pPr>
            <w:r w:rsidRPr="00F3357D">
              <w:rPr>
                <w:snapToGrid w:val="0"/>
                <w:szCs w:val="20"/>
              </w:rPr>
              <w:t>d) Gastos y pérdidas de otros ejercicios</w:t>
            </w:r>
          </w:p>
        </w:tc>
        <w:tc>
          <w:tcPr>
            <w:tcW w:w="1050" w:type="pct"/>
            <w:tcBorders>
              <w:top w:val="single" w:sz="2" w:space="0" w:color="auto"/>
              <w:bottom w:val="single" w:sz="4" w:space="0" w:color="auto"/>
            </w:tcBorders>
            <w:shd w:val="clear" w:color="auto" w:fill="auto"/>
            <w:vAlign w:val="center"/>
          </w:tcPr>
          <w:p w14:paraId="6FBF8CCA" w14:textId="77777777" w:rsidR="00451FD6" w:rsidRPr="00F3357D" w:rsidRDefault="00451FD6" w:rsidP="003B4290">
            <w:pPr>
              <w:pStyle w:val="cuatexto"/>
              <w:jc w:val="right"/>
              <w:rPr>
                <w:rFonts w:cs="Calibri"/>
                <w:color w:val="000000"/>
                <w:szCs w:val="20"/>
              </w:rPr>
            </w:pPr>
            <w:r w:rsidRPr="00F3357D">
              <w:rPr>
                <w:rFonts w:cs="Calibri"/>
                <w:color w:val="000000"/>
                <w:szCs w:val="20"/>
              </w:rPr>
              <w:t>48.046.919</w:t>
            </w:r>
          </w:p>
        </w:tc>
        <w:tc>
          <w:tcPr>
            <w:tcW w:w="1093" w:type="pct"/>
            <w:tcBorders>
              <w:top w:val="single" w:sz="2" w:space="0" w:color="auto"/>
              <w:left w:val="nil"/>
              <w:bottom w:val="single" w:sz="4" w:space="0" w:color="auto"/>
              <w:right w:val="nil"/>
            </w:tcBorders>
            <w:vAlign w:val="center"/>
          </w:tcPr>
          <w:p w14:paraId="228915A3" w14:textId="77777777" w:rsidR="00451FD6" w:rsidRPr="00F3357D" w:rsidRDefault="00451FD6" w:rsidP="003B4290">
            <w:pPr>
              <w:pStyle w:val="cuatexto"/>
              <w:jc w:val="right"/>
              <w:rPr>
                <w:szCs w:val="20"/>
              </w:rPr>
            </w:pPr>
            <w:r w:rsidRPr="00F3357D">
              <w:rPr>
                <w:szCs w:val="20"/>
              </w:rPr>
              <w:t>29.976.363</w:t>
            </w:r>
          </w:p>
        </w:tc>
      </w:tr>
      <w:tr w:rsidR="00451FD6" w14:paraId="5E95F950" w14:textId="77777777" w:rsidTr="009B2DAA">
        <w:trPr>
          <w:trHeight w:val="198"/>
          <w:jc w:val="center"/>
        </w:trPr>
        <w:tc>
          <w:tcPr>
            <w:tcW w:w="2857" w:type="pct"/>
            <w:tcBorders>
              <w:top w:val="single" w:sz="4" w:space="0" w:color="auto"/>
              <w:left w:val="nil"/>
              <w:bottom w:val="single" w:sz="4" w:space="0" w:color="auto"/>
            </w:tcBorders>
            <w:vAlign w:val="center"/>
            <w:hideMark/>
          </w:tcPr>
          <w:p w14:paraId="79582005" w14:textId="77777777" w:rsidR="00451FD6" w:rsidRPr="00F3357D" w:rsidRDefault="00451FD6" w:rsidP="005E5C0D">
            <w:pPr>
              <w:pStyle w:val="cuatexto"/>
              <w:rPr>
                <w:b/>
                <w:snapToGrid w:val="0"/>
                <w:szCs w:val="20"/>
              </w:rPr>
            </w:pPr>
            <w:r w:rsidRPr="00F3357D">
              <w:rPr>
                <w:b/>
                <w:snapToGrid w:val="0"/>
                <w:szCs w:val="20"/>
              </w:rPr>
              <w:t>Saldo Acreedor (Ahorro)</w:t>
            </w:r>
          </w:p>
        </w:tc>
        <w:tc>
          <w:tcPr>
            <w:tcW w:w="1050" w:type="pct"/>
            <w:tcBorders>
              <w:top w:val="single" w:sz="4" w:space="0" w:color="auto"/>
              <w:bottom w:val="single" w:sz="4" w:space="0" w:color="auto"/>
            </w:tcBorders>
            <w:shd w:val="clear" w:color="auto" w:fill="auto"/>
            <w:vAlign w:val="center"/>
          </w:tcPr>
          <w:p w14:paraId="44D15023" w14:textId="77777777" w:rsidR="00451FD6" w:rsidRPr="00F3357D" w:rsidRDefault="00451FD6" w:rsidP="003B4290">
            <w:pPr>
              <w:pStyle w:val="cuatexto"/>
              <w:jc w:val="right"/>
              <w:rPr>
                <w:rFonts w:cs="Calibri"/>
                <w:b/>
                <w:bCs/>
                <w:color w:val="000000"/>
                <w:szCs w:val="20"/>
              </w:rPr>
            </w:pPr>
            <w:r w:rsidRPr="00F3357D">
              <w:rPr>
                <w:rFonts w:cs="Calibri"/>
                <w:b/>
                <w:bCs/>
                <w:color w:val="000000"/>
                <w:szCs w:val="20"/>
              </w:rPr>
              <w:t>510.868.767</w:t>
            </w:r>
          </w:p>
        </w:tc>
        <w:tc>
          <w:tcPr>
            <w:tcW w:w="1093" w:type="pct"/>
            <w:tcBorders>
              <w:top w:val="single" w:sz="4" w:space="0" w:color="auto"/>
              <w:left w:val="nil"/>
              <w:bottom w:val="single" w:sz="4" w:space="0" w:color="auto"/>
              <w:right w:val="nil"/>
            </w:tcBorders>
            <w:vAlign w:val="center"/>
          </w:tcPr>
          <w:p w14:paraId="2CFC1A9E" w14:textId="77777777" w:rsidR="00451FD6" w:rsidRPr="00F3357D" w:rsidRDefault="00451FD6" w:rsidP="003B4290">
            <w:pPr>
              <w:pStyle w:val="cuatexto"/>
              <w:jc w:val="right"/>
              <w:rPr>
                <w:b/>
                <w:szCs w:val="20"/>
              </w:rPr>
            </w:pPr>
            <w:r w:rsidRPr="00F3357D">
              <w:rPr>
                <w:b/>
                <w:szCs w:val="20"/>
              </w:rPr>
              <w:t>473.892.739</w:t>
            </w:r>
          </w:p>
        </w:tc>
      </w:tr>
      <w:tr w:rsidR="00451FD6" w14:paraId="34CD2BDE" w14:textId="77777777" w:rsidTr="00053346">
        <w:trPr>
          <w:trHeight w:hRule="exact" w:val="255"/>
          <w:jc w:val="center"/>
        </w:trPr>
        <w:tc>
          <w:tcPr>
            <w:tcW w:w="2857" w:type="pct"/>
            <w:tcBorders>
              <w:top w:val="single" w:sz="4" w:space="0" w:color="auto"/>
              <w:left w:val="nil"/>
              <w:bottom w:val="single" w:sz="4" w:space="0" w:color="auto"/>
            </w:tcBorders>
            <w:shd w:val="clear" w:color="auto" w:fill="8DB3E2"/>
            <w:vAlign w:val="center"/>
            <w:hideMark/>
          </w:tcPr>
          <w:p w14:paraId="3A8A4AB4" w14:textId="77777777" w:rsidR="00451FD6" w:rsidRDefault="00451FD6" w:rsidP="005E5C0D">
            <w:pPr>
              <w:pStyle w:val="cuadroCabe"/>
              <w:rPr>
                <w:snapToGrid w:val="0"/>
              </w:rPr>
            </w:pPr>
            <w:r>
              <w:rPr>
                <w:snapToGrid w:val="0"/>
              </w:rPr>
              <w:t>Total Debe</w:t>
            </w:r>
          </w:p>
        </w:tc>
        <w:tc>
          <w:tcPr>
            <w:tcW w:w="1050" w:type="pct"/>
            <w:tcBorders>
              <w:top w:val="single" w:sz="4" w:space="0" w:color="auto"/>
              <w:bottom w:val="single" w:sz="4" w:space="0" w:color="auto"/>
            </w:tcBorders>
            <w:shd w:val="clear" w:color="auto" w:fill="8DB3E2"/>
            <w:vAlign w:val="center"/>
          </w:tcPr>
          <w:p w14:paraId="6660B0A8" w14:textId="77777777" w:rsidR="00451FD6" w:rsidRDefault="00451FD6" w:rsidP="002B4FF0">
            <w:pPr>
              <w:pStyle w:val="cuadroCabe"/>
              <w:jc w:val="right"/>
              <w:rPr>
                <w:snapToGrid w:val="0"/>
              </w:rPr>
            </w:pPr>
            <w:r>
              <w:rPr>
                <w:snapToGrid w:val="0"/>
              </w:rPr>
              <w:t>5.855.495.582</w:t>
            </w:r>
          </w:p>
        </w:tc>
        <w:tc>
          <w:tcPr>
            <w:tcW w:w="1093" w:type="pct"/>
            <w:tcBorders>
              <w:top w:val="single" w:sz="4" w:space="0" w:color="auto"/>
              <w:left w:val="nil"/>
              <w:bottom w:val="single" w:sz="4" w:space="0" w:color="auto"/>
              <w:right w:val="nil"/>
            </w:tcBorders>
            <w:shd w:val="clear" w:color="auto" w:fill="8DB3E2"/>
            <w:vAlign w:val="center"/>
          </w:tcPr>
          <w:p w14:paraId="266611FF" w14:textId="77777777" w:rsidR="00451FD6" w:rsidRDefault="00451FD6" w:rsidP="002B4FF0">
            <w:pPr>
              <w:pStyle w:val="cuadroCabe"/>
              <w:jc w:val="right"/>
              <w:rPr>
                <w:snapToGrid w:val="0"/>
              </w:rPr>
            </w:pPr>
            <w:r>
              <w:rPr>
                <w:snapToGrid w:val="0"/>
              </w:rPr>
              <w:t>5.504.266.175</w:t>
            </w:r>
          </w:p>
        </w:tc>
      </w:tr>
    </w:tbl>
    <w:p w14:paraId="3E18C162" w14:textId="77777777" w:rsidR="00451FD6" w:rsidRDefault="00451FD6" w:rsidP="00614DC4">
      <w:pPr>
        <w:tabs>
          <w:tab w:val="center" w:pos="2835"/>
          <w:tab w:val="center" w:pos="3969"/>
          <w:tab w:val="center" w:pos="5103"/>
          <w:tab w:val="center" w:pos="6237"/>
          <w:tab w:val="center" w:pos="7371"/>
        </w:tabs>
        <w:spacing w:before="120"/>
        <w:ind w:firstLine="284"/>
        <w:rPr>
          <w:rFonts w:ascii="Arial Narrow" w:hAnsi="Arial Narrow"/>
          <w:spacing w:val="6"/>
          <w:sz w:val="18"/>
          <w:szCs w:val="18"/>
        </w:rPr>
      </w:pPr>
    </w:p>
    <w:p w14:paraId="56BFAF5B" w14:textId="77777777" w:rsidR="00E90AE9" w:rsidRDefault="00E90AE9">
      <w:pPr>
        <w:rPr>
          <w:rFonts w:ascii="Arial Narrow" w:hAnsi="Arial Narrow"/>
          <w:spacing w:val="6"/>
          <w:sz w:val="18"/>
          <w:szCs w:val="18"/>
        </w:rPr>
      </w:pPr>
      <w:r>
        <w:rPr>
          <w:rFonts w:ascii="Arial Narrow" w:hAnsi="Arial Narrow"/>
          <w:spacing w:val="6"/>
          <w:sz w:val="18"/>
          <w:szCs w:val="18"/>
        </w:rPr>
        <w:br w:type="page"/>
      </w:r>
    </w:p>
    <w:tbl>
      <w:tblPr>
        <w:tblW w:w="5002"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679"/>
        <w:gridCol w:w="2058"/>
        <w:gridCol w:w="2056"/>
      </w:tblGrid>
      <w:tr w:rsidR="00286F49" w:rsidRPr="00286F49" w14:paraId="4226C4DD" w14:textId="77777777" w:rsidTr="00C97700">
        <w:trPr>
          <w:trHeight w:val="283"/>
          <w:jc w:val="center"/>
        </w:trPr>
        <w:tc>
          <w:tcPr>
            <w:tcW w:w="2661" w:type="pct"/>
            <w:tcBorders>
              <w:top w:val="single" w:sz="4" w:space="0" w:color="auto"/>
              <w:left w:val="nil"/>
              <w:bottom w:val="single" w:sz="4" w:space="0" w:color="auto"/>
              <w:right w:val="nil"/>
            </w:tcBorders>
            <w:shd w:val="clear" w:color="auto" w:fill="8DB3E2"/>
            <w:vAlign w:val="center"/>
            <w:hideMark/>
          </w:tcPr>
          <w:p w14:paraId="12B71F56" w14:textId="77777777" w:rsidR="00286F49" w:rsidRPr="00286F49" w:rsidRDefault="00286F49" w:rsidP="005E5C0D">
            <w:pPr>
              <w:pStyle w:val="cuadroCabe"/>
              <w:rPr>
                <w:snapToGrid w:val="0"/>
                <w:lang w:val="es-ES_tradnl"/>
              </w:rPr>
            </w:pPr>
            <w:r w:rsidRPr="00286F49">
              <w:rPr>
                <w:lang w:val="es-ES_tradnl"/>
              </w:rPr>
              <w:lastRenderedPageBreak/>
              <w:br w:type="page"/>
            </w:r>
            <w:r w:rsidRPr="00286F49">
              <w:rPr>
                <w:snapToGrid w:val="0"/>
                <w:lang w:val="es-ES_tradnl"/>
              </w:rPr>
              <w:t>Haber</w:t>
            </w:r>
          </w:p>
        </w:tc>
        <w:tc>
          <w:tcPr>
            <w:tcW w:w="1170" w:type="pct"/>
            <w:tcBorders>
              <w:top w:val="single" w:sz="4" w:space="0" w:color="auto"/>
              <w:left w:val="nil"/>
              <w:bottom w:val="single" w:sz="4" w:space="0" w:color="auto"/>
              <w:right w:val="nil"/>
            </w:tcBorders>
            <w:shd w:val="clear" w:color="auto" w:fill="8DB3E2"/>
            <w:vAlign w:val="center"/>
            <w:hideMark/>
          </w:tcPr>
          <w:p w14:paraId="1639E197" w14:textId="77777777" w:rsidR="00286F49" w:rsidRPr="00286F49" w:rsidRDefault="00286F49" w:rsidP="003B4290">
            <w:pPr>
              <w:pStyle w:val="cuadroCabe"/>
              <w:jc w:val="right"/>
              <w:rPr>
                <w:snapToGrid w:val="0"/>
                <w:lang w:val="es-ES_tradnl"/>
              </w:rPr>
            </w:pPr>
            <w:r w:rsidRPr="00286F49">
              <w:rPr>
                <w:snapToGrid w:val="0"/>
                <w:lang w:val="es-ES_tradnl"/>
              </w:rPr>
              <w:t>Ejercicio 202</w:t>
            </w:r>
            <w:r>
              <w:rPr>
                <w:snapToGrid w:val="0"/>
                <w:lang w:val="es-ES_tradnl"/>
              </w:rPr>
              <w:t>3</w:t>
            </w:r>
          </w:p>
        </w:tc>
        <w:tc>
          <w:tcPr>
            <w:tcW w:w="1170" w:type="pct"/>
            <w:tcBorders>
              <w:top w:val="single" w:sz="4" w:space="0" w:color="auto"/>
              <w:left w:val="nil"/>
              <w:bottom w:val="single" w:sz="4" w:space="0" w:color="auto"/>
              <w:right w:val="nil"/>
            </w:tcBorders>
            <w:shd w:val="clear" w:color="auto" w:fill="8DB3E2"/>
            <w:vAlign w:val="center"/>
            <w:hideMark/>
          </w:tcPr>
          <w:p w14:paraId="45900BF0" w14:textId="77777777" w:rsidR="00286F49" w:rsidRPr="00286F49" w:rsidRDefault="00286F49" w:rsidP="003B4290">
            <w:pPr>
              <w:pStyle w:val="cuadroCabe"/>
              <w:jc w:val="right"/>
              <w:rPr>
                <w:snapToGrid w:val="0"/>
                <w:lang w:val="es-ES_tradnl"/>
              </w:rPr>
            </w:pPr>
            <w:r w:rsidRPr="00286F49">
              <w:rPr>
                <w:snapToGrid w:val="0"/>
                <w:lang w:val="es-ES_tradnl"/>
              </w:rPr>
              <w:t>Ejercicio 202</w:t>
            </w:r>
            <w:r>
              <w:rPr>
                <w:snapToGrid w:val="0"/>
                <w:lang w:val="es-ES_tradnl"/>
              </w:rPr>
              <w:t>2</w:t>
            </w:r>
          </w:p>
        </w:tc>
      </w:tr>
      <w:tr w:rsidR="00286F49" w:rsidRPr="003B4290" w14:paraId="10799B6F" w14:textId="77777777" w:rsidTr="009B2DAA">
        <w:trPr>
          <w:trHeight w:val="198"/>
          <w:jc w:val="center"/>
        </w:trPr>
        <w:tc>
          <w:tcPr>
            <w:tcW w:w="2661" w:type="pct"/>
            <w:tcBorders>
              <w:top w:val="single" w:sz="4" w:space="0" w:color="auto"/>
              <w:left w:val="nil"/>
              <w:bottom w:val="single" w:sz="4" w:space="0" w:color="auto"/>
              <w:right w:val="nil"/>
            </w:tcBorders>
            <w:vAlign w:val="center"/>
            <w:hideMark/>
          </w:tcPr>
          <w:p w14:paraId="645B217C" w14:textId="77777777" w:rsidR="00286F49" w:rsidRPr="00C97700" w:rsidRDefault="00286F49" w:rsidP="003B4290">
            <w:pPr>
              <w:pStyle w:val="cuatexto"/>
              <w:rPr>
                <w:snapToGrid w:val="0"/>
                <w:szCs w:val="20"/>
              </w:rPr>
            </w:pPr>
            <w:r w:rsidRPr="00C97700">
              <w:rPr>
                <w:snapToGrid w:val="0"/>
                <w:szCs w:val="20"/>
              </w:rPr>
              <w:t>B) Ingresos</w:t>
            </w:r>
          </w:p>
        </w:tc>
        <w:tc>
          <w:tcPr>
            <w:tcW w:w="1170" w:type="pct"/>
            <w:tcBorders>
              <w:top w:val="single" w:sz="4" w:space="0" w:color="auto"/>
              <w:left w:val="nil"/>
              <w:bottom w:val="single" w:sz="4" w:space="0" w:color="auto"/>
              <w:right w:val="nil"/>
            </w:tcBorders>
            <w:vAlign w:val="center"/>
          </w:tcPr>
          <w:p w14:paraId="17206BAA" w14:textId="77777777" w:rsidR="00286F49" w:rsidRPr="00C97700" w:rsidRDefault="00286F49" w:rsidP="003B4290">
            <w:pPr>
              <w:pStyle w:val="cuatexto"/>
              <w:jc w:val="right"/>
              <w:rPr>
                <w:snapToGrid w:val="0"/>
                <w:szCs w:val="20"/>
              </w:rPr>
            </w:pPr>
          </w:p>
        </w:tc>
        <w:tc>
          <w:tcPr>
            <w:tcW w:w="1170" w:type="pct"/>
            <w:tcBorders>
              <w:top w:val="single" w:sz="4" w:space="0" w:color="auto"/>
              <w:left w:val="nil"/>
              <w:bottom w:val="single" w:sz="4" w:space="0" w:color="auto"/>
              <w:right w:val="nil"/>
            </w:tcBorders>
            <w:vAlign w:val="center"/>
          </w:tcPr>
          <w:p w14:paraId="51CF1586" w14:textId="77777777" w:rsidR="00286F49" w:rsidRPr="00C97700" w:rsidRDefault="00286F49" w:rsidP="003B4290">
            <w:pPr>
              <w:pStyle w:val="cuatexto"/>
              <w:jc w:val="right"/>
              <w:rPr>
                <w:snapToGrid w:val="0"/>
                <w:szCs w:val="20"/>
              </w:rPr>
            </w:pPr>
          </w:p>
        </w:tc>
      </w:tr>
      <w:tr w:rsidR="00286F49" w:rsidRPr="00483A21" w14:paraId="4556C0F3" w14:textId="77777777" w:rsidTr="009B2DAA">
        <w:trPr>
          <w:trHeight w:val="198"/>
          <w:jc w:val="center"/>
        </w:trPr>
        <w:tc>
          <w:tcPr>
            <w:tcW w:w="2661" w:type="pct"/>
            <w:tcBorders>
              <w:top w:val="single" w:sz="4" w:space="0" w:color="auto"/>
              <w:left w:val="nil"/>
              <w:bottom w:val="single" w:sz="4" w:space="0" w:color="auto"/>
              <w:right w:val="nil"/>
            </w:tcBorders>
            <w:vAlign w:val="center"/>
            <w:hideMark/>
          </w:tcPr>
          <w:p w14:paraId="244CBE6D" w14:textId="77777777" w:rsidR="00286F49" w:rsidRPr="00C97700" w:rsidRDefault="00286F49" w:rsidP="003B4290">
            <w:pPr>
              <w:pStyle w:val="cuatexto"/>
              <w:rPr>
                <w:b/>
                <w:snapToGrid w:val="0"/>
                <w:szCs w:val="20"/>
              </w:rPr>
            </w:pPr>
            <w:r w:rsidRPr="00C97700">
              <w:rPr>
                <w:b/>
                <w:snapToGrid w:val="0"/>
                <w:szCs w:val="20"/>
              </w:rPr>
              <w:t>1. Ingresos de gestión ordinaria</w:t>
            </w:r>
          </w:p>
        </w:tc>
        <w:tc>
          <w:tcPr>
            <w:tcW w:w="1170" w:type="pct"/>
            <w:tcBorders>
              <w:top w:val="single" w:sz="4" w:space="0" w:color="auto"/>
              <w:left w:val="nil"/>
              <w:bottom w:val="single" w:sz="4" w:space="0" w:color="auto"/>
              <w:right w:val="nil"/>
            </w:tcBorders>
            <w:shd w:val="clear" w:color="auto" w:fill="auto"/>
            <w:vAlign w:val="center"/>
          </w:tcPr>
          <w:p w14:paraId="2F3231EB" w14:textId="77777777" w:rsidR="00286F49" w:rsidRPr="00C97700" w:rsidRDefault="00286F49" w:rsidP="003B4290">
            <w:pPr>
              <w:pStyle w:val="cuatexto"/>
              <w:jc w:val="right"/>
              <w:rPr>
                <w:b/>
                <w:snapToGrid w:val="0"/>
                <w:szCs w:val="20"/>
              </w:rPr>
            </w:pPr>
            <w:r w:rsidRPr="00C97700">
              <w:rPr>
                <w:b/>
                <w:snapToGrid w:val="0"/>
                <w:szCs w:val="20"/>
              </w:rPr>
              <w:t>5.176.539.966</w:t>
            </w:r>
          </w:p>
        </w:tc>
        <w:tc>
          <w:tcPr>
            <w:tcW w:w="1170" w:type="pct"/>
            <w:tcBorders>
              <w:top w:val="single" w:sz="4" w:space="0" w:color="auto"/>
              <w:left w:val="nil"/>
              <w:bottom w:val="single" w:sz="4" w:space="0" w:color="auto"/>
              <w:right w:val="nil"/>
            </w:tcBorders>
            <w:vAlign w:val="center"/>
          </w:tcPr>
          <w:p w14:paraId="33B1C170" w14:textId="77777777" w:rsidR="00286F49" w:rsidRPr="00C97700" w:rsidRDefault="00286F49" w:rsidP="003B4290">
            <w:pPr>
              <w:pStyle w:val="cuatexto"/>
              <w:jc w:val="right"/>
              <w:rPr>
                <w:b/>
                <w:snapToGrid w:val="0"/>
                <w:szCs w:val="20"/>
              </w:rPr>
            </w:pPr>
            <w:r w:rsidRPr="00C97700">
              <w:rPr>
                <w:b/>
                <w:snapToGrid w:val="0"/>
                <w:szCs w:val="20"/>
              </w:rPr>
              <w:t>4.941.370.536</w:t>
            </w:r>
          </w:p>
        </w:tc>
      </w:tr>
      <w:tr w:rsidR="00286F49" w:rsidRPr="003B4290" w14:paraId="7D85F8EC" w14:textId="77777777" w:rsidTr="009B2DAA">
        <w:trPr>
          <w:trHeight w:val="198"/>
          <w:jc w:val="center"/>
        </w:trPr>
        <w:tc>
          <w:tcPr>
            <w:tcW w:w="2661" w:type="pct"/>
            <w:tcBorders>
              <w:top w:val="single" w:sz="4" w:space="0" w:color="auto"/>
              <w:left w:val="nil"/>
              <w:bottom w:val="single" w:sz="2" w:space="0" w:color="auto"/>
              <w:right w:val="nil"/>
            </w:tcBorders>
            <w:vAlign w:val="center"/>
            <w:hideMark/>
          </w:tcPr>
          <w:p w14:paraId="2C350D42" w14:textId="77777777" w:rsidR="00286F49" w:rsidRPr="00C97700" w:rsidRDefault="00286F49" w:rsidP="003B4290">
            <w:pPr>
              <w:pStyle w:val="cuatexto"/>
              <w:rPr>
                <w:snapToGrid w:val="0"/>
                <w:szCs w:val="20"/>
              </w:rPr>
            </w:pPr>
            <w:r w:rsidRPr="00C97700">
              <w:rPr>
                <w:snapToGrid w:val="0"/>
                <w:szCs w:val="20"/>
              </w:rPr>
              <w:t xml:space="preserve">a) Ingresos tributarios </w:t>
            </w:r>
          </w:p>
        </w:tc>
        <w:tc>
          <w:tcPr>
            <w:tcW w:w="1170" w:type="pct"/>
            <w:tcBorders>
              <w:top w:val="single" w:sz="4" w:space="0" w:color="auto"/>
              <w:left w:val="nil"/>
              <w:bottom w:val="single" w:sz="2" w:space="0" w:color="auto"/>
              <w:right w:val="nil"/>
            </w:tcBorders>
            <w:shd w:val="clear" w:color="auto" w:fill="auto"/>
            <w:vAlign w:val="center"/>
          </w:tcPr>
          <w:p w14:paraId="0A4A74CC" w14:textId="77777777" w:rsidR="00286F49" w:rsidRPr="00C97700" w:rsidRDefault="00286F49" w:rsidP="003B4290">
            <w:pPr>
              <w:pStyle w:val="cuatexto"/>
              <w:jc w:val="right"/>
              <w:rPr>
                <w:snapToGrid w:val="0"/>
                <w:szCs w:val="20"/>
              </w:rPr>
            </w:pPr>
            <w:r w:rsidRPr="00C97700">
              <w:rPr>
                <w:snapToGrid w:val="0"/>
                <w:szCs w:val="20"/>
              </w:rPr>
              <w:t>5.162.117.981</w:t>
            </w:r>
          </w:p>
        </w:tc>
        <w:tc>
          <w:tcPr>
            <w:tcW w:w="1170" w:type="pct"/>
            <w:tcBorders>
              <w:top w:val="single" w:sz="4" w:space="0" w:color="auto"/>
              <w:left w:val="nil"/>
              <w:bottom w:val="single" w:sz="2" w:space="0" w:color="auto"/>
              <w:right w:val="nil"/>
            </w:tcBorders>
            <w:vAlign w:val="center"/>
          </w:tcPr>
          <w:p w14:paraId="656F6516" w14:textId="77777777" w:rsidR="00286F49" w:rsidRPr="00C97700" w:rsidRDefault="00286F49" w:rsidP="003B4290">
            <w:pPr>
              <w:pStyle w:val="cuatexto"/>
              <w:jc w:val="right"/>
              <w:rPr>
                <w:snapToGrid w:val="0"/>
                <w:szCs w:val="20"/>
              </w:rPr>
            </w:pPr>
            <w:r w:rsidRPr="00C97700">
              <w:rPr>
                <w:snapToGrid w:val="0"/>
                <w:szCs w:val="20"/>
              </w:rPr>
              <w:t>4.926.691.155</w:t>
            </w:r>
          </w:p>
        </w:tc>
      </w:tr>
      <w:tr w:rsidR="00286F49" w:rsidRPr="003B4290" w14:paraId="674D9860" w14:textId="77777777" w:rsidTr="00053346">
        <w:trPr>
          <w:trHeight w:val="198"/>
          <w:jc w:val="center"/>
        </w:trPr>
        <w:tc>
          <w:tcPr>
            <w:tcW w:w="2661" w:type="pct"/>
            <w:tcBorders>
              <w:top w:val="single" w:sz="2" w:space="0" w:color="auto"/>
              <w:left w:val="nil"/>
              <w:bottom w:val="single" w:sz="2" w:space="0" w:color="auto"/>
              <w:right w:val="nil"/>
            </w:tcBorders>
            <w:vAlign w:val="center"/>
            <w:hideMark/>
          </w:tcPr>
          <w:p w14:paraId="17AB6036" w14:textId="77777777" w:rsidR="00286F49" w:rsidRPr="00C97700" w:rsidRDefault="00286F49" w:rsidP="003B4290">
            <w:pPr>
              <w:pStyle w:val="cuatexto"/>
              <w:rPr>
                <w:snapToGrid w:val="0"/>
                <w:szCs w:val="20"/>
              </w:rPr>
            </w:pPr>
            <w:r w:rsidRPr="00C97700">
              <w:rPr>
                <w:snapToGrid w:val="0"/>
                <w:szCs w:val="20"/>
              </w:rPr>
              <w:t>a.1) Impuesto sobre la renta de las personas físicas</w:t>
            </w:r>
          </w:p>
        </w:tc>
        <w:tc>
          <w:tcPr>
            <w:tcW w:w="1170" w:type="pct"/>
            <w:tcBorders>
              <w:top w:val="single" w:sz="2" w:space="0" w:color="auto"/>
              <w:left w:val="nil"/>
              <w:bottom w:val="single" w:sz="2" w:space="0" w:color="auto"/>
              <w:right w:val="nil"/>
            </w:tcBorders>
            <w:shd w:val="clear" w:color="auto" w:fill="auto"/>
            <w:vAlign w:val="center"/>
          </w:tcPr>
          <w:p w14:paraId="2496AF71" w14:textId="77777777" w:rsidR="00286F49" w:rsidRPr="00C97700" w:rsidRDefault="00286F49" w:rsidP="003B4290">
            <w:pPr>
              <w:pStyle w:val="cuatexto"/>
              <w:jc w:val="right"/>
              <w:rPr>
                <w:snapToGrid w:val="0"/>
                <w:szCs w:val="20"/>
              </w:rPr>
            </w:pPr>
            <w:r w:rsidRPr="00C97700">
              <w:rPr>
                <w:snapToGrid w:val="0"/>
                <w:szCs w:val="20"/>
              </w:rPr>
              <w:t>2.103.924.273</w:t>
            </w:r>
          </w:p>
        </w:tc>
        <w:tc>
          <w:tcPr>
            <w:tcW w:w="1170" w:type="pct"/>
            <w:tcBorders>
              <w:top w:val="single" w:sz="2" w:space="0" w:color="auto"/>
              <w:left w:val="nil"/>
              <w:bottom w:val="single" w:sz="2" w:space="0" w:color="auto"/>
              <w:right w:val="nil"/>
            </w:tcBorders>
            <w:vAlign w:val="center"/>
          </w:tcPr>
          <w:p w14:paraId="43D541E4" w14:textId="77777777" w:rsidR="00286F49" w:rsidRPr="00C97700" w:rsidRDefault="00286F49" w:rsidP="003B4290">
            <w:pPr>
              <w:pStyle w:val="cuatexto"/>
              <w:jc w:val="right"/>
              <w:rPr>
                <w:snapToGrid w:val="0"/>
                <w:szCs w:val="20"/>
              </w:rPr>
            </w:pPr>
            <w:r w:rsidRPr="00C97700">
              <w:rPr>
                <w:snapToGrid w:val="0"/>
                <w:szCs w:val="20"/>
              </w:rPr>
              <w:t>2.146.468.069</w:t>
            </w:r>
          </w:p>
        </w:tc>
      </w:tr>
      <w:tr w:rsidR="00286F49" w:rsidRPr="003B4290" w14:paraId="0FB8C68D" w14:textId="77777777" w:rsidTr="00053346">
        <w:trPr>
          <w:trHeight w:val="198"/>
          <w:jc w:val="center"/>
        </w:trPr>
        <w:tc>
          <w:tcPr>
            <w:tcW w:w="2661" w:type="pct"/>
            <w:tcBorders>
              <w:top w:val="single" w:sz="2" w:space="0" w:color="auto"/>
              <w:left w:val="nil"/>
              <w:bottom w:val="single" w:sz="2" w:space="0" w:color="auto"/>
              <w:right w:val="nil"/>
            </w:tcBorders>
            <w:vAlign w:val="center"/>
            <w:hideMark/>
          </w:tcPr>
          <w:p w14:paraId="26DB7ED5" w14:textId="77777777" w:rsidR="00286F49" w:rsidRPr="00C97700" w:rsidRDefault="00286F49" w:rsidP="003B4290">
            <w:pPr>
              <w:pStyle w:val="cuatexto"/>
              <w:rPr>
                <w:snapToGrid w:val="0"/>
                <w:szCs w:val="20"/>
              </w:rPr>
            </w:pPr>
            <w:r w:rsidRPr="00C97700">
              <w:rPr>
                <w:snapToGrid w:val="0"/>
                <w:szCs w:val="20"/>
              </w:rPr>
              <w:t>a.2) Impuesto sobre sociedades</w:t>
            </w:r>
          </w:p>
        </w:tc>
        <w:tc>
          <w:tcPr>
            <w:tcW w:w="1170" w:type="pct"/>
            <w:tcBorders>
              <w:top w:val="single" w:sz="2" w:space="0" w:color="auto"/>
              <w:left w:val="nil"/>
              <w:bottom w:val="single" w:sz="2" w:space="0" w:color="auto"/>
              <w:right w:val="nil"/>
            </w:tcBorders>
            <w:shd w:val="clear" w:color="auto" w:fill="auto"/>
            <w:vAlign w:val="center"/>
          </w:tcPr>
          <w:p w14:paraId="4D9D70B1" w14:textId="77777777" w:rsidR="00286F49" w:rsidRPr="00C97700" w:rsidRDefault="00286F49" w:rsidP="003B4290">
            <w:pPr>
              <w:pStyle w:val="cuatexto"/>
              <w:jc w:val="right"/>
              <w:rPr>
                <w:snapToGrid w:val="0"/>
                <w:szCs w:val="20"/>
              </w:rPr>
            </w:pPr>
            <w:r w:rsidRPr="00C97700">
              <w:rPr>
                <w:snapToGrid w:val="0"/>
                <w:szCs w:val="20"/>
              </w:rPr>
              <w:t>531.796.111</w:t>
            </w:r>
          </w:p>
        </w:tc>
        <w:tc>
          <w:tcPr>
            <w:tcW w:w="1170" w:type="pct"/>
            <w:tcBorders>
              <w:top w:val="single" w:sz="2" w:space="0" w:color="auto"/>
              <w:left w:val="nil"/>
              <w:bottom w:val="single" w:sz="2" w:space="0" w:color="auto"/>
              <w:right w:val="nil"/>
            </w:tcBorders>
            <w:vAlign w:val="center"/>
          </w:tcPr>
          <w:p w14:paraId="2BF922CC" w14:textId="77777777" w:rsidR="00286F49" w:rsidRPr="00C97700" w:rsidRDefault="00286F49" w:rsidP="003B4290">
            <w:pPr>
              <w:pStyle w:val="cuatexto"/>
              <w:jc w:val="right"/>
              <w:rPr>
                <w:snapToGrid w:val="0"/>
                <w:szCs w:val="20"/>
              </w:rPr>
            </w:pPr>
            <w:r w:rsidRPr="00C97700">
              <w:rPr>
                <w:snapToGrid w:val="0"/>
                <w:szCs w:val="20"/>
              </w:rPr>
              <w:t>369.547.201</w:t>
            </w:r>
          </w:p>
        </w:tc>
      </w:tr>
      <w:tr w:rsidR="00286F49" w:rsidRPr="003B4290" w14:paraId="02B96A0A" w14:textId="77777777" w:rsidTr="00053346">
        <w:trPr>
          <w:trHeight w:val="198"/>
          <w:jc w:val="center"/>
        </w:trPr>
        <w:tc>
          <w:tcPr>
            <w:tcW w:w="2661" w:type="pct"/>
            <w:tcBorders>
              <w:top w:val="single" w:sz="2" w:space="0" w:color="auto"/>
              <w:left w:val="nil"/>
              <w:bottom w:val="single" w:sz="2" w:space="0" w:color="auto"/>
              <w:right w:val="nil"/>
            </w:tcBorders>
            <w:vAlign w:val="center"/>
            <w:hideMark/>
          </w:tcPr>
          <w:p w14:paraId="3EA5CBEA" w14:textId="77777777" w:rsidR="00286F49" w:rsidRPr="00C97700" w:rsidRDefault="00286F49" w:rsidP="003B4290">
            <w:pPr>
              <w:pStyle w:val="cuatexto"/>
              <w:rPr>
                <w:snapToGrid w:val="0"/>
                <w:szCs w:val="20"/>
              </w:rPr>
            </w:pPr>
            <w:r w:rsidRPr="00C97700">
              <w:rPr>
                <w:snapToGrid w:val="0"/>
                <w:szCs w:val="20"/>
              </w:rPr>
              <w:t>a.3) Impuesto sobre sucesiones y donaciones</w:t>
            </w:r>
          </w:p>
        </w:tc>
        <w:tc>
          <w:tcPr>
            <w:tcW w:w="1170" w:type="pct"/>
            <w:tcBorders>
              <w:top w:val="single" w:sz="2" w:space="0" w:color="auto"/>
              <w:left w:val="nil"/>
              <w:bottom w:val="single" w:sz="2" w:space="0" w:color="auto"/>
              <w:right w:val="nil"/>
            </w:tcBorders>
            <w:shd w:val="clear" w:color="auto" w:fill="auto"/>
            <w:vAlign w:val="center"/>
          </w:tcPr>
          <w:p w14:paraId="798CAECA" w14:textId="77777777" w:rsidR="00286F49" w:rsidRPr="00C97700" w:rsidRDefault="00286F49" w:rsidP="003B4290">
            <w:pPr>
              <w:pStyle w:val="cuatexto"/>
              <w:jc w:val="right"/>
              <w:rPr>
                <w:snapToGrid w:val="0"/>
                <w:szCs w:val="20"/>
              </w:rPr>
            </w:pPr>
            <w:r w:rsidRPr="00C97700">
              <w:rPr>
                <w:snapToGrid w:val="0"/>
                <w:szCs w:val="20"/>
              </w:rPr>
              <w:t>59.586.649</w:t>
            </w:r>
          </w:p>
        </w:tc>
        <w:tc>
          <w:tcPr>
            <w:tcW w:w="1170" w:type="pct"/>
            <w:tcBorders>
              <w:top w:val="single" w:sz="2" w:space="0" w:color="auto"/>
              <w:left w:val="nil"/>
              <w:bottom w:val="single" w:sz="2" w:space="0" w:color="auto"/>
              <w:right w:val="nil"/>
            </w:tcBorders>
            <w:vAlign w:val="center"/>
          </w:tcPr>
          <w:p w14:paraId="251A72F8" w14:textId="77777777" w:rsidR="00286F49" w:rsidRPr="00C97700" w:rsidRDefault="00286F49" w:rsidP="003B4290">
            <w:pPr>
              <w:pStyle w:val="cuatexto"/>
              <w:jc w:val="right"/>
              <w:rPr>
                <w:snapToGrid w:val="0"/>
                <w:szCs w:val="20"/>
              </w:rPr>
            </w:pPr>
            <w:r w:rsidRPr="00C97700">
              <w:rPr>
                <w:snapToGrid w:val="0"/>
                <w:szCs w:val="20"/>
              </w:rPr>
              <w:t>68.345.325</w:t>
            </w:r>
          </w:p>
        </w:tc>
      </w:tr>
      <w:tr w:rsidR="00286F49" w:rsidRPr="003B4290" w14:paraId="3D18F0EE" w14:textId="77777777" w:rsidTr="00053346">
        <w:trPr>
          <w:trHeight w:val="198"/>
          <w:jc w:val="center"/>
        </w:trPr>
        <w:tc>
          <w:tcPr>
            <w:tcW w:w="2661" w:type="pct"/>
            <w:tcBorders>
              <w:top w:val="single" w:sz="2" w:space="0" w:color="auto"/>
              <w:left w:val="nil"/>
              <w:bottom w:val="single" w:sz="2" w:space="0" w:color="auto"/>
              <w:right w:val="nil"/>
            </w:tcBorders>
            <w:vAlign w:val="center"/>
            <w:hideMark/>
          </w:tcPr>
          <w:p w14:paraId="1E25C239" w14:textId="77777777" w:rsidR="00286F49" w:rsidRPr="00C97700" w:rsidRDefault="00286F49" w:rsidP="003B4290">
            <w:pPr>
              <w:pStyle w:val="cuatexto"/>
              <w:rPr>
                <w:snapToGrid w:val="0"/>
                <w:szCs w:val="20"/>
              </w:rPr>
            </w:pPr>
            <w:r w:rsidRPr="00C97700">
              <w:rPr>
                <w:snapToGrid w:val="0"/>
                <w:szCs w:val="20"/>
              </w:rPr>
              <w:t xml:space="preserve">a.4) Impuesto sobre el patrimonio </w:t>
            </w:r>
          </w:p>
        </w:tc>
        <w:tc>
          <w:tcPr>
            <w:tcW w:w="1170" w:type="pct"/>
            <w:tcBorders>
              <w:top w:val="single" w:sz="2" w:space="0" w:color="auto"/>
              <w:left w:val="nil"/>
              <w:bottom w:val="single" w:sz="2" w:space="0" w:color="auto"/>
              <w:right w:val="nil"/>
            </w:tcBorders>
            <w:shd w:val="clear" w:color="auto" w:fill="auto"/>
            <w:vAlign w:val="center"/>
          </w:tcPr>
          <w:p w14:paraId="2998CE37" w14:textId="77777777" w:rsidR="00286F49" w:rsidRPr="00C97700" w:rsidRDefault="00286F49" w:rsidP="003B4290">
            <w:pPr>
              <w:pStyle w:val="cuatexto"/>
              <w:jc w:val="right"/>
              <w:rPr>
                <w:snapToGrid w:val="0"/>
                <w:szCs w:val="20"/>
              </w:rPr>
            </w:pPr>
            <w:r w:rsidRPr="00C97700">
              <w:rPr>
                <w:snapToGrid w:val="0"/>
                <w:szCs w:val="20"/>
              </w:rPr>
              <w:t>35.053.178</w:t>
            </w:r>
          </w:p>
        </w:tc>
        <w:tc>
          <w:tcPr>
            <w:tcW w:w="1170" w:type="pct"/>
            <w:tcBorders>
              <w:top w:val="single" w:sz="2" w:space="0" w:color="auto"/>
              <w:left w:val="nil"/>
              <w:bottom w:val="single" w:sz="2" w:space="0" w:color="auto"/>
              <w:right w:val="nil"/>
            </w:tcBorders>
            <w:vAlign w:val="center"/>
          </w:tcPr>
          <w:p w14:paraId="662BE5BA" w14:textId="77777777" w:rsidR="00286F49" w:rsidRPr="00C97700" w:rsidRDefault="00286F49" w:rsidP="003B4290">
            <w:pPr>
              <w:pStyle w:val="cuatexto"/>
              <w:jc w:val="right"/>
              <w:rPr>
                <w:snapToGrid w:val="0"/>
                <w:szCs w:val="20"/>
              </w:rPr>
            </w:pPr>
            <w:r w:rsidRPr="00C97700">
              <w:rPr>
                <w:snapToGrid w:val="0"/>
                <w:szCs w:val="20"/>
              </w:rPr>
              <w:t>31.768.065</w:t>
            </w:r>
          </w:p>
        </w:tc>
      </w:tr>
      <w:tr w:rsidR="00286F49" w:rsidRPr="003B4290" w14:paraId="22452A07" w14:textId="77777777" w:rsidTr="00053346">
        <w:trPr>
          <w:trHeight w:val="198"/>
          <w:jc w:val="center"/>
        </w:trPr>
        <w:tc>
          <w:tcPr>
            <w:tcW w:w="2661" w:type="pct"/>
            <w:tcBorders>
              <w:top w:val="single" w:sz="2" w:space="0" w:color="auto"/>
              <w:left w:val="nil"/>
              <w:bottom w:val="single" w:sz="2" w:space="0" w:color="auto"/>
              <w:right w:val="nil"/>
            </w:tcBorders>
            <w:vAlign w:val="center"/>
            <w:hideMark/>
          </w:tcPr>
          <w:p w14:paraId="00DFA492" w14:textId="77777777" w:rsidR="00286F49" w:rsidRPr="00C97700" w:rsidRDefault="00286F49" w:rsidP="003B4290">
            <w:pPr>
              <w:pStyle w:val="cuatexto"/>
              <w:rPr>
                <w:snapToGrid w:val="0"/>
                <w:szCs w:val="20"/>
              </w:rPr>
            </w:pPr>
            <w:r w:rsidRPr="00C97700">
              <w:rPr>
                <w:snapToGrid w:val="0"/>
                <w:szCs w:val="20"/>
              </w:rPr>
              <w:t>a.8) Otros impuestos directos</w:t>
            </w:r>
          </w:p>
        </w:tc>
        <w:tc>
          <w:tcPr>
            <w:tcW w:w="1170" w:type="pct"/>
            <w:tcBorders>
              <w:top w:val="single" w:sz="2" w:space="0" w:color="auto"/>
              <w:left w:val="nil"/>
              <w:bottom w:val="single" w:sz="2" w:space="0" w:color="auto"/>
              <w:right w:val="nil"/>
            </w:tcBorders>
            <w:shd w:val="clear" w:color="auto" w:fill="auto"/>
            <w:vAlign w:val="center"/>
          </w:tcPr>
          <w:p w14:paraId="1EB91ACE" w14:textId="77777777" w:rsidR="00286F49" w:rsidRPr="00C97700" w:rsidRDefault="00286F49" w:rsidP="003B4290">
            <w:pPr>
              <w:pStyle w:val="cuatexto"/>
              <w:jc w:val="right"/>
              <w:rPr>
                <w:snapToGrid w:val="0"/>
                <w:szCs w:val="20"/>
              </w:rPr>
            </w:pPr>
            <w:r w:rsidRPr="00C97700">
              <w:rPr>
                <w:snapToGrid w:val="0"/>
                <w:szCs w:val="20"/>
              </w:rPr>
              <w:t>10.842.589</w:t>
            </w:r>
          </w:p>
        </w:tc>
        <w:tc>
          <w:tcPr>
            <w:tcW w:w="1170" w:type="pct"/>
            <w:tcBorders>
              <w:top w:val="single" w:sz="2" w:space="0" w:color="auto"/>
              <w:left w:val="nil"/>
              <w:bottom w:val="single" w:sz="2" w:space="0" w:color="auto"/>
              <w:right w:val="nil"/>
            </w:tcBorders>
            <w:vAlign w:val="center"/>
          </w:tcPr>
          <w:p w14:paraId="3E46194B" w14:textId="77777777" w:rsidR="00286F49" w:rsidRPr="00C97700" w:rsidRDefault="00286F49" w:rsidP="003B4290">
            <w:pPr>
              <w:pStyle w:val="cuatexto"/>
              <w:jc w:val="right"/>
              <w:rPr>
                <w:snapToGrid w:val="0"/>
                <w:szCs w:val="20"/>
              </w:rPr>
            </w:pPr>
            <w:r w:rsidRPr="00C97700">
              <w:rPr>
                <w:snapToGrid w:val="0"/>
                <w:szCs w:val="20"/>
              </w:rPr>
              <w:t>12.443.009</w:t>
            </w:r>
          </w:p>
        </w:tc>
      </w:tr>
      <w:tr w:rsidR="00286F49" w:rsidRPr="003B4290" w14:paraId="155CDBEA" w14:textId="77777777" w:rsidTr="00053346">
        <w:trPr>
          <w:trHeight w:val="198"/>
          <w:jc w:val="center"/>
        </w:trPr>
        <w:tc>
          <w:tcPr>
            <w:tcW w:w="2661" w:type="pct"/>
            <w:tcBorders>
              <w:top w:val="single" w:sz="2" w:space="0" w:color="auto"/>
              <w:left w:val="nil"/>
              <w:bottom w:val="single" w:sz="2" w:space="0" w:color="auto"/>
              <w:right w:val="nil"/>
            </w:tcBorders>
            <w:vAlign w:val="center"/>
            <w:hideMark/>
          </w:tcPr>
          <w:p w14:paraId="526A0D2F" w14:textId="77777777" w:rsidR="00286F49" w:rsidRPr="00C97700" w:rsidRDefault="00286F49" w:rsidP="003B4290">
            <w:pPr>
              <w:pStyle w:val="cuatexto"/>
              <w:rPr>
                <w:snapToGrid w:val="0"/>
                <w:szCs w:val="20"/>
              </w:rPr>
            </w:pPr>
            <w:r w:rsidRPr="00C97700">
              <w:rPr>
                <w:snapToGrid w:val="0"/>
                <w:szCs w:val="20"/>
              </w:rPr>
              <w:t xml:space="preserve">a.9) Impuesto sobre transmisiones patrimoniales y AJD </w:t>
            </w:r>
          </w:p>
        </w:tc>
        <w:tc>
          <w:tcPr>
            <w:tcW w:w="1170" w:type="pct"/>
            <w:tcBorders>
              <w:top w:val="single" w:sz="2" w:space="0" w:color="auto"/>
              <w:left w:val="nil"/>
              <w:bottom w:val="single" w:sz="2" w:space="0" w:color="auto"/>
              <w:right w:val="nil"/>
            </w:tcBorders>
            <w:shd w:val="clear" w:color="auto" w:fill="auto"/>
            <w:vAlign w:val="center"/>
          </w:tcPr>
          <w:p w14:paraId="49889838" w14:textId="77777777" w:rsidR="00286F49" w:rsidRPr="00C97700" w:rsidRDefault="00286F49" w:rsidP="003B4290">
            <w:pPr>
              <w:pStyle w:val="cuatexto"/>
              <w:jc w:val="right"/>
              <w:rPr>
                <w:snapToGrid w:val="0"/>
                <w:szCs w:val="20"/>
              </w:rPr>
            </w:pPr>
            <w:r w:rsidRPr="00C97700">
              <w:rPr>
                <w:snapToGrid w:val="0"/>
                <w:szCs w:val="20"/>
              </w:rPr>
              <w:t>75.870.620</w:t>
            </w:r>
          </w:p>
        </w:tc>
        <w:tc>
          <w:tcPr>
            <w:tcW w:w="1170" w:type="pct"/>
            <w:tcBorders>
              <w:top w:val="single" w:sz="2" w:space="0" w:color="auto"/>
              <w:left w:val="nil"/>
              <w:bottom w:val="single" w:sz="2" w:space="0" w:color="auto"/>
              <w:right w:val="nil"/>
            </w:tcBorders>
            <w:vAlign w:val="center"/>
          </w:tcPr>
          <w:p w14:paraId="18447583" w14:textId="77777777" w:rsidR="00286F49" w:rsidRPr="00C97700" w:rsidRDefault="00286F49" w:rsidP="003B4290">
            <w:pPr>
              <w:pStyle w:val="cuatexto"/>
              <w:jc w:val="right"/>
              <w:rPr>
                <w:snapToGrid w:val="0"/>
                <w:szCs w:val="20"/>
              </w:rPr>
            </w:pPr>
            <w:r w:rsidRPr="00C97700">
              <w:rPr>
                <w:snapToGrid w:val="0"/>
                <w:szCs w:val="20"/>
              </w:rPr>
              <w:t>83.257.229</w:t>
            </w:r>
          </w:p>
        </w:tc>
      </w:tr>
      <w:tr w:rsidR="00286F49" w:rsidRPr="003B4290" w14:paraId="52E1885C" w14:textId="77777777" w:rsidTr="00053346">
        <w:trPr>
          <w:trHeight w:val="198"/>
          <w:jc w:val="center"/>
        </w:trPr>
        <w:tc>
          <w:tcPr>
            <w:tcW w:w="2661" w:type="pct"/>
            <w:tcBorders>
              <w:top w:val="single" w:sz="2" w:space="0" w:color="auto"/>
              <w:left w:val="nil"/>
              <w:bottom w:val="single" w:sz="2" w:space="0" w:color="auto"/>
              <w:right w:val="nil"/>
            </w:tcBorders>
            <w:vAlign w:val="center"/>
            <w:hideMark/>
          </w:tcPr>
          <w:p w14:paraId="266D51C3" w14:textId="77777777" w:rsidR="00286F49" w:rsidRPr="00C97700" w:rsidRDefault="00286F49" w:rsidP="003B4290">
            <w:pPr>
              <w:pStyle w:val="cuatexto"/>
              <w:rPr>
                <w:snapToGrid w:val="0"/>
                <w:szCs w:val="20"/>
              </w:rPr>
            </w:pPr>
            <w:r w:rsidRPr="00C97700">
              <w:rPr>
                <w:snapToGrid w:val="0"/>
                <w:szCs w:val="20"/>
              </w:rPr>
              <w:t xml:space="preserve">a.10) Impuesto sobre el valor añadido </w:t>
            </w:r>
          </w:p>
        </w:tc>
        <w:tc>
          <w:tcPr>
            <w:tcW w:w="1170" w:type="pct"/>
            <w:tcBorders>
              <w:top w:val="single" w:sz="2" w:space="0" w:color="auto"/>
              <w:left w:val="nil"/>
              <w:bottom w:val="single" w:sz="2" w:space="0" w:color="auto"/>
              <w:right w:val="nil"/>
            </w:tcBorders>
            <w:shd w:val="clear" w:color="auto" w:fill="auto"/>
            <w:vAlign w:val="center"/>
          </w:tcPr>
          <w:p w14:paraId="4AE670B1" w14:textId="77777777" w:rsidR="00286F49" w:rsidRPr="00C97700" w:rsidRDefault="00286F49" w:rsidP="003B4290">
            <w:pPr>
              <w:pStyle w:val="cuatexto"/>
              <w:jc w:val="right"/>
              <w:rPr>
                <w:snapToGrid w:val="0"/>
                <w:szCs w:val="20"/>
              </w:rPr>
            </w:pPr>
            <w:r w:rsidRPr="00C97700">
              <w:rPr>
                <w:snapToGrid w:val="0"/>
                <w:szCs w:val="20"/>
              </w:rPr>
              <w:t>1.755.605.733</w:t>
            </w:r>
          </w:p>
        </w:tc>
        <w:tc>
          <w:tcPr>
            <w:tcW w:w="1170" w:type="pct"/>
            <w:tcBorders>
              <w:top w:val="single" w:sz="2" w:space="0" w:color="auto"/>
              <w:left w:val="nil"/>
              <w:bottom w:val="single" w:sz="2" w:space="0" w:color="auto"/>
              <w:right w:val="nil"/>
            </w:tcBorders>
            <w:vAlign w:val="center"/>
          </w:tcPr>
          <w:p w14:paraId="057E21C0" w14:textId="77777777" w:rsidR="00286F49" w:rsidRPr="00C97700" w:rsidRDefault="00286F49" w:rsidP="003B4290">
            <w:pPr>
              <w:pStyle w:val="cuatexto"/>
              <w:jc w:val="right"/>
              <w:rPr>
                <w:snapToGrid w:val="0"/>
                <w:szCs w:val="20"/>
              </w:rPr>
            </w:pPr>
            <w:r w:rsidRPr="00C97700">
              <w:rPr>
                <w:snapToGrid w:val="0"/>
                <w:szCs w:val="20"/>
              </w:rPr>
              <w:t>1.616.899.293</w:t>
            </w:r>
          </w:p>
        </w:tc>
      </w:tr>
      <w:tr w:rsidR="00286F49" w:rsidRPr="003B4290" w14:paraId="1942C180" w14:textId="77777777" w:rsidTr="00053346">
        <w:trPr>
          <w:trHeight w:val="198"/>
          <w:jc w:val="center"/>
        </w:trPr>
        <w:tc>
          <w:tcPr>
            <w:tcW w:w="2661" w:type="pct"/>
            <w:tcBorders>
              <w:top w:val="single" w:sz="2" w:space="0" w:color="auto"/>
              <w:left w:val="nil"/>
              <w:bottom w:val="single" w:sz="2" w:space="0" w:color="auto"/>
              <w:right w:val="nil"/>
            </w:tcBorders>
            <w:vAlign w:val="center"/>
            <w:hideMark/>
          </w:tcPr>
          <w:p w14:paraId="31390172" w14:textId="77777777" w:rsidR="00286F49" w:rsidRPr="00C97700" w:rsidRDefault="00286F49" w:rsidP="003B4290">
            <w:pPr>
              <w:pStyle w:val="cuatexto"/>
              <w:rPr>
                <w:snapToGrid w:val="0"/>
                <w:szCs w:val="20"/>
              </w:rPr>
            </w:pPr>
            <w:r w:rsidRPr="00C97700">
              <w:rPr>
                <w:snapToGrid w:val="0"/>
                <w:szCs w:val="20"/>
              </w:rPr>
              <w:t>a.11) Impuestos especiales</w:t>
            </w:r>
          </w:p>
        </w:tc>
        <w:tc>
          <w:tcPr>
            <w:tcW w:w="1170" w:type="pct"/>
            <w:tcBorders>
              <w:top w:val="single" w:sz="2" w:space="0" w:color="auto"/>
              <w:left w:val="nil"/>
              <w:bottom w:val="single" w:sz="2" w:space="0" w:color="auto"/>
              <w:right w:val="nil"/>
            </w:tcBorders>
            <w:shd w:val="clear" w:color="auto" w:fill="auto"/>
            <w:vAlign w:val="center"/>
          </w:tcPr>
          <w:p w14:paraId="72F94BF3" w14:textId="77777777" w:rsidR="00286F49" w:rsidRPr="00C97700" w:rsidRDefault="00286F49" w:rsidP="003B4290">
            <w:pPr>
              <w:pStyle w:val="cuatexto"/>
              <w:jc w:val="right"/>
              <w:rPr>
                <w:snapToGrid w:val="0"/>
                <w:szCs w:val="20"/>
              </w:rPr>
            </w:pPr>
            <w:r w:rsidRPr="00C97700">
              <w:rPr>
                <w:snapToGrid w:val="0"/>
                <w:szCs w:val="20"/>
              </w:rPr>
              <w:t>573.224.101</w:t>
            </w:r>
          </w:p>
        </w:tc>
        <w:tc>
          <w:tcPr>
            <w:tcW w:w="1170" w:type="pct"/>
            <w:tcBorders>
              <w:top w:val="single" w:sz="2" w:space="0" w:color="auto"/>
              <w:left w:val="nil"/>
              <w:bottom w:val="single" w:sz="2" w:space="0" w:color="auto"/>
              <w:right w:val="nil"/>
            </w:tcBorders>
            <w:vAlign w:val="center"/>
          </w:tcPr>
          <w:p w14:paraId="60E3ABCD" w14:textId="77777777" w:rsidR="00286F49" w:rsidRPr="00C97700" w:rsidRDefault="00286F49" w:rsidP="003B4290">
            <w:pPr>
              <w:pStyle w:val="cuatexto"/>
              <w:jc w:val="right"/>
              <w:rPr>
                <w:snapToGrid w:val="0"/>
                <w:szCs w:val="20"/>
              </w:rPr>
            </w:pPr>
            <w:r w:rsidRPr="00C97700">
              <w:rPr>
                <w:snapToGrid w:val="0"/>
                <w:szCs w:val="20"/>
              </w:rPr>
              <w:t>581.721.052</w:t>
            </w:r>
          </w:p>
        </w:tc>
      </w:tr>
      <w:tr w:rsidR="00286F49" w:rsidRPr="003B4290" w14:paraId="7ED3F8B6" w14:textId="77777777" w:rsidTr="00053346">
        <w:trPr>
          <w:trHeight w:val="198"/>
          <w:jc w:val="center"/>
        </w:trPr>
        <w:tc>
          <w:tcPr>
            <w:tcW w:w="2661" w:type="pct"/>
            <w:tcBorders>
              <w:top w:val="single" w:sz="2" w:space="0" w:color="auto"/>
              <w:left w:val="nil"/>
              <w:bottom w:val="single" w:sz="2" w:space="0" w:color="auto"/>
              <w:right w:val="nil"/>
            </w:tcBorders>
            <w:vAlign w:val="center"/>
            <w:hideMark/>
          </w:tcPr>
          <w:p w14:paraId="3105FFCD" w14:textId="77777777" w:rsidR="00286F49" w:rsidRPr="00C97700" w:rsidRDefault="00286F49" w:rsidP="003B4290">
            <w:pPr>
              <w:pStyle w:val="cuatexto"/>
              <w:rPr>
                <w:snapToGrid w:val="0"/>
                <w:szCs w:val="20"/>
              </w:rPr>
            </w:pPr>
            <w:r w:rsidRPr="00C97700">
              <w:rPr>
                <w:snapToGrid w:val="0"/>
                <w:szCs w:val="20"/>
              </w:rPr>
              <w:t>a.12) Impuestos directos extinguidos</w:t>
            </w:r>
          </w:p>
        </w:tc>
        <w:tc>
          <w:tcPr>
            <w:tcW w:w="1170" w:type="pct"/>
            <w:tcBorders>
              <w:top w:val="single" w:sz="2" w:space="0" w:color="auto"/>
              <w:left w:val="nil"/>
              <w:bottom w:val="single" w:sz="2" w:space="0" w:color="auto"/>
              <w:right w:val="nil"/>
            </w:tcBorders>
            <w:shd w:val="clear" w:color="auto" w:fill="auto"/>
            <w:vAlign w:val="center"/>
          </w:tcPr>
          <w:p w14:paraId="4E332D12" w14:textId="77777777" w:rsidR="00286F49" w:rsidRPr="00C97700" w:rsidRDefault="00286F49" w:rsidP="003B4290">
            <w:pPr>
              <w:pStyle w:val="cuatexto"/>
              <w:jc w:val="right"/>
              <w:rPr>
                <w:snapToGrid w:val="0"/>
                <w:szCs w:val="20"/>
              </w:rPr>
            </w:pPr>
            <w:r w:rsidRPr="00C97700">
              <w:rPr>
                <w:snapToGrid w:val="0"/>
                <w:szCs w:val="20"/>
              </w:rPr>
              <w:t>54.489</w:t>
            </w:r>
          </w:p>
        </w:tc>
        <w:tc>
          <w:tcPr>
            <w:tcW w:w="1170" w:type="pct"/>
            <w:tcBorders>
              <w:top w:val="single" w:sz="2" w:space="0" w:color="auto"/>
              <w:left w:val="nil"/>
              <w:bottom w:val="single" w:sz="2" w:space="0" w:color="auto"/>
              <w:right w:val="nil"/>
            </w:tcBorders>
            <w:vAlign w:val="center"/>
          </w:tcPr>
          <w:p w14:paraId="1C54DDF6" w14:textId="77777777" w:rsidR="00286F49" w:rsidRPr="00C97700" w:rsidRDefault="00286F49" w:rsidP="003B4290">
            <w:pPr>
              <w:pStyle w:val="cuatexto"/>
              <w:jc w:val="right"/>
              <w:rPr>
                <w:snapToGrid w:val="0"/>
                <w:szCs w:val="20"/>
              </w:rPr>
            </w:pPr>
            <w:r w:rsidRPr="00C97700">
              <w:rPr>
                <w:snapToGrid w:val="0"/>
                <w:szCs w:val="20"/>
              </w:rPr>
              <w:t>50.440</w:t>
            </w:r>
          </w:p>
        </w:tc>
      </w:tr>
      <w:tr w:rsidR="00286F49" w:rsidRPr="003B4290" w14:paraId="56567FD9" w14:textId="77777777" w:rsidTr="00053346">
        <w:trPr>
          <w:trHeight w:val="198"/>
          <w:jc w:val="center"/>
        </w:trPr>
        <w:tc>
          <w:tcPr>
            <w:tcW w:w="2661" w:type="pct"/>
            <w:tcBorders>
              <w:top w:val="single" w:sz="2" w:space="0" w:color="auto"/>
              <w:left w:val="nil"/>
              <w:bottom w:val="single" w:sz="2" w:space="0" w:color="auto"/>
              <w:right w:val="nil"/>
            </w:tcBorders>
            <w:vAlign w:val="center"/>
            <w:hideMark/>
          </w:tcPr>
          <w:p w14:paraId="24F94FDC" w14:textId="77777777" w:rsidR="00286F49" w:rsidRPr="00C97700" w:rsidRDefault="00286F49" w:rsidP="003B4290">
            <w:pPr>
              <w:pStyle w:val="cuatexto"/>
              <w:rPr>
                <w:snapToGrid w:val="0"/>
                <w:szCs w:val="20"/>
              </w:rPr>
            </w:pPr>
            <w:r w:rsidRPr="00C97700">
              <w:rPr>
                <w:snapToGrid w:val="0"/>
                <w:szCs w:val="20"/>
              </w:rPr>
              <w:t>a.15) Tasas por prestación de servicios</w:t>
            </w:r>
          </w:p>
        </w:tc>
        <w:tc>
          <w:tcPr>
            <w:tcW w:w="1170" w:type="pct"/>
            <w:tcBorders>
              <w:top w:val="single" w:sz="2" w:space="0" w:color="auto"/>
              <w:left w:val="nil"/>
              <w:bottom w:val="single" w:sz="2" w:space="0" w:color="auto"/>
              <w:right w:val="nil"/>
            </w:tcBorders>
            <w:shd w:val="clear" w:color="auto" w:fill="auto"/>
            <w:vAlign w:val="center"/>
          </w:tcPr>
          <w:p w14:paraId="0B797A93" w14:textId="77777777" w:rsidR="00286F49" w:rsidRPr="00C97700" w:rsidRDefault="00286F49" w:rsidP="003B4290">
            <w:pPr>
              <w:pStyle w:val="cuatexto"/>
              <w:jc w:val="right"/>
              <w:rPr>
                <w:snapToGrid w:val="0"/>
                <w:szCs w:val="20"/>
              </w:rPr>
            </w:pPr>
            <w:r w:rsidRPr="00C97700">
              <w:rPr>
                <w:snapToGrid w:val="0"/>
                <w:szCs w:val="20"/>
              </w:rPr>
              <w:t>16.160.239</w:t>
            </w:r>
          </w:p>
        </w:tc>
        <w:tc>
          <w:tcPr>
            <w:tcW w:w="1170" w:type="pct"/>
            <w:tcBorders>
              <w:top w:val="single" w:sz="2" w:space="0" w:color="auto"/>
              <w:left w:val="nil"/>
              <w:bottom w:val="single" w:sz="2" w:space="0" w:color="auto"/>
              <w:right w:val="nil"/>
            </w:tcBorders>
            <w:vAlign w:val="center"/>
          </w:tcPr>
          <w:p w14:paraId="4E601019" w14:textId="77777777" w:rsidR="00286F49" w:rsidRPr="00C97700" w:rsidRDefault="00286F49" w:rsidP="003B4290">
            <w:pPr>
              <w:pStyle w:val="cuatexto"/>
              <w:jc w:val="right"/>
              <w:rPr>
                <w:snapToGrid w:val="0"/>
                <w:szCs w:val="20"/>
              </w:rPr>
            </w:pPr>
            <w:r w:rsidRPr="00C97700">
              <w:rPr>
                <w:snapToGrid w:val="0"/>
                <w:szCs w:val="20"/>
              </w:rPr>
              <w:t>16.191.472</w:t>
            </w:r>
          </w:p>
        </w:tc>
      </w:tr>
      <w:tr w:rsidR="00286F49" w:rsidRPr="003B4290" w14:paraId="00D85A49" w14:textId="77777777" w:rsidTr="00053346">
        <w:trPr>
          <w:trHeight w:val="198"/>
          <w:jc w:val="center"/>
        </w:trPr>
        <w:tc>
          <w:tcPr>
            <w:tcW w:w="2661" w:type="pct"/>
            <w:tcBorders>
              <w:top w:val="single" w:sz="2" w:space="0" w:color="auto"/>
              <w:left w:val="nil"/>
              <w:bottom w:val="single" w:sz="2" w:space="0" w:color="auto"/>
              <w:right w:val="nil"/>
            </w:tcBorders>
            <w:vAlign w:val="center"/>
            <w:hideMark/>
          </w:tcPr>
          <w:p w14:paraId="4F738FD5" w14:textId="77777777" w:rsidR="00286F49" w:rsidRPr="00C97700" w:rsidRDefault="00286F49" w:rsidP="003B4290">
            <w:pPr>
              <w:pStyle w:val="cuatexto"/>
              <w:rPr>
                <w:snapToGrid w:val="0"/>
                <w:szCs w:val="20"/>
              </w:rPr>
            </w:pPr>
            <w:r w:rsidRPr="00C97700">
              <w:rPr>
                <w:snapToGrid w:val="0"/>
                <w:szCs w:val="20"/>
              </w:rPr>
              <w:t xml:space="preserve">b) Cotizaciones sociales </w:t>
            </w:r>
          </w:p>
        </w:tc>
        <w:tc>
          <w:tcPr>
            <w:tcW w:w="1170" w:type="pct"/>
            <w:tcBorders>
              <w:top w:val="single" w:sz="2" w:space="0" w:color="auto"/>
              <w:left w:val="nil"/>
              <w:bottom w:val="single" w:sz="2" w:space="0" w:color="auto"/>
              <w:right w:val="nil"/>
            </w:tcBorders>
            <w:shd w:val="clear" w:color="auto" w:fill="auto"/>
            <w:vAlign w:val="center"/>
          </w:tcPr>
          <w:p w14:paraId="1F61BCB7" w14:textId="77777777" w:rsidR="00286F49" w:rsidRPr="00C97700" w:rsidRDefault="00286F49" w:rsidP="003B4290">
            <w:pPr>
              <w:pStyle w:val="cuatexto"/>
              <w:jc w:val="right"/>
              <w:rPr>
                <w:snapToGrid w:val="0"/>
                <w:szCs w:val="20"/>
              </w:rPr>
            </w:pPr>
            <w:r w:rsidRPr="00C97700">
              <w:rPr>
                <w:snapToGrid w:val="0"/>
                <w:szCs w:val="20"/>
              </w:rPr>
              <w:t>904.355</w:t>
            </w:r>
          </w:p>
        </w:tc>
        <w:tc>
          <w:tcPr>
            <w:tcW w:w="1170" w:type="pct"/>
            <w:tcBorders>
              <w:top w:val="single" w:sz="2" w:space="0" w:color="auto"/>
              <w:left w:val="nil"/>
              <w:bottom w:val="single" w:sz="2" w:space="0" w:color="auto"/>
              <w:right w:val="nil"/>
            </w:tcBorders>
            <w:vAlign w:val="center"/>
          </w:tcPr>
          <w:p w14:paraId="03918643" w14:textId="77777777" w:rsidR="00286F49" w:rsidRPr="00C97700" w:rsidRDefault="00286F49" w:rsidP="003B4290">
            <w:pPr>
              <w:pStyle w:val="cuatexto"/>
              <w:jc w:val="right"/>
              <w:rPr>
                <w:snapToGrid w:val="0"/>
                <w:szCs w:val="20"/>
              </w:rPr>
            </w:pPr>
            <w:r w:rsidRPr="00C97700">
              <w:rPr>
                <w:snapToGrid w:val="0"/>
                <w:szCs w:val="20"/>
              </w:rPr>
              <w:t>1.031.769</w:t>
            </w:r>
          </w:p>
        </w:tc>
      </w:tr>
      <w:tr w:rsidR="00286F49" w:rsidRPr="003B4290" w14:paraId="51B9CB21" w14:textId="77777777" w:rsidTr="00053346">
        <w:trPr>
          <w:trHeight w:val="198"/>
          <w:jc w:val="center"/>
        </w:trPr>
        <w:tc>
          <w:tcPr>
            <w:tcW w:w="2661" w:type="pct"/>
            <w:tcBorders>
              <w:top w:val="single" w:sz="2" w:space="0" w:color="auto"/>
              <w:left w:val="nil"/>
              <w:bottom w:val="single" w:sz="2" w:space="0" w:color="auto"/>
              <w:right w:val="nil"/>
            </w:tcBorders>
            <w:vAlign w:val="center"/>
            <w:hideMark/>
          </w:tcPr>
          <w:p w14:paraId="070C60DD" w14:textId="77777777" w:rsidR="00286F49" w:rsidRPr="00C97700" w:rsidRDefault="00286F49" w:rsidP="003B4290">
            <w:pPr>
              <w:pStyle w:val="cuatexto"/>
              <w:rPr>
                <w:snapToGrid w:val="0"/>
                <w:szCs w:val="20"/>
              </w:rPr>
            </w:pPr>
            <w:r w:rsidRPr="00C97700">
              <w:rPr>
                <w:snapToGrid w:val="0"/>
                <w:szCs w:val="20"/>
              </w:rPr>
              <w:t>c) Prestaciones de servicios</w:t>
            </w:r>
          </w:p>
        </w:tc>
        <w:tc>
          <w:tcPr>
            <w:tcW w:w="1170" w:type="pct"/>
            <w:tcBorders>
              <w:top w:val="single" w:sz="2" w:space="0" w:color="auto"/>
              <w:left w:val="nil"/>
              <w:bottom w:val="single" w:sz="2" w:space="0" w:color="auto"/>
              <w:right w:val="nil"/>
            </w:tcBorders>
            <w:shd w:val="clear" w:color="auto" w:fill="auto"/>
            <w:vAlign w:val="center"/>
          </w:tcPr>
          <w:p w14:paraId="00ECB690" w14:textId="77777777" w:rsidR="00286F49" w:rsidRPr="00C97700" w:rsidRDefault="00286F49" w:rsidP="003B4290">
            <w:pPr>
              <w:pStyle w:val="cuatexto"/>
              <w:jc w:val="right"/>
              <w:rPr>
                <w:snapToGrid w:val="0"/>
                <w:szCs w:val="20"/>
              </w:rPr>
            </w:pPr>
            <w:r w:rsidRPr="00C97700">
              <w:rPr>
                <w:snapToGrid w:val="0"/>
                <w:szCs w:val="20"/>
              </w:rPr>
              <w:t>13.517.630</w:t>
            </w:r>
          </w:p>
        </w:tc>
        <w:tc>
          <w:tcPr>
            <w:tcW w:w="1170" w:type="pct"/>
            <w:tcBorders>
              <w:top w:val="single" w:sz="2" w:space="0" w:color="auto"/>
              <w:left w:val="nil"/>
              <w:bottom w:val="single" w:sz="2" w:space="0" w:color="auto"/>
              <w:right w:val="nil"/>
            </w:tcBorders>
            <w:vAlign w:val="center"/>
          </w:tcPr>
          <w:p w14:paraId="14245ABD" w14:textId="77777777" w:rsidR="00286F49" w:rsidRPr="00C97700" w:rsidRDefault="00286F49" w:rsidP="003B4290">
            <w:pPr>
              <w:pStyle w:val="cuatexto"/>
              <w:jc w:val="right"/>
              <w:rPr>
                <w:snapToGrid w:val="0"/>
                <w:szCs w:val="20"/>
              </w:rPr>
            </w:pPr>
            <w:r w:rsidRPr="00C97700">
              <w:rPr>
                <w:snapToGrid w:val="0"/>
                <w:szCs w:val="20"/>
              </w:rPr>
              <w:t>13.647.612</w:t>
            </w:r>
          </w:p>
        </w:tc>
      </w:tr>
      <w:tr w:rsidR="00286F49" w:rsidRPr="003B4290" w14:paraId="3A711370" w14:textId="77777777" w:rsidTr="009B2DAA">
        <w:trPr>
          <w:trHeight w:val="198"/>
          <w:jc w:val="center"/>
        </w:trPr>
        <w:tc>
          <w:tcPr>
            <w:tcW w:w="2661" w:type="pct"/>
            <w:tcBorders>
              <w:top w:val="single" w:sz="2" w:space="0" w:color="auto"/>
              <w:left w:val="nil"/>
              <w:bottom w:val="single" w:sz="4" w:space="0" w:color="auto"/>
              <w:right w:val="nil"/>
            </w:tcBorders>
            <w:vAlign w:val="center"/>
            <w:hideMark/>
          </w:tcPr>
          <w:p w14:paraId="5FB2A31A" w14:textId="77777777" w:rsidR="00286F49" w:rsidRPr="00C97700" w:rsidRDefault="00286F49" w:rsidP="003B4290">
            <w:pPr>
              <w:pStyle w:val="cuatexto"/>
              <w:rPr>
                <w:snapToGrid w:val="0"/>
                <w:szCs w:val="20"/>
              </w:rPr>
            </w:pPr>
            <w:r w:rsidRPr="00C97700">
              <w:rPr>
                <w:snapToGrid w:val="0"/>
                <w:szCs w:val="20"/>
              </w:rPr>
              <w:t>c.1) Precios públicos por prestación de servicios</w:t>
            </w:r>
          </w:p>
        </w:tc>
        <w:tc>
          <w:tcPr>
            <w:tcW w:w="1170" w:type="pct"/>
            <w:tcBorders>
              <w:top w:val="single" w:sz="2" w:space="0" w:color="auto"/>
              <w:left w:val="nil"/>
              <w:bottom w:val="single" w:sz="4" w:space="0" w:color="auto"/>
              <w:right w:val="nil"/>
            </w:tcBorders>
            <w:shd w:val="clear" w:color="auto" w:fill="auto"/>
            <w:vAlign w:val="center"/>
          </w:tcPr>
          <w:p w14:paraId="63280EC9" w14:textId="77777777" w:rsidR="00286F49" w:rsidRPr="00C97700" w:rsidRDefault="00286F49" w:rsidP="003B4290">
            <w:pPr>
              <w:pStyle w:val="cuatexto"/>
              <w:jc w:val="right"/>
              <w:rPr>
                <w:snapToGrid w:val="0"/>
                <w:szCs w:val="20"/>
              </w:rPr>
            </w:pPr>
            <w:r w:rsidRPr="00C97700">
              <w:rPr>
                <w:snapToGrid w:val="0"/>
                <w:szCs w:val="20"/>
              </w:rPr>
              <w:t>13.517.630</w:t>
            </w:r>
          </w:p>
        </w:tc>
        <w:tc>
          <w:tcPr>
            <w:tcW w:w="1170" w:type="pct"/>
            <w:tcBorders>
              <w:top w:val="single" w:sz="2" w:space="0" w:color="auto"/>
              <w:left w:val="nil"/>
              <w:bottom w:val="single" w:sz="4" w:space="0" w:color="auto"/>
              <w:right w:val="nil"/>
            </w:tcBorders>
            <w:vAlign w:val="center"/>
          </w:tcPr>
          <w:p w14:paraId="12CC15E8" w14:textId="77777777" w:rsidR="00286F49" w:rsidRPr="00C97700" w:rsidRDefault="00286F49" w:rsidP="003B4290">
            <w:pPr>
              <w:pStyle w:val="cuatexto"/>
              <w:jc w:val="right"/>
              <w:rPr>
                <w:snapToGrid w:val="0"/>
                <w:szCs w:val="20"/>
              </w:rPr>
            </w:pPr>
            <w:r w:rsidRPr="00C97700">
              <w:rPr>
                <w:snapToGrid w:val="0"/>
                <w:szCs w:val="20"/>
              </w:rPr>
              <w:t>13.647.612</w:t>
            </w:r>
          </w:p>
        </w:tc>
      </w:tr>
      <w:tr w:rsidR="00286F49" w:rsidRPr="00483A21" w14:paraId="2A43D7E2" w14:textId="77777777" w:rsidTr="009B2DAA">
        <w:trPr>
          <w:trHeight w:val="198"/>
          <w:jc w:val="center"/>
        </w:trPr>
        <w:tc>
          <w:tcPr>
            <w:tcW w:w="2661" w:type="pct"/>
            <w:tcBorders>
              <w:top w:val="single" w:sz="4" w:space="0" w:color="auto"/>
              <w:left w:val="nil"/>
              <w:bottom w:val="single" w:sz="4" w:space="0" w:color="auto"/>
              <w:right w:val="nil"/>
            </w:tcBorders>
            <w:vAlign w:val="center"/>
            <w:hideMark/>
          </w:tcPr>
          <w:p w14:paraId="1F038555" w14:textId="77777777" w:rsidR="00286F49" w:rsidRPr="00C97700" w:rsidRDefault="00286F49" w:rsidP="005E5C0D">
            <w:pPr>
              <w:pStyle w:val="cuatexto"/>
              <w:rPr>
                <w:b/>
                <w:snapToGrid w:val="0"/>
                <w:szCs w:val="20"/>
              </w:rPr>
            </w:pPr>
            <w:r w:rsidRPr="00C97700">
              <w:rPr>
                <w:b/>
                <w:snapToGrid w:val="0"/>
                <w:szCs w:val="20"/>
              </w:rPr>
              <w:t>2. Otros ingresos de gestión ordinaria</w:t>
            </w:r>
          </w:p>
        </w:tc>
        <w:tc>
          <w:tcPr>
            <w:tcW w:w="1170" w:type="pct"/>
            <w:tcBorders>
              <w:top w:val="single" w:sz="4" w:space="0" w:color="auto"/>
              <w:left w:val="nil"/>
              <w:bottom w:val="single" w:sz="4" w:space="0" w:color="auto"/>
              <w:right w:val="nil"/>
            </w:tcBorders>
            <w:shd w:val="clear" w:color="auto" w:fill="auto"/>
            <w:vAlign w:val="center"/>
          </w:tcPr>
          <w:p w14:paraId="651ED8F5" w14:textId="77777777" w:rsidR="00286F49" w:rsidRPr="00C97700" w:rsidRDefault="00286F49" w:rsidP="003B4290">
            <w:pPr>
              <w:pStyle w:val="cuatexto"/>
              <w:jc w:val="right"/>
              <w:rPr>
                <w:b/>
                <w:snapToGrid w:val="0"/>
                <w:szCs w:val="20"/>
              </w:rPr>
            </w:pPr>
            <w:r w:rsidRPr="00C97700">
              <w:rPr>
                <w:b/>
                <w:snapToGrid w:val="0"/>
                <w:szCs w:val="20"/>
              </w:rPr>
              <w:t>153.268.602</w:t>
            </w:r>
          </w:p>
        </w:tc>
        <w:tc>
          <w:tcPr>
            <w:tcW w:w="1170" w:type="pct"/>
            <w:tcBorders>
              <w:top w:val="single" w:sz="4" w:space="0" w:color="auto"/>
              <w:left w:val="nil"/>
              <w:bottom w:val="single" w:sz="4" w:space="0" w:color="auto"/>
              <w:right w:val="nil"/>
            </w:tcBorders>
            <w:vAlign w:val="center"/>
          </w:tcPr>
          <w:p w14:paraId="6B7608FE" w14:textId="77777777" w:rsidR="00286F49" w:rsidRPr="00C97700" w:rsidRDefault="00286F49" w:rsidP="003B4290">
            <w:pPr>
              <w:pStyle w:val="cuatexto"/>
              <w:jc w:val="right"/>
              <w:rPr>
                <w:b/>
                <w:snapToGrid w:val="0"/>
                <w:szCs w:val="20"/>
              </w:rPr>
            </w:pPr>
            <w:r w:rsidRPr="00C97700">
              <w:rPr>
                <w:b/>
                <w:snapToGrid w:val="0"/>
                <w:szCs w:val="20"/>
              </w:rPr>
              <w:t>129.442.107</w:t>
            </w:r>
          </w:p>
        </w:tc>
      </w:tr>
      <w:tr w:rsidR="00286F49" w:rsidRPr="00286F49" w14:paraId="73BD4AC9" w14:textId="77777777" w:rsidTr="009B2DAA">
        <w:trPr>
          <w:trHeight w:val="198"/>
          <w:jc w:val="center"/>
        </w:trPr>
        <w:tc>
          <w:tcPr>
            <w:tcW w:w="2661" w:type="pct"/>
            <w:tcBorders>
              <w:top w:val="single" w:sz="4" w:space="0" w:color="auto"/>
              <w:left w:val="nil"/>
              <w:bottom w:val="single" w:sz="2" w:space="0" w:color="auto"/>
              <w:right w:val="nil"/>
            </w:tcBorders>
            <w:vAlign w:val="center"/>
            <w:hideMark/>
          </w:tcPr>
          <w:p w14:paraId="07BDCA41" w14:textId="77777777" w:rsidR="00286F49" w:rsidRPr="00C97700" w:rsidRDefault="00286F49" w:rsidP="005E5C0D">
            <w:pPr>
              <w:pStyle w:val="cuatexto"/>
              <w:rPr>
                <w:snapToGrid w:val="0"/>
                <w:szCs w:val="20"/>
              </w:rPr>
            </w:pPr>
            <w:r w:rsidRPr="00C97700">
              <w:rPr>
                <w:snapToGrid w:val="0"/>
                <w:szCs w:val="20"/>
              </w:rPr>
              <w:t>a) Reintegros</w:t>
            </w:r>
          </w:p>
        </w:tc>
        <w:tc>
          <w:tcPr>
            <w:tcW w:w="1170" w:type="pct"/>
            <w:tcBorders>
              <w:top w:val="single" w:sz="4" w:space="0" w:color="auto"/>
              <w:left w:val="nil"/>
              <w:bottom w:val="single" w:sz="2" w:space="0" w:color="auto"/>
              <w:right w:val="nil"/>
            </w:tcBorders>
            <w:shd w:val="clear" w:color="auto" w:fill="auto"/>
            <w:vAlign w:val="center"/>
          </w:tcPr>
          <w:p w14:paraId="1704C83A" w14:textId="77777777" w:rsidR="00286F49" w:rsidRPr="00C97700" w:rsidRDefault="00286F49" w:rsidP="003B4290">
            <w:pPr>
              <w:pStyle w:val="cuatexto"/>
              <w:jc w:val="right"/>
              <w:rPr>
                <w:snapToGrid w:val="0"/>
                <w:szCs w:val="20"/>
              </w:rPr>
            </w:pPr>
            <w:r w:rsidRPr="00C97700">
              <w:rPr>
                <w:snapToGrid w:val="0"/>
                <w:szCs w:val="20"/>
              </w:rPr>
              <w:t>25.669.936</w:t>
            </w:r>
          </w:p>
        </w:tc>
        <w:tc>
          <w:tcPr>
            <w:tcW w:w="1170" w:type="pct"/>
            <w:tcBorders>
              <w:top w:val="single" w:sz="4" w:space="0" w:color="auto"/>
              <w:left w:val="nil"/>
              <w:bottom w:val="single" w:sz="2" w:space="0" w:color="auto"/>
              <w:right w:val="nil"/>
            </w:tcBorders>
            <w:vAlign w:val="center"/>
          </w:tcPr>
          <w:p w14:paraId="2D821DC8" w14:textId="77777777" w:rsidR="00286F49" w:rsidRPr="00C97700" w:rsidRDefault="00286F49" w:rsidP="003B4290">
            <w:pPr>
              <w:pStyle w:val="cuatexto"/>
              <w:jc w:val="right"/>
              <w:rPr>
                <w:snapToGrid w:val="0"/>
                <w:szCs w:val="20"/>
              </w:rPr>
            </w:pPr>
            <w:r w:rsidRPr="00C97700">
              <w:rPr>
                <w:snapToGrid w:val="0"/>
                <w:szCs w:val="20"/>
              </w:rPr>
              <w:t>14.681.751</w:t>
            </w:r>
          </w:p>
        </w:tc>
      </w:tr>
      <w:tr w:rsidR="00286F49" w:rsidRPr="00286F49" w14:paraId="0D46E8FD" w14:textId="77777777" w:rsidTr="00053346">
        <w:trPr>
          <w:trHeight w:val="198"/>
          <w:jc w:val="center"/>
        </w:trPr>
        <w:tc>
          <w:tcPr>
            <w:tcW w:w="2661" w:type="pct"/>
            <w:tcBorders>
              <w:top w:val="single" w:sz="2" w:space="0" w:color="auto"/>
              <w:left w:val="nil"/>
              <w:bottom w:val="single" w:sz="2" w:space="0" w:color="auto"/>
              <w:right w:val="nil"/>
            </w:tcBorders>
            <w:vAlign w:val="center"/>
            <w:hideMark/>
          </w:tcPr>
          <w:p w14:paraId="3FEAE5A6" w14:textId="77777777" w:rsidR="00286F49" w:rsidRPr="00C97700" w:rsidRDefault="00286F49" w:rsidP="005E5C0D">
            <w:pPr>
              <w:pStyle w:val="cuatexto"/>
              <w:rPr>
                <w:snapToGrid w:val="0"/>
                <w:szCs w:val="20"/>
              </w:rPr>
            </w:pPr>
            <w:r w:rsidRPr="00C97700">
              <w:rPr>
                <w:snapToGrid w:val="0"/>
                <w:szCs w:val="20"/>
              </w:rPr>
              <w:t xml:space="preserve">b) Ventas y prestaciones de servicios </w:t>
            </w:r>
          </w:p>
        </w:tc>
        <w:tc>
          <w:tcPr>
            <w:tcW w:w="1170" w:type="pct"/>
            <w:tcBorders>
              <w:top w:val="single" w:sz="2" w:space="0" w:color="auto"/>
              <w:left w:val="nil"/>
              <w:bottom w:val="single" w:sz="2" w:space="0" w:color="auto"/>
              <w:right w:val="nil"/>
            </w:tcBorders>
            <w:shd w:val="clear" w:color="auto" w:fill="auto"/>
            <w:vAlign w:val="center"/>
          </w:tcPr>
          <w:p w14:paraId="3178E90C" w14:textId="77777777" w:rsidR="00286F49" w:rsidRPr="00C97700" w:rsidRDefault="00286F49" w:rsidP="003B4290">
            <w:pPr>
              <w:pStyle w:val="cuatexto"/>
              <w:jc w:val="right"/>
              <w:rPr>
                <w:snapToGrid w:val="0"/>
                <w:szCs w:val="20"/>
              </w:rPr>
            </w:pPr>
            <w:r w:rsidRPr="00C97700">
              <w:rPr>
                <w:snapToGrid w:val="0"/>
                <w:szCs w:val="20"/>
              </w:rPr>
              <w:t>59.921.089</w:t>
            </w:r>
          </w:p>
        </w:tc>
        <w:tc>
          <w:tcPr>
            <w:tcW w:w="1170" w:type="pct"/>
            <w:tcBorders>
              <w:top w:val="single" w:sz="2" w:space="0" w:color="auto"/>
              <w:left w:val="nil"/>
              <w:bottom w:val="single" w:sz="2" w:space="0" w:color="auto"/>
              <w:right w:val="nil"/>
            </w:tcBorders>
            <w:vAlign w:val="center"/>
          </w:tcPr>
          <w:p w14:paraId="06913FBD" w14:textId="77777777" w:rsidR="00286F49" w:rsidRPr="00C97700" w:rsidRDefault="00286F49" w:rsidP="003B4290">
            <w:pPr>
              <w:pStyle w:val="cuatexto"/>
              <w:jc w:val="right"/>
              <w:rPr>
                <w:snapToGrid w:val="0"/>
                <w:szCs w:val="20"/>
              </w:rPr>
            </w:pPr>
            <w:r w:rsidRPr="00C97700">
              <w:rPr>
                <w:snapToGrid w:val="0"/>
                <w:szCs w:val="20"/>
              </w:rPr>
              <w:t>55.730.148</w:t>
            </w:r>
          </w:p>
        </w:tc>
      </w:tr>
      <w:tr w:rsidR="00286F49" w:rsidRPr="00286F49" w14:paraId="6FA6EA67" w14:textId="77777777" w:rsidTr="00053346">
        <w:trPr>
          <w:trHeight w:val="198"/>
          <w:jc w:val="center"/>
        </w:trPr>
        <w:tc>
          <w:tcPr>
            <w:tcW w:w="2661" w:type="pct"/>
            <w:tcBorders>
              <w:top w:val="single" w:sz="2" w:space="0" w:color="auto"/>
              <w:left w:val="nil"/>
              <w:bottom w:val="single" w:sz="2" w:space="0" w:color="auto"/>
              <w:right w:val="nil"/>
            </w:tcBorders>
            <w:vAlign w:val="center"/>
            <w:hideMark/>
          </w:tcPr>
          <w:p w14:paraId="7464F5A4" w14:textId="77777777" w:rsidR="00286F49" w:rsidRPr="00C97700" w:rsidRDefault="00286F49" w:rsidP="005E5C0D">
            <w:pPr>
              <w:pStyle w:val="cuatexto"/>
              <w:rPr>
                <w:snapToGrid w:val="0"/>
                <w:szCs w:val="20"/>
              </w:rPr>
            </w:pPr>
            <w:r w:rsidRPr="00C97700">
              <w:rPr>
                <w:snapToGrid w:val="0"/>
                <w:szCs w:val="20"/>
              </w:rPr>
              <w:t xml:space="preserve">c) Otros ingresos de gestión </w:t>
            </w:r>
          </w:p>
        </w:tc>
        <w:tc>
          <w:tcPr>
            <w:tcW w:w="1170" w:type="pct"/>
            <w:tcBorders>
              <w:top w:val="single" w:sz="2" w:space="0" w:color="auto"/>
              <w:left w:val="nil"/>
              <w:bottom w:val="single" w:sz="2" w:space="0" w:color="auto"/>
              <w:right w:val="nil"/>
            </w:tcBorders>
            <w:shd w:val="clear" w:color="auto" w:fill="auto"/>
            <w:vAlign w:val="center"/>
          </w:tcPr>
          <w:p w14:paraId="60309C92" w14:textId="77777777" w:rsidR="00286F49" w:rsidRPr="00C97700" w:rsidRDefault="00286F49" w:rsidP="003B4290">
            <w:pPr>
              <w:pStyle w:val="cuatexto"/>
              <w:jc w:val="right"/>
              <w:rPr>
                <w:snapToGrid w:val="0"/>
                <w:szCs w:val="20"/>
              </w:rPr>
            </w:pPr>
            <w:r w:rsidRPr="00C97700">
              <w:rPr>
                <w:snapToGrid w:val="0"/>
                <w:szCs w:val="20"/>
              </w:rPr>
              <w:t>38.821.493</w:t>
            </w:r>
          </w:p>
        </w:tc>
        <w:tc>
          <w:tcPr>
            <w:tcW w:w="1170" w:type="pct"/>
            <w:tcBorders>
              <w:top w:val="single" w:sz="2" w:space="0" w:color="auto"/>
              <w:left w:val="nil"/>
              <w:bottom w:val="single" w:sz="2" w:space="0" w:color="auto"/>
              <w:right w:val="nil"/>
            </w:tcBorders>
            <w:vAlign w:val="center"/>
          </w:tcPr>
          <w:p w14:paraId="43F380F4" w14:textId="77777777" w:rsidR="00286F49" w:rsidRPr="00C97700" w:rsidRDefault="00286F49" w:rsidP="003B4290">
            <w:pPr>
              <w:pStyle w:val="cuatexto"/>
              <w:jc w:val="right"/>
              <w:rPr>
                <w:snapToGrid w:val="0"/>
                <w:szCs w:val="20"/>
              </w:rPr>
            </w:pPr>
            <w:r w:rsidRPr="00C97700">
              <w:rPr>
                <w:snapToGrid w:val="0"/>
                <w:szCs w:val="20"/>
              </w:rPr>
              <w:t>47.510.996</w:t>
            </w:r>
          </w:p>
        </w:tc>
      </w:tr>
      <w:tr w:rsidR="00286F49" w:rsidRPr="00286F49" w14:paraId="6C79AC81" w14:textId="77777777" w:rsidTr="00053346">
        <w:trPr>
          <w:trHeight w:val="198"/>
          <w:jc w:val="center"/>
        </w:trPr>
        <w:tc>
          <w:tcPr>
            <w:tcW w:w="2661" w:type="pct"/>
            <w:tcBorders>
              <w:top w:val="single" w:sz="2" w:space="0" w:color="auto"/>
              <w:left w:val="nil"/>
              <w:bottom w:val="single" w:sz="2" w:space="0" w:color="auto"/>
              <w:right w:val="nil"/>
            </w:tcBorders>
            <w:vAlign w:val="center"/>
            <w:hideMark/>
          </w:tcPr>
          <w:p w14:paraId="717B627B" w14:textId="77777777" w:rsidR="00286F49" w:rsidRPr="00C97700" w:rsidRDefault="00286F49" w:rsidP="005E5C0D">
            <w:pPr>
              <w:pStyle w:val="cuatexto"/>
              <w:rPr>
                <w:snapToGrid w:val="0"/>
                <w:szCs w:val="20"/>
              </w:rPr>
            </w:pPr>
            <w:r w:rsidRPr="00C97700">
              <w:rPr>
                <w:snapToGrid w:val="0"/>
                <w:szCs w:val="20"/>
              </w:rPr>
              <w:t>c.1) Ingresos accesorios y otros de gestión corriente</w:t>
            </w:r>
          </w:p>
        </w:tc>
        <w:tc>
          <w:tcPr>
            <w:tcW w:w="1170" w:type="pct"/>
            <w:tcBorders>
              <w:top w:val="single" w:sz="2" w:space="0" w:color="auto"/>
              <w:left w:val="nil"/>
              <w:bottom w:val="single" w:sz="2" w:space="0" w:color="auto"/>
              <w:right w:val="nil"/>
            </w:tcBorders>
            <w:shd w:val="clear" w:color="auto" w:fill="auto"/>
            <w:vAlign w:val="center"/>
          </w:tcPr>
          <w:p w14:paraId="257E0CA2" w14:textId="77777777" w:rsidR="00286F49" w:rsidRPr="00C97700" w:rsidRDefault="00286F49" w:rsidP="003B4290">
            <w:pPr>
              <w:pStyle w:val="cuatexto"/>
              <w:jc w:val="right"/>
              <w:rPr>
                <w:snapToGrid w:val="0"/>
                <w:szCs w:val="20"/>
              </w:rPr>
            </w:pPr>
            <w:r w:rsidRPr="00C97700">
              <w:rPr>
                <w:snapToGrid w:val="0"/>
                <w:szCs w:val="20"/>
              </w:rPr>
              <w:t>38.821.493</w:t>
            </w:r>
          </w:p>
        </w:tc>
        <w:tc>
          <w:tcPr>
            <w:tcW w:w="1170" w:type="pct"/>
            <w:tcBorders>
              <w:top w:val="single" w:sz="2" w:space="0" w:color="auto"/>
              <w:left w:val="nil"/>
              <w:bottom w:val="single" w:sz="2" w:space="0" w:color="auto"/>
              <w:right w:val="nil"/>
            </w:tcBorders>
            <w:vAlign w:val="center"/>
          </w:tcPr>
          <w:p w14:paraId="6FB777BE" w14:textId="77777777" w:rsidR="00286F49" w:rsidRPr="00C97700" w:rsidRDefault="00286F49" w:rsidP="003B4290">
            <w:pPr>
              <w:pStyle w:val="cuatexto"/>
              <w:jc w:val="right"/>
              <w:rPr>
                <w:snapToGrid w:val="0"/>
                <w:szCs w:val="20"/>
              </w:rPr>
            </w:pPr>
            <w:r w:rsidRPr="00C97700">
              <w:rPr>
                <w:snapToGrid w:val="0"/>
                <w:szCs w:val="20"/>
              </w:rPr>
              <w:t>47.510.996</w:t>
            </w:r>
          </w:p>
        </w:tc>
      </w:tr>
      <w:tr w:rsidR="00286F49" w:rsidRPr="00286F49" w14:paraId="7F038AEE" w14:textId="77777777" w:rsidTr="00053346">
        <w:trPr>
          <w:trHeight w:val="198"/>
          <w:jc w:val="center"/>
        </w:trPr>
        <w:tc>
          <w:tcPr>
            <w:tcW w:w="2661" w:type="pct"/>
            <w:tcBorders>
              <w:top w:val="single" w:sz="2" w:space="0" w:color="auto"/>
              <w:left w:val="nil"/>
              <w:bottom w:val="single" w:sz="2" w:space="0" w:color="auto"/>
              <w:right w:val="nil"/>
            </w:tcBorders>
            <w:vAlign w:val="center"/>
            <w:hideMark/>
          </w:tcPr>
          <w:p w14:paraId="12DBD411" w14:textId="77777777" w:rsidR="00286F49" w:rsidRPr="00C97700" w:rsidRDefault="00286F49" w:rsidP="005E5C0D">
            <w:pPr>
              <w:pStyle w:val="cuatexto"/>
              <w:rPr>
                <w:snapToGrid w:val="0"/>
                <w:szCs w:val="20"/>
              </w:rPr>
            </w:pPr>
            <w:r w:rsidRPr="00C97700">
              <w:rPr>
                <w:snapToGrid w:val="0"/>
                <w:szCs w:val="20"/>
              </w:rPr>
              <w:t>f) Otros ingresos financieros</w:t>
            </w:r>
          </w:p>
        </w:tc>
        <w:tc>
          <w:tcPr>
            <w:tcW w:w="1170" w:type="pct"/>
            <w:tcBorders>
              <w:top w:val="single" w:sz="2" w:space="0" w:color="auto"/>
              <w:left w:val="nil"/>
              <w:bottom w:val="single" w:sz="2" w:space="0" w:color="auto"/>
              <w:right w:val="nil"/>
            </w:tcBorders>
            <w:shd w:val="clear" w:color="auto" w:fill="auto"/>
            <w:vAlign w:val="center"/>
          </w:tcPr>
          <w:p w14:paraId="166345C1" w14:textId="77777777" w:rsidR="00286F49" w:rsidRPr="00C97700" w:rsidRDefault="00286F49" w:rsidP="003B4290">
            <w:pPr>
              <w:pStyle w:val="cuatexto"/>
              <w:jc w:val="right"/>
              <w:rPr>
                <w:snapToGrid w:val="0"/>
                <w:szCs w:val="20"/>
              </w:rPr>
            </w:pPr>
            <w:r w:rsidRPr="00C97700">
              <w:rPr>
                <w:snapToGrid w:val="0"/>
                <w:szCs w:val="20"/>
              </w:rPr>
              <w:t>28.856.085</w:t>
            </w:r>
          </w:p>
        </w:tc>
        <w:tc>
          <w:tcPr>
            <w:tcW w:w="1170" w:type="pct"/>
            <w:tcBorders>
              <w:top w:val="single" w:sz="2" w:space="0" w:color="auto"/>
              <w:left w:val="nil"/>
              <w:bottom w:val="single" w:sz="2" w:space="0" w:color="auto"/>
              <w:right w:val="nil"/>
            </w:tcBorders>
            <w:vAlign w:val="center"/>
          </w:tcPr>
          <w:p w14:paraId="7977ABB7" w14:textId="77777777" w:rsidR="00286F49" w:rsidRPr="00C97700" w:rsidRDefault="00286F49" w:rsidP="003B4290">
            <w:pPr>
              <w:pStyle w:val="cuatexto"/>
              <w:jc w:val="right"/>
              <w:rPr>
                <w:snapToGrid w:val="0"/>
                <w:szCs w:val="20"/>
              </w:rPr>
            </w:pPr>
            <w:r w:rsidRPr="00C97700">
              <w:rPr>
                <w:snapToGrid w:val="0"/>
                <w:szCs w:val="20"/>
              </w:rPr>
              <w:t>11.519.213</w:t>
            </w:r>
          </w:p>
        </w:tc>
      </w:tr>
      <w:tr w:rsidR="00286F49" w:rsidRPr="00286F49" w14:paraId="241711FA" w14:textId="77777777" w:rsidTr="009B2DAA">
        <w:trPr>
          <w:trHeight w:val="198"/>
          <w:jc w:val="center"/>
        </w:trPr>
        <w:tc>
          <w:tcPr>
            <w:tcW w:w="2661" w:type="pct"/>
            <w:tcBorders>
              <w:top w:val="single" w:sz="2" w:space="0" w:color="auto"/>
              <w:left w:val="nil"/>
              <w:bottom w:val="single" w:sz="4" w:space="0" w:color="auto"/>
              <w:right w:val="nil"/>
            </w:tcBorders>
            <w:vAlign w:val="center"/>
            <w:hideMark/>
          </w:tcPr>
          <w:p w14:paraId="45F5CB9D" w14:textId="77777777" w:rsidR="00286F49" w:rsidRPr="00C97700" w:rsidRDefault="00286F49" w:rsidP="005E5C0D">
            <w:pPr>
              <w:pStyle w:val="cuatexto"/>
              <w:rPr>
                <w:snapToGrid w:val="0"/>
                <w:szCs w:val="20"/>
              </w:rPr>
            </w:pPr>
            <w:r w:rsidRPr="00C97700">
              <w:rPr>
                <w:snapToGrid w:val="0"/>
                <w:szCs w:val="20"/>
              </w:rPr>
              <w:t xml:space="preserve">f.1) Otros intereses </w:t>
            </w:r>
          </w:p>
        </w:tc>
        <w:tc>
          <w:tcPr>
            <w:tcW w:w="1170" w:type="pct"/>
            <w:tcBorders>
              <w:top w:val="single" w:sz="2" w:space="0" w:color="auto"/>
              <w:left w:val="nil"/>
              <w:bottom w:val="single" w:sz="4" w:space="0" w:color="auto"/>
              <w:right w:val="nil"/>
            </w:tcBorders>
            <w:shd w:val="clear" w:color="auto" w:fill="auto"/>
            <w:vAlign w:val="center"/>
          </w:tcPr>
          <w:p w14:paraId="01912952" w14:textId="77777777" w:rsidR="00286F49" w:rsidRPr="00C97700" w:rsidRDefault="00286F49" w:rsidP="003B4290">
            <w:pPr>
              <w:pStyle w:val="cuatexto"/>
              <w:jc w:val="right"/>
              <w:rPr>
                <w:snapToGrid w:val="0"/>
                <w:szCs w:val="20"/>
              </w:rPr>
            </w:pPr>
            <w:r w:rsidRPr="00C97700">
              <w:rPr>
                <w:snapToGrid w:val="0"/>
                <w:szCs w:val="20"/>
              </w:rPr>
              <w:t>28.856.085</w:t>
            </w:r>
          </w:p>
        </w:tc>
        <w:tc>
          <w:tcPr>
            <w:tcW w:w="1170" w:type="pct"/>
            <w:tcBorders>
              <w:top w:val="single" w:sz="2" w:space="0" w:color="auto"/>
              <w:left w:val="nil"/>
              <w:bottom w:val="single" w:sz="4" w:space="0" w:color="auto"/>
              <w:right w:val="nil"/>
            </w:tcBorders>
            <w:vAlign w:val="center"/>
          </w:tcPr>
          <w:p w14:paraId="38EAD5C1" w14:textId="77777777" w:rsidR="00286F49" w:rsidRPr="00C97700" w:rsidRDefault="00286F49" w:rsidP="003B4290">
            <w:pPr>
              <w:pStyle w:val="cuatexto"/>
              <w:jc w:val="right"/>
              <w:rPr>
                <w:snapToGrid w:val="0"/>
                <w:szCs w:val="20"/>
              </w:rPr>
            </w:pPr>
            <w:r w:rsidRPr="00C97700">
              <w:rPr>
                <w:snapToGrid w:val="0"/>
                <w:szCs w:val="20"/>
              </w:rPr>
              <w:t>11.519.213</w:t>
            </w:r>
          </w:p>
        </w:tc>
      </w:tr>
      <w:tr w:rsidR="00286F49" w:rsidRPr="00483A21" w14:paraId="5917A7AE" w14:textId="77777777" w:rsidTr="009B2DAA">
        <w:trPr>
          <w:trHeight w:val="198"/>
          <w:jc w:val="center"/>
        </w:trPr>
        <w:tc>
          <w:tcPr>
            <w:tcW w:w="2661" w:type="pct"/>
            <w:tcBorders>
              <w:top w:val="single" w:sz="4" w:space="0" w:color="auto"/>
              <w:left w:val="nil"/>
              <w:bottom w:val="single" w:sz="4" w:space="0" w:color="auto"/>
              <w:right w:val="nil"/>
            </w:tcBorders>
            <w:vAlign w:val="center"/>
            <w:hideMark/>
          </w:tcPr>
          <w:p w14:paraId="24195FFD" w14:textId="77777777" w:rsidR="00286F49" w:rsidRPr="00C97700" w:rsidRDefault="00286F49" w:rsidP="005E5C0D">
            <w:pPr>
              <w:pStyle w:val="cuatexto"/>
              <w:rPr>
                <w:b/>
                <w:snapToGrid w:val="0"/>
                <w:szCs w:val="20"/>
              </w:rPr>
            </w:pPr>
            <w:r w:rsidRPr="00C97700">
              <w:rPr>
                <w:b/>
                <w:snapToGrid w:val="0"/>
                <w:szCs w:val="20"/>
              </w:rPr>
              <w:t xml:space="preserve">3. Transferencias y subvenciones </w:t>
            </w:r>
          </w:p>
        </w:tc>
        <w:tc>
          <w:tcPr>
            <w:tcW w:w="1170" w:type="pct"/>
            <w:tcBorders>
              <w:top w:val="single" w:sz="4" w:space="0" w:color="auto"/>
              <w:left w:val="nil"/>
              <w:bottom w:val="single" w:sz="4" w:space="0" w:color="auto"/>
              <w:right w:val="nil"/>
            </w:tcBorders>
            <w:shd w:val="clear" w:color="auto" w:fill="auto"/>
            <w:vAlign w:val="center"/>
          </w:tcPr>
          <w:p w14:paraId="7C844147" w14:textId="77777777" w:rsidR="00286F49" w:rsidRPr="00C97700" w:rsidRDefault="00286F49" w:rsidP="003B4290">
            <w:pPr>
              <w:pStyle w:val="cuatexto"/>
              <w:jc w:val="right"/>
              <w:rPr>
                <w:b/>
                <w:snapToGrid w:val="0"/>
                <w:szCs w:val="20"/>
              </w:rPr>
            </w:pPr>
            <w:r w:rsidRPr="00C97700">
              <w:rPr>
                <w:b/>
                <w:snapToGrid w:val="0"/>
                <w:szCs w:val="20"/>
              </w:rPr>
              <w:t>524.358.469</w:t>
            </w:r>
          </w:p>
        </w:tc>
        <w:tc>
          <w:tcPr>
            <w:tcW w:w="1170" w:type="pct"/>
            <w:tcBorders>
              <w:top w:val="single" w:sz="4" w:space="0" w:color="auto"/>
              <w:left w:val="nil"/>
              <w:bottom w:val="single" w:sz="4" w:space="0" w:color="auto"/>
              <w:right w:val="nil"/>
            </w:tcBorders>
            <w:vAlign w:val="center"/>
          </w:tcPr>
          <w:p w14:paraId="78C92EDC" w14:textId="77777777" w:rsidR="00286F49" w:rsidRPr="00C97700" w:rsidRDefault="00286F49" w:rsidP="003B4290">
            <w:pPr>
              <w:pStyle w:val="cuatexto"/>
              <w:jc w:val="right"/>
              <w:rPr>
                <w:b/>
                <w:snapToGrid w:val="0"/>
                <w:szCs w:val="20"/>
              </w:rPr>
            </w:pPr>
            <w:r w:rsidRPr="00C97700">
              <w:rPr>
                <w:b/>
                <w:snapToGrid w:val="0"/>
                <w:szCs w:val="20"/>
              </w:rPr>
              <w:t>421.633.342</w:t>
            </w:r>
          </w:p>
        </w:tc>
      </w:tr>
      <w:tr w:rsidR="00286F49" w:rsidRPr="00286F49" w14:paraId="00FC4D4C" w14:textId="77777777" w:rsidTr="009B2DAA">
        <w:trPr>
          <w:trHeight w:val="198"/>
          <w:jc w:val="center"/>
        </w:trPr>
        <w:tc>
          <w:tcPr>
            <w:tcW w:w="2661" w:type="pct"/>
            <w:tcBorders>
              <w:top w:val="single" w:sz="4" w:space="0" w:color="auto"/>
              <w:left w:val="nil"/>
              <w:bottom w:val="single" w:sz="2" w:space="0" w:color="auto"/>
              <w:right w:val="nil"/>
            </w:tcBorders>
            <w:vAlign w:val="center"/>
            <w:hideMark/>
          </w:tcPr>
          <w:p w14:paraId="7B889E7E" w14:textId="77777777" w:rsidR="00286F49" w:rsidRPr="00C97700" w:rsidRDefault="00286F49" w:rsidP="005E5C0D">
            <w:pPr>
              <w:pStyle w:val="cuatexto"/>
              <w:rPr>
                <w:snapToGrid w:val="0"/>
                <w:szCs w:val="20"/>
              </w:rPr>
            </w:pPr>
            <w:r w:rsidRPr="00C97700">
              <w:rPr>
                <w:snapToGrid w:val="0"/>
                <w:szCs w:val="20"/>
              </w:rPr>
              <w:t xml:space="preserve">a) Transferencias corrientes </w:t>
            </w:r>
          </w:p>
        </w:tc>
        <w:tc>
          <w:tcPr>
            <w:tcW w:w="1170" w:type="pct"/>
            <w:tcBorders>
              <w:top w:val="single" w:sz="4" w:space="0" w:color="auto"/>
              <w:left w:val="nil"/>
              <w:bottom w:val="single" w:sz="2" w:space="0" w:color="auto"/>
              <w:right w:val="nil"/>
            </w:tcBorders>
            <w:shd w:val="clear" w:color="auto" w:fill="auto"/>
            <w:vAlign w:val="center"/>
          </w:tcPr>
          <w:p w14:paraId="43353146" w14:textId="77777777" w:rsidR="00286F49" w:rsidRPr="00C97700" w:rsidRDefault="00286F49" w:rsidP="003B4290">
            <w:pPr>
              <w:pStyle w:val="cuatexto"/>
              <w:jc w:val="right"/>
              <w:rPr>
                <w:snapToGrid w:val="0"/>
                <w:szCs w:val="20"/>
              </w:rPr>
            </w:pPr>
            <w:r w:rsidRPr="00C97700">
              <w:rPr>
                <w:snapToGrid w:val="0"/>
                <w:szCs w:val="20"/>
              </w:rPr>
              <w:t>334.758.924</w:t>
            </w:r>
          </w:p>
        </w:tc>
        <w:tc>
          <w:tcPr>
            <w:tcW w:w="1170" w:type="pct"/>
            <w:tcBorders>
              <w:top w:val="single" w:sz="4" w:space="0" w:color="auto"/>
              <w:left w:val="nil"/>
              <w:bottom w:val="single" w:sz="2" w:space="0" w:color="auto"/>
              <w:right w:val="nil"/>
            </w:tcBorders>
            <w:vAlign w:val="center"/>
          </w:tcPr>
          <w:p w14:paraId="6AB01AAD" w14:textId="77777777" w:rsidR="00286F49" w:rsidRPr="00C97700" w:rsidRDefault="00286F49" w:rsidP="003B4290">
            <w:pPr>
              <w:pStyle w:val="cuatexto"/>
              <w:jc w:val="right"/>
              <w:rPr>
                <w:snapToGrid w:val="0"/>
                <w:szCs w:val="20"/>
              </w:rPr>
            </w:pPr>
            <w:r w:rsidRPr="00C97700">
              <w:rPr>
                <w:snapToGrid w:val="0"/>
                <w:szCs w:val="20"/>
              </w:rPr>
              <w:t>220.038.880</w:t>
            </w:r>
          </w:p>
        </w:tc>
      </w:tr>
      <w:tr w:rsidR="00286F49" w:rsidRPr="00286F49" w14:paraId="778C8D12" w14:textId="77777777" w:rsidTr="009B2DAA">
        <w:trPr>
          <w:trHeight w:val="198"/>
          <w:jc w:val="center"/>
        </w:trPr>
        <w:tc>
          <w:tcPr>
            <w:tcW w:w="2661" w:type="pct"/>
            <w:tcBorders>
              <w:top w:val="single" w:sz="2" w:space="0" w:color="auto"/>
              <w:left w:val="nil"/>
              <w:bottom w:val="single" w:sz="4" w:space="0" w:color="auto"/>
              <w:right w:val="nil"/>
            </w:tcBorders>
            <w:vAlign w:val="center"/>
            <w:hideMark/>
          </w:tcPr>
          <w:p w14:paraId="6A2E060B" w14:textId="77777777" w:rsidR="00286F49" w:rsidRPr="00C97700" w:rsidRDefault="00286F49" w:rsidP="005E5C0D">
            <w:pPr>
              <w:pStyle w:val="cuatexto"/>
              <w:rPr>
                <w:snapToGrid w:val="0"/>
                <w:szCs w:val="20"/>
              </w:rPr>
            </w:pPr>
            <w:r w:rsidRPr="00C97700">
              <w:rPr>
                <w:snapToGrid w:val="0"/>
                <w:szCs w:val="20"/>
              </w:rPr>
              <w:t xml:space="preserve">b) Transferencias de capital </w:t>
            </w:r>
          </w:p>
        </w:tc>
        <w:tc>
          <w:tcPr>
            <w:tcW w:w="1170" w:type="pct"/>
            <w:tcBorders>
              <w:top w:val="single" w:sz="2" w:space="0" w:color="auto"/>
              <w:left w:val="nil"/>
              <w:bottom w:val="single" w:sz="4" w:space="0" w:color="auto"/>
              <w:right w:val="nil"/>
            </w:tcBorders>
            <w:shd w:val="clear" w:color="auto" w:fill="auto"/>
            <w:vAlign w:val="center"/>
          </w:tcPr>
          <w:p w14:paraId="02AABF00" w14:textId="77777777" w:rsidR="00286F49" w:rsidRPr="00C97700" w:rsidRDefault="00286F49" w:rsidP="003B4290">
            <w:pPr>
              <w:pStyle w:val="cuatexto"/>
              <w:jc w:val="right"/>
              <w:rPr>
                <w:snapToGrid w:val="0"/>
                <w:szCs w:val="20"/>
              </w:rPr>
            </w:pPr>
            <w:r w:rsidRPr="00C97700">
              <w:rPr>
                <w:snapToGrid w:val="0"/>
                <w:szCs w:val="20"/>
              </w:rPr>
              <w:t>189.599.545</w:t>
            </w:r>
          </w:p>
        </w:tc>
        <w:tc>
          <w:tcPr>
            <w:tcW w:w="1170" w:type="pct"/>
            <w:tcBorders>
              <w:top w:val="single" w:sz="2" w:space="0" w:color="auto"/>
              <w:left w:val="nil"/>
              <w:bottom w:val="single" w:sz="4" w:space="0" w:color="auto"/>
              <w:right w:val="nil"/>
            </w:tcBorders>
            <w:vAlign w:val="center"/>
          </w:tcPr>
          <w:p w14:paraId="6B6E0A43" w14:textId="77777777" w:rsidR="00286F49" w:rsidRPr="00C97700" w:rsidRDefault="00286F49" w:rsidP="003B4290">
            <w:pPr>
              <w:pStyle w:val="cuatexto"/>
              <w:jc w:val="right"/>
              <w:rPr>
                <w:snapToGrid w:val="0"/>
                <w:szCs w:val="20"/>
              </w:rPr>
            </w:pPr>
            <w:r w:rsidRPr="00C97700">
              <w:rPr>
                <w:snapToGrid w:val="0"/>
                <w:szCs w:val="20"/>
              </w:rPr>
              <w:t>201.594.462</w:t>
            </w:r>
          </w:p>
        </w:tc>
      </w:tr>
      <w:tr w:rsidR="00286F49" w:rsidRPr="00483A21" w14:paraId="35625A57" w14:textId="77777777" w:rsidTr="009B2DAA">
        <w:trPr>
          <w:trHeight w:val="198"/>
          <w:jc w:val="center"/>
        </w:trPr>
        <w:tc>
          <w:tcPr>
            <w:tcW w:w="2661" w:type="pct"/>
            <w:tcBorders>
              <w:top w:val="single" w:sz="4" w:space="0" w:color="auto"/>
              <w:left w:val="nil"/>
              <w:bottom w:val="single" w:sz="4" w:space="0" w:color="auto"/>
              <w:right w:val="nil"/>
            </w:tcBorders>
            <w:vAlign w:val="center"/>
            <w:hideMark/>
          </w:tcPr>
          <w:p w14:paraId="660CEF7C" w14:textId="77777777" w:rsidR="00286F49" w:rsidRPr="00C97700" w:rsidRDefault="00BD110A" w:rsidP="005E5C0D">
            <w:pPr>
              <w:pStyle w:val="cuatexto"/>
              <w:rPr>
                <w:b/>
                <w:snapToGrid w:val="0"/>
                <w:szCs w:val="20"/>
              </w:rPr>
            </w:pPr>
            <w:r w:rsidRPr="00C97700">
              <w:rPr>
                <w:b/>
                <w:snapToGrid w:val="0"/>
                <w:szCs w:val="20"/>
              </w:rPr>
              <w:t>4</w:t>
            </w:r>
            <w:r w:rsidR="00286F49" w:rsidRPr="00C97700">
              <w:rPr>
                <w:b/>
                <w:snapToGrid w:val="0"/>
                <w:szCs w:val="20"/>
              </w:rPr>
              <w:t xml:space="preserve">. Ganancias e ingresos extraordinarios </w:t>
            </w:r>
          </w:p>
        </w:tc>
        <w:tc>
          <w:tcPr>
            <w:tcW w:w="1170" w:type="pct"/>
            <w:tcBorders>
              <w:top w:val="single" w:sz="4" w:space="0" w:color="auto"/>
              <w:left w:val="nil"/>
              <w:bottom w:val="single" w:sz="4" w:space="0" w:color="auto"/>
              <w:right w:val="nil"/>
            </w:tcBorders>
            <w:shd w:val="clear" w:color="auto" w:fill="auto"/>
            <w:vAlign w:val="center"/>
          </w:tcPr>
          <w:p w14:paraId="194C634E" w14:textId="77777777" w:rsidR="00286F49" w:rsidRPr="00C97700" w:rsidRDefault="00286F49" w:rsidP="003B4290">
            <w:pPr>
              <w:pStyle w:val="cuatexto"/>
              <w:jc w:val="right"/>
              <w:rPr>
                <w:b/>
                <w:snapToGrid w:val="0"/>
                <w:szCs w:val="20"/>
              </w:rPr>
            </w:pPr>
            <w:r w:rsidRPr="00C97700">
              <w:rPr>
                <w:b/>
                <w:snapToGrid w:val="0"/>
                <w:szCs w:val="20"/>
              </w:rPr>
              <w:t>1.328.545</w:t>
            </w:r>
          </w:p>
        </w:tc>
        <w:tc>
          <w:tcPr>
            <w:tcW w:w="1170" w:type="pct"/>
            <w:tcBorders>
              <w:top w:val="single" w:sz="4" w:space="0" w:color="auto"/>
              <w:left w:val="nil"/>
              <w:bottom w:val="single" w:sz="4" w:space="0" w:color="auto"/>
              <w:right w:val="nil"/>
            </w:tcBorders>
            <w:vAlign w:val="center"/>
          </w:tcPr>
          <w:p w14:paraId="228A7976" w14:textId="77777777" w:rsidR="00286F49" w:rsidRPr="00C97700" w:rsidRDefault="00286F49" w:rsidP="003B4290">
            <w:pPr>
              <w:pStyle w:val="cuatexto"/>
              <w:jc w:val="right"/>
              <w:rPr>
                <w:b/>
                <w:snapToGrid w:val="0"/>
                <w:szCs w:val="20"/>
              </w:rPr>
            </w:pPr>
            <w:r w:rsidRPr="00C97700">
              <w:rPr>
                <w:b/>
                <w:snapToGrid w:val="0"/>
                <w:szCs w:val="20"/>
              </w:rPr>
              <w:t>11.820.190</w:t>
            </w:r>
          </w:p>
        </w:tc>
      </w:tr>
      <w:tr w:rsidR="00286F49" w:rsidRPr="00286F49" w14:paraId="26E3AC4E" w14:textId="77777777" w:rsidTr="009B2DAA">
        <w:trPr>
          <w:trHeight w:val="198"/>
          <w:jc w:val="center"/>
        </w:trPr>
        <w:tc>
          <w:tcPr>
            <w:tcW w:w="2661" w:type="pct"/>
            <w:tcBorders>
              <w:top w:val="single" w:sz="4" w:space="0" w:color="auto"/>
              <w:left w:val="nil"/>
              <w:bottom w:val="single" w:sz="2" w:space="0" w:color="auto"/>
              <w:right w:val="nil"/>
            </w:tcBorders>
            <w:vAlign w:val="center"/>
            <w:hideMark/>
          </w:tcPr>
          <w:p w14:paraId="19309778" w14:textId="77777777" w:rsidR="00286F49" w:rsidRPr="00C97700" w:rsidRDefault="00286F49" w:rsidP="005E5C0D">
            <w:pPr>
              <w:pStyle w:val="cuatexto"/>
              <w:rPr>
                <w:snapToGrid w:val="0"/>
                <w:szCs w:val="20"/>
              </w:rPr>
            </w:pPr>
            <w:r w:rsidRPr="00C97700">
              <w:rPr>
                <w:snapToGrid w:val="0"/>
                <w:szCs w:val="20"/>
              </w:rPr>
              <w:t xml:space="preserve">a) Beneficios procedentes del inmovilizado </w:t>
            </w:r>
          </w:p>
        </w:tc>
        <w:tc>
          <w:tcPr>
            <w:tcW w:w="1170" w:type="pct"/>
            <w:tcBorders>
              <w:top w:val="single" w:sz="4" w:space="0" w:color="auto"/>
              <w:left w:val="nil"/>
              <w:bottom w:val="single" w:sz="2" w:space="0" w:color="auto"/>
              <w:right w:val="nil"/>
            </w:tcBorders>
            <w:shd w:val="clear" w:color="auto" w:fill="auto"/>
            <w:vAlign w:val="center"/>
          </w:tcPr>
          <w:p w14:paraId="782FA497" w14:textId="77777777" w:rsidR="00286F49" w:rsidRPr="00C97700" w:rsidRDefault="00286F49" w:rsidP="003B4290">
            <w:pPr>
              <w:pStyle w:val="cuatexto"/>
              <w:jc w:val="right"/>
              <w:rPr>
                <w:snapToGrid w:val="0"/>
                <w:szCs w:val="20"/>
              </w:rPr>
            </w:pPr>
            <w:r w:rsidRPr="00C97700">
              <w:rPr>
                <w:snapToGrid w:val="0"/>
                <w:szCs w:val="20"/>
              </w:rPr>
              <w:t>257.398</w:t>
            </w:r>
          </w:p>
        </w:tc>
        <w:tc>
          <w:tcPr>
            <w:tcW w:w="1170" w:type="pct"/>
            <w:tcBorders>
              <w:top w:val="single" w:sz="4" w:space="0" w:color="auto"/>
              <w:left w:val="nil"/>
              <w:bottom w:val="single" w:sz="2" w:space="0" w:color="auto"/>
              <w:right w:val="nil"/>
            </w:tcBorders>
            <w:vAlign w:val="center"/>
          </w:tcPr>
          <w:p w14:paraId="56CA386E" w14:textId="77777777" w:rsidR="00286F49" w:rsidRPr="00C97700" w:rsidRDefault="00286F49" w:rsidP="003B4290">
            <w:pPr>
              <w:pStyle w:val="cuatexto"/>
              <w:jc w:val="right"/>
              <w:rPr>
                <w:snapToGrid w:val="0"/>
                <w:szCs w:val="20"/>
              </w:rPr>
            </w:pPr>
            <w:r w:rsidRPr="00C97700">
              <w:rPr>
                <w:snapToGrid w:val="0"/>
                <w:szCs w:val="20"/>
              </w:rPr>
              <w:t>125.258</w:t>
            </w:r>
          </w:p>
        </w:tc>
      </w:tr>
      <w:tr w:rsidR="00483A21" w:rsidRPr="00286F49" w14:paraId="4EB1DAAE" w14:textId="77777777" w:rsidTr="00053346">
        <w:trPr>
          <w:trHeight w:val="198"/>
          <w:jc w:val="center"/>
        </w:trPr>
        <w:tc>
          <w:tcPr>
            <w:tcW w:w="2661" w:type="pct"/>
            <w:tcBorders>
              <w:top w:val="single" w:sz="2" w:space="0" w:color="auto"/>
              <w:left w:val="nil"/>
              <w:bottom w:val="single" w:sz="2" w:space="0" w:color="auto"/>
              <w:right w:val="nil"/>
            </w:tcBorders>
            <w:vAlign w:val="center"/>
          </w:tcPr>
          <w:p w14:paraId="0755E5BC" w14:textId="77777777" w:rsidR="00483A21" w:rsidRPr="00C97700" w:rsidRDefault="00483A21" w:rsidP="005E5C0D">
            <w:pPr>
              <w:pStyle w:val="cuatexto"/>
              <w:rPr>
                <w:snapToGrid w:val="0"/>
                <w:szCs w:val="20"/>
              </w:rPr>
            </w:pPr>
            <w:r w:rsidRPr="00C97700">
              <w:rPr>
                <w:snapToGrid w:val="0"/>
                <w:szCs w:val="20"/>
              </w:rPr>
              <w:t>c) Ingresos extraordinarios ejercicio corriente</w:t>
            </w:r>
          </w:p>
        </w:tc>
        <w:tc>
          <w:tcPr>
            <w:tcW w:w="1170" w:type="pct"/>
            <w:tcBorders>
              <w:top w:val="single" w:sz="2" w:space="0" w:color="auto"/>
              <w:left w:val="nil"/>
              <w:bottom w:val="single" w:sz="2" w:space="0" w:color="auto"/>
              <w:right w:val="nil"/>
            </w:tcBorders>
            <w:shd w:val="clear" w:color="auto" w:fill="auto"/>
            <w:vAlign w:val="center"/>
          </w:tcPr>
          <w:p w14:paraId="055B1606" w14:textId="77777777" w:rsidR="00483A21" w:rsidRPr="00C97700" w:rsidRDefault="00483A21" w:rsidP="003B4290">
            <w:pPr>
              <w:pStyle w:val="cuatexto"/>
              <w:jc w:val="right"/>
              <w:rPr>
                <w:snapToGrid w:val="0"/>
                <w:szCs w:val="20"/>
              </w:rPr>
            </w:pPr>
            <w:r w:rsidRPr="00C97700">
              <w:rPr>
                <w:snapToGrid w:val="0"/>
                <w:szCs w:val="20"/>
              </w:rPr>
              <w:t>1.095</w:t>
            </w:r>
          </w:p>
        </w:tc>
        <w:tc>
          <w:tcPr>
            <w:tcW w:w="1170" w:type="pct"/>
            <w:tcBorders>
              <w:top w:val="single" w:sz="2" w:space="0" w:color="auto"/>
              <w:left w:val="nil"/>
              <w:bottom w:val="single" w:sz="2" w:space="0" w:color="auto"/>
              <w:right w:val="nil"/>
            </w:tcBorders>
            <w:vAlign w:val="center"/>
          </w:tcPr>
          <w:p w14:paraId="1268848D" w14:textId="77777777" w:rsidR="00483A21" w:rsidRPr="00C97700" w:rsidRDefault="00483A21" w:rsidP="003B4290">
            <w:pPr>
              <w:pStyle w:val="cuatexto"/>
              <w:jc w:val="right"/>
              <w:rPr>
                <w:snapToGrid w:val="0"/>
                <w:szCs w:val="20"/>
              </w:rPr>
            </w:pPr>
            <w:r w:rsidRPr="00C97700">
              <w:rPr>
                <w:snapToGrid w:val="0"/>
                <w:szCs w:val="20"/>
              </w:rPr>
              <w:t>-</w:t>
            </w:r>
          </w:p>
        </w:tc>
      </w:tr>
      <w:tr w:rsidR="00286F49" w:rsidRPr="00286F49" w14:paraId="55E31664" w14:textId="77777777" w:rsidTr="009B2DAA">
        <w:trPr>
          <w:trHeight w:val="198"/>
          <w:jc w:val="center"/>
        </w:trPr>
        <w:tc>
          <w:tcPr>
            <w:tcW w:w="2661" w:type="pct"/>
            <w:tcBorders>
              <w:top w:val="single" w:sz="2" w:space="0" w:color="auto"/>
              <w:left w:val="nil"/>
              <w:bottom w:val="single" w:sz="4" w:space="0" w:color="auto"/>
              <w:right w:val="nil"/>
            </w:tcBorders>
            <w:vAlign w:val="center"/>
            <w:hideMark/>
          </w:tcPr>
          <w:p w14:paraId="181F2DAA" w14:textId="77777777" w:rsidR="00286F49" w:rsidRPr="00C97700" w:rsidRDefault="00286F49" w:rsidP="005E5C0D">
            <w:pPr>
              <w:pStyle w:val="cuatexto"/>
              <w:rPr>
                <w:snapToGrid w:val="0"/>
                <w:szCs w:val="20"/>
              </w:rPr>
            </w:pPr>
            <w:r w:rsidRPr="00C97700">
              <w:rPr>
                <w:snapToGrid w:val="0"/>
                <w:szCs w:val="20"/>
              </w:rPr>
              <w:t>d) Ingresos y beneficios de otros ejercicios</w:t>
            </w:r>
          </w:p>
        </w:tc>
        <w:tc>
          <w:tcPr>
            <w:tcW w:w="1170" w:type="pct"/>
            <w:tcBorders>
              <w:top w:val="single" w:sz="2" w:space="0" w:color="auto"/>
              <w:left w:val="nil"/>
              <w:bottom w:val="single" w:sz="4" w:space="0" w:color="auto"/>
              <w:right w:val="nil"/>
            </w:tcBorders>
            <w:shd w:val="clear" w:color="auto" w:fill="auto"/>
            <w:vAlign w:val="center"/>
          </w:tcPr>
          <w:p w14:paraId="7F278E2C" w14:textId="77777777" w:rsidR="00286F49" w:rsidRPr="00C97700" w:rsidRDefault="00483A21" w:rsidP="003B4290">
            <w:pPr>
              <w:pStyle w:val="cuatexto"/>
              <w:jc w:val="right"/>
              <w:rPr>
                <w:snapToGrid w:val="0"/>
                <w:szCs w:val="20"/>
              </w:rPr>
            </w:pPr>
            <w:r w:rsidRPr="00C97700">
              <w:rPr>
                <w:snapToGrid w:val="0"/>
                <w:szCs w:val="20"/>
              </w:rPr>
              <w:t>1.070.052</w:t>
            </w:r>
          </w:p>
        </w:tc>
        <w:tc>
          <w:tcPr>
            <w:tcW w:w="1170" w:type="pct"/>
            <w:tcBorders>
              <w:top w:val="single" w:sz="2" w:space="0" w:color="auto"/>
              <w:left w:val="nil"/>
              <w:bottom w:val="single" w:sz="4" w:space="0" w:color="auto"/>
              <w:right w:val="nil"/>
            </w:tcBorders>
            <w:vAlign w:val="center"/>
          </w:tcPr>
          <w:p w14:paraId="2B862FC3" w14:textId="77777777" w:rsidR="00286F49" w:rsidRPr="00C97700" w:rsidRDefault="00286F49" w:rsidP="003B4290">
            <w:pPr>
              <w:pStyle w:val="cuatexto"/>
              <w:jc w:val="right"/>
              <w:rPr>
                <w:snapToGrid w:val="0"/>
                <w:szCs w:val="20"/>
              </w:rPr>
            </w:pPr>
            <w:r w:rsidRPr="00C97700">
              <w:rPr>
                <w:snapToGrid w:val="0"/>
                <w:szCs w:val="20"/>
              </w:rPr>
              <w:t>11.694.932</w:t>
            </w:r>
          </w:p>
        </w:tc>
      </w:tr>
      <w:tr w:rsidR="00286F49" w:rsidRPr="00483A21" w14:paraId="3783747A" w14:textId="77777777" w:rsidTr="009B2DAA">
        <w:trPr>
          <w:trHeight w:val="198"/>
          <w:jc w:val="center"/>
        </w:trPr>
        <w:tc>
          <w:tcPr>
            <w:tcW w:w="2661" w:type="pct"/>
            <w:tcBorders>
              <w:top w:val="single" w:sz="4" w:space="0" w:color="auto"/>
              <w:left w:val="nil"/>
              <w:bottom w:val="single" w:sz="4" w:space="0" w:color="auto"/>
              <w:right w:val="nil"/>
            </w:tcBorders>
            <w:vAlign w:val="center"/>
            <w:hideMark/>
          </w:tcPr>
          <w:p w14:paraId="03DEF045" w14:textId="77777777" w:rsidR="00286F49" w:rsidRPr="00483A21" w:rsidRDefault="00286F49" w:rsidP="005E5C0D">
            <w:pPr>
              <w:pStyle w:val="cuatexto"/>
              <w:rPr>
                <w:b/>
                <w:snapToGrid w:val="0"/>
              </w:rPr>
            </w:pPr>
            <w:r w:rsidRPr="00483A21">
              <w:rPr>
                <w:b/>
                <w:snapToGrid w:val="0"/>
              </w:rPr>
              <w:t>Saldo Deudor (Desahorro)</w:t>
            </w:r>
          </w:p>
        </w:tc>
        <w:tc>
          <w:tcPr>
            <w:tcW w:w="1170" w:type="pct"/>
            <w:tcBorders>
              <w:top w:val="single" w:sz="4" w:space="0" w:color="auto"/>
              <w:left w:val="nil"/>
              <w:bottom w:val="single" w:sz="4" w:space="0" w:color="auto"/>
              <w:right w:val="nil"/>
            </w:tcBorders>
            <w:shd w:val="clear" w:color="auto" w:fill="auto"/>
            <w:vAlign w:val="center"/>
          </w:tcPr>
          <w:p w14:paraId="1AB436CC" w14:textId="77777777" w:rsidR="00286F49" w:rsidRPr="00483A21" w:rsidRDefault="00483A21" w:rsidP="003B4290">
            <w:pPr>
              <w:pStyle w:val="cuatexto"/>
              <w:jc w:val="right"/>
              <w:rPr>
                <w:b/>
                <w:snapToGrid w:val="0"/>
              </w:rPr>
            </w:pPr>
            <w:r>
              <w:rPr>
                <w:b/>
                <w:snapToGrid w:val="0"/>
              </w:rPr>
              <w:t>-</w:t>
            </w:r>
          </w:p>
        </w:tc>
        <w:tc>
          <w:tcPr>
            <w:tcW w:w="1170" w:type="pct"/>
            <w:tcBorders>
              <w:top w:val="single" w:sz="4" w:space="0" w:color="auto"/>
              <w:left w:val="nil"/>
              <w:bottom w:val="single" w:sz="4" w:space="0" w:color="auto"/>
              <w:right w:val="nil"/>
            </w:tcBorders>
            <w:vAlign w:val="center"/>
          </w:tcPr>
          <w:p w14:paraId="0EA6FEA3" w14:textId="77777777" w:rsidR="00286F49" w:rsidRPr="00483A21" w:rsidRDefault="00483A21" w:rsidP="003B4290">
            <w:pPr>
              <w:pStyle w:val="cuatexto"/>
              <w:jc w:val="right"/>
              <w:rPr>
                <w:b/>
                <w:snapToGrid w:val="0"/>
              </w:rPr>
            </w:pPr>
            <w:r>
              <w:rPr>
                <w:b/>
                <w:snapToGrid w:val="0"/>
              </w:rPr>
              <w:t>-</w:t>
            </w:r>
          </w:p>
        </w:tc>
      </w:tr>
      <w:tr w:rsidR="00286F49" w:rsidRPr="00286F49" w14:paraId="5B272818" w14:textId="77777777" w:rsidTr="00C97700">
        <w:trPr>
          <w:trHeight w:val="255"/>
          <w:jc w:val="center"/>
        </w:trPr>
        <w:tc>
          <w:tcPr>
            <w:tcW w:w="2661" w:type="pct"/>
            <w:tcBorders>
              <w:top w:val="single" w:sz="4" w:space="0" w:color="auto"/>
              <w:left w:val="nil"/>
              <w:bottom w:val="single" w:sz="4" w:space="0" w:color="auto"/>
              <w:right w:val="nil"/>
            </w:tcBorders>
            <w:shd w:val="clear" w:color="auto" w:fill="8DB3E2"/>
            <w:vAlign w:val="center"/>
            <w:hideMark/>
          </w:tcPr>
          <w:p w14:paraId="49184E2D" w14:textId="77777777" w:rsidR="00286F49" w:rsidRPr="00286F49" w:rsidRDefault="00286F49" w:rsidP="005E5C0D">
            <w:pPr>
              <w:pStyle w:val="cuadroCabe"/>
              <w:rPr>
                <w:snapToGrid w:val="0"/>
                <w:lang w:val="es-ES_tradnl"/>
              </w:rPr>
            </w:pPr>
            <w:r w:rsidRPr="00286F49">
              <w:rPr>
                <w:snapToGrid w:val="0"/>
                <w:lang w:val="es-ES_tradnl"/>
              </w:rPr>
              <w:t>Total Haber</w:t>
            </w:r>
          </w:p>
        </w:tc>
        <w:tc>
          <w:tcPr>
            <w:tcW w:w="1170" w:type="pct"/>
            <w:tcBorders>
              <w:top w:val="single" w:sz="4" w:space="0" w:color="auto"/>
              <w:left w:val="nil"/>
              <w:bottom w:val="single" w:sz="4" w:space="0" w:color="auto"/>
              <w:right w:val="nil"/>
            </w:tcBorders>
            <w:shd w:val="clear" w:color="auto" w:fill="8DB3E2"/>
            <w:vAlign w:val="center"/>
          </w:tcPr>
          <w:p w14:paraId="447BF6BB" w14:textId="77777777" w:rsidR="00286F49" w:rsidRPr="00286F49" w:rsidRDefault="00286F49" w:rsidP="003B4290">
            <w:pPr>
              <w:pStyle w:val="cuadroCabe"/>
              <w:jc w:val="right"/>
            </w:pPr>
            <w:r w:rsidRPr="00451FD6">
              <w:rPr>
                <w:color w:val="000000"/>
              </w:rPr>
              <w:t>5.855.495.582</w:t>
            </w:r>
          </w:p>
        </w:tc>
        <w:tc>
          <w:tcPr>
            <w:tcW w:w="1170" w:type="pct"/>
            <w:tcBorders>
              <w:top w:val="single" w:sz="4" w:space="0" w:color="auto"/>
              <w:left w:val="nil"/>
              <w:bottom w:val="single" w:sz="4" w:space="0" w:color="auto"/>
              <w:right w:val="nil"/>
            </w:tcBorders>
            <w:shd w:val="clear" w:color="auto" w:fill="8DB3E2"/>
            <w:vAlign w:val="center"/>
          </w:tcPr>
          <w:p w14:paraId="62B52A5D" w14:textId="77777777" w:rsidR="00286F49" w:rsidRPr="00286F49" w:rsidRDefault="00286F49" w:rsidP="003B4290">
            <w:pPr>
              <w:pStyle w:val="cuadroCabe"/>
              <w:jc w:val="right"/>
            </w:pPr>
            <w:r w:rsidRPr="00286F49">
              <w:t>5.504.266.175</w:t>
            </w:r>
          </w:p>
        </w:tc>
      </w:tr>
    </w:tbl>
    <w:p w14:paraId="083A19A8" w14:textId="77777777" w:rsidR="00D12353" w:rsidRDefault="00D12353">
      <w:pPr>
        <w:rPr>
          <w:rFonts w:ascii="Arial" w:hAnsi="Arial"/>
          <w:b/>
          <w:color w:val="000000"/>
          <w:kern w:val="28"/>
          <w:sz w:val="25"/>
          <w:szCs w:val="26"/>
        </w:rPr>
      </w:pPr>
      <w:bookmarkStart w:id="73" w:name="_Toc146471235"/>
      <w:bookmarkStart w:id="74" w:name="_Toc525907438"/>
      <w:bookmarkStart w:id="75" w:name="_Toc494270382"/>
      <w:bookmarkStart w:id="76" w:name="_Toc463350248"/>
      <w:r>
        <w:br w:type="page"/>
      </w:r>
    </w:p>
    <w:p w14:paraId="37F6FBF4" w14:textId="77777777" w:rsidR="00614DC4" w:rsidRDefault="00614DC4" w:rsidP="005E5C0D">
      <w:pPr>
        <w:pStyle w:val="atitulo1"/>
        <w:spacing w:before="240"/>
      </w:pPr>
      <w:bookmarkStart w:id="77" w:name="_Toc182464269"/>
      <w:r>
        <w:lastRenderedPageBreak/>
        <w:t>Apéndice 2. Delimitación del Sector Público Foral de Navarra</w:t>
      </w:r>
      <w:bookmarkEnd w:id="73"/>
      <w:bookmarkEnd w:id="77"/>
    </w:p>
    <w:p w14:paraId="192C82C7" w14:textId="77777777" w:rsidR="009A38AE" w:rsidRDefault="00614DC4" w:rsidP="002B4FF0">
      <w:pPr>
        <w:pStyle w:val="texto"/>
        <w:spacing w:after="80"/>
        <w:jc w:val="both"/>
      </w:pPr>
      <w:r>
        <w:t>La delimitación del Sector Público Foral correspondiente a 202</w:t>
      </w:r>
      <w:r w:rsidR="00802F88">
        <w:t>3</w:t>
      </w:r>
      <w:r>
        <w:t xml:space="preserve"> puede ser analizada desde dos puntos de vista: </w:t>
      </w:r>
    </w:p>
    <w:p w14:paraId="5BA1DC8A" w14:textId="77777777" w:rsidR="00614DC4" w:rsidRPr="009A38AE" w:rsidRDefault="00614DC4" w:rsidP="008C2B8E">
      <w:pPr>
        <w:pStyle w:val="texto"/>
        <w:numPr>
          <w:ilvl w:val="0"/>
          <w:numId w:val="11"/>
        </w:numPr>
        <w:tabs>
          <w:tab w:val="clear" w:pos="2835"/>
          <w:tab w:val="clear" w:pos="3969"/>
          <w:tab w:val="num" w:pos="300"/>
          <w:tab w:val="num" w:pos="360"/>
          <w:tab w:val="left" w:pos="480"/>
          <w:tab w:val="num" w:pos="600"/>
          <w:tab w:val="num" w:pos="720"/>
          <w:tab w:val="num" w:pos="1320"/>
          <w:tab w:val="num" w:pos="2062"/>
          <w:tab w:val="num" w:pos="4472"/>
        </w:tabs>
        <w:spacing w:after="140"/>
        <w:ind w:left="0" w:firstLine="289"/>
        <w:jc w:val="both"/>
        <w:rPr>
          <w:rFonts w:cs="Arial"/>
          <w:lang w:val="es-ES_tradnl" w:eastAsia="en-US"/>
        </w:rPr>
      </w:pPr>
      <w:r w:rsidRPr="009A38AE">
        <w:rPr>
          <w:rFonts w:cs="Arial"/>
          <w:lang w:val="es-ES_tradnl" w:eastAsia="en-US"/>
        </w:rPr>
        <w:t xml:space="preserve">Conforme a la Ley Foral </w:t>
      </w:r>
      <w:r w:rsidR="006F6089">
        <w:rPr>
          <w:rFonts w:cs="Arial"/>
          <w:lang w:val="es-ES_tradnl" w:eastAsia="en-US"/>
        </w:rPr>
        <w:t xml:space="preserve">13/2007, de 4 de abril, </w:t>
      </w:r>
      <w:r w:rsidRPr="009A38AE">
        <w:rPr>
          <w:rFonts w:cs="Arial"/>
          <w:lang w:val="es-ES_tradnl" w:eastAsia="en-US"/>
        </w:rPr>
        <w:t xml:space="preserve">de </w:t>
      </w:r>
      <w:r w:rsidR="006F6089">
        <w:rPr>
          <w:rFonts w:cs="Arial"/>
          <w:lang w:val="es-ES_tradnl" w:eastAsia="en-US"/>
        </w:rPr>
        <w:t>la Hacienda Pública de Navarra (en adelante LFHPN)</w:t>
      </w:r>
    </w:p>
    <w:p w14:paraId="6B968893" w14:textId="77777777" w:rsidR="00614DC4" w:rsidRPr="009A38AE" w:rsidRDefault="00614DC4" w:rsidP="008C2B8E">
      <w:pPr>
        <w:pStyle w:val="texto"/>
        <w:numPr>
          <w:ilvl w:val="0"/>
          <w:numId w:val="11"/>
        </w:numPr>
        <w:tabs>
          <w:tab w:val="clear" w:pos="2835"/>
          <w:tab w:val="clear" w:pos="3969"/>
          <w:tab w:val="num" w:pos="300"/>
          <w:tab w:val="num" w:pos="360"/>
          <w:tab w:val="left" w:pos="480"/>
          <w:tab w:val="num" w:pos="600"/>
          <w:tab w:val="num" w:pos="720"/>
          <w:tab w:val="num" w:pos="1320"/>
          <w:tab w:val="num" w:pos="2062"/>
          <w:tab w:val="num" w:pos="4472"/>
        </w:tabs>
        <w:spacing w:after="140"/>
        <w:ind w:left="0" w:firstLine="289"/>
        <w:jc w:val="both"/>
        <w:rPr>
          <w:rFonts w:cs="Arial"/>
          <w:lang w:val="es-ES_tradnl" w:eastAsia="en-US"/>
        </w:rPr>
      </w:pPr>
      <w:r w:rsidRPr="009A38AE">
        <w:rPr>
          <w:rFonts w:cs="Arial"/>
          <w:lang w:val="es-ES_tradnl" w:eastAsia="en-US"/>
        </w:rPr>
        <w:t xml:space="preserve">Conforme a la Ley Orgánica </w:t>
      </w:r>
      <w:r w:rsidR="006F6089">
        <w:rPr>
          <w:rFonts w:cs="Arial"/>
          <w:lang w:val="es-ES_tradnl" w:eastAsia="en-US"/>
        </w:rPr>
        <w:t xml:space="preserve">2/2012, de 27 de abril, </w:t>
      </w:r>
      <w:r w:rsidRPr="009A38AE">
        <w:rPr>
          <w:rFonts w:cs="Arial"/>
          <w:lang w:val="es-ES_tradnl" w:eastAsia="en-US"/>
        </w:rPr>
        <w:t>de Estabilidad Presupuestaria y Sostenibilidad Financiera (</w:t>
      </w:r>
      <w:r w:rsidR="006F6089">
        <w:rPr>
          <w:rFonts w:cs="Arial"/>
          <w:lang w:val="es-ES_tradnl" w:eastAsia="en-US"/>
        </w:rPr>
        <w:t xml:space="preserve">en adelante </w:t>
      </w:r>
      <w:proofErr w:type="spellStart"/>
      <w:r w:rsidRPr="009A38AE">
        <w:rPr>
          <w:rFonts w:cs="Arial"/>
          <w:lang w:val="es-ES_tradnl" w:eastAsia="en-US"/>
        </w:rPr>
        <w:t>LOEPSyF</w:t>
      </w:r>
      <w:proofErr w:type="spellEnd"/>
      <w:r w:rsidRPr="009A38AE">
        <w:rPr>
          <w:rFonts w:cs="Arial"/>
          <w:lang w:val="es-ES_tradnl" w:eastAsia="en-US"/>
        </w:rPr>
        <w:t>).</w:t>
      </w:r>
    </w:p>
    <w:p w14:paraId="09026591" w14:textId="77777777" w:rsidR="00614DC4" w:rsidRDefault="00614DC4" w:rsidP="002B4FF0">
      <w:pPr>
        <w:pStyle w:val="atitulo2"/>
        <w:spacing w:before="120" w:after="120"/>
        <w:jc w:val="both"/>
        <w:rPr>
          <w:bCs w:val="0"/>
          <w:iCs w:val="0"/>
        </w:rPr>
      </w:pPr>
      <w:bookmarkStart w:id="78" w:name="_Toc146471236"/>
      <w:bookmarkStart w:id="79" w:name="_Toc52267353"/>
      <w:bookmarkStart w:id="80" w:name="_Toc402180169"/>
      <w:bookmarkStart w:id="81" w:name="_Toc182464270"/>
      <w:r>
        <w:rPr>
          <w:bCs w:val="0"/>
          <w:iCs w:val="0"/>
        </w:rPr>
        <w:t>2.1 Sector Público Foral según la Ley Foral 13/2007, de 4 de abril, de la Hacienda Pública de Navarra</w:t>
      </w:r>
      <w:bookmarkEnd w:id="78"/>
      <w:bookmarkEnd w:id="79"/>
      <w:bookmarkEnd w:id="80"/>
      <w:bookmarkEnd w:id="81"/>
    </w:p>
    <w:p w14:paraId="3BFF3063" w14:textId="77777777" w:rsidR="00614DC4" w:rsidRDefault="00614DC4" w:rsidP="002B4FF0">
      <w:pPr>
        <w:pStyle w:val="texto"/>
        <w:jc w:val="both"/>
      </w:pPr>
      <w:r>
        <w:t>El Sector Público Foral está integrado, en 202</w:t>
      </w:r>
      <w:r w:rsidR="00802F88">
        <w:t>3</w:t>
      </w:r>
      <w:r w:rsidR="006F6089">
        <w:t>, a efectos de la LFHPN</w:t>
      </w:r>
      <w:r>
        <w:t>, por:</w:t>
      </w:r>
    </w:p>
    <w:p w14:paraId="47F00F18" w14:textId="77777777" w:rsidR="009A38AE" w:rsidRDefault="009A38AE" w:rsidP="00286F49">
      <w:pPr>
        <w:pStyle w:val="texto"/>
        <w:jc w:val="both"/>
      </w:pPr>
    </w:p>
    <w:p w14:paraId="5F7FF059" w14:textId="77777777" w:rsidR="00614DC4" w:rsidRPr="009A38AE" w:rsidRDefault="00614DC4" w:rsidP="008C2B8E">
      <w:pPr>
        <w:pStyle w:val="texto"/>
        <w:numPr>
          <w:ilvl w:val="0"/>
          <w:numId w:val="11"/>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9A38AE">
        <w:rPr>
          <w:rFonts w:cs="Arial"/>
          <w:lang w:val="es-ES_tradnl" w:eastAsia="en-US"/>
        </w:rPr>
        <w:t xml:space="preserve">La ACFN y sus OOAA adscritos. </w:t>
      </w:r>
    </w:p>
    <w:p w14:paraId="4A345DFF" w14:textId="77777777" w:rsidR="00614DC4" w:rsidRPr="009A38AE" w:rsidRDefault="00614DC4" w:rsidP="008C2B8E">
      <w:pPr>
        <w:pStyle w:val="texto"/>
        <w:numPr>
          <w:ilvl w:val="0"/>
          <w:numId w:val="11"/>
        </w:numPr>
        <w:tabs>
          <w:tab w:val="clear" w:pos="2835"/>
          <w:tab w:val="clear" w:pos="3969"/>
          <w:tab w:val="num" w:pos="300"/>
          <w:tab w:val="num" w:pos="360"/>
          <w:tab w:val="left" w:pos="480"/>
          <w:tab w:val="num" w:pos="600"/>
          <w:tab w:val="num" w:pos="720"/>
          <w:tab w:val="num" w:pos="1320"/>
          <w:tab w:val="num" w:pos="2062"/>
          <w:tab w:val="num" w:pos="4472"/>
        </w:tabs>
        <w:spacing w:after="140"/>
        <w:ind w:left="0" w:firstLine="289"/>
        <w:jc w:val="both"/>
        <w:rPr>
          <w:rFonts w:cs="Arial"/>
          <w:lang w:val="es-ES_tradnl" w:eastAsia="en-US"/>
        </w:rPr>
      </w:pPr>
      <w:r w:rsidRPr="009A38AE">
        <w:rPr>
          <w:rFonts w:cs="Arial"/>
          <w:lang w:val="es-ES_tradnl" w:eastAsia="en-US"/>
        </w:rPr>
        <w:t>El Parlamento de Navarra y sus órganos dependientes, esto es, Cámara de Comptos y Defensor del Pueblo.</w:t>
      </w:r>
    </w:p>
    <w:p w14:paraId="5606ED68" w14:textId="77777777" w:rsidR="00614DC4" w:rsidRPr="009A38AE" w:rsidRDefault="00614DC4" w:rsidP="008C2B8E">
      <w:pPr>
        <w:pStyle w:val="texto"/>
        <w:numPr>
          <w:ilvl w:val="0"/>
          <w:numId w:val="11"/>
        </w:numPr>
        <w:tabs>
          <w:tab w:val="clear" w:pos="2835"/>
          <w:tab w:val="clear" w:pos="3969"/>
          <w:tab w:val="num" w:pos="300"/>
          <w:tab w:val="num" w:pos="360"/>
          <w:tab w:val="left" w:pos="480"/>
          <w:tab w:val="num" w:pos="600"/>
          <w:tab w:val="num" w:pos="720"/>
          <w:tab w:val="num" w:pos="1320"/>
          <w:tab w:val="num" w:pos="2062"/>
          <w:tab w:val="num" w:pos="4472"/>
        </w:tabs>
        <w:spacing w:after="140"/>
        <w:ind w:left="0" w:firstLine="289"/>
        <w:jc w:val="both"/>
        <w:rPr>
          <w:rFonts w:cs="Arial"/>
          <w:lang w:val="es-ES_tradnl" w:eastAsia="en-US"/>
        </w:rPr>
      </w:pPr>
      <w:r w:rsidRPr="009A38AE">
        <w:rPr>
          <w:rFonts w:cs="Arial"/>
          <w:lang w:val="es-ES_tradnl" w:eastAsia="en-US"/>
        </w:rPr>
        <w:t>El Consejo de Navarra.</w:t>
      </w:r>
    </w:p>
    <w:p w14:paraId="62CE8C97" w14:textId="77777777" w:rsidR="00943025" w:rsidRPr="009A38AE" w:rsidRDefault="00943025" w:rsidP="008C2B8E">
      <w:pPr>
        <w:pStyle w:val="texto"/>
        <w:numPr>
          <w:ilvl w:val="0"/>
          <w:numId w:val="11"/>
        </w:numPr>
        <w:tabs>
          <w:tab w:val="clear" w:pos="2835"/>
          <w:tab w:val="clear" w:pos="3969"/>
          <w:tab w:val="num" w:pos="300"/>
          <w:tab w:val="num" w:pos="360"/>
          <w:tab w:val="left" w:pos="480"/>
          <w:tab w:val="num" w:pos="600"/>
          <w:tab w:val="num" w:pos="720"/>
          <w:tab w:val="num" w:pos="1320"/>
          <w:tab w:val="num" w:pos="2062"/>
          <w:tab w:val="num" w:pos="4472"/>
        </w:tabs>
        <w:spacing w:after="140"/>
        <w:ind w:left="0" w:firstLine="289"/>
        <w:jc w:val="both"/>
        <w:rPr>
          <w:rFonts w:cs="Arial"/>
          <w:lang w:val="es-ES_tradnl" w:eastAsia="en-US"/>
        </w:rPr>
      </w:pPr>
      <w:r w:rsidRPr="009A38AE">
        <w:rPr>
          <w:rFonts w:cs="Arial"/>
          <w:lang w:val="es-ES_tradnl" w:eastAsia="en-US"/>
        </w:rPr>
        <w:t>La Oficina de Buenas Prácticas y Anticorrupción de la Comunidad Foral de Navarra</w:t>
      </w:r>
    </w:p>
    <w:p w14:paraId="28F46695" w14:textId="77777777" w:rsidR="00614DC4" w:rsidRPr="009A38AE" w:rsidRDefault="00614DC4" w:rsidP="008C2B8E">
      <w:pPr>
        <w:pStyle w:val="texto"/>
        <w:numPr>
          <w:ilvl w:val="0"/>
          <w:numId w:val="11"/>
        </w:numPr>
        <w:tabs>
          <w:tab w:val="clear" w:pos="2835"/>
          <w:tab w:val="clear" w:pos="3969"/>
          <w:tab w:val="num" w:pos="300"/>
          <w:tab w:val="num" w:pos="360"/>
          <w:tab w:val="left" w:pos="480"/>
          <w:tab w:val="num" w:pos="600"/>
          <w:tab w:val="num" w:pos="720"/>
          <w:tab w:val="num" w:pos="1320"/>
          <w:tab w:val="num" w:pos="2062"/>
          <w:tab w:val="num" w:pos="4472"/>
        </w:tabs>
        <w:spacing w:after="140"/>
        <w:ind w:left="0" w:firstLine="289"/>
        <w:jc w:val="both"/>
        <w:rPr>
          <w:rFonts w:cs="Arial"/>
          <w:lang w:val="es-ES_tradnl" w:eastAsia="en-US"/>
        </w:rPr>
      </w:pPr>
      <w:r w:rsidRPr="009A38AE">
        <w:rPr>
          <w:rFonts w:cs="Arial"/>
          <w:lang w:val="es-ES_tradnl" w:eastAsia="en-US"/>
        </w:rPr>
        <w:t>Las sociedades públicas de la ACFN y de sus organismos públicos, de acuerdo con lo establecido en la Ley Foral 14/2007, de 4 de abril, del Patrimonio de Navarra (en adelante LFPN)</w:t>
      </w:r>
    </w:p>
    <w:p w14:paraId="431020EB" w14:textId="77777777" w:rsidR="00483A21" w:rsidRDefault="00483A21" w:rsidP="008C2B8E">
      <w:pPr>
        <w:pStyle w:val="texto"/>
        <w:numPr>
          <w:ilvl w:val="0"/>
          <w:numId w:val="11"/>
        </w:numPr>
        <w:tabs>
          <w:tab w:val="clear" w:pos="2835"/>
          <w:tab w:val="clear" w:pos="3969"/>
          <w:tab w:val="num" w:pos="300"/>
          <w:tab w:val="num" w:pos="360"/>
          <w:tab w:val="left" w:pos="480"/>
          <w:tab w:val="num" w:pos="600"/>
          <w:tab w:val="num" w:pos="720"/>
          <w:tab w:val="num" w:pos="1320"/>
          <w:tab w:val="num" w:pos="2062"/>
          <w:tab w:val="num" w:pos="4472"/>
        </w:tabs>
        <w:spacing w:after="140"/>
        <w:ind w:left="0" w:firstLine="289"/>
        <w:jc w:val="both"/>
        <w:rPr>
          <w:rFonts w:cs="Arial"/>
          <w:lang w:val="es-ES_tradnl" w:eastAsia="en-US"/>
        </w:rPr>
      </w:pPr>
      <w:r w:rsidRPr="00483A21">
        <w:rPr>
          <w:rFonts w:cs="Arial"/>
          <w:lang w:val="es-ES_tradnl" w:eastAsia="en-US"/>
        </w:rPr>
        <w:t>Las fundaciones públicas de la Administración de la Comunidad Foral de Navarra y de sus organismos públicos, de acuerdo con lo establecido en la Ley Foral 11/2019, de 11 de marzo, de la Administración de la Comunidad Foral de Navarra y del sector público institucional foral</w:t>
      </w:r>
      <w:r>
        <w:rPr>
          <w:rFonts w:cs="Arial"/>
          <w:lang w:val="es-ES_tradnl" w:eastAsia="en-US"/>
        </w:rPr>
        <w:t>.</w:t>
      </w:r>
    </w:p>
    <w:p w14:paraId="5CCBB973" w14:textId="77777777" w:rsidR="00CF716E" w:rsidRPr="00933342" w:rsidRDefault="00933342" w:rsidP="008C2B8E">
      <w:pPr>
        <w:pStyle w:val="texto"/>
        <w:numPr>
          <w:ilvl w:val="0"/>
          <w:numId w:val="11"/>
        </w:numPr>
        <w:tabs>
          <w:tab w:val="clear" w:pos="2835"/>
          <w:tab w:val="clear" w:pos="3969"/>
          <w:tab w:val="num" w:pos="300"/>
          <w:tab w:val="num" w:pos="360"/>
          <w:tab w:val="left" w:pos="480"/>
          <w:tab w:val="num" w:pos="600"/>
          <w:tab w:val="num" w:pos="720"/>
          <w:tab w:val="num" w:pos="1320"/>
          <w:tab w:val="num" w:pos="2062"/>
          <w:tab w:val="num" w:pos="4472"/>
        </w:tabs>
        <w:spacing w:after="140"/>
        <w:ind w:left="0" w:firstLine="289"/>
        <w:jc w:val="both"/>
        <w:rPr>
          <w:rFonts w:cs="Arial"/>
          <w:lang w:val="es-ES_tradnl" w:eastAsia="en-US"/>
        </w:rPr>
      </w:pPr>
      <w:r w:rsidRPr="00933342">
        <w:rPr>
          <w:rFonts w:cs="Arial"/>
          <w:lang w:val="es-ES_tradnl" w:eastAsia="en-US"/>
        </w:rPr>
        <w:t xml:space="preserve">La Universidad Pública de Navarra, que se regirá por su normativa específica y supletoriamente por las disposiciones de </w:t>
      </w:r>
      <w:r w:rsidR="001633BF">
        <w:rPr>
          <w:rFonts w:cs="Arial"/>
          <w:lang w:val="es-ES_tradnl" w:eastAsia="en-US"/>
        </w:rPr>
        <w:t xml:space="preserve">la citada </w:t>
      </w:r>
      <w:r w:rsidRPr="00933342">
        <w:rPr>
          <w:rFonts w:cs="Arial"/>
          <w:lang w:val="es-ES_tradnl" w:eastAsia="en-US"/>
        </w:rPr>
        <w:t>ley foral.</w:t>
      </w:r>
    </w:p>
    <w:p w14:paraId="0E966811" w14:textId="77777777" w:rsidR="00614DC4" w:rsidRDefault="00614DC4" w:rsidP="00614DC4">
      <w:pPr>
        <w:rPr>
          <w:spacing w:val="6"/>
          <w:sz w:val="26"/>
        </w:rPr>
      </w:pPr>
      <w:r>
        <w:br w:type="page"/>
      </w:r>
    </w:p>
    <w:p w14:paraId="3B230E3F" w14:textId="77777777" w:rsidR="00614DC4" w:rsidRPr="00314743" w:rsidRDefault="00614DC4" w:rsidP="003F4319">
      <w:pPr>
        <w:pStyle w:val="texto"/>
        <w:spacing w:before="60" w:after="120"/>
        <w:ind w:firstLine="170"/>
        <w:jc w:val="both"/>
      </w:pPr>
      <w:r w:rsidRPr="00314743">
        <w:lastRenderedPageBreak/>
        <w:t>La representación gráfica del sector público foral a 31 de diciembre de 202</w:t>
      </w:r>
      <w:r w:rsidR="00802F88" w:rsidRPr="00314743">
        <w:t>3</w:t>
      </w:r>
      <w:r w:rsidR="00314743">
        <w:t>,</w:t>
      </w:r>
      <w:r w:rsidRPr="00314743">
        <w:t xml:space="preserve"> según la memoria de las Cuentas Generales</w:t>
      </w:r>
      <w:r w:rsidR="00314743">
        <w:t>,</w:t>
      </w:r>
      <w:r w:rsidRPr="00314743">
        <w:t xml:space="preserve"> era la siguiente:</w:t>
      </w:r>
    </w:p>
    <w:p w14:paraId="4AE657F5" w14:textId="77777777" w:rsidR="00D62199" w:rsidRPr="004A12BF" w:rsidRDefault="00D62199" w:rsidP="00D62199">
      <w:pPr>
        <w:pStyle w:val="texto"/>
        <w:spacing w:line="240" w:lineRule="atLeast"/>
      </w:pPr>
      <w:r w:rsidRPr="009A38AE">
        <w:rPr>
          <w:noProof/>
          <w:color w:val="FF0000"/>
        </w:rPr>
        <mc:AlternateContent>
          <mc:Choice Requires="wps">
            <w:drawing>
              <wp:anchor distT="0" distB="0" distL="114300" distR="114300" simplePos="0" relativeHeight="251662848" behindDoc="0" locked="0" layoutInCell="1" allowOverlap="1" wp14:anchorId="71162E2A" wp14:editId="7AF5F6AB">
                <wp:simplePos x="0" y="0"/>
                <wp:positionH relativeFrom="column">
                  <wp:posOffset>1749425</wp:posOffset>
                </wp:positionH>
                <wp:positionV relativeFrom="paragraph">
                  <wp:posOffset>75565</wp:posOffset>
                </wp:positionV>
                <wp:extent cx="2066290" cy="298450"/>
                <wp:effectExtent l="0" t="0" r="10160" b="25400"/>
                <wp:wrapNone/>
                <wp:docPr id="10" name="Proceso alternativo 10"/>
                <wp:cNvGraphicFramePr/>
                <a:graphic xmlns:a="http://schemas.openxmlformats.org/drawingml/2006/main">
                  <a:graphicData uri="http://schemas.microsoft.com/office/word/2010/wordprocessingShape">
                    <wps:wsp>
                      <wps:cNvSpPr/>
                      <wps:spPr>
                        <a:xfrm>
                          <a:off x="0" y="0"/>
                          <a:ext cx="2066290" cy="298450"/>
                        </a:xfrm>
                        <a:prstGeom prst="flowChartAlternateProcess">
                          <a:avLst/>
                        </a:prstGeom>
                        <a:noFill/>
                        <a:ln w="6350" cap="flat" cmpd="sng" algn="ctr">
                          <a:solidFill>
                            <a:sysClr val="windowText" lastClr="000000"/>
                          </a:solidFill>
                          <a:prstDash val="solid"/>
                        </a:ln>
                        <a:effectLst/>
                      </wps:spPr>
                      <wps:txbx>
                        <w:txbxContent>
                          <w:p w14:paraId="690CC913" w14:textId="77777777" w:rsidR="002C091C" w:rsidRDefault="002C091C" w:rsidP="00614DC4">
                            <w:pPr>
                              <w:jc w:val="center"/>
                              <w:rPr>
                                <w:rFonts w:ascii="Arial" w:hAnsi="Arial" w:cs="Arial"/>
                              </w:rPr>
                            </w:pPr>
                            <w:r>
                              <w:rPr>
                                <w:rFonts w:ascii="Arial" w:hAnsi="Arial" w:cs="Arial"/>
                              </w:rPr>
                              <w:t>Sector Público Foral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62E2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10" o:spid="_x0000_s1027" type="#_x0000_t176" style="position:absolute;left:0;text-align:left;margin-left:137.75pt;margin-top:5.95pt;width:162.7pt;height:2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" filled="f" strokecolor="windowText" strokeweight=".5pt">
                <v:textbox>
                  <w:txbxContent>
                    <w:p w14:paraId="690CC913" w14:textId="77777777" w:rsidR="002C091C" w:rsidRDefault="002C091C" w:rsidP="00614DC4">
                      <w:pPr>
                        <w:jc w:val="center"/>
                        <w:rPr>
                          <w:rFonts w:ascii="Arial" w:hAnsi="Arial" w:cs="Arial"/>
                        </w:rPr>
                      </w:pPr>
                      <w:r>
                        <w:rPr>
                          <w:rFonts w:ascii="Arial" w:hAnsi="Arial" w:cs="Arial"/>
                        </w:rPr>
                        <w:t>Sector Público Foral 2023</w:t>
                      </w:r>
                    </w:p>
                  </w:txbxContent>
                </v:textbox>
              </v:shape>
            </w:pict>
          </mc:Fallback>
        </mc:AlternateContent>
      </w:r>
    </w:p>
    <w:p w14:paraId="01C94061" w14:textId="77777777" w:rsidR="00614DC4" w:rsidRPr="004A12BF" w:rsidRDefault="00614DC4" w:rsidP="00D62199">
      <w:pPr>
        <w:pStyle w:val="texto"/>
        <w:spacing w:line="240" w:lineRule="atLeast"/>
      </w:pPr>
      <w:r w:rsidRPr="004A12BF">
        <w:rPr>
          <w:noProof/>
        </w:rPr>
        <mc:AlternateContent>
          <mc:Choice Requires="wps">
            <w:drawing>
              <wp:anchor distT="0" distB="0" distL="114300" distR="114300" simplePos="0" relativeHeight="251664896" behindDoc="0" locked="0" layoutInCell="1" allowOverlap="1" wp14:anchorId="4904F03D" wp14:editId="5D812036">
                <wp:simplePos x="0" y="0"/>
                <wp:positionH relativeFrom="column">
                  <wp:posOffset>3387090</wp:posOffset>
                </wp:positionH>
                <wp:positionV relativeFrom="paragraph">
                  <wp:posOffset>1320165</wp:posOffset>
                </wp:positionV>
                <wp:extent cx="865505" cy="396240"/>
                <wp:effectExtent l="0" t="0" r="10795" b="22860"/>
                <wp:wrapNone/>
                <wp:docPr id="12" name="Proceso alternativo 12"/>
                <wp:cNvGraphicFramePr/>
                <a:graphic xmlns:a="http://schemas.openxmlformats.org/drawingml/2006/main">
                  <a:graphicData uri="http://schemas.microsoft.com/office/word/2010/wordprocessingShape">
                    <wps:wsp>
                      <wps:cNvSpPr/>
                      <wps:spPr>
                        <a:xfrm>
                          <a:off x="0" y="0"/>
                          <a:ext cx="865505" cy="396240"/>
                        </a:xfrm>
                        <a:prstGeom prst="flowChartAlternateProcess">
                          <a:avLst/>
                        </a:prstGeom>
                        <a:noFill/>
                        <a:ln w="6350" cap="flat" cmpd="sng" algn="ctr">
                          <a:solidFill>
                            <a:sysClr val="windowText" lastClr="000000"/>
                          </a:solidFill>
                          <a:prstDash val="solid"/>
                        </a:ln>
                        <a:effectLst/>
                      </wps:spPr>
                      <wps:txbx>
                        <w:txbxContent>
                          <w:p w14:paraId="2BB6EC26" w14:textId="77777777" w:rsidR="002C091C" w:rsidRDefault="002C091C" w:rsidP="00614DC4">
                            <w:pPr>
                              <w:ind w:left="-168" w:right="-237"/>
                              <w:jc w:val="center"/>
                              <w:rPr>
                                <w:rFonts w:ascii="Arial" w:hAnsi="Arial" w:cs="Arial"/>
                                <w:w w:val="88"/>
                                <w:sz w:val="16"/>
                                <w:szCs w:val="16"/>
                              </w:rPr>
                            </w:pPr>
                            <w:r>
                              <w:rPr>
                                <w:rFonts w:ascii="Arial" w:hAnsi="Arial" w:cs="Arial"/>
                                <w:w w:val="88"/>
                                <w:sz w:val="16"/>
                                <w:szCs w:val="16"/>
                              </w:rPr>
                              <w:t xml:space="preserve">ORGANISMOS </w:t>
                            </w:r>
                          </w:p>
                          <w:p w14:paraId="238E2867" w14:textId="77777777" w:rsidR="002C091C" w:rsidRDefault="002C091C" w:rsidP="00614DC4">
                            <w:pPr>
                              <w:ind w:left="-168" w:right="-237"/>
                              <w:jc w:val="center"/>
                              <w:rPr>
                                <w:rFonts w:ascii="Arial" w:hAnsi="Arial" w:cs="Arial"/>
                                <w:w w:val="88"/>
                                <w:sz w:val="16"/>
                                <w:szCs w:val="16"/>
                              </w:rPr>
                            </w:pPr>
                            <w:r>
                              <w:rPr>
                                <w:rFonts w:ascii="Arial" w:hAnsi="Arial" w:cs="Arial"/>
                                <w:w w:val="88"/>
                                <w:sz w:val="16"/>
                                <w:szCs w:val="16"/>
                              </w:rPr>
                              <w:t xml:space="preserve">AUTÓNOMOS </w:t>
                            </w:r>
                            <w:r w:rsidRPr="0013570B">
                              <w:rPr>
                                <w:rFonts w:ascii="Arial" w:hAnsi="Arial" w:cs="Arial"/>
                                <w:w w:val="88"/>
                                <w:sz w:val="16"/>
                                <w:szCs w:val="16"/>
                              </w:rPr>
                              <w:t>(9)</w:t>
                            </w:r>
                          </w:p>
                          <w:p w14:paraId="1FB0AC8B" w14:textId="77777777" w:rsidR="002C091C" w:rsidRDefault="002C091C" w:rsidP="00614DC4">
                            <w:pPr>
                              <w:ind w:left="-168" w:right="-237"/>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4F03D" id="Proceso alternativo 12" o:spid="_x0000_s1028" type="#_x0000_t176" style="position:absolute;left:0;text-align:left;margin-left:266.7pt;margin-top:103.95pt;width:68.15pt;height:3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" filled="f" strokecolor="windowText" strokeweight=".5pt">
                <v:textbox>
                  <w:txbxContent>
                    <w:p w14:paraId="2BB6EC26" w14:textId="77777777" w:rsidR="002C091C" w:rsidRDefault="002C091C" w:rsidP="00614DC4">
                      <w:pPr>
                        <w:ind w:left="-168" w:right="-237"/>
                        <w:jc w:val="center"/>
                        <w:rPr>
                          <w:rFonts w:ascii="Arial" w:hAnsi="Arial" w:cs="Arial"/>
                          <w:w w:val="88"/>
                          <w:sz w:val="16"/>
                          <w:szCs w:val="16"/>
                        </w:rPr>
                      </w:pPr>
                      <w:r>
                        <w:rPr>
                          <w:rFonts w:ascii="Arial" w:hAnsi="Arial" w:cs="Arial"/>
                          <w:w w:val="88"/>
                          <w:sz w:val="16"/>
                          <w:szCs w:val="16"/>
                        </w:rPr>
                        <w:t xml:space="preserve">ORGANISMOS </w:t>
                      </w:r>
                    </w:p>
                    <w:p w14:paraId="238E2867" w14:textId="77777777" w:rsidR="002C091C" w:rsidRDefault="002C091C" w:rsidP="00614DC4">
                      <w:pPr>
                        <w:ind w:left="-168" w:right="-237"/>
                        <w:jc w:val="center"/>
                        <w:rPr>
                          <w:rFonts w:ascii="Arial" w:hAnsi="Arial" w:cs="Arial"/>
                          <w:w w:val="88"/>
                          <w:sz w:val="16"/>
                          <w:szCs w:val="16"/>
                        </w:rPr>
                      </w:pPr>
                      <w:r>
                        <w:rPr>
                          <w:rFonts w:ascii="Arial" w:hAnsi="Arial" w:cs="Arial"/>
                          <w:w w:val="88"/>
                          <w:sz w:val="16"/>
                          <w:szCs w:val="16"/>
                        </w:rPr>
                        <w:t xml:space="preserve">AUTÓNOMOS </w:t>
                      </w:r>
                      <w:r w:rsidRPr="0013570B">
                        <w:rPr>
                          <w:rFonts w:ascii="Arial" w:hAnsi="Arial" w:cs="Arial"/>
                          <w:w w:val="88"/>
                          <w:sz w:val="16"/>
                          <w:szCs w:val="16"/>
                        </w:rPr>
                        <w:t>(9)</w:t>
                      </w:r>
                    </w:p>
                    <w:p w14:paraId="1FB0AC8B" w14:textId="77777777" w:rsidR="002C091C" w:rsidRDefault="002C091C" w:rsidP="00614DC4">
                      <w:pPr>
                        <w:ind w:left="-168" w:right="-237"/>
                        <w:jc w:val="center"/>
                        <w:rPr>
                          <w:rFonts w:ascii="Arial" w:hAnsi="Arial" w:cs="Arial"/>
                          <w:sz w:val="18"/>
                          <w:szCs w:val="18"/>
                        </w:rPr>
                      </w:pPr>
                    </w:p>
                  </w:txbxContent>
                </v:textbox>
              </v:shape>
            </w:pict>
          </mc:Fallback>
        </mc:AlternateContent>
      </w:r>
      <w:r w:rsidRPr="004A12BF">
        <w:rPr>
          <w:noProof/>
        </w:rPr>
        <mc:AlternateContent>
          <mc:Choice Requires="wps">
            <w:drawing>
              <wp:anchor distT="0" distB="0" distL="114300" distR="114300" simplePos="0" relativeHeight="251665920" behindDoc="0" locked="0" layoutInCell="1" allowOverlap="1" wp14:anchorId="3DBD9F78" wp14:editId="2E9B8EFE">
                <wp:simplePos x="0" y="0"/>
                <wp:positionH relativeFrom="column">
                  <wp:posOffset>-81915</wp:posOffset>
                </wp:positionH>
                <wp:positionV relativeFrom="paragraph">
                  <wp:posOffset>1524000</wp:posOffset>
                </wp:positionV>
                <wp:extent cx="725170" cy="396240"/>
                <wp:effectExtent l="0" t="0" r="17780" b="22860"/>
                <wp:wrapNone/>
                <wp:docPr id="13" name="Proceso alternativo 13"/>
                <wp:cNvGraphicFramePr/>
                <a:graphic xmlns:a="http://schemas.openxmlformats.org/drawingml/2006/main">
                  <a:graphicData uri="http://schemas.microsoft.com/office/word/2010/wordprocessingShape">
                    <wps:wsp>
                      <wps:cNvSpPr/>
                      <wps:spPr>
                        <a:xfrm>
                          <a:off x="0" y="0"/>
                          <a:ext cx="725170" cy="396240"/>
                        </a:xfrm>
                        <a:prstGeom prst="flowChartAlternateProcess">
                          <a:avLst/>
                        </a:prstGeom>
                        <a:noFill/>
                        <a:ln w="6350" cap="flat" cmpd="sng" algn="ctr">
                          <a:solidFill>
                            <a:sysClr val="windowText" lastClr="000000"/>
                          </a:solidFill>
                          <a:prstDash val="solid"/>
                        </a:ln>
                        <a:effectLst/>
                      </wps:spPr>
                      <wps:txbx>
                        <w:txbxContent>
                          <w:p w14:paraId="199DE546" w14:textId="77777777" w:rsidR="002C091C" w:rsidRDefault="002C091C" w:rsidP="00614DC4">
                            <w:pPr>
                              <w:ind w:left="-142" w:right="-73"/>
                              <w:jc w:val="center"/>
                              <w:rPr>
                                <w:rFonts w:ascii="Arial" w:hAnsi="Arial" w:cs="Arial"/>
                                <w:sz w:val="18"/>
                                <w:szCs w:val="18"/>
                              </w:rPr>
                            </w:pPr>
                            <w:r>
                              <w:rPr>
                                <w:rFonts w:ascii="Arial" w:hAnsi="Arial" w:cs="Arial"/>
                                <w:sz w:val="18"/>
                                <w:szCs w:val="18"/>
                              </w:rPr>
                              <w:t>Defensor del Pueblo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D9F78" id="Proceso alternativo 13" o:spid="_x0000_s1029" type="#_x0000_t176" style="position:absolute;left:0;text-align:left;margin-left:-6.45pt;margin-top:120pt;width:57.1pt;height:3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" filled="f" strokecolor="windowText" strokeweight=".5pt">
                <v:textbox>
                  <w:txbxContent>
                    <w:p w14:paraId="199DE546" w14:textId="77777777" w:rsidR="002C091C" w:rsidRDefault="002C091C" w:rsidP="00614DC4">
                      <w:pPr>
                        <w:ind w:left="-142" w:right="-73"/>
                        <w:jc w:val="center"/>
                        <w:rPr>
                          <w:rFonts w:ascii="Arial" w:hAnsi="Arial" w:cs="Arial"/>
                          <w:sz w:val="18"/>
                          <w:szCs w:val="18"/>
                        </w:rPr>
                      </w:pPr>
                      <w:r>
                        <w:rPr>
                          <w:rFonts w:ascii="Arial" w:hAnsi="Arial" w:cs="Arial"/>
                          <w:sz w:val="18"/>
                          <w:szCs w:val="18"/>
                        </w:rPr>
                        <w:t>Defensor del Pueblo</w:t>
                      </w:r>
                    </w:p>
                  </w:txbxContent>
                </v:textbox>
              </v:shape>
            </w:pict>
          </mc:Fallback>
        </mc:AlternateContent>
      </w:r>
      <w:r w:rsidRPr="004A12BF">
        <w:rPr>
          <w:noProof/>
        </w:rPr>
        <mc:AlternateContent>
          <mc:Choice Requires="wps">
            <w:drawing>
              <wp:anchor distT="0" distB="0" distL="114300" distR="114300" simplePos="0" relativeHeight="251668992" behindDoc="0" locked="0" layoutInCell="1" allowOverlap="1" wp14:anchorId="20C97C4B" wp14:editId="6CB210CD">
                <wp:simplePos x="0" y="0"/>
                <wp:positionH relativeFrom="column">
                  <wp:posOffset>2356485</wp:posOffset>
                </wp:positionH>
                <wp:positionV relativeFrom="paragraph">
                  <wp:posOffset>1320165</wp:posOffset>
                </wp:positionV>
                <wp:extent cx="963295" cy="396240"/>
                <wp:effectExtent l="0" t="0" r="27305" b="22860"/>
                <wp:wrapNone/>
                <wp:docPr id="16" name="Proceso alternativo 16"/>
                <wp:cNvGraphicFramePr/>
                <a:graphic xmlns:a="http://schemas.openxmlformats.org/drawingml/2006/main">
                  <a:graphicData uri="http://schemas.microsoft.com/office/word/2010/wordprocessingShape">
                    <wps:wsp>
                      <wps:cNvSpPr/>
                      <wps:spPr>
                        <a:xfrm>
                          <a:off x="0" y="0"/>
                          <a:ext cx="962660" cy="396240"/>
                        </a:xfrm>
                        <a:prstGeom prst="flowChartAlternateProcess">
                          <a:avLst/>
                        </a:prstGeom>
                        <a:noFill/>
                        <a:ln w="6350" cap="flat" cmpd="sng" algn="ctr">
                          <a:solidFill>
                            <a:sysClr val="windowText" lastClr="000000"/>
                          </a:solidFill>
                          <a:prstDash val="solid"/>
                        </a:ln>
                        <a:effectLst/>
                      </wps:spPr>
                      <wps:txbx>
                        <w:txbxContent>
                          <w:p w14:paraId="6D4478C5" w14:textId="77777777" w:rsidR="002C091C" w:rsidRDefault="002C091C" w:rsidP="00614DC4">
                            <w:pPr>
                              <w:ind w:left="-284" w:right="-234"/>
                              <w:jc w:val="center"/>
                              <w:rPr>
                                <w:rFonts w:ascii="Arial" w:hAnsi="Arial" w:cs="Arial"/>
                                <w:w w:val="88"/>
                                <w:sz w:val="16"/>
                                <w:szCs w:val="16"/>
                              </w:rPr>
                            </w:pPr>
                            <w:r>
                              <w:rPr>
                                <w:rFonts w:ascii="Arial" w:hAnsi="Arial" w:cs="Arial"/>
                                <w:w w:val="88"/>
                                <w:sz w:val="16"/>
                                <w:szCs w:val="16"/>
                              </w:rPr>
                              <w:t>DEPARTAMENTOS</w:t>
                            </w:r>
                          </w:p>
                          <w:p w14:paraId="76DA16F2" w14:textId="77777777" w:rsidR="002C091C" w:rsidRDefault="002C091C" w:rsidP="00614DC4">
                            <w:pPr>
                              <w:ind w:left="-284" w:right="-184"/>
                              <w:jc w:val="center"/>
                              <w:rPr>
                                <w:rFonts w:ascii="Arial" w:hAnsi="Arial" w:cs="Arial"/>
                                <w:w w:val="88"/>
                                <w:sz w:val="16"/>
                                <w:szCs w:val="16"/>
                              </w:rPr>
                            </w:pPr>
                            <w:r>
                              <w:rPr>
                                <w:rFonts w:ascii="Arial" w:hAnsi="Arial" w:cs="Arial"/>
                                <w:w w:val="88"/>
                                <w:sz w:val="16"/>
                                <w:szCs w:val="16"/>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97C4B" id="Proceso alternativo 16" o:spid="_x0000_s1030" type="#_x0000_t176" style="position:absolute;left:0;text-align:left;margin-left:185.55pt;margin-top:103.95pt;width:75.85pt;height:31.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" filled="f" strokecolor="windowText" strokeweight=".5pt">
                <v:textbox>
                  <w:txbxContent>
                    <w:p w14:paraId="6D4478C5" w14:textId="77777777" w:rsidR="002C091C" w:rsidRDefault="002C091C" w:rsidP="00614DC4">
                      <w:pPr>
                        <w:ind w:left="-284" w:right="-234"/>
                        <w:jc w:val="center"/>
                        <w:rPr>
                          <w:rFonts w:ascii="Arial" w:hAnsi="Arial" w:cs="Arial"/>
                          <w:w w:val="88"/>
                          <w:sz w:val="16"/>
                          <w:szCs w:val="16"/>
                        </w:rPr>
                      </w:pPr>
                      <w:r>
                        <w:rPr>
                          <w:rFonts w:ascii="Arial" w:hAnsi="Arial" w:cs="Arial"/>
                          <w:w w:val="88"/>
                          <w:sz w:val="16"/>
                          <w:szCs w:val="16"/>
                        </w:rPr>
                        <w:t>DEPARTAMENTOS</w:t>
                      </w:r>
                    </w:p>
                    <w:p w14:paraId="76DA16F2" w14:textId="77777777" w:rsidR="002C091C" w:rsidRDefault="002C091C" w:rsidP="00614DC4">
                      <w:pPr>
                        <w:ind w:left="-284" w:right="-184"/>
                        <w:jc w:val="center"/>
                        <w:rPr>
                          <w:rFonts w:ascii="Arial" w:hAnsi="Arial" w:cs="Arial"/>
                          <w:w w:val="88"/>
                          <w:sz w:val="16"/>
                          <w:szCs w:val="16"/>
                        </w:rPr>
                      </w:pPr>
                      <w:r>
                        <w:rPr>
                          <w:rFonts w:ascii="Arial" w:hAnsi="Arial" w:cs="Arial"/>
                          <w:w w:val="88"/>
                          <w:sz w:val="16"/>
                          <w:szCs w:val="16"/>
                        </w:rPr>
                        <w:t>(13)</w:t>
                      </w:r>
                    </w:p>
                  </w:txbxContent>
                </v:textbox>
              </v:shape>
            </w:pict>
          </mc:Fallback>
        </mc:AlternateContent>
      </w:r>
      <w:r w:rsidRPr="004A12BF">
        <w:rPr>
          <w:noProof/>
        </w:rPr>
        <mc:AlternateContent>
          <mc:Choice Requires="wps">
            <w:drawing>
              <wp:anchor distT="0" distB="0" distL="114300" distR="114300" simplePos="0" relativeHeight="251670016" behindDoc="0" locked="0" layoutInCell="1" allowOverlap="1" wp14:anchorId="063B7439" wp14:editId="31E669FA">
                <wp:simplePos x="0" y="0"/>
                <wp:positionH relativeFrom="column">
                  <wp:posOffset>4392295</wp:posOffset>
                </wp:positionH>
                <wp:positionV relativeFrom="paragraph">
                  <wp:posOffset>1319530</wp:posOffset>
                </wp:positionV>
                <wp:extent cx="792480" cy="396240"/>
                <wp:effectExtent l="0" t="0" r="26670" b="22860"/>
                <wp:wrapNone/>
                <wp:docPr id="17" name="Proceso alternativo 17"/>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14:paraId="0B03B994" w14:textId="77777777" w:rsidR="002C091C" w:rsidRPr="00314743" w:rsidRDefault="002C091C" w:rsidP="00614DC4">
                            <w:pPr>
                              <w:spacing w:before="120"/>
                              <w:ind w:left="-142" w:right="-74"/>
                              <w:jc w:val="center"/>
                              <w:rPr>
                                <w:rFonts w:ascii="Arial" w:hAnsi="Arial" w:cs="Arial"/>
                                <w:sz w:val="16"/>
                                <w:szCs w:val="16"/>
                              </w:rPr>
                            </w:pPr>
                            <w:r w:rsidRPr="00314743">
                              <w:rPr>
                                <w:rFonts w:ascii="Arial" w:hAnsi="Arial" w:cs="Arial"/>
                                <w:sz w:val="16"/>
                                <w:szCs w:val="16"/>
                              </w:rPr>
                              <w:t>CPEN, SLU</w:t>
                            </w:r>
                          </w:p>
                          <w:p w14:paraId="28F315DE" w14:textId="77777777" w:rsidR="002C091C" w:rsidRPr="00314743" w:rsidRDefault="002C091C" w:rsidP="00614DC4">
                            <w:pPr>
                              <w:ind w:left="-142" w:right="-73"/>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B7439" id="Proceso alternativo 17" o:spid="_x0000_s1031" type="#_x0000_t176" style="position:absolute;left:0;text-align:left;margin-left:345.85pt;margin-top:103.9pt;width:62.4pt;height:3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" filled="f" strokecolor="windowText" strokeweight=".5pt">
                <v:textbox>
                  <w:txbxContent>
                    <w:p w14:paraId="0B03B994" w14:textId="77777777" w:rsidR="002C091C" w:rsidRPr="00314743" w:rsidRDefault="002C091C" w:rsidP="00614DC4">
                      <w:pPr>
                        <w:spacing w:before="120"/>
                        <w:ind w:left="-142" w:right="-74"/>
                        <w:jc w:val="center"/>
                        <w:rPr>
                          <w:rFonts w:ascii="Arial" w:hAnsi="Arial" w:cs="Arial"/>
                          <w:sz w:val="16"/>
                          <w:szCs w:val="16"/>
                        </w:rPr>
                      </w:pPr>
                      <w:r w:rsidRPr="00314743">
                        <w:rPr>
                          <w:rFonts w:ascii="Arial" w:hAnsi="Arial" w:cs="Arial"/>
                          <w:sz w:val="16"/>
                          <w:szCs w:val="16"/>
                        </w:rPr>
                        <w:t>CPEN, SLU</w:t>
                      </w:r>
                    </w:p>
                    <w:p w14:paraId="28F315DE" w14:textId="77777777" w:rsidR="002C091C" w:rsidRPr="00314743" w:rsidRDefault="002C091C" w:rsidP="00614DC4">
                      <w:pPr>
                        <w:ind w:left="-142" w:right="-73"/>
                        <w:jc w:val="center"/>
                        <w:rPr>
                          <w:rFonts w:ascii="Arial" w:hAnsi="Arial" w:cs="Arial"/>
                          <w:sz w:val="18"/>
                          <w:szCs w:val="18"/>
                        </w:rPr>
                      </w:pPr>
                    </w:p>
                  </w:txbxContent>
                </v:textbox>
              </v:shape>
            </w:pict>
          </mc:Fallback>
        </mc:AlternateContent>
      </w:r>
      <w:r w:rsidRPr="004A12BF">
        <w:rPr>
          <w:noProof/>
        </w:rPr>
        <mc:AlternateContent>
          <mc:Choice Requires="wps">
            <w:drawing>
              <wp:anchor distT="0" distB="0" distL="114300" distR="114300" simplePos="0" relativeHeight="251671040" behindDoc="0" locked="0" layoutInCell="1" allowOverlap="1" wp14:anchorId="6F7C694B" wp14:editId="12E05B69">
                <wp:simplePos x="0" y="0"/>
                <wp:positionH relativeFrom="column">
                  <wp:posOffset>5385435</wp:posOffset>
                </wp:positionH>
                <wp:positionV relativeFrom="paragraph">
                  <wp:posOffset>1319530</wp:posOffset>
                </wp:positionV>
                <wp:extent cx="792480" cy="396240"/>
                <wp:effectExtent l="0" t="0" r="26670" b="22860"/>
                <wp:wrapNone/>
                <wp:docPr id="18" name="Proceso alternativo 18"/>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14:paraId="1AFEB81A" w14:textId="77777777" w:rsidR="002C091C" w:rsidRPr="00314743" w:rsidRDefault="002C091C" w:rsidP="00614DC4">
                            <w:pPr>
                              <w:ind w:left="-142" w:right="-73"/>
                              <w:jc w:val="center"/>
                              <w:rPr>
                                <w:rFonts w:ascii="Arial" w:hAnsi="Arial" w:cs="Arial"/>
                                <w:w w:val="92"/>
                                <w:sz w:val="16"/>
                                <w:szCs w:val="16"/>
                              </w:rPr>
                            </w:pPr>
                            <w:r w:rsidRPr="00314743">
                              <w:rPr>
                                <w:rFonts w:ascii="Arial" w:hAnsi="Arial" w:cs="Arial"/>
                                <w:w w:val="92"/>
                                <w:sz w:val="16"/>
                                <w:szCs w:val="16"/>
                              </w:rPr>
                              <w:t>FUNDACIONES PÚBLICAS (8)</w:t>
                            </w:r>
                          </w:p>
                          <w:p w14:paraId="38E989CC" w14:textId="77777777" w:rsidR="002C091C" w:rsidRPr="00314743" w:rsidRDefault="002C091C" w:rsidP="00614DC4">
                            <w:pPr>
                              <w:ind w:left="-142" w:right="-73"/>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C694B" id="Proceso alternativo 18" o:spid="_x0000_s1032" type="#_x0000_t176" style="position:absolute;left:0;text-align:left;margin-left:424.05pt;margin-top:103.9pt;width:62.4pt;height:3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" filled="f" strokecolor="windowText" strokeweight=".5pt">
                <v:textbox>
                  <w:txbxContent>
                    <w:p w14:paraId="1AFEB81A" w14:textId="77777777" w:rsidR="002C091C" w:rsidRPr="00314743" w:rsidRDefault="002C091C" w:rsidP="00614DC4">
                      <w:pPr>
                        <w:ind w:left="-142" w:right="-73"/>
                        <w:jc w:val="center"/>
                        <w:rPr>
                          <w:rFonts w:ascii="Arial" w:hAnsi="Arial" w:cs="Arial"/>
                          <w:w w:val="92"/>
                          <w:sz w:val="16"/>
                          <w:szCs w:val="16"/>
                        </w:rPr>
                      </w:pPr>
                      <w:r w:rsidRPr="00314743">
                        <w:rPr>
                          <w:rFonts w:ascii="Arial" w:hAnsi="Arial" w:cs="Arial"/>
                          <w:w w:val="92"/>
                          <w:sz w:val="16"/>
                          <w:szCs w:val="16"/>
                        </w:rPr>
                        <w:t>FUNDACIONES PÚBLICAS (8)</w:t>
                      </w:r>
                    </w:p>
                    <w:p w14:paraId="38E989CC" w14:textId="77777777" w:rsidR="002C091C" w:rsidRPr="00314743" w:rsidRDefault="002C091C" w:rsidP="00614DC4">
                      <w:pPr>
                        <w:ind w:left="-142" w:right="-73"/>
                        <w:jc w:val="center"/>
                        <w:rPr>
                          <w:rFonts w:ascii="Arial" w:hAnsi="Arial" w:cs="Arial"/>
                          <w:sz w:val="18"/>
                          <w:szCs w:val="18"/>
                        </w:rPr>
                      </w:pPr>
                    </w:p>
                  </w:txbxContent>
                </v:textbox>
              </v:shape>
            </w:pict>
          </mc:Fallback>
        </mc:AlternateContent>
      </w:r>
      <w:r w:rsidRPr="004A12BF">
        <w:rPr>
          <w:noProof/>
        </w:rPr>
        <mc:AlternateContent>
          <mc:Choice Requires="wps">
            <w:drawing>
              <wp:anchor distT="0" distB="0" distL="114300" distR="114300" simplePos="0" relativeHeight="251672064" behindDoc="0" locked="0" layoutInCell="1" allowOverlap="1" wp14:anchorId="441F73AE" wp14:editId="05A5BE52">
                <wp:simplePos x="0" y="0"/>
                <wp:positionH relativeFrom="column">
                  <wp:posOffset>4392930</wp:posOffset>
                </wp:positionH>
                <wp:positionV relativeFrom="paragraph">
                  <wp:posOffset>1923415</wp:posOffset>
                </wp:positionV>
                <wp:extent cx="792480" cy="396240"/>
                <wp:effectExtent l="0" t="0" r="26670" b="22860"/>
                <wp:wrapNone/>
                <wp:docPr id="19" name="Proceso alternativo 19"/>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14:paraId="3CE1C5DF" w14:textId="77777777" w:rsidR="002C091C" w:rsidRPr="0013570B" w:rsidRDefault="002C091C" w:rsidP="00614DC4">
                            <w:pPr>
                              <w:ind w:left="-142" w:right="-73"/>
                              <w:jc w:val="center"/>
                              <w:rPr>
                                <w:rFonts w:ascii="Arial" w:hAnsi="Arial" w:cs="Arial"/>
                                <w:w w:val="96"/>
                                <w:sz w:val="16"/>
                                <w:szCs w:val="16"/>
                              </w:rPr>
                            </w:pPr>
                            <w:r w:rsidRPr="0013570B">
                              <w:rPr>
                                <w:rFonts w:ascii="Arial" w:hAnsi="Arial" w:cs="Arial"/>
                                <w:w w:val="96"/>
                                <w:sz w:val="16"/>
                                <w:szCs w:val="16"/>
                              </w:rPr>
                              <w:t>SOCIEDADES PÚBLICAS (1</w:t>
                            </w:r>
                            <w:r>
                              <w:rPr>
                                <w:rFonts w:ascii="Arial" w:hAnsi="Arial" w:cs="Arial"/>
                                <w:w w:val="96"/>
                                <w:sz w:val="16"/>
                                <w:szCs w:val="16"/>
                              </w:rPr>
                              <w:t>8</w:t>
                            </w:r>
                            <w:r w:rsidRPr="0013570B">
                              <w:rPr>
                                <w:rFonts w:ascii="Arial" w:hAnsi="Arial" w:cs="Arial"/>
                                <w:w w:val="96"/>
                                <w:sz w:val="16"/>
                                <w:szCs w:val="16"/>
                              </w:rPr>
                              <w:t>)</w:t>
                            </w:r>
                          </w:p>
                          <w:p w14:paraId="3C70D39A" w14:textId="77777777" w:rsidR="002C091C" w:rsidRPr="0013570B" w:rsidRDefault="002C091C" w:rsidP="00614DC4">
                            <w:pPr>
                              <w:ind w:left="-142" w:right="-73"/>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F73AE" id="Proceso alternativo 19" o:spid="_x0000_s1033" type="#_x0000_t176" style="position:absolute;left:0;text-align:left;margin-left:345.9pt;margin-top:151.45pt;width:62.4pt;height:3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" filled="f" strokecolor="windowText" strokeweight=".5pt">
                <v:textbox>
                  <w:txbxContent>
                    <w:p w14:paraId="3CE1C5DF" w14:textId="77777777" w:rsidR="002C091C" w:rsidRPr="0013570B" w:rsidRDefault="002C091C" w:rsidP="00614DC4">
                      <w:pPr>
                        <w:ind w:left="-142" w:right="-73"/>
                        <w:jc w:val="center"/>
                        <w:rPr>
                          <w:rFonts w:ascii="Arial" w:hAnsi="Arial" w:cs="Arial"/>
                          <w:w w:val="96"/>
                          <w:sz w:val="16"/>
                          <w:szCs w:val="16"/>
                        </w:rPr>
                      </w:pPr>
                      <w:r w:rsidRPr="0013570B">
                        <w:rPr>
                          <w:rFonts w:ascii="Arial" w:hAnsi="Arial" w:cs="Arial"/>
                          <w:w w:val="96"/>
                          <w:sz w:val="16"/>
                          <w:szCs w:val="16"/>
                        </w:rPr>
                        <w:t>SOCIEDADES PÚBLICAS (1</w:t>
                      </w:r>
                      <w:r>
                        <w:rPr>
                          <w:rFonts w:ascii="Arial" w:hAnsi="Arial" w:cs="Arial"/>
                          <w:w w:val="96"/>
                          <w:sz w:val="16"/>
                          <w:szCs w:val="16"/>
                        </w:rPr>
                        <w:t>8</w:t>
                      </w:r>
                      <w:r w:rsidRPr="0013570B">
                        <w:rPr>
                          <w:rFonts w:ascii="Arial" w:hAnsi="Arial" w:cs="Arial"/>
                          <w:w w:val="96"/>
                          <w:sz w:val="16"/>
                          <w:szCs w:val="16"/>
                        </w:rPr>
                        <w:t>)</w:t>
                      </w:r>
                    </w:p>
                    <w:p w14:paraId="3C70D39A" w14:textId="77777777" w:rsidR="002C091C" w:rsidRPr="0013570B" w:rsidRDefault="002C091C" w:rsidP="00614DC4">
                      <w:pPr>
                        <w:ind w:left="-142" w:right="-73"/>
                        <w:jc w:val="center"/>
                        <w:rPr>
                          <w:rFonts w:ascii="Arial" w:hAnsi="Arial" w:cs="Arial"/>
                          <w:sz w:val="18"/>
                          <w:szCs w:val="18"/>
                        </w:rPr>
                      </w:pPr>
                    </w:p>
                  </w:txbxContent>
                </v:textbox>
              </v:shape>
            </w:pict>
          </mc:Fallback>
        </mc:AlternateContent>
      </w:r>
      <w:r w:rsidRPr="004A12BF">
        <w:rPr>
          <w:noProof/>
        </w:rPr>
        <mc:AlternateContent>
          <mc:Choice Requires="wps">
            <w:drawing>
              <wp:anchor distT="0" distB="0" distL="114300" distR="114300" simplePos="0" relativeHeight="251676160" behindDoc="0" locked="0" layoutInCell="1" allowOverlap="1" wp14:anchorId="4282F6AD" wp14:editId="353E2F1A">
                <wp:simplePos x="0" y="0"/>
                <wp:positionH relativeFrom="column">
                  <wp:posOffset>2391410</wp:posOffset>
                </wp:positionH>
                <wp:positionV relativeFrom="paragraph">
                  <wp:posOffset>5094605</wp:posOffset>
                </wp:positionV>
                <wp:extent cx="952500" cy="250190"/>
                <wp:effectExtent l="0" t="0" r="19050" b="16510"/>
                <wp:wrapNone/>
                <wp:docPr id="27" name="Proceso alternativo 27"/>
                <wp:cNvGraphicFramePr/>
                <a:graphic xmlns:a="http://schemas.openxmlformats.org/drawingml/2006/main">
                  <a:graphicData uri="http://schemas.microsoft.com/office/word/2010/wordprocessingShape">
                    <wps:wsp>
                      <wps:cNvSpPr/>
                      <wps:spPr>
                        <a:xfrm>
                          <a:off x="0" y="0"/>
                          <a:ext cx="952500" cy="249555"/>
                        </a:xfrm>
                        <a:prstGeom prst="flowChartAlternateProcess">
                          <a:avLst/>
                        </a:prstGeom>
                        <a:noFill/>
                        <a:ln w="6350" cap="flat" cmpd="sng" algn="ctr">
                          <a:solidFill>
                            <a:sysClr val="windowText" lastClr="000000"/>
                          </a:solidFill>
                          <a:prstDash val="solid"/>
                        </a:ln>
                        <a:effectLst/>
                      </wps:spPr>
                      <wps:txbx>
                        <w:txbxContent>
                          <w:p w14:paraId="7BB3FE51"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Educación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2F6AD" id="Proceso alternativo 27" o:spid="_x0000_s1034" type="#_x0000_t176" style="position:absolute;left:0;text-align:left;margin-left:188.3pt;margin-top:401.15pt;width:75pt;height:19.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" filled="f" strokecolor="windowText" strokeweight=".5pt">
                <v:textbox>
                  <w:txbxContent>
                    <w:p w14:paraId="7BB3FE51"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Educación</w:t>
                      </w:r>
                    </w:p>
                  </w:txbxContent>
                </v:textbox>
              </v:shape>
            </w:pict>
          </mc:Fallback>
        </mc:AlternateContent>
      </w:r>
      <w:r w:rsidRPr="004A12BF">
        <w:rPr>
          <w:noProof/>
        </w:rPr>
        <mc:AlternateContent>
          <mc:Choice Requires="wps">
            <w:drawing>
              <wp:anchor distT="0" distB="0" distL="114300" distR="114300" simplePos="0" relativeHeight="251685376" behindDoc="0" locked="0" layoutInCell="1" allowOverlap="1" wp14:anchorId="2DA1D3A2" wp14:editId="3440C9DD">
                <wp:simplePos x="0" y="0"/>
                <wp:positionH relativeFrom="column">
                  <wp:posOffset>3610610</wp:posOffset>
                </wp:positionH>
                <wp:positionV relativeFrom="paragraph">
                  <wp:posOffset>5633085</wp:posOffset>
                </wp:positionV>
                <wp:extent cx="506095" cy="225425"/>
                <wp:effectExtent l="0" t="0" r="27305" b="22225"/>
                <wp:wrapNone/>
                <wp:docPr id="37" name="Proceso alternativo 37"/>
                <wp:cNvGraphicFramePr/>
                <a:graphic xmlns:a="http://schemas.openxmlformats.org/drawingml/2006/main">
                  <a:graphicData uri="http://schemas.microsoft.com/office/word/2010/wordprocessingShape">
                    <wps:wsp>
                      <wps:cNvSpPr/>
                      <wps:spPr>
                        <a:xfrm>
                          <a:off x="0" y="0"/>
                          <a:ext cx="505460" cy="225425"/>
                        </a:xfrm>
                        <a:prstGeom prst="flowChartAlternateProcess">
                          <a:avLst/>
                        </a:prstGeom>
                        <a:noFill/>
                        <a:ln w="6350" cap="flat" cmpd="sng" algn="ctr">
                          <a:solidFill>
                            <a:sysClr val="windowText" lastClr="000000"/>
                          </a:solidFill>
                          <a:prstDash val="solid"/>
                        </a:ln>
                        <a:effectLst/>
                      </wps:spPr>
                      <wps:txbx>
                        <w:txbxContent>
                          <w:p w14:paraId="2FE45EC1"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SNS-O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1D3A2" id="Proceso alternativo 37" o:spid="_x0000_s1035" type="#_x0000_t176" style="position:absolute;left:0;text-align:left;margin-left:284.3pt;margin-top:443.55pt;width:39.85pt;height:17.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" filled="f" strokecolor="windowText" strokeweight=".5pt">
                <v:textbox>
                  <w:txbxContent>
                    <w:p w14:paraId="2FE45EC1"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SNS-O</w:t>
                      </w:r>
                    </w:p>
                  </w:txbxContent>
                </v:textbox>
              </v:shape>
            </w:pict>
          </mc:Fallback>
        </mc:AlternateContent>
      </w:r>
      <w:r w:rsidRPr="004A12BF">
        <w:rPr>
          <w:noProof/>
        </w:rPr>
        <mc:AlternateContent>
          <mc:Choice Requires="wps">
            <w:drawing>
              <wp:anchor distT="0" distB="0" distL="114300" distR="114300" simplePos="0" relativeHeight="251688448" behindDoc="0" locked="0" layoutInCell="1" allowOverlap="1" wp14:anchorId="348CFF39" wp14:editId="202802AE">
                <wp:simplePos x="0" y="0"/>
                <wp:positionH relativeFrom="column">
                  <wp:posOffset>4725035</wp:posOffset>
                </wp:positionH>
                <wp:positionV relativeFrom="paragraph">
                  <wp:posOffset>2694940</wp:posOffset>
                </wp:positionV>
                <wp:extent cx="767080" cy="249555"/>
                <wp:effectExtent l="0" t="0" r="13970" b="17145"/>
                <wp:wrapNone/>
                <wp:docPr id="41" name="Proceso alternativo 41"/>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14:paraId="02F959B0"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Miguel Servet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CFF39" id="Proceso alternativo 41" o:spid="_x0000_s1036" type="#_x0000_t176" style="position:absolute;left:0;text-align:left;margin-left:372.05pt;margin-top:212.2pt;width:60.4pt;height:19.6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" filled="f" strokecolor="windowText" strokeweight=".5pt">
                <v:textbox>
                  <w:txbxContent>
                    <w:p w14:paraId="02F959B0"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Miguel Servet</w:t>
                      </w:r>
                    </w:p>
                  </w:txbxContent>
                </v:textbox>
              </v:shape>
            </w:pict>
          </mc:Fallback>
        </mc:AlternateContent>
      </w:r>
      <w:r w:rsidRPr="004A12BF">
        <w:rPr>
          <w:noProof/>
        </w:rPr>
        <mc:AlternateContent>
          <mc:Choice Requires="wps">
            <w:drawing>
              <wp:anchor distT="0" distB="0" distL="114300" distR="114300" simplePos="0" relativeHeight="251689472" behindDoc="0" locked="0" layoutInCell="1" allowOverlap="1" wp14:anchorId="39FB7FF0" wp14:editId="0067F2E8">
                <wp:simplePos x="0" y="0"/>
                <wp:positionH relativeFrom="column">
                  <wp:posOffset>4725035</wp:posOffset>
                </wp:positionH>
                <wp:positionV relativeFrom="paragraph">
                  <wp:posOffset>3244215</wp:posOffset>
                </wp:positionV>
                <wp:extent cx="767080" cy="316865"/>
                <wp:effectExtent l="0" t="0" r="13970" b="26035"/>
                <wp:wrapNone/>
                <wp:docPr id="42" name="Proceso alternativo 42"/>
                <wp:cNvGraphicFramePr/>
                <a:graphic xmlns:a="http://schemas.openxmlformats.org/drawingml/2006/main">
                  <a:graphicData uri="http://schemas.microsoft.com/office/word/2010/wordprocessingShape">
                    <wps:wsp>
                      <wps:cNvSpPr/>
                      <wps:spPr>
                        <a:xfrm>
                          <a:off x="0" y="0"/>
                          <a:ext cx="767080" cy="316865"/>
                        </a:xfrm>
                        <a:prstGeom prst="flowChartAlternateProcess">
                          <a:avLst/>
                        </a:prstGeom>
                        <a:noFill/>
                        <a:ln w="6350" cap="flat" cmpd="sng" algn="ctr">
                          <a:solidFill>
                            <a:sysClr val="windowText" lastClr="000000"/>
                          </a:solidFill>
                          <a:prstDash val="solid"/>
                        </a:ln>
                        <a:effectLst/>
                      </wps:spPr>
                      <wps:txbx>
                        <w:txbxContent>
                          <w:p w14:paraId="1699F356"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Conser. Patrimonio Histórico Navarra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B7FF0" id="Proceso alternativo 42" o:spid="_x0000_s1037" type="#_x0000_t176" style="position:absolute;left:0;text-align:left;margin-left:372.05pt;margin-top:255.45pt;width:60.4pt;height:24.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" filled="f" strokecolor="windowText" strokeweight=".5pt">
                <v:textbox>
                  <w:txbxContent>
                    <w:p w14:paraId="1699F356"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Conser. Patrimonio Histórico Navarra</w:t>
                      </w:r>
                    </w:p>
                  </w:txbxContent>
                </v:textbox>
              </v:shape>
            </w:pict>
          </mc:Fallback>
        </mc:AlternateContent>
      </w:r>
      <w:r w:rsidRPr="004A12BF">
        <w:rPr>
          <w:noProof/>
        </w:rPr>
        <mc:AlternateContent>
          <mc:Choice Requires="wps">
            <w:drawing>
              <wp:anchor distT="0" distB="0" distL="114300" distR="114300" simplePos="0" relativeHeight="251690496" behindDoc="0" locked="0" layoutInCell="1" allowOverlap="1" wp14:anchorId="2EDE6428" wp14:editId="24B51D03">
                <wp:simplePos x="0" y="0"/>
                <wp:positionH relativeFrom="column">
                  <wp:posOffset>4725035</wp:posOffset>
                </wp:positionH>
                <wp:positionV relativeFrom="paragraph">
                  <wp:posOffset>3843655</wp:posOffset>
                </wp:positionV>
                <wp:extent cx="767080" cy="495300"/>
                <wp:effectExtent l="0" t="0" r="13970" b="19050"/>
                <wp:wrapNone/>
                <wp:docPr id="43" name="Proceso alternativo 43"/>
                <wp:cNvGraphicFramePr/>
                <a:graphic xmlns:a="http://schemas.openxmlformats.org/drawingml/2006/main">
                  <a:graphicData uri="http://schemas.microsoft.com/office/word/2010/wordprocessingShape">
                    <wps:wsp>
                      <wps:cNvSpPr/>
                      <wps:spPr>
                        <a:xfrm>
                          <a:off x="0" y="0"/>
                          <a:ext cx="767080" cy="495300"/>
                        </a:xfrm>
                        <a:prstGeom prst="flowChartAlternateProcess">
                          <a:avLst/>
                        </a:prstGeom>
                        <a:noFill/>
                        <a:ln w="6350" cap="flat" cmpd="sng" algn="ctr">
                          <a:solidFill>
                            <a:sysClr val="windowText" lastClr="000000"/>
                          </a:solidFill>
                          <a:prstDash val="solid"/>
                        </a:ln>
                        <a:effectLst/>
                      </wps:spPr>
                      <wps:txbx>
                        <w:txbxContent>
                          <w:p w14:paraId="72F079AB"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 xml:space="preserve">Provisión apoyos </w:t>
                            </w:r>
                          </w:p>
                          <w:p w14:paraId="0E7898A0"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 xml:space="preserve">personas con </w:t>
                            </w:r>
                          </w:p>
                          <w:p w14:paraId="4383DD35"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discapacidad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E6428" id="Proceso alternativo 43" o:spid="_x0000_s1038" type="#_x0000_t176" style="position:absolute;left:0;text-align:left;margin-left:372.05pt;margin-top:302.65pt;width:60.4pt;height:39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" filled="f" strokecolor="windowText" strokeweight=".5pt">
                <v:textbox>
                  <w:txbxContent>
                    <w:p w14:paraId="72F079AB"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 xml:space="preserve">Provisión apoyos </w:t>
                      </w:r>
                    </w:p>
                    <w:p w14:paraId="0E7898A0"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 xml:space="preserve">personas con </w:t>
                      </w:r>
                    </w:p>
                    <w:p w14:paraId="4383DD35"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discapacidad</w:t>
                      </w:r>
                    </w:p>
                  </w:txbxContent>
                </v:textbox>
              </v:shape>
            </w:pict>
          </mc:Fallback>
        </mc:AlternateContent>
      </w:r>
      <w:r w:rsidRPr="004A12BF">
        <w:rPr>
          <w:noProof/>
        </w:rPr>
        <mc:AlternateContent>
          <mc:Choice Requires="wps">
            <w:drawing>
              <wp:anchor distT="0" distB="0" distL="114300" distR="114300" simplePos="0" relativeHeight="251691520" behindDoc="0" locked="0" layoutInCell="1" allowOverlap="1" wp14:anchorId="5326D315" wp14:editId="137CA20D">
                <wp:simplePos x="0" y="0"/>
                <wp:positionH relativeFrom="column">
                  <wp:posOffset>4725035</wp:posOffset>
                </wp:positionH>
                <wp:positionV relativeFrom="paragraph">
                  <wp:posOffset>4485640</wp:posOffset>
                </wp:positionV>
                <wp:extent cx="767080" cy="249555"/>
                <wp:effectExtent l="0" t="0" r="13970" b="17145"/>
                <wp:wrapNone/>
                <wp:docPr id="44" name="Proceso alternativo 44"/>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14:paraId="49FE3109"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Baluarte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6D315" id="Proceso alternativo 44" o:spid="_x0000_s1039" type="#_x0000_t176" style="position:absolute;left:0;text-align:left;margin-left:372.05pt;margin-top:353.2pt;width:60.4pt;height:19.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" filled="f" strokecolor="windowText" strokeweight=".5pt">
                <v:textbox>
                  <w:txbxContent>
                    <w:p w14:paraId="49FE3109"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Baluarte</w:t>
                      </w:r>
                    </w:p>
                  </w:txbxContent>
                </v:textbox>
              </v:shape>
            </w:pict>
          </mc:Fallback>
        </mc:AlternateContent>
      </w:r>
      <w:r w:rsidRPr="004A12BF">
        <w:rPr>
          <w:noProof/>
        </w:rPr>
        <mc:AlternateContent>
          <mc:Choice Requires="wps">
            <w:drawing>
              <wp:anchor distT="0" distB="0" distL="114300" distR="114300" simplePos="0" relativeHeight="251692544" behindDoc="0" locked="0" layoutInCell="1" allowOverlap="1" wp14:anchorId="2F6182E6" wp14:editId="4AE7718B">
                <wp:simplePos x="0" y="0"/>
                <wp:positionH relativeFrom="column">
                  <wp:posOffset>899160</wp:posOffset>
                </wp:positionH>
                <wp:positionV relativeFrom="paragraph">
                  <wp:posOffset>1527810</wp:posOffset>
                </wp:positionV>
                <wp:extent cx="725170" cy="396240"/>
                <wp:effectExtent l="0" t="0" r="17780" b="22860"/>
                <wp:wrapNone/>
                <wp:docPr id="50" name="Proceso alternativo 50"/>
                <wp:cNvGraphicFramePr/>
                <a:graphic xmlns:a="http://schemas.openxmlformats.org/drawingml/2006/main">
                  <a:graphicData uri="http://schemas.microsoft.com/office/word/2010/wordprocessingShape">
                    <wps:wsp>
                      <wps:cNvSpPr/>
                      <wps:spPr>
                        <a:xfrm>
                          <a:off x="0" y="0"/>
                          <a:ext cx="725170" cy="396240"/>
                        </a:xfrm>
                        <a:prstGeom prst="flowChartAlternateProcess">
                          <a:avLst/>
                        </a:prstGeom>
                        <a:noFill/>
                        <a:ln w="6350" cap="flat" cmpd="sng" algn="ctr">
                          <a:solidFill>
                            <a:sysClr val="windowText" lastClr="000000"/>
                          </a:solidFill>
                          <a:prstDash val="solid"/>
                        </a:ln>
                        <a:effectLst/>
                      </wps:spPr>
                      <wps:txbx>
                        <w:txbxContent>
                          <w:p w14:paraId="5A457E18" w14:textId="77777777" w:rsidR="002C091C" w:rsidRDefault="002C091C" w:rsidP="00614DC4">
                            <w:pPr>
                              <w:ind w:left="-142" w:right="-73"/>
                              <w:jc w:val="center"/>
                              <w:rPr>
                                <w:rFonts w:ascii="Arial" w:hAnsi="Arial" w:cs="Arial"/>
                                <w:sz w:val="18"/>
                                <w:szCs w:val="18"/>
                              </w:rPr>
                            </w:pPr>
                            <w:r>
                              <w:rPr>
                                <w:rFonts w:ascii="Arial" w:hAnsi="Arial" w:cs="Arial"/>
                                <w:sz w:val="18"/>
                                <w:szCs w:val="18"/>
                              </w:rPr>
                              <w:t>Cámara de Comptos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182E6" id="Proceso alternativo 50" o:spid="_x0000_s1040" type="#_x0000_t176" style="position:absolute;left:0;text-align:left;margin-left:70.8pt;margin-top:120.3pt;width:57.1pt;height:31.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" filled="f" strokecolor="windowText" strokeweight=".5pt">
                <v:textbox>
                  <w:txbxContent>
                    <w:p w14:paraId="5A457E18" w14:textId="77777777" w:rsidR="002C091C" w:rsidRDefault="002C091C" w:rsidP="00614DC4">
                      <w:pPr>
                        <w:ind w:left="-142" w:right="-73"/>
                        <w:jc w:val="center"/>
                        <w:rPr>
                          <w:rFonts w:ascii="Arial" w:hAnsi="Arial" w:cs="Arial"/>
                          <w:sz w:val="18"/>
                          <w:szCs w:val="18"/>
                        </w:rPr>
                      </w:pPr>
                      <w:r>
                        <w:rPr>
                          <w:rFonts w:ascii="Arial" w:hAnsi="Arial" w:cs="Arial"/>
                          <w:sz w:val="18"/>
                          <w:szCs w:val="18"/>
                        </w:rPr>
                        <w:t>Cámara de Comptos</w:t>
                      </w:r>
                    </w:p>
                  </w:txbxContent>
                </v:textbox>
              </v:shape>
            </w:pict>
          </mc:Fallback>
        </mc:AlternateContent>
      </w:r>
      <w:r w:rsidRPr="004A12BF">
        <w:rPr>
          <w:noProof/>
        </w:rPr>
        <mc:AlternateContent>
          <mc:Choice Requires="wps">
            <w:drawing>
              <wp:anchor distT="0" distB="0" distL="114300" distR="114300" simplePos="0" relativeHeight="251694592" behindDoc="0" locked="0" layoutInCell="1" allowOverlap="1" wp14:anchorId="2BFBBFFB" wp14:editId="7400DBE5">
                <wp:simplePos x="0" y="0"/>
                <wp:positionH relativeFrom="column">
                  <wp:posOffset>2829560</wp:posOffset>
                </wp:positionH>
                <wp:positionV relativeFrom="paragraph">
                  <wp:posOffset>1214755</wp:posOffset>
                </wp:positionV>
                <wp:extent cx="2943225" cy="0"/>
                <wp:effectExtent l="0" t="0" r="28575" b="19050"/>
                <wp:wrapNone/>
                <wp:docPr id="52" name="Conector recto 52"/>
                <wp:cNvGraphicFramePr/>
                <a:graphic xmlns:a="http://schemas.openxmlformats.org/drawingml/2006/main">
                  <a:graphicData uri="http://schemas.microsoft.com/office/word/2010/wordprocessingShape">
                    <wps:wsp>
                      <wps:cNvCnPr/>
                      <wps:spPr>
                        <a:xfrm>
                          <a:off x="0" y="0"/>
                          <a:ext cx="29432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83684A" id="Conector recto 52"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95.65pt" to="454.55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" strokecolor="windowText" strokeweight=".5pt"/>
            </w:pict>
          </mc:Fallback>
        </mc:AlternateContent>
      </w:r>
      <w:r w:rsidRPr="004A12BF">
        <w:rPr>
          <w:noProof/>
        </w:rPr>
        <mc:AlternateContent>
          <mc:Choice Requires="wps">
            <w:drawing>
              <wp:anchor distT="0" distB="0" distL="114300" distR="114300" simplePos="0" relativeHeight="251712000" behindDoc="0" locked="0" layoutInCell="1" allowOverlap="1" wp14:anchorId="6000C69E" wp14:editId="18D080EE">
                <wp:simplePos x="0" y="0"/>
                <wp:positionH relativeFrom="column">
                  <wp:posOffset>5492115</wp:posOffset>
                </wp:positionH>
                <wp:positionV relativeFrom="paragraph">
                  <wp:posOffset>4615180</wp:posOffset>
                </wp:positionV>
                <wp:extent cx="307975" cy="0"/>
                <wp:effectExtent l="0" t="0" r="15875" b="19050"/>
                <wp:wrapNone/>
                <wp:docPr id="96" name="Conector recto 96"/>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6539FB" id="Conector recto 96" o:spid="_x0000_s1026" style="position:absolute;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363.4pt" to="456.7pt,3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" strokecolor="windowText" strokeweight=".5pt"/>
            </w:pict>
          </mc:Fallback>
        </mc:AlternateContent>
      </w:r>
      <w:r w:rsidRPr="004A12BF">
        <w:rPr>
          <w:noProof/>
        </w:rPr>
        <mc:AlternateContent>
          <mc:Choice Requires="wps">
            <w:drawing>
              <wp:anchor distT="0" distB="0" distL="114300" distR="114300" simplePos="0" relativeHeight="251715072" behindDoc="0" locked="0" layoutInCell="1" allowOverlap="1" wp14:anchorId="11EEE2A9" wp14:editId="147A29B7">
                <wp:simplePos x="0" y="0"/>
                <wp:positionH relativeFrom="column">
                  <wp:posOffset>5492115</wp:posOffset>
                </wp:positionH>
                <wp:positionV relativeFrom="paragraph">
                  <wp:posOffset>4022090</wp:posOffset>
                </wp:positionV>
                <wp:extent cx="307975" cy="0"/>
                <wp:effectExtent l="0" t="0" r="15875" b="19050"/>
                <wp:wrapNone/>
                <wp:docPr id="102" name="Conector recto 102"/>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C05C5E" id="Conector recto 102" o:spid="_x0000_s1026" style="position:absolute;flip:x;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316.7pt" to="456.7pt,3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" strokecolor="windowText" strokeweight=".5pt"/>
            </w:pict>
          </mc:Fallback>
        </mc:AlternateContent>
      </w:r>
      <w:r w:rsidRPr="004A12BF">
        <w:rPr>
          <w:noProof/>
        </w:rPr>
        <mc:AlternateContent>
          <mc:Choice Requires="wps">
            <w:drawing>
              <wp:anchor distT="0" distB="0" distL="114300" distR="114300" simplePos="0" relativeHeight="251716096" behindDoc="0" locked="0" layoutInCell="1" allowOverlap="1" wp14:anchorId="2D9F0D6D" wp14:editId="49D2CE10">
                <wp:simplePos x="0" y="0"/>
                <wp:positionH relativeFrom="column">
                  <wp:posOffset>5492115</wp:posOffset>
                </wp:positionH>
                <wp:positionV relativeFrom="paragraph">
                  <wp:posOffset>3421380</wp:posOffset>
                </wp:positionV>
                <wp:extent cx="307975" cy="0"/>
                <wp:effectExtent l="0" t="0" r="15875" b="19050"/>
                <wp:wrapNone/>
                <wp:docPr id="103" name="Conector recto 103"/>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B52877" id="Conector recto 103"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269.4pt" to="456.7pt,2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" strokecolor="windowText" strokeweight=".5pt"/>
            </w:pict>
          </mc:Fallback>
        </mc:AlternateContent>
      </w:r>
      <w:r w:rsidRPr="004A12BF">
        <w:rPr>
          <w:noProof/>
        </w:rPr>
        <mc:AlternateContent>
          <mc:Choice Requires="wps">
            <w:drawing>
              <wp:anchor distT="0" distB="0" distL="114300" distR="114300" simplePos="0" relativeHeight="251717120" behindDoc="0" locked="0" layoutInCell="1" allowOverlap="1" wp14:anchorId="37380FE2" wp14:editId="7CC6234B">
                <wp:simplePos x="0" y="0"/>
                <wp:positionH relativeFrom="column">
                  <wp:posOffset>5492115</wp:posOffset>
                </wp:positionH>
                <wp:positionV relativeFrom="paragraph">
                  <wp:posOffset>2834640</wp:posOffset>
                </wp:positionV>
                <wp:extent cx="307975" cy="0"/>
                <wp:effectExtent l="0" t="0" r="15875" b="19050"/>
                <wp:wrapNone/>
                <wp:docPr id="104" name="Conector recto 104"/>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9C8A74" id="Conector recto 104" o:spid="_x0000_s1026" style="position:absolute;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223.2pt" to="456.7pt,2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" strokecolor="windowText" strokeweight=".5pt"/>
            </w:pict>
          </mc:Fallback>
        </mc:AlternateContent>
      </w:r>
      <w:r w:rsidRPr="004A12BF">
        <w:rPr>
          <w:noProof/>
        </w:rPr>
        <mc:AlternateContent>
          <mc:Choice Requires="wps">
            <w:drawing>
              <wp:anchor distT="0" distB="0" distL="114300" distR="114300" simplePos="0" relativeHeight="251719168" behindDoc="0" locked="0" layoutInCell="1" allowOverlap="1" wp14:anchorId="5844FE6A" wp14:editId="69E1003F">
                <wp:simplePos x="0" y="0"/>
                <wp:positionH relativeFrom="column">
                  <wp:posOffset>5772785</wp:posOffset>
                </wp:positionH>
                <wp:positionV relativeFrom="paragraph">
                  <wp:posOffset>1214755</wp:posOffset>
                </wp:positionV>
                <wp:extent cx="0" cy="104775"/>
                <wp:effectExtent l="0" t="0" r="19050" b="28575"/>
                <wp:wrapNone/>
                <wp:docPr id="106" name="Conector recto 106"/>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67E06A" id="Conector recto 106"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55pt,95.65pt" to="454.55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" strokecolor="windowText" strokeweight=".5pt"/>
            </w:pict>
          </mc:Fallback>
        </mc:AlternateContent>
      </w:r>
      <w:r w:rsidRPr="004A12BF">
        <w:rPr>
          <w:noProof/>
        </w:rPr>
        <mc:AlternateContent>
          <mc:Choice Requires="wps">
            <w:drawing>
              <wp:anchor distT="0" distB="0" distL="114300" distR="114300" simplePos="0" relativeHeight="251720192" behindDoc="0" locked="0" layoutInCell="1" allowOverlap="1" wp14:anchorId="77D3659F" wp14:editId="03EE84D1">
                <wp:simplePos x="0" y="0"/>
                <wp:positionH relativeFrom="column">
                  <wp:posOffset>3820160</wp:posOffset>
                </wp:positionH>
                <wp:positionV relativeFrom="paragraph">
                  <wp:posOffset>1214755</wp:posOffset>
                </wp:positionV>
                <wp:extent cx="0" cy="104775"/>
                <wp:effectExtent l="0" t="0" r="19050" b="28575"/>
                <wp:wrapNone/>
                <wp:docPr id="108" name="Conector recto 108"/>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173C82" id="Conector recto 108"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8pt,95.65pt" to="300.8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" strokecolor="windowText" strokeweight=".5pt"/>
            </w:pict>
          </mc:Fallback>
        </mc:AlternateContent>
      </w:r>
      <w:r w:rsidRPr="004A12BF">
        <w:rPr>
          <w:noProof/>
        </w:rPr>
        <mc:AlternateContent>
          <mc:Choice Requires="wps">
            <w:drawing>
              <wp:anchor distT="0" distB="0" distL="114300" distR="114300" simplePos="0" relativeHeight="251722240" behindDoc="0" locked="0" layoutInCell="1" allowOverlap="1" wp14:anchorId="706A09BC" wp14:editId="2F0459E6">
                <wp:simplePos x="0" y="0"/>
                <wp:positionH relativeFrom="column">
                  <wp:posOffset>2829560</wp:posOffset>
                </wp:positionH>
                <wp:positionV relativeFrom="paragraph">
                  <wp:posOffset>1214755</wp:posOffset>
                </wp:positionV>
                <wp:extent cx="0" cy="95250"/>
                <wp:effectExtent l="0" t="0" r="19050" b="19050"/>
                <wp:wrapNone/>
                <wp:docPr id="110" name="Conector recto 110"/>
                <wp:cNvGraphicFramePr/>
                <a:graphic xmlns:a="http://schemas.openxmlformats.org/drawingml/2006/main">
                  <a:graphicData uri="http://schemas.microsoft.com/office/word/2010/wordprocessingShape">
                    <wps:wsp>
                      <wps:cNvCnPr/>
                      <wps:spPr>
                        <a:xfrm>
                          <a:off x="0" y="0"/>
                          <a:ext cx="0" cy="95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5D5B88" id="Conector recto 110"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95.65pt" to="222.8pt,1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" strokecolor="windowText" strokeweight=".5pt"/>
            </w:pict>
          </mc:Fallback>
        </mc:AlternateContent>
      </w:r>
      <w:r w:rsidRPr="004A12BF">
        <w:rPr>
          <w:noProof/>
        </w:rPr>
        <mc:AlternateContent>
          <mc:Choice Requires="wps">
            <w:drawing>
              <wp:anchor distT="0" distB="0" distL="114300" distR="114300" simplePos="0" relativeHeight="251723264" behindDoc="0" locked="0" layoutInCell="1" allowOverlap="1" wp14:anchorId="54F995E9" wp14:editId="05F8DED2">
                <wp:simplePos x="0" y="0"/>
                <wp:positionH relativeFrom="column">
                  <wp:posOffset>257810</wp:posOffset>
                </wp:positionH>
                <wp:positionV relativeFrom="paragraph">
                  <wp:posOffset>1271905</wp:posOffset>
                </wp:positionV>
                <wp:extent cx="986790" cy="0"/>
                <wp:effectExtent l="0" t="0" r="22860" b="19050"/>
                <wp:wrapNone/>
                <wp:docPr id="111" name="Conector recto 111"/>
                <wp:cNvGraphicFramePr/>
                <a:graphic xmlns:a="http://schemas.openxmlformats.org/drawingml/2006/main">
                  <a:graphicData uri="http://schemas.microsoft.com/office/word/2010/wordprocessingShape">
                    <wps:wsp>
                      <wps:cNvCnPr/>
                      <wps:spPr>
                        <a:xfrm>
                          <a:off x="0" y="0"/>
                          <a:ext cx="9867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CECF98" id="Conector recto 111"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pt,100.15pt" to="98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" strokecolor="windowText" strokeweight=".5pt"/>
            </w:pict>
          </mc:Fallback>
        </mc:AlternateContent>
      </w:r>
      <w:r w:rsidRPr="004A12BF">
        <w:rPr>
          <w:noProof/>
        </w:rPr>
        <mc:AlternateContent>
          <mc:Choice Requires="wps">
            <w:drawing>
              <wp:anchor distT="0" distB="0" distL="114300" distR="114300" simplePos="0" relativeHeight="251724288" behindDoc="0" locked="0" layoutInCell="1" allowOverlap="1" wp14:anchorId="3788C33B" wp14:editId="14B676F8">
                <wp:simplePos x="0" y="0"/>
                <wp:positionH relativeFrom="column">
                  <wp:posOffset>257175</wp:posOffset>
                </wp:positionH>
                <wp:positionV relativeFrom="paragraph">
                  <wp:posOffset>1271905</wp:posOffset>
                </wp:positionV>
                <wp:extent cx="635" cy="247650"/>
                <wp:effectExtent l="0" t="0" r="37465" b="19050"/>
                <wp:wrapNone/>
                <wp:docPr id="112" name="Conector recto 112"/>
                <wp:cNvGraphicFramePr/>
                <a:graphic xmlns:a="http://schemas.openxmlformats.org/drawingml/2006/main">
                  <a:graphicData uri="http://schemas.microsoft.com/office/word/2010/wordprocessingShape">
                    <wps:wsp>
                      <wps:cNvCnPr/>
                      <wps:spPr>
                        <a:xfrm flipH="1">
                          <a:off x="0" y="0"/>
                          <a:ext cx="635" cy="2476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4CAA6C" id="Conector recto 112" o:spid="_x0000_s1026" style="position:absolute;flip:x;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00.15pt" to="20.3pt,1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" strokecolor="windowText" strokeweight=".5pt"/>
            </w:pict>
          </mc:Fallback>
        </mc:AlternateContent>
      </w:r>
      <w:r w:rsidRPr="004A12BF">
        <w:rPr>
          <w:noProof/>
        </w:rPr>
        <mc:AlternateContent>
          <mc:Choice Requires="wps">
            <w:drawing>
              <wp:anchor distT="0" distB="0" distL="114300" distR="114300" simplePos="0" relativeHeight="251725312" behindDoc="0" locked="0" layoutInCell="1" allowOverlap="1" wp14:anchorId="36FEB4FA" wp14:editId="6471AD17">
                <wp:simplePos x="0" y="0"/>
                <wp:positionH relativeFrom="column">
                  <wp:posOffset>1238885</wp:posOffset>
                </wp:positionH>
                <wp:positionV relativeFrom="paragraph">
                  <wp:posOffset>1271905</wp:posOffset>
                </wp:positionV>
                <wp:extent cx="0" cy="257175"/>
                <wp:effectExtent l="0" t="0" r="19050" b="28575"/>
                <wp:wrapNone/>
                <wp:docPr id="113" name="Conector recto 113"/>
                <wp:cNvGraphicFramePr/>
                <a:graphic xmlns:a="http://schemas.openxmlformats.org/drawingml/2006/main">
                  <a:graphicData uri="http://schemas.microsoft.com/office/word/2010/wordprocessingShape">
                    <wps:wsp>
                      <wps:cNvCnPr/>
                      <wps:spPr>
                        <a:xfrm>
                          <a:off x="0" y="0"/>
                          <a:ext cx="0" cy="2571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BC6519" id="Conector recto 113"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5pt,100.15pt" to="97.55pt,1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" strokecolor="windowText" strokeweight=".5pt"/>
            </w:pict>
          </mc:Fallback>
        </mc:AlternateContent>
      </w:r>
      <w:r w:rsidRPr="004A12BF">
        <w:rPr>
          <w:noProof/>
        </w:rPr>
        <mc:AlternateContent>
          <mc:Choice Requires="wps">
            <w:drawing>
              <wp:anchor distT="0" distB="0" distL="114300" distR="114300" simplePos="0" relativeHeight="251732480" behindDoc="0" locked="0" layoutInCell="1" allowOverlap="1" wp14:anchorId="780A3620" wp14:editId="3ACB639C">
                <wp:simplePos x="0" y="0"/>
                <wp:positionH relativeFrom="column">
                  <wp:posOffset>4725035</wp:posOffset>
                </wp:positionH>
                <wp:positionV relativeFrom="paragraph">
                  <wp:posOffset>5027295</wp:posOffset>
                </wp:positionV>
                <wp:extent cx="767080" cy="249555"/>
                <wp:effectExtent l="0" t="0" r="13970" b="17145"/>
                <wp:wrapNone/>
                <wp:docPr id="20" name="Proceso alternativo 20"/>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14:paraId="162F82FD"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Miguel Induráin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A3620" id="Proceso alternativo 20" o:spid="_x0000_s1041" type="#_x0000_t176" style="position:absolute;left:0;text-align:left;margin-left:372.05pt;margin-top:395.85pt;width:60.4pt;height:19.6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" filled="f" strokecolor="windowText" strokeweight=".5pt">
                <v:textbox>
                  <w:txbxContent>
                    <w:p w14:paraId="162F82FD"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Miguel Induráin</w:t>
                      </w:r>
                    </w:p>
                  </w:txbxContent>
                </v:textbox>
              </v:shape>
            </w:pict>
          </mc:Fallback>
        </mc:AlternateContent>
      </w:r>
      <w:r w:rsidRPr="004A12BF">
        <w:rPr>
          <w:noProof/>
        </w:rPr>
        <mc:AlternateContent>
          <mc:Choice Requires="wps">
            <w:drawing>
              <wp:anchor distT="0" distB="0" distL="114300" distR="114300" simplePos="0" relativeHeight="251737600" behindDoc="0" locked="0" layoutInCell="1" allowOverlap="1" wp14:anchorId="27B9266C" wp14:editId="0503D368">
                <wp:simplePos x="0" y="0"/>
                <wp:positionH relativeFrom="column">
                  <wp:posOffset>2391410</wp:posOffset>
                </wp:positionH>
                <wp:positionV relativeFrom="paragraph">
                  <wp:posOffset>4699635</wp:posOffset>
                </wp:positionV>
                <wp:extent cx="1057910" cy="333375"/>
                <wp:effectExtent l="0" t="0" r="27940" b="28575"/>
                <wp:wrapNone/>
                <wp:docPr id="59" name="Proceso alternativo 59"/>
                <wp:cNvGraphicFramePr/>
                <a:graphic xmlns:a="http://schemas.openxmlformats.org/drawingml/2006/main">
                  <a:graphicData uri="http://schemas.microsoft.com/office/word/2010/wordprocessingShape">
                    <wps:wsp>
                      <wps:cNvSpPr/>
                      <wps:spPr>
                        <a:xfrm>
                          <a:off x="0" y="0"/>
                          <a:ext cx="1057910" cy="333375"/>
                        </a:xfrm>
                        <a:prstGeom prst="flowChartAlternateProcess">
                          <a:avLst/>
                        </a:prstGeom>
                        <a:noFill/>
                        <a:ln w="6350" cap="flat" cmpd="sng" algn="ctr">
                          <a:solidFill>
                            <a:sysClr val="windowText" lastClr="000000"/>
                          </a:solidFill>
                          <a:prstDash val="solid"/>
                        </a:ln>
                        <a:effectLst/>
                      </wps:spPr>
                      <wps:txbx>
                        <w:txbxContent>
                          <w:p w14:paraId="7D9D90EA"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 xml:space="preserve">Vivienda, Juventud y Políticas Migratorias </w:t>
                            </w:r>
                          </w:p>
                          <w:p w14:paraId="20CD6BA1"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y Justicia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9266C" id="Proceso alternativo 59" o:spid="_x0000_s1042" type="#_x0000_t176" style="position:absolute;left:0;text-align:left;margin-left:188.3pt;margin-top:370.05pt;width:83.3pt;height:26.2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" filled="f" strokecolor="windowText" strokeweight=".5pt">
                <v:textbox>
                  <w:txbxContent>
                    <w:p w14:paraId="7D9D90EA"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 xml:space="preserve">Vivienda, Juventud y Políticas Migratorias </w:t>
                      </w:r>
                    </w:p>
                    <w:p w14:paraId="20CD6BA1"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y Justicia</w:t>
                      </w:r>
                    </w:p>
                  </w:txbxContent>
                </v:textbox>
              </v:shape>
            </w:pict>
          </mc:Fallback>
        </mc:AlternateContent>
      </w:r>
      <w:r w:rsidRPr="004A12BF">
        <w:rPr>
          <w:noProof/>
        </w:rPr>
        <mc:AlternateContent>
          <mc:Choice Requires="wps">
            <w:drawing>
              <wp:anchor distT="0" distB="0" distL="114300" distR="114300" simplePos="0" relativeHeight="251750912" behindDoc="0" locked="0" layoutInCell="1" allowOverlap="1" wp14:anchorId="7ED1EBE8" wp14:editId="56542D26">
                <wp:simplePos x="0" y="0"/>
                <wp:positionH relativeFrom="column">
                  <wp:posOffset>4725035</wp:posOffset>
                </wp:positionH>
                <wp:positionV relativeFrom="paragraph">
                  <wp:posOffset>5571490</wp:posOffset>
                </wp:positionV>
                <wp:extent cx="767080" cy="400050"/>
                <wp:effectExtent l="0" t="0" r="13970" b="19050"/>
                <wp:wrapNone/>
                <wp:docPr id="9" name="Proceso alternativo 9"/>
                <wp:cNvGraphicFramePr/>
                <a:graphic xmlns:a="http://schemas.openxmlformats.org/drawingml/2006/main">
                  <a:graphicData uri="http://schemas.microsoft.com/office/word/2010/wordprocessingShape">
                    <wps:wsp>
                      <wps:cNvSpPr/>
                      <wps:spPr>
                        <a:xfrm>
                          <a:off x="0" y="0"/>
                          <a:ext cx="767080" cy="400050"/>
                        </a:xfrm>
                        <a:prstGeom prst="flowChartAlternateProcess">
                          <a:avLst/>
                        </a:prstGeom>
                        <a:noFill/>
                        <a:ln w="6350" cap="flat" cmpd="sng" algn="ctr">
                          <a:solidFill>
                            <a:sysClr val="windowText" lastClr="000000"/>
                          </a:solidFill>
                          <a:prstDash val="solid"/>
                        </a:ln>
                        <a:effectLst/>
                      </wps:spPr>
                      <wps:txbx>
                        <w:txbxContent>
                          <w:p w14:paraId="2D65FCD1"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Gestión Servicios Sociales Públicos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1EBE8" id="Proceso alternativo 9" o:spid="_x0000_s1043" type="#_x0000_t176" style="position:absolute;left:0;text-align:left;margin-left:372.05pt;margin-top:438.7pt;width:60.4pt;height:31.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" filled="f" strokecolor="windowText" strokeweight=".5pt">
                <v:textbox>
                  <w:txbxContent>
                    <w:p w14:paraId="2D65FCD1"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Gestión Servicios Sociales Públicos</w:t>
                      </w:r>
                    </w:p>
                  </w:txbxContent>
                </v:textbox>
              </v:shape>
            </w:pict>
          </mc:Fallback>
        </mc:AlternateContent>
      </w:r>
    </w:p>
    <w:p w14:paraId="20B76BB5" w14:textId="77777777" w:rsidR="00614DC4" w:rsidRDefault="00883DD1" w:rsidP="00614DC4">
      <w:pPr>
        <w:pStyle w:val="texto"/>
      </w:pPr>
      <w:r>
        <w:rPr>
          <w:noProof/>
        </w:rPr>
        <mc:AlternateContent>
          <mc:Choice Requires="wps">
            <w:drawing>
              <wp:anchor distT="0" distB="0" distL="114300" distR="114300" simplePos="0" relativeHeight="251768320" behindDoc="0" locked="0" layoutInCell="1" allowOverlap="1" wp14:anchorId="7654ED08" wp14:editId="33165121">
                <wp:simplePos x="0" y="0"/>
                <wp:positionH relativeFrom="column">
                  <wp:posOffset>457834</wp:posOffset>
                </wp:positionH>
                <wp:positionV relativeFrom="paragraph">
                  <wp:posOffset>177386</wp:posOffset>
                </wp:positionV>
                <wp:extent cx="3313" cy="307616"/>
                <wp:effectExtent l="0" t="0" r="34925" b="35560"/>
                <wp:wrapNone/>
                <wp:docPr id="57" name="Conector recto 57"/>
                <wp:cNvGraphicFramePr/>
                <a:graphic xmlns:a="http://schemas.openxmlformats.org/drawingml/2006/main">
                  <a:graphicData uri="http://schemas.microsoft.com/office/word/2010/wordprocessingShape">
                    <wps:wsp>
                      <wps:cNvCnPr/>
                      <wps:spPr>
                        <a:xfrm flipH="1">
                          <a:off x="0" y="0"/>
                          <a:ext cx="3313" cy="307616"/>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3813BD" id="Conector recto 57" o:spid="_x0000_s1026" style="position:absolute;flip:x;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5pt,13.95pt" to="36.3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" strokecolor="black [3040]" strokeweight=".5pt"/>
            </w:pict>
          </mc:Fallback>
        </mc:AlternateContent>
      </w:r>
      <w:r>
        <w:rPr>
          <w:noProof/>
        </w:rPr>
        <mc:AlternateContent>
          <mc:Choice Requires="wps">
            <w:drawing>
              <wp:anchor distT="0" distB="0" distL="114300" distR="114300" simplePos="0" relativeHeight="251770368" behindDoc="1" locked="0" layoutInCell="1" allowOverlap="1" wp14:anchorId="7A333753" wp14:editId="19DE7147">
                <wp:simplePos x="0" y="0"/>
                <wp:positionH relativeFrom="column">
                  <wp:posOffset>4746659</wp:posOffset>
                </wp:positionH>
                <wp:positionV relativeFrom="paragraph">
                  <wp:posOffset>185265</wp:posOffset>
                </wp:positionV>
                <wp:extent cx="3090" cy="145191"/>
                <wp:effectExtent l="0" t="0" r="35560" b="26670"/>
                <wp:wrapNone/>
                <wp:docPr id="67" name="Conector recto 67"/>
                <wp:cNvGraphicFramePr/>
                <a:graphic xmlns:a="http://schemas.openxmlformats.org/drawingml/2006/main">
                  <a:graphicData uri="http://schemas.microsoft.com/office/word/2010/wordprocessingShape">
                    <wps:wsp>
                      <wps:cNvCnPr/>
                      <wps:spPr>
                        <a:xfrm flipH="1" flipV="1">
                          <a:off x="0" y="0"/>
                          <a:ext cx="3090" cy="145191"/>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784DA9" id="Conector recto 67" o:spid="_x0000_s1026" style="position:absolute;flip:x y;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75pt,14.6pt" to="374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" strokecolor="black [3040]" strokeweight=".5pt"/>
            </w:pict>
          </mc:Fallback>
        </mc:AlternateContent>
      </w:r>
      <w:r>
        <w:rPr>
          <w:noProof/>
        </w:rPr>
        <mc:AlternateContent>
          <mc:Choice Requires="wps">
            <w:drawing>
              <wp:anchor distT="0" distB="0" distL="114300" distR="114300" simplePos="0" relativeHeight="251780608" behindDoc="0" locked="0" layoutInCell="1" allowOverlap="1" wp14:anchorId="05AC69AB" wp14:editId="425E736D">
                <wp:simplePos x="0" y="0"/>
                <wp:positionH relativeFrom="column">
                  <wp:posOffset>2914770</wp:posOffset>
                </wp:positionH>
                <wp:positionV relativeFrom="paragraph">
                  <wp:posOffset>175998</wp:posOffset>
                </wp:positionV>
                <wp:extent cx="0" cy="105032"/>
                <wp:effectExtent l="0" t="0" r="19050" b="28575"/>
                <wp:wrapNone/>
                <wp:docPr id="107" name="Conector recto 107"/>
                <wp:cNvGraphicFramePr/>
                <a:graphic xmlns:a="http://schemas.openxmlformats.org/drawingml/2006/main">
                  <a:graphicData uri="http://schemas.microsoft.com/office/word/2010/wordprocessingShape">
                    <wps:wsp>
                      <wps:cNvCnPr/>
                      <wps:spPr>
                        <a:xfrm>
                          <a:off x="0" y="0"/>
                          <a:ext cx="0" cy="105032"/>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8134F" id="Conector recto 107" o:spid="_x0000_s1026" style="position:absolute;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5pt,13.85pt" to="229.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" strokecolor="black [3040]" strokeweight=".5pt"/>
            </w:pict>
          </mc:Fallback>
        </mc:AlternateContent>
      </w:r>
      <w:r w:rsidR="00B4153F">
        <w:rPr>
          <w:noProof/>
        </w:rPr>
        <mc:AlternateContent>
          <mc:Choice Requires="wps">
            <w:drawing>
              <wp:anchor distT="0" distB="0" distL="114300" distR="114300" simplePos="0" relativeHeight="251727360" behindDoc="0" locked="0" layoutInCell="1" allowOverlap="1" wp14:anchorId="3C7F002E" wp14:editId="6F36A78B">
                <wp:simplePos x="0" y="0"/>
                <wp:positionH relativeFrom="column">
                  <wp:posOffset>460883</wp:posOffset>
                </wp:positionH>
                <wp:positionV relativeFrom="paragraph">
                  <wp:posOffset>178181</wp:posOffset>
                </wp:positionV>
                <wp:extent cx="4285488" cy="3175"/>
                <wp:effectExtent l="0" t="0" r="20320" b="34925"/>
                <wp:wrapNone/>
                <wp:docPr id="115" name="Conector recto 115"/>
                <wp:cNvGraphicFramePr/>
                <a:graphic xmlns:a="http://schemas.openxmlformats.org/drawingml/2006/main">
                  <a:graphicData uri="http://schemas.microsoft.com/office/word/2010/wordprocessingShape">
                    <wps:wsp>
                      <wps:cNvCnPr/>
                      <wps:spPr>
                        <a:xfrm>
                          <a:off x="0" y="0"/>
                          <a:ext cx="4285488" cy="317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01D1EA" id="Conector recto 115"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14.05pt" to="373.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" strokecolor="black [3040]" strokeweight=".5pt"/>
            </w:pict>
          </mc:Fallback>
        </mc:AlternateContent>
      </w:r>
      <w:r w:rsidR="00867CCB">
        <w:rPr>
          <w:noProof/>
        </w:rPr>
        <mc:AlternateContent>
          <mc:Choice Requires="wps">
            <w:drawing>
              <wp:anchor distT="0" distB="0" distL="114300" distR="114300" simplePos="0" relativeHeight="251779584" behindDoc="0" locked="0" layoutInCell="1" allowOverlap="1" wp14:anchorId="1EC6809A" wp14:editId="40404639">
                <wp:simplePos x="0" y="0"/>
                <wp:positionH relativeFrom="column">
                  <wp:posOffset>1762760</wp:posOffset>
                </wp:positionH>
                <wp:positionV relativeFrom="paragraph">
                  <wp:posOffset>180340</wp:posOffset>
                </wp:positionV>
                <wp:extent cx="0" cy="139700"/>
                <wp:effectExtent l="0" t="0" r="19050" b="31750"/>
                <wp:wrapNone/>
                <wp:docPr id="101" name="Conector recto 101"/>
                <wp:cNvGraphicFramePr/>
                <a:graphic xmlns:a="http://schemas.openxmlformats.org/drawingml/2006/main">
                  <a:graphicData uri="http://schemas.microsoft.com/office/word/2010/wordprocessingShape">
                    <wps:wsp>
                      <wps:cNvCnPr/>
                      <wps:spPr>
                        <a:xfrm>
                          <a:off x="0" y="0"/>
                          <a:ext cx="0" cy="13970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B058E8" id="Conector recto 101" o:spid="_x0000_s1026" style="position:absolute;z-index:251779584;visibility:visible;mso-wrap-style:square;mso-wrap-distance-left:9pt;mso-wrap-distance-top:0;mso-wrap-distance-right:9pt;mso-wrap-distance-bottom:0;mso-position-horizontal:absolute;mso-position-horizontal-relative:text;mso-position-vertical:absolute;mso-position-vertical-relative:text" from="138.8pt,14.2pt" to="138.8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" strokecolor="black [3040]" strokeweight=".5pt"/>
            </w:pict>
          </mc:Fallback>
        </mc:AlternateContent>
      </w:r>
      <w:r w:rsidR="00165295">
        <w:rPr>
          <w:noProof/>
        </w:rPr>
        <mc:AlternateContent>
          <mc:Choice Requires="wps">
            <w:drawing>
              <wp:anchor distT="0" distB="0" distL="114300" distR="114300" simplePos="0" relativeHeight="251769344" behindDoc="0" locked="0" layoutInCell="1" allowOverlap="1" wp14:anchorId="7CD2CDF9" wp14:editId="3E34BE6C">
                <wp:simplePos x="0" y="0"/>
                <wp:positionH relativeFrom="column">
                  <wp:posOffset>4725035</wp:posOffset>
                </wp:positionH>
                <wp:positionV relativeFrom="paragraph">
                  <wp:posOffset>180340</wp:posOffset>
                </wp:positionV>
                <wp:extent cx="0" cy="0"/>
                <wp:effectExtent l="0" t="0" r="0" b="0"/>
                <wp:wrapNone/>
                <wp:docPr id="62" name="Conector recto 6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630647" id="Conector recto 62" o:spid="_x0000_s1026" style="position:absolute;z-index:251769344;visibility:visible;mso-wrap-style:square;mso-wrap-distance-left:9pt;mso-wrap-distance-top:0;mso-wrap-distance-right:9pt;mso-wrap-distance-bottom:0;mso-position-horizontal:absolute;mso-position-horizontal-relative:text;mso-position-vertical:absolute;mso-position-vertical-relative:text" from="372.05pt,14.2pt" to="372.0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" strokecolor="#4579b8 [3044]"/>
            </w:pict>
          </mc:Fallback>
        </mc:AlternateContent>
      </w:r>
    </w:p>
    <w:p w14:paraId="37ABC783" w14:textId="77777777" w:rsidR="00614DC4" w:rsidRDefault="00007AB8" w:rsidP="00883DD1">
      <w:pPr>
        <w:pStyle w:val="texto"/>
        <w:tabs>
          <w:tab w:val="clear" w:pos="2835"/>
          <w:tab w:val="clear" w:pos="3969"/>
          <w:tab w:val="clear" w:pos="5103"/>
          <w:tab w:val="clear" w:pos="6237"/>
          <w:tab w:val="clear" w:pos="7371"/>
        </w:tabs>
      </w:pPr>
      <w:r>
        <w:rPr>
          <w:noProof/>
        </w:rPr>
        <mc:AlternateContent>
          <mc:Choice Requires="wps">
            <w:drawing>
              <wp:anchor distT="0" distB="0" distL="114300" distR="114300" simplePos="0" relativeHeight="251667968" behindDoc="0" locked="0" layoutInCell="1" allowOverlap="1" wp14:anchorId="0879FD8B" wp14:editId="4B007BD6">
                <wp:simplePos x="0" y="0"/>
                <wp:positionH relativeFrom="column">
                  <wp:posOffset>3685667</wp:posOffset>
                </wp:positionH>
                <wp:positionV relativeFrom="paragraph">
                  <wp:posOffset>140716</wp:posOffset>
                </wp:positionV>
                <wp:extent cx="1584960" cy="451262"/>
                <wp:effectExtent l="0" t="0" r="15240" b="25400"/>
                <wp:wrapNone/>
                <wp:docPr id="15" name="Proceso alternativo 15"/>
                <wp:cNvGraphicFramePr/>
                <a:graphic xmlns:a="http://schemas.openxmlformats.org/drawingml/2006/main">
                  <a:graphicData uri="http://schemas.microsoft.com/office/word/2010/wordprocessingShape">
                    <wps:wsp>
                      <wps:cNvSpPr/>
                      <wps:spPr>
                        <a:xfrm>
                          <a:off x="0" y="0"/>
                          <a:ext cx="1584960" cy="451262"/>
                        </a:xfrm>
                        <a:prstGeom prst="flowChartAlternateProcess">
                          <a:avLst/>
                        </a:prstGeom>
                        <a:noFill/>
                        <a:ln w="6350" cap="flat" cmpd="sng" algn="ctr">
                          <a:solidFill>
                            <a:sysClr val="windowText" lastClr="000000"/>
                          </a:solidFill>
                          <a:prstDash val="solid"/>
                        </a:ln>
                        <a:effectLst/>
                      </wps:spPr>
                      <wps:txbx>
                        <w:txbxContent>
                          <w:p w14:paraId="7BCAF67A" w14:textId="77777777" w:rsidR="002C091C" w:rsidRDefault="002C091C" w:rsidP="00614DC4">
                            <w:pPr>
                              <w:ind w:left="-142" w:right="-177"/>
                              <w:jc w:val="center"/>
                              <w:rPr>
                                <w:rFonts w:ascii="Arial" w:hAnsi="Arial" w:cs="Arial"/>
                                <w:sz w:val="18"/>
                                <w:szCs w:val="18"/>
                              </w:rPr>
                            </w:pPr>
                            <w:r>
                              <w:rPr>
                                <w:rFonts w:ascii="Arial" w:hAnsi="Arial" w:cs="Arial"/>
                                <w:sz w:val="18"/>
                                <w:szCs w:val="18"/>
                              </w:rPr>
                              <w:t xml:space="preserve">Administración de la </w:t>
                            </w:r>
                          </w:p>
                          <w:p w14:paraId="345E9EBB" w14:textId="77777777" w:rsidR="002C091C" w:rsidRDefault="002C091C" w:rsidP="00614DC4">
                            <w:pPr>
                              <w:ind w:left="-142" w:right="-177"/>
                              <w:jc w:val="center"/>
                              <w:rPr>
                                <w:rFonts w:ascii="Arial" w:hAnsi="Arial" w:cs="Arial"/>
                                <w:sz w:val="18"/>
                                <w:szCs w:val="18"/>
                              </w:rPr>
                            </w:pPr>
                            <w:r>
                              <w:rPr>
                                <w:rFonts w:ascii="Arial" w:hAnsi="Arial" w:cs="Arial"/>
                                <w:sz w:val="18"/>
                                <w:szCs w:val="18"/>
                              </w:rPr>
                              <w:t>Comunidad Foral de Navarra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9FD8B" id="Proceso alternativo 15" o:spid="_x0000_s1044" type="#_x0000_t176" style="position:absolute;left:0;text-align:left;margin-left:290.2pt;margin-top:11.1pt;width:124.8pt;height:35.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" filled="f" strokecolor="windowText" strokeweight=".5pt">
                <v:textbox>
                  <w:txbxContent>
                    <w:p w14:paraId="7BCAF67A" w14:textId="77777777" w:rsidR="002C091C" w:rsidRDefault="002C091C" w:rsidP="00614DC4">
                      <w:pPr>
                        <w:ind w:left="-142" w:right="-177"/>
                        <w:jc w:val="center"/>
                        <w:rPr>
                          <w:rFonts w:ascii="Arial" w:hAnsi="Arial" w:cs="Arial"/>
                          <w:sz w:val="18"/>
                          <w:szCs w:val="18"/>
                        </w:rPr>
                      </w:pPr>
                      <w:r>
                        <w:rPr>
                          <w:rFonts w:ascii="Arial" w:hAnsi="Arial" w:cs="Arial"/>
                          <w:sz w:val="18"/>
                          <w:szCs w:val="18"/>
                        </w:rPr>
                        <w:t xml:space="preserve">Administración de la </w:t>
                      </w:r>
                    </w:p>
                    <w:p w14:paraId="345E9EBB" w14:textId="77777777" w:rsidR="002C091C" w:rsidRDefault="002C091C" w:rsidP="00614DC4">
                      <w:pPr>
                        <w:ind w:left="-142" w:right="-177"/>
                        <w:jc w:val="center"/>
                        <w:rPr>
                          <w:rFonts w:ascii="Arial" w:hAnsi="Arial" w:cs="Arial"/>
                          <w:sz w:val="18"/>
                          <w:szCs w:val="18"/>
                        </w:rPr>
                      </w:pPr>
                      <w:r>
                        <w:rPr>
                          <w:rFonts w:ascii="Arial" w:hAnsi="Arial" w:cs="Arial"/>
                          <w:sz w:val="18"/>
                          <w:szCs w:val="18"/>
                        </w:rPr>
                        <w:t>Comunidad Foral de Navarra</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6C9B9F60" wp14:editId="293E0F87">
                <wp:simplePos x="0" y="0"/>
                <wp:positionH relativeFrom="column">
                  <wp:posOffset>1456352</wp:posOffset>
                </wp:positionH>
                <wp:positionV relativeFrom="paragraph">
                  <wp:posOffset>128443</wp:posOffset>
                </wp:positionV>
                <wp:extent cx="749300" cy="486344"/>
                <wp:effectExtent l="0" t="0" r="12700" b="28575"/>
                <wp:wrapNone/>
                <wp:docPr id="14" name="Proceso alternativo 14"/>
                <wp:cNvGraphicFramePr/>
                <a:graphic xmlns:a="http://schemas.openxmlformats.org/drawingml/2006/main">
                  <a:graphicData uri="http://schemas.microsoft.com/office/word/2010/wordprocessingShape">
                    <wps:wsp>
                      <wps:cNvSpPr/>
                      <wps:spPr>
                        <a:xfrm>
                          <a:off x="0" y="0"/>
                          <a:ext cx="749300" cy="486344"/>
                        </a:xfrm>
                        <a:prstGeom prst="flowChartAlternateProcess">
                          <a:avLst/>
                        </a:prstGeom>
                        <a:noFill/>
                        <a:ln w="6350" cap="flat" cmpd="sng" algn="ctr">
                          <a:solidFill>
                            <a:sysClr val="windowText" lastClr="000000"/>
                          </a:solidFill>
                          <a:prstDash val="solid"/>
                        </a:ln>
                        <a:effectLst/>
                      </wps:spPr>
                      <wps:txbx>
                        <w:txbxContent>
                          <w:p w14:paraId="64781553" w14:textId="77777777" w:rsidR="002C091C" w:rsidRDefault="002C091C" w:rsidP="00614DC4">
                            <w:pPr>
                              <w:ind w:left="-142" w:right="-177"/>
                              <w:jc w:val="center"/>
                              <w:rPr>
                                <w:rFonts w:ascii="Arial" w:hAnsi="Arial" w:cs="Arial"/>
                                <w:sz w:val="18"/>
                                <w:szCs w:val="18"/>
                              </w:rPr>
                            </w:pPr>
                            <w:r>
                              <w:rPr>
                                <w:rFonts w:ascii="Arial" w:hAnsi="Arial" w:cs="Arial"/>
                                <w:sz w:val="18"/>
                                <w:szCs w:val="18"/>
                              </w:rPr>
                              <w:t>Consejo de Navarra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B9F60" id="Proceso alternativo 14" o:spid="_x0000_s1045" type="#_x0000_t176" style="position:absolute;left:0;text-align:left;margin-left:114.65pt;margin-top:10.1pt;width:59pt;height:38.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" filled="f" strokecolor="windowText" strokeweight=".5pt">
                <v:textbox>
                  <w:txbxContent>
                    <w:p w14:paraId="64781553" w14:textId="77777777" w:rsidR="002C091C" w:rsidRDefault="002C091C" w:rsidP="00614DC4">
                      <w:pPr>
                        <w:ind w:left="-142" w:right="-177"/>
                        <w:jc w:val="center"/>
                        <w:rPr>
                          <w:rFonts w:ascii="Arial" w:hAnsi="Arial" w:cs="Arial"/>
                          <w:sz w:val="18"/>
                          <w:szCs w:val="18"/>
                        </w:rPr>
                      </w:pPr>
                      <w:r>
                        <w:rPr>
                          <w:rFonts w:ascii="Arial" w:hAnsi="Arial" w:cs="Arial"/>
                          <w:sz w:val="18"/>
                          <w:szCs w:val="18"/>
                        </w:rPr>
                        <w:t>Consejo de Navarra</w:t>
                      </w:r>
                    </w:p>
                  </w:txbxContent>
                </v:textbox>
              </v:shape>
            </w:pict>
          </mc:Fallback>
        </mc:AlternateContent>
      </w:r>
      <w:r>
        <w:rPr>
          <w:noProof/>
        </w:rPr>
        <mc:AlternateContent>
          <mc:Choice Requires="wps">
            <w:drawing>
              <wp:anchor distT="0" distB="0" distL="114300" distR="114300" simplePos="0" relativeHeight="251760128" behindDoc="0" locked="0" layoutInCell="1" allowOverlap="1" wp14:anchorId="4CE66604" wp14:editId="3DE4753B">
                <wp:simplePos x="0" y="0"/>
                <wp:positionH relativeFrom="margin">
                  <wp:posOffset>2287608</wp:posOffset>
                </wp:positionH>
                <wp:positionV relativeFrom="paragraph">
                  <wp:posOffset>92644</wp:posOffset>
                </wp:positionV>
                <wp:extent cx="1270660" cy="522514"/>
                <wp:effectExtent l="0" t="0" r="24765" b="11430"/>
                <wp:wrapNone/>
                <wp:docPr id="31" name="Proceso alternativo 31"/>
                <wp:cNvGraphicFramePr/>
                <a:graphic xmlns:a="http://schemas.openxmlformats.org/drawingml/2006/main">
                  <a:graphicData uri="http://schemas.microsoft.com/office/word/2010/wordprocessingShape">
                    <wps:wsp>
                      <wps:cNvSpPr/>
                      <wps:spPr>
                        <a:xfrm>
                          <a:off x="0" y="0"/>
                          <a:ext cx="1270660" cy="522514"/>
                        </a:xfrm>
                        <a:prstGeom prst="flowChartAlternateProcess">
                          <a:avLst/>
                        </a:prstGeom>
                        <a:noFill/>
                        <a:ln w="6350" cap="flat" cmpd="sng" algn="ctr">
                          <a:solidFill>
                            <a:sysClr val="windowText" lastClr="000000"/>
                          </a:solidFill>
                          <a:prstDash val="solid"/>
                        </a:ln>
                        <a:effectLst/>
                      </wps:spPr>
                      <wps:txbx>
                        <w:txbxContent>
                          <w:p w14:paraId="6C4EFDEC" w14:textId="77777777" w:rsidR="002C091C" w:rsidRPr="00007AB8" w:rsidRDefault="002C091C" w:rsidP="00680EE5">
                            <w:pPr>
                              <w:ind w:left="-142" w:right="-177"/>
                              <w:jc w:val="center"/>
                              <w:rPr>
                                <w:rFonts w:ascii="Arial" w:hAnsi="Arial" w:cs="Arial"/>
                                <w:sz w:val="18"/>
                                <w:szCs w:val="18"/>
                              </w:rPr>
                            </w:pPr>
                            <w:r w:rsidRPr="00007AB8">
                              <w:rPr>
                                <w:rFonts w:ascii="Arial" w:hAnsi="Arial" w:cs="Arial"/>
                                <w:sz w:val="18"/>
                                <w:szCs w:val="18"/>
                              </w:rPr>
                              <w:t>Oficina de</w:t>
                            </w:r>
                          </w:p>
                          <w:p w14:paraId="2D703029" w14:textId="77777777" w:rsidR="002C091C" w:rsidRDefault="002C091C" w:rsidP="00680EE5">
                            <w:pPr>
                              <w:ind w:left="-142" w:right="-177"/>
                              <w:jc w:val="center"/>
                              <w:rPr>
                                <w:rFonts w:ascii="Arial" w:hAnsi="Arial" w:cs="Arial"/>
                                <w:sz w:val="18"/>
                                <w:szCs w:val="18"/>
                              </w:rPr>
                            </w:pPr>
                            <w:r w:rsidRPr="00007AB8">
                              <w:rPr>
                                <w:rFonts w:ascii="Arial" w:hAnsi="Arial" w:cs="Arial"/>
                                <w:sz w:val="18"/>
                                <w:szCs w:val="18"/>
                              </w:rPr>
                              <w:t xml:space="preserve">Buenas Prácticas </w:t>
                            </w:r>
                          </w:p>
                          <w:p w14:paraId="43F45E40" w14:textId="77777777" w:rsidR="002C091C" w:rsidRPr="00007AB8" w:rsidRDefault="002C091C" w:rsidP="00680EE5">
                            <w:pPr>
                              <w:ind w:left="-142" w:right="-177"/>
                              <w:jc w:val="center"/>
                              <w:rPr>
                                <w:rFonts w:ascii="Arial" w:hAnsi="Arial" w:cs="Arial"/>
                                <w:sz w:val="18"/>
                                <w:szCs w:val="18"/>
                              </w:rPr>
                            </w:pPr>
                            <w:r w:rsidRPr="00007AB8">
                              <w:rPr>
                                <w:rFonts w:ascii="Arial" w:hAnsi="Arial" w:cs="Arial"/>
                                <w:sz w:val="18"/>
                                <w:szCs w:val="18"/>
                              </w:rPr>
                              <w:t>y Anticorrupción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66604" id="Proceso alternativo 31" o:spid="_x0000_s1046" type="#_x0000_t176" style="position:absolute;left:0;text-align:left;margin-left:180.15pt;margin-top:7.3pt;width:100.05pt;height:41.15pt;z-index:25176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" filled="f" strokecolor="windowText" strokeweight=".5pt">
                <v:textbox>
                  <w:txbxContent>
                    <w:p w14:paraId="6C4EFDEC" w14:textId="77777777" w:rsidR="002C091C" w:rsidRPr="00007AB8" w:rsidRDefault="002C091C" w:rsidP="00680EE5">
                      <w:pPr>
                        <w:ind w:left="-142" w:right="-177"/>
                        <w:jc w:val="center"/>
                        <w:rPr>
                          <w:rFonts w:ascii="Arial" w:hAnsi="Arial" w:cs="Arial"/>
                          <w:sz w:val="18"/>
                          <w:szCs w:val="18"/>
                        </w:rPr>
                      </w:pPr>
                      <w:r w:rsidRPr="00007AB8">
                        <w:rPr>
                          <w:rFonts w:ascii="Arial" w:hAnsi="Arial" w:cs="Arial"/>
                          <w:sz w:val="18"/>
                          <w:szCs w:val="18"/>
                        </w:rPr>
                        <w:t>Oficina de</w:t>
                      </w:r>
                    </w:p>
                    <w:p w14:paraId="2D703029" w14:textId="77777777" w:rsidR="002C091C" w:rsidRDefault="002C091C" w:rsidP="00680EE5">
                      <w:pPr>
                        <w:ind w:left="-142" w:right="-177"/>
                        <w:jc w:val="center"/>
                        <w:rPr>
                          <w:rFonts w:ascii="Arial" w:hAnsi="Arial" w:cs="Arial"/>
                          <w:sz w:val="18"/>
                          <w:szCs w:val="18"/>
                        </w:rPr>
                      </w:pPr>
                      <w:r w:rsidRPr="00007AB8">
                        <w:rPr>
                          <w:rFonts w:ascii="Arial" w:hAnsi="Arial" w:cs="Arial"/>
                          <w:sz w:val="18"/>
                          <w:szCs w:val="18"/>
                        </w:rPr>
                        <w:t xml:space="preserve">Buenas Prácticas </w:t>
                      </w:r>
                    </w:p>
                    <w:p w14:paraId="43F45E40" w14:textId="77777777" w:rsidR="002C091C" w:rsidRPr="00007AB8" w:rsidRDefault="002C091C" w:rsidP="00680EE5">
                      <w:pPr>
                        <w:ind w:left="-142" w:right="-177"/>
                        <w:jc w:val="center"/>
                        <w:rPr>
                          <w:rFonts w:ascii="Arial" w:hAnsi="Arial" w:cs="Arial"/>
                          <w:sz w:val="18"/>
                          <w:szCs w:val="18"/>
                        </w:rPr>
                      </w:pPr>
                      <w:r w:rsidRPr="00007AB8">
                        <w:rPr>
                          <w:rFonts w:ascii="Arial" w:hAnsi="Arial" w:cs="Arial"/>
                          <w:sz w:val="18"/>
                          <w:szCs w:val="18"/>
                        </w:rPr>
                        <w:t>y Anticorrupción</w:t>
                      </w:r>
                    </w:p>
                  </w:txbxContent>
                </v:textbox>
                <w10:wrap anchorx="margin"/>
              </v:shape>
            </w:pict>
          </mc:Fallback>
        </mc:AlternateContent>
      </w:r>
      <w:r w:rsidR="00883DD1">
        <w:tab/>
      </w:r>
    </w:p>
    <w:p w14:paraId="5411C561" w14:textId="77777777" w:rsidR="00614DC4" w:rsidRDefault="001A7021" w:rsidP="00614DC4">
      <w:pPr>
        <w:pStyle w:val="texto"/>
      </w:pPr>
      <w:r>
        <w:rPr>
          <w:noProof/>
        </w:rPr>
        <mc:AlternateContent>
          <mc:Choice Requires="wps">
            <w:drawing>
              <wp:anchor distT="0" distB="0" distL="114300" distR="114300" simplePos="0" relativeHeight="251663872" behindDoc="0" locked="0" layoutInCell="1" allowOverlap="1" wp14:anchorId="007220BE" wp14:editId="355ED75D">
                <wp:simplePos x="0" y="0"/>
                <wp:positionH relativeFrom="column">
                  <wp:posOffset>172085</wp:posOffset>
                </wp:positionH>
                <wp:positionV relativeFrom="paragraph">
                  <wp:posOffset>102235</wp:posOffset>
                </wp:positionV>
                <wp:extent cx="1066800" cy="451485"/>
                <wp:effectExtent l="0" t="0" r="19050" b="24765"/>
                <wp:wrapNone/>
                <wp:docPr id="11" name="Proceso alternativo 11"/>
                <wp:cNvGraphicFramePr/>
                <a:graphic xmlns:a="http://schemas.openxmlformats.org/drawingml/2006/main">
                  <a:graphicData uri="http://schemas.microsoft.com/office/word/2010/wordprocessingShape">
                    <wps:wsp>
                      <wps:cNvSpPr/>
                      <wps:spPr>
                        <a:xfrm>
                          <a:off x="0" y="0"/>
                          <a:ext cx="1066800" cy="451485"/>
                        </a:xfrm>
                        <a:prstGeom prst="flowChartAlternateProcess">
                          <a:avLst/>
                        </a:prstGeom>
                        <a:noFill/>
                        <a:ln w="6350" cap="flat" cmpd="sng" algn="ctr">
                          <a:solidFill>
                            <a:sysClr val="windowText" lastClr="000000"/>
                          </a:solidFill>
                          <a:prstDash val="solid"/>
                        </a:ln>
                        <a:effectLst/>
                      </wps:spPr>
                      <wps:txbx>
                        <w:txbxContent>
                          <w:p w14:paraId="2C414A8A" w14:textId="77777777" w:rsidR="002C091C" w:rsidRDefault="002C091C" w:rsidP="00614DC4">
                            <w:pPr>
                              <w:jc w:val="center"/>
                              <w:rPr>
                                <w:rFonts w:ascii="Arial" w:hAnsi="Arial" w:cs="Arial"/>
                                <w:sz w:val="18"/>
                                <w:szCs w:val="18"/>
                              </w:rPr>
                            </w:pPr>
                            <w:r>
                              <w:rPr>
                                <w:rFonts w:ascii="Arial" w:hAnsi="Arial" w:cs="Arial"/>
                                <w:sz w:val="18"/>
                                <w:szCs w:val="18"/>
                              </w:rPr>
                              <w:t>Parlamento de Navarra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220BE" id="Proceso alternativo 11" o:spid="_x0000_s1047" type="#_x0000_t176" style="position:absolute;left:0;text-align:left;margin-left:13.55pt;margin-top:8.05pt;width:84pt;height:35.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" filled="f" strokecolor="windowText" strokeweight=".5pt">
                <v:textbox>
                  <w:txbxContent>
                    <w:p w14:paraId="2C414A8A" w14:textId="77777777" w:rsidR="002C091C" w:rsidRDefault="002C091C" w:rsidP="00614DC4">
                      <w:pPr>
                        <w:jc w:val="center"/>
                        <w:rPr>
                          <w:rFonts w:ascii="Arial" w:hAnsi="Arial" w:cs="Arial"/>
                          <w:sz w:val="18"/>
                          <w:szCs w:val="18"/>
                        </w:rPr>
                      </w:pPr>
                      <w:r>
                        <w:rPr>
                          <w:rFonts w:ascii="Arial" w:hAnsi="Arial" w:cs="Arial"/>
                          <w:sz w:val="18"/>
                          <w:szCs w:val="18"/>
                        </w:rPr>
                        <w:t>Parlamento de Navarra</w:t>
                      </w:r>
                    </w:p>
                  </w:txbxContent>
                </v:textbox>
              </v:shape>
            </w:pict>
          </mc:Fallback>
        </mc:AlternateContent>
      </w:r>
    </w:p>
    <w:p w14:paraId="48CDFD71" w14:textId="77777777" w:rsidR="00614DC4" w:rsidRDefault="00007AB8" w:rsidP="00614DC4">
      <w:pPr>
        <w:pStyle w:val="texto"/>
      </w:pPr>
      <w:r>
        <w:rPr>
          <w:noProof/>
        </w:rPr>
        <mc:AlternateContent>
          <mc:Choice Requires="wps">
            <w:drawing>
              <wp:anchor distT="0" distB="0" distL="114300" distR="114300" simplePos="0" relativeHeight="251726336" behindDoc="0" locked="0" layoutInCell="1" allowOverlap="1" wp14:anchorId="1278E96D" wp14:editId="439FA306">
                <wp:simplePos x="0" y="0"/>
                <wp:positionH relativeFrom="column">
                  <wp:posOffset>767212</wp:posOffset>
                </wp:positionH>
                <wp:positionV relativeFrom="paragraph">
                  <wp:posOffset>69676</wp:posOffset>
                </wp:positionV>
                <wp:extent cx="371" cy="88323"/>
                <wp:effectExtent l="0" t="0" r="19050" b="26035"/>
                <wp:wrapNone/>
                <wp:docPr id="114" name="Conector recto 114"/>
                <wp:cNvGraphicFramePr/>
                <a:graphic xmlns:a="http://schemas.openxmlformats.org/drawingml/2006/main">
                  <a:graphicData uri="http://schemas.microsoft.com/office/word/2010/wordprocessingShape">
                    <wps:wsp>
                      <wps:cNvCnPr/>
                      <wps:spPr>
                        <a:xfrm>
                          <a:off x="0" y="0"/>
                          <a:ext cx="371" cy="88323"/>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633425" id="Conector recto 114"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pt,5.5pt" to="60.4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" strokecolor="windowText" strokeweight=".5pt"/>
            </w:pict>
          </mc:Fallback>
        </mc:AlternateContent>
      </w:r>
    </w:p>
    <w:p w14:paraId="2180C4C6" w14:textId="77777777" w:rsidR="00614DC4" w:rsidRDefault="00883DD1" w:rsidP="00614DC4">
      <w:pPr>
        <w:pStyle w:val="texto"/>
      </w:pPr>
      <w:r>
        <w:rPr>
          <w:noProof/>
        </w:rPr>
        <mc:AlternateContent>
          <mc:Choice Requires="wps">
            <w:drawing>
              <wp:anchor distT="0" distB="0" distL="114300" distR="114300" simplePos="0" relativeHeight="251771392" behindDoc="0" locked="0" layoutInCell="1" allowOverlap="1" wp14:anchorId="5E3DE3A6" wp14:editId="07533DF6">
                <wp:simplePos x="0" y="0"/>
                <wp:positionH relativeFrom="column">
                  <wp:posOffset>696375</wp:posOffset>
                </wp:positionH>
                <wp:positionV relativeFrom="paragraph">
                  <wp:posOffset>173300</wp:posOffset>
                </wp:positionV>
                <wp:extent cx="0" cy="167640"/>
                <wp:effectExtent l="0" t="0" r="19050" b="22860"/>
                <wp:wrapNone/>
                <wp:docPr id="69" name="Conector recto 69"/>
                <wp:cNvGraphicFramePr/>
                <a:graphic xmlns:a="http://schemas.openxmlformats.org/drawingml/2006/main">
                  <a:graphicData uri="http://schemas.microsoft.com/office/word/2010/wordprocessingShape">
                    <wps:wsp>
                      <wps:cNvCnPr/>
                      <wps:spPr>
                        <a:xfrm>
                          <a:off x="0" y="0"/>
                          <a:ext cx="0" cy="16764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9DF439" id="Conector recto 69" o:spid="_x0000_s1026" style="position:absolute;z-index:251771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85pt,13.65pt" to="54.8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" strokecolor="black [3040]" strokeweight=".5pt"/>
            </w:pict>
          </mc:Fallback>
        </mc:AlternateContent>
      </w:r>
      <w:r w:rsidR="007A72FA">
        <w:rPr>
          <w:noProof/>
        </w:rPr>
        <mc:AlternateContent>
          <mc:Choice Requires="wps">
            <w:drawing>
              <wp:anchor distT="0" distB="0" distL="114300" distR="114300" simplePos="0" relativeHeight="251794944" behindDoc="0" locked="0" layoutInCell="1" allowOverlap="1" wp14:anchorId="1F7CB400" wp14:editId="0E122F3B">
                <wp:simplePos x="0" y="0"/>
                <wp:positionH relativeFrom="margin">
                  <wp:posOffset>4807861</wp:posOffset>
                </wp:positionH>
                <wp:positionV relativeFrom="paragraph">
                  <wp:posOffset>27525</wp:posOffset>
                </wp:positionV>
                <wp:extent cx="6626" cy="341243"/>
                <wp:effectExtent l="0" t="0" r="31750" b="20955"/>
                <wp:wrapNone/>
                <wp:docPr id="29" name="Conector recto 29"/>
                <wp:cNvGraphicFramePr/>
                <a:graphic xmlns:a="http://schemas.openxmlformats.org/drawingml/2006/main">
                  <a:graphicData uri="http://schemas.microsoft.com/office/word/2010/wordprocessingShape">
                    <wps:wsp>
                      <wps:cNvCnPr/>
                      <wps:spPr>
                        <a:xfrm flipH="1" flipV="1">
                          <a:off x="0" y="0"/>
                          <a:ext cx="6626" cy="341243"/>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2D8C28" id="Conector recto 29" o:spid="_x0000_s1026" style="position:absolute;flip:x y;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8.55pt,2.15pt" to="379.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" strokeweight=".5pt">
                <w10:wrap anchorx="margin"/>
              </v:line>
            </w:pict>
          </mc:Fallback>
        </mc:AlternateContent>
      </w:r>
    </w:p>
    <w:p w14:paraId="6409A8E8" w14:textId="77777777" w:rsidR="00614DC4" w:rsidRDefault="00614DC4" w:rsidP="00614DC4">
      <w:pPr>
        <w:pStyle w:val="texto"/>
      </w:pPr>
    </w:p>
    <w:p w14:paraId="61A1C956" w14:textId="77777777" w:rsidR="00614DC4" w:rsidRDefault="00614DC4" w:rsidP="00614DC4">
      <w:pPr>
        <w:pStyle w:val="texto"/>
      </w:pPr>
    </w:p>
    <w:p w14:paraId="16B5C827" w14:textId="77777777" w:rsidR="00614DC4" w:rsidRDefault="00E87A6C" w:rsidP="00614DC4">
      <w:pPr>
        <w:pStyle w:val="texto"/>
      </w:pPr>
      <w:r>
        <w:rPr>
          <w:noProof/>
        </w:rPr>
        <mc:AlternateContent>
          <mc:Choice Requires="wps">
            <w:drawing>
              <wp:anchor distT="0" distB="0" distL="114300" distR="114300" simplePos="0" relativeHeight="251799040" behindDoc="0" locked="0" layoutInCell="1" allowOverlap="1" wp14:anchorId="6AAAABFE" wp14:editId="30952D01">
                <wp:simplePos x="0" y="0"/>
                <wp:positionH relativeFrom="column">
                  <wp:posOffset>2203996</wp:posOffset>
                </wp:positionH>
                <wp:positionV relativeFrom="paragraph">
                  <wp:posOffset>12002</wp:posOffset>
                </wp:positionV>
                <wp:extent cx="51515" cy="5537916"/>
                <wp:effectExtent l="0" t="0" r="24765" b="24765"/>
                <wp:wrapNone/>
                <wp:docPr id="58" name="Conector recto 58"/>
                <wp:cNvGraphicFramePr/>
                <a:graphic xmlns:a="http://schemas.openxmlformats.org/drawingml/2006/main">
                  <a:graphicData uri="http://schemas.microsoft.com/office/word/2010/wordprocessingShape">
                    <wps:wsp>
                      <wps:cNvCnPr/>
                      <wps:spPr>
                        <a:xfrm>
                          <a:off x="0" y="0"/>
                          <a:ext cx="51515" cy="55379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2D8CAF" id="Conector recto 58" o:spid="_x0000_s1026" style="position:absolute;z-index:251799040;visibility:visible;mso-wrap-style:square;mso-wrap-distance-left:9pt;mso-wrap-distance-top:0;mso-wrap-distance-right:9pt;mso-wrap-distance-bottom:0;mso-position-horizontal:absolute;mso-position-horizontal-relative:text;mso-position-vertical:absolute;mso-position-vertical-relative:text" from="173.55pt,.95pt" to="177.6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" strokecolor="black [3040]"/>
            </w:pict>
          </mc:Fallback>
        </mc:AlternateContent>
      </w:r>
      <w:r>
        <w:rPr>
          <w:noProof/>
        </w:rPr>
        <mc:AlternateContent>
          <mc:Choice Requires="wps">
            <w:drawing>
              <wp:anchor distT="0" distB="0" distL="114300" distR="114300" simplePos="0" relativeHeight="251798016" behindDoc="0" locked="0" layoutInCell="1" allowOverlap="1" wp14:anchorId="65EC5142" wp14:editId="35F63F46">
                <wp:simplePos x="0" y="0"/>
                <wp:positionH relativeFrom="column">
                  <wp:posOffset>2206321</wp:posOffset>
                </wp:positionH>
                <wp:positionV relativeFrom="paragraph">
                  <wp:posOffset>5563</wp:posOffset>
                </wp:positionV>
                <wp:extent cx="152221" cy="0"/>
                <wp:effectExtent l="0" t="0" r="19685" b="19050"/>
                <wp:wrapNone/>
                <wp:docPr id="47" name="Conector recto 47"/>
                <wp:cNvGraphicFramePr/>
                <a:graphic xmlns:a="http://schemas.openxmlformats.org/drawingml/2006/main">
                  <a:graphicData uri="http://schemas.microsoft.com/office/word/2010/wordprocessingShape">
                    <wps:wsp>
                      <wps:cNvCnPr/>
                      <wps:spPr>
                        <a:xfrm flipH="1">
                          <a:off x="0" y="0"/>
                          <a:ext cx="1522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337132" id="Conector recto 47" o:spid="_x0000_s1026" style="position:absolute;flip:x;z-index:251798016;visibility:visible;mso-wrap-style:square;mso-wrap-distance-left:9pt;mso-wrap-distance-top:0;mso-wrap-distance-right:9pt;mso-wrap-distance-bottom:0;mso-position-horizontal:absolute;mso-position-horizontal-relative:text;mso-position-vertical:absolute;mso-position-vertical-relative:text" from="173.75pt,.45pt" to="185.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" strokecolor="black [3040]"/>
            </w:pict>
          </mc:Fallback>
        </mc:AlternateContent>
      </w:r>
      <w:r w:rsidR="00883DD1" w:rsidRPr="004A12BF">
        <w:rPr>
          <w:noProof/>
        </w:rPr>
        <mc:AlternateContent>
          <mc:Choice Requires="wps">
            <w:drawing>
              <wp:anchor distT="0" distB="0" distL="114300" distR="114300" simplePos="0" relativeHeight="251697664" behindDoc="0" locked="0" layoutInCell="1" allowOverlap="1" wp14:anchorId="42E6224B" wp14:editId="11BE6420">
                <wp:simplePos x="0" y="0"/>
                <wp:positionH relativeFrom="column">
                  <wp:posOffset>5801881</wp:posOffset>
                </wp:positionH>
                <wp:positionV relativeFrom="paragraph">
                  <wp:posOffset>191893</wp:posOffset>
                </wp:positionV>
                <wp:extent cx="23521" cy="4951284"/>
                <wp:effectExtent l="0" t="0" r="33655" b="20955"/>
                <wp:wrapNone/>
                <wp:docPr id="55" name="Conector recto 55"/>
                <wp:cNvGraphicFramePr/>
                <a:graphic xmlns:a="http://schemas.openxmlformats.org/drawingml/2006/main">
                  <a:graphicData uri="http://schemas.microsoft.com/office/word/2010/wordprocessingShape">
                    <wps:wsp>
                      <wps:cNvCnPr/>
                      <wps:spPr>
                        <a:xfrm>
                          <a:off x="0" y="0"/>
                          <a:ext cx="23521" cy="4951284"/>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942B1C" id="Conector recto 55"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85pt,15.1pt" to="458.7pt,4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" strokecolor="windowText" strokeweight=".5pt"/>
            </w:pict>
          </mc:Fallback>
        </mc:AlternateContent>
      </w:r>
    </w:p>
    <w:p w14:paraId="56CC46D3" w14:textId="77777777" w:rsidR="00614DC4" w:rsidRDefault="00883DD1" w:rsidP="00614DC4">
      <w:pPr>
        <w:pStyle w:val="texto"/>
      </w:pPr>
      <w:r>
        <w:rPr>
          <w:noProof/>
        </w:rPr>
        <mc:AlternateContent>
          <mc:Choice Requires="wps">
            <w:drawing>
              <wp:anchor distT="0" distB="0" distL="114300" distR="114300" simplePos="0" relativeHeight="251682304" behindDoc="0" locked="0" layoutInCell="1" allowOverlap="1" wp14:anchorId="5013E109" wp14:editId="25AD0611">
                <wp:simplePos x="0" y="0"/>
                <wp:positionH relativeFrom="column">
                  <wp:posOffset>3610610</wp:posOffset>
                </wp:positionH>
                <wp:positionV relativeFrom="paragraph">
                  <wp:posOffset>153670</wp:posOffset>
                </wp:positionV>
                <wp:extent cx="506095" cy="225425"/>
                <wp:effectExtent l="0" t="0" r="27305" b="22225"/>
                <wp:wrapNone/>
                <wp:docPr id="34" name="Proceso alternativo 34"/>
                <wp:cNvGraphicFramePr/>
                <a:graphic xmlns:a="http://schemas.openxmlformats.org/drawingml/2006/main">
                  <a:graphicData uri="http://schemas.microsoft.com/office/word/2010/wordprocessingShape">
                    <wps:wsp>
                      <wps:cNvSpPr/>
                      <wps:spPr>
                        <a:xfrm>
                          <a:off x="0" y="0"/>
                          <a:ext cx="506095" cy="225425"/>
                        </a:xfrm>
                        <a:prstGeom prst="flowChartAlternateProcess">
                          <a:avLst/>
                        </a:prstGeom>
                        <a:noFill/>
                        <a:ln w="6350" cap="flat" cmpd="sng" algn="ctr">
                          <a:solidFill>
                            <a:sysClr val="windowText" lastClr="000000"/>
                          </a:solidFill>
                          <a:prstDash val="solid"/>
                        </a:ln>
                        <a:effectLst/>
                      </wps:spPr>
                      <wps:txbx>
                        <w:txbxContent>
                          <w:p w14:paraId="16B74502"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INAI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3E109" id="Proceso alternativo 34" o:spid="_x0000_s1048" type="#_x0000_t176" style="position:absolute;left:0;text-align:left;margin-left:284.3pt;margin-top:12.1pt;width:39.85pt;height:17.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" filled="f" strokecolor="windowText" strokeweight=".5pt">
                <v:textbox>
                  <w:txbxContent>
                    <w:p w14:paraId="16B74502"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INAI</w:t>
                      </w:r>
                    </w:p>
                  </w:txbxContent>
                </v:textbox>
              </v:shape>
            </w:pict>
          </mc:Fallback>
        </mc:AlternateContent>
      </w:r>
      <w:r w:rsidR="00D91F90" w:rsidRPr="004A12BF">
        <w:rPr>
          <w:noProof/>
        </w:rPr>
        <mc:AlternateContent>
          <mc:Choice Requires="wps">
            <w:drawing>
              <wp:anchor distT="0" distB="0" distL="114300" distR="114300" simplePos="0" relativeHeight="251718144" behindDoc="0" locked="0" layoutInCell="1" allowOverlap="1" wp14:anchorId="79CE6DF3" wp14:editId="7F5CF0D2">
                <wp:simplePos x="0" y="0"/>
                <wp:positionH relativeFrom="column">
                  <wp:posOffset>4820800</wp:posOffset>
                </wp:positionH>
                <wp:positionV relativeFrom="paragraph">
                  <wp:posOffset>7054</wp:posOffset>
                </wp:positionV>
                <wp:extent cx="0" cy="200797"/>
                <wp:effectExtent l="0" t="0" r="19050" b="27940"/>
                <wp:wrapNone/>
                <wp:docPr id="105" name="Conector recto 105"/>
                <wp:cNvGraphicFramePr/>
                <a:graphic xmlns:a="http://schemas.openxmlformats.org/drawingml/2006/main">
                  <a:graphicData uri="http://schemas.microsoft.com/office/word/2010/wordprocessingShape">
                    <wps:wsp>
                      <wps:cNvCnPr/>
                      <wps:spPr>
                        <a:xfrm>
                          <a:off x="0" y="0"/>
                          <a:ext cx="0" cy="200797"/>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9E85EB" id="Conector recto 105"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6pt,.55pt" to="379.6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" strokecolor="windowText" strokeweight=".5pt"/>
            </w:pict>
          </mc:Fallback>
        </mc:AlternateContent>
      </w:r>
      <w:r w:rsidR="00BA522B" w:rsidRPr="009A38AE">
        <w:rPr>
          <w:noProof/>
          <w:color w:val="FF0000"/>
        </w:rPr>
        <mc:AlternateContent>
          <mc:Choice Requires="wps">
            <w:drawing>
              <wp:anchor distT="0" distB="0" distL="114300" distR="114300" simplePos="0" relativeHeight="251661824" behindDoc="0" locked="0" layoutInCell="1" allowOverlap="1" wp14:anchorId="2B8F97B6" wp14:editId="3EBBD87D">
                <wp:simplePos x="0" y="0"/>
                <wp:positionH relativeFrom="column">
                  <wp:posOffset>2391410</wp:posOffset>
                </wp:positionH>
                <wp:positionV relativeFrom="paragraph">
                  <wp:posOffset>101600</wp:posOffset>
                </wp:positionV>
                <wp:extent cx="1066800" cy="318770"/>
                <wp:effectExtent l="0" t="0" r="19050" b="24130"/>
                <wp:wrapNone/>
                <wp:docPr id="21" name="Proceso alternativo 21"/>
                <wp:cNvGraphicFramePr/>
                <a:graphic xmlns:a="http://schemas.openxmlformats.org/drawingml/2006/main">
                  <a:graphicData uri="http://schemas.microsoft.com/office/word/2010/wordprocessingShape">
                    <wps:wsp>
                      <wps:cNvSpPr/>
                      <wps:spPr>
                        <a:xfrm>
                          <a:off x="0" y="0"/>
                          <a:ext cx="1066800" cy="318770"/>
                        </a:xfrm>
                        <a:prstGeom prst="flowChartAlternateProcess">
                          <a:avLst/>
                        </a:prstGeom>
                        <a:noFill/>
                        <a:ln w="6350" cap="flat" cmpd="sng" algn="ctr">
                          <a:solidFill>
                            <a:sysClr val="windowText" lastClr="000000"/>
                          </a:solidFill>
                          <a:prstDash val="solid"/>
                        </a:ln>
                        <a:effectLst/>
                      </wps:spPr>
                      <wps:txbx>
                        <w:txbxContent>
                          <w:p w14:paraId="7A81769F" w14:textId="77777777" w:rsidR="002C091C" w:rsidRDefault="002C091C" w:rsidP="00925125">
                            <w:pPr>
                              <w:ind w:left="-112" w:right="-64"/>
                              <w:jc w:val="center"/>
                              <w:rPr>
                                <w:rFonts w:ascii="Arial" w:hAnsi="Arial" w:cs="Arial"/>
                                <w:w w:val="88"/>
                                <w:sz w:val="14"/>
                                <w:szCs w:val="14"/>
                              </w:rPr>
                            </w:pPr>
                            <w:r>
                              <w:rPr>
                                <w:rFonts w:ascii="Arial" w:hAnsi="Arial" w:cs="Arial"/>
                                <w:w w:val="88"/>
                                <w:sz w:val="14"/>
                                <w:szCs w:val="14"/>
                              </w:rPr>
                              <w:t>Presidencia e Igualdad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F97B6" id="Proceso alternativo 21" o:spid="_x0000_s1049" type="#_x0000_t176" style="position:absolute;left:0;text-align:left;margin-left:188.3pt;margin-top:8pt;width:84pt;height:2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" filled="f" strokecolor="windowText" strokeweight=".5pt">
                <v:textbox>
                  <w:txbxContent>
                    <w:p w14:paraId="7A81769F" w14:textId="77777777" w:rsidR="002C091C" w:rsidRDefault="002C091C" w:rsidP="00925125">
                      <w:pPr>
                        <w:ind w:left="-112" w:right="-64"/>
                        <w:jc w:val="center"/>
                        <w:rPr>
                          <w:rFonts w:ascii="Arial" w:hAnsi="Arial" w:cs="Arial"/>
                          <w:w w:val="88"/>
                          <w:sz w:val="14"/>
                          <w:szCs w:val="14"/>
                        </w:rPr>
                      </w:pPr>
                      <w:r>
                        <w:rPr>
                          <w:rFonts w:ascii="Arial" w:hAnsi="Arial" w:cs="Arial"/>
                          <w:w w:val="88"/>
                          <w:sz w:val="14"/>
                          <w:szCs w:val="14"/>
                        </w:rPr>
                        <w:t>Presidencia e Igualdad</w:t>
                      </w:r>
                    </w:p>
                  </w:txbxContent>
                </v:textbox>
              </v:shape>
            </w:pict>
          </mc:Fallback>
        </mc:AlternateContent>
      </w:r>
    </w:p>
    <w:p w14:paraId="75C5F181" w14:textId="77777777" w:rsidR="00614DC4" w:rsidRDefault="00E87A6C" w:rsidP="00614DC4">
      <w:pPr>
        <w:pStyle w:val="texto"/>
      </w:pPr>
      <w:r>
        <w:rPr>
          <w:noProof/>
        </w:rPr>
        <mc:AlternateContent>
          <mc:Choice Requires="wps">
            <w:drawing>
              <wp:anchor distT="0" distB="0" distL="114300" distR="114300" simplePos="0" relativeHeight="251800064" behindDoc="0" locked="0" layoutInCell="1" allowOverlap="1" wp14:anchorId="476D162A" wp14:editId="3EF83288">
                <wp:simplePos x="0" y="0"/>
                <wp:positionH relativeFrom="column">
                  <wp:posOffset>2206321</wp:posOffset>
                </wp:positionH>
                <wp:positionV relativeFrom="paragraph">
                  <wp:posOffset>108791</wp:posOffset>
                </wp:positionV>
                <wp:extent cx="184418" cy="6439"/>
                <wp:effectExtent l="0" t="0" r="25400" b="31750"/>
                <wp:wrapNone/>
                <wp:docPr id="60" name="Conector recto 60"/>
                <wp:cNvGraphicFramePr/>
                <a:graphic xmlns:a="http://schemas.openxmlformats.org/drawingml/2006/main">
                  <a:graphicData uri="http://schemas.microsoft.com/office/word/2010/wordprocessingShape">
                    <wps:wsp>
                      <wps:cNvCnPr/>
                      <wps:spPr>
                        <a:xfrm>
                          <a:off x="0" y="0"/>
                          <a:ext cx="184418" cy="64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7EBDF3" id="Conector recto 60" o:spid="_x0000_s1026" style="position:absolute;z-index:251800064;visibility:visible;mso-wrap-style:square;mso-wrap-distance-left:9pt;mso-wrap-distance-top:0;mso-wrap-distance-right:9pt;mso-wrap-distance-bottom:0;mso-position-horizontal:absolute;mso-position-horizontal-relative:text;mso-position-vertical:absolute;mso-position-vertical-relative:text" from="173.75pt,8.55pt" to="188.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" strokecolor="black [3040]"/>
            </w:pict>
          </mc:Fallback>
        </mc:AlternateContent>
      </w:r>
      <w:r w:rsidR="00BA522B">
        <w:rPr>
          <w:noProof/>
        </w:rPr>
        <mc:AlternateContent>
          <mc:Choice Requires="wps">
            <w:drawing>
              <wp:anchor distT="0" distB="0" distL="114300" distR="114300" simplePos="0" relativeHeight="251772416" behindDoc="0" locked="0" layoutInCell="1" allowOverlap="1" wp14:anchorId="52B76D1D" wp14:editId="61E1C5FA">
                <wp:simplePos x="0" y="0"/>
                <wp:positionH relativeFrom="column">
                  <wp:posOffset>3459452</wp:posOffset>
                </wp:positionH>
                <wp:positionV relativeFrom="paragraph">
                  <wp:posOffset>72114</wp:posOffset>
                </wp:positionV>
                <wp:extent cx="150275" cy="0"/>
                <wp:effectExtent l="0" t="0" r="21590" b="19050"/>
                <wp:wrapNone/>
                <wp:docPr id="71" name="Conector recto 71"/>
                <wp:cNvGraphicFramePr/>
                <a:graphic xmlns:a="http://schemas.openxmlformats.org/drawingml/2006/main">
                  <a:graphicData uri="http://schemas.microsoft.com/office/word/2010/wordprocessingShape">
                    <wps:wsp>
                      <wps:cNvCnPr/>
                      <wps:spPr>
                        <a:xfrm>
                          <a:off x="0" y="0"/>
                          <a:ext cx="15027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2EB5D7" id="Conector recto 71" o:spid="_x0000_s1026" style="position:absolute;z-index:251772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4pt,5.7pt" to="284.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" strokecolor="black [3040]" strokeweight=".5pt"/>
            </w:pict>
          </mc:Fallback>
        </mc:AlternateContent>
      </w:r>
    </w:p>
    <w:p w14:paraId="45CECE6F" w14:textId="77777777" w:rsidR="00614DC4" w:rsidRDefault="00D62199" w:rsidP="00614DC4">
      <w:pPr>
        <w:pStyle w:val="texto"/>
      </w:pPr>
      <w:r>
        <w:rPr>
          <w:noProof/>
        </w:rPr>
        <mc:AlternateContent>
          <mc:Choice Requires="wps">
            <w:drawing>
              <wp:anchor distT="0" distB="0" distL="114300" distR="114300" simplePos="0" relativeHeight="251673088" behindDoc="0" locked="0" layoutInCell="1" allowOverlap="1" wp14:anchorId="2D74FCDC" wp14:editId="7C15531E">
                <wp:simplePos x="0" y="0"/>
                <wp:positionH relativeFrom="column">
                  <wp:posOffset>2391410</wp:posOffset>
                </wp:positionH>
                <wp:positionV relativeFrom="paragraph">
                  <wp:posOffset>97155</wp:posOffset>
                </wp:positionV>
                <wp:extent cx="1139469" cy="387706"/>
                <wp:effectExtent l="0" t="0" r="22860" b="12700"/>
                <wp:wrapNone/>
                <wp:docPr id="23" name="Proceso alternativo 23"/>
                <wp:cNvGraphicFramePr/>
                <a:graphic xmlns:a="http://schemas.openxmlformats.org/drawingml/2006/main">
                  <a:graphicData uri="http://schemas.microsoft.com/office/word/2010/wordprocessingShape">
                    <wps:wsp>
                      <wps:cNvSpPr/>
                      <wps:spPr>
                        <a:xfrm>
                          <a:off x="0" y="0"/>
                          <a:ext cx="1139469" cy="387706"/>
                        </a:xfrm>
                        <a:prstGeom prst="flowChartAlternateProcess">
                          <a:avLst/>
                        </a:prstGeom>
                        <a:noFill/>
                        <a:ln w="6350" cap="flat" cmpd="sng" algn="ctr">
                          <a:solidFill>
                            <a:sysClr val="windowText" lastClr="000000"/>
                          </a:solidFill>
                          <a:prstDash val="solid"/>
                        </a:ln>
                        <a:effectLst/>
                      </wps:spPr>
                      <wps:txbx>
                        <w:txbxContent>
                          <w:p w14:paraId="3BB98D23" w14:textId="77777777" w:rsidR="002C091C" w:rsidRDefault="002C091C" w:rsidP="003753B5">
                            <w:pPr>
                              <w:ind w:left="-112" w:right="-64"/>
                              <w:jc w:val="center"/>
                              <w:rPr>
                                <w:rFonts w:ascii="Arial" w:hAnsi="Arial" w:cs="Arial"/>
                                <w:w w:val="88"/>
                                <w:sz w:val="14"/>
                                <w:szCs w:val="14"/>
                                <w:lang w:val="es-ES_tradnl"/>
                              </w:rPr>
                            </w:pPr>
                            <w:r>
                              <w:rPr>
                                <w:rFonts w:ascii="Arial" w:hAnsi="Arial" w:cs="Arial"/>
                                <w:w w:val="88"/>
                                <w:sz w:val="14"/>
                                <w:szCs w:val="14"/>
                                <w:lang w:val="es-ES_tradnl"/>
                              </w:rPr>
                              <w:t xml:space="preserve">Interior, Función Pública y </w:t>
                            </w:r>
                          </w:p>
                          <w:p w14:paraId="58684DE2" w14:textId="77777777" w:rsidR="002C091C" w:rsidRPr="003753B5" w:rsidRDefault="002C091C" w:rsidP="003753B5">
                            <w:pPr>
                              <w:ind w:left="-112" w:right="-64"/>
                              <w:jc w:val="center"/>
                              <w:rPr>
                                <w:rFonts w:ascii="Arial" w:hAnsi="Arial" w:cs="Arial"/>
                                <w:w w:val="88"/>
                                <w:sz w:val="14"/>
                                <w:szCs w:val="14"/>
                                <w:lang w:val="es-ES_tradnl"/>
                              </w:rPr>
                            </w:pPr>
                            <w:r>
                              <w:rPr>
                                <w:rFonts w:ascii="Arial" w:hAnsi="Arial" w:cs="Arial"/>
                                <w:w w:val="88"/>
                                <w:sz w:val="14"/>
                                <w:szCs w:val="14"/>
                                <w:lang w:val="es-ES_tradnl"/>
                              </w:rPr>
                              <w:t>Justicia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4FCDC" id="Proceso alternativo 23" o:spid="_x0000_s1050" type="#_x0000_t176" style="position:absolute;left:0;text-align:left;margin-left:188.3pt;margin-top:7.65pt;width:89.7pt;height:30.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" filled="f" strokecolor="windowText" strokeweight=".5pt">
                <v:textbox>
                  <w:txbxContent>
                    <w:p w14:paraId="3BB98D23" w14:textId="77777777" w:rsidR="002C091C" w:rsidRDefault="002C091C" w:rsidP="003753B5">
                      <w:pPr>
                        <w:ind w:left="-112" w:right="-64"/>
                        <w:jc w:val="center"/>
                        <w:rPr>
                          <w:rFonts w:ascii="Arial" w:hAnsi="Arial" w:cs="Arial"/>
                          <w:w w:val="88"/>
                          <w:sz w:val="14"/>
                          <w:szCs w:val="14"/>
                          <w:lang w:val="es-ES_tradnl"/>
                        </w:rPr>
                      </w:pPr>
                      <w:r>
                        <w:rPr>
                          <w:rFonts w:ascii="Arial" w:hAnsi="Arial" w:cs="Arial"/>
                          <w:w w:val="88"/>
                          <w:sz w:val="14"/>
                          <w:szCs w:val="14"/>
                          <w:lang w:val="es-ES_tradnl"/>
                        </w:rPr>
                        <w:t xml:space="preserve">Interior, Función Pública y </w:t>
                      </w:r>
                    </w:p>
                    <w:p w14:paraId="58684DE2" w14:textId="77777777" w:rsidR="002C091C" w:rsidRPr="003753B5" w:rsidRDefault="002C091C" w:rsidP="003753B5">
                      <w:pPr>
                        <w:ind w:left="-112" w:right="-64"/>
                        <w:jc w:val="center"/>
                        <w:rPr>
                          <w:rFonts w:ascii="Arial" w:hAnsi="Arial" w:cs="Arial"/>
                          <w:w w:val="88"/>
                          <w:sz w:val="14"/>
                          <w:szCs w:val="14"/>
                          <w:lang w:val="es-ES_tradnl"/>
                        </w:rPr>
                      </w:pPr>
                      <w:r>
                        <w:rPr>
                          <w:rFonts w:ascii="Arial" w:hAnsi="Arial" w:cs="Arial"/>
                          <w:w w:val="88"/>
                          <w:sz w:val="14"/>
                          <w:szCs w:val="14"/>
                          <w:lang w:val="es-ES_tradnl"/>
                        </w:rPr>
                        <w:t>Justicia</w:t>
                      </w:r>
                    </w:p>
                  </w:txbxContent>
                </v:textbox>
              </v:shape>
            </w:pict>
          </mc:Fallback>
        </mc:AlternateContent>
      </w:r>
    </w:p>
    <w:p w14:paraId="29D259CF" w14:textId="77777777" w:rsidR="00614DC4" w:rsidRDefault="00EB622E" w:rsidP="00614DC4">
      <w:pPr>
        <w:pStyle w:val="texto"/>
      </w:pPr>
      <w:r>
        <w:rPr>
          <w:noProof/>
        </w:rPr>
        <mc:AlternateContent>
          <mc:Choice Requires="wps">
            <w:drawing>
              <wp:anchor distT="0" distB="0" distL="114300" distR="114300" simplePos="0" relativeHeight="251801088" behindDoc="0" locked="0" layoutInCell="1" allowOverlap="1" wp14:anchorId="5922A5E0" wp14:editId="21426582">
                <wp:simplePos x="0" y="0"/>
                <wp:positionH relativeFrom="column">
                  <wp:posOffset>2203996</wp:posOffset>
                </wp:positionH>
                <wp:positionV relativeFrom="paragraph">
                  <wp:posOffset>128306</wp:posOffset>
                </wp:positionV>
                <wp:extent cx="186743" cy="0"/>
                <wp:effectExtent l="0" t="0" r="22860" b="19050"/>
                <wp:wrapNone/>
                <wp:docPr id="73" name="Conector recto 73"/>
                <wp:cNvGraphicFramePr/>
                <a:graphic xmlns:a="http://schemas.openxmlformats.org/drawingml/2006/main">
                  <a:graphicData uri="http://schemas.microsoft.com/office/word/2010/wordprocessingShape">
                    <wps:wsp>
                      <wps:cNvCnPr/>
                      <wps:spPr>
                        <a:xfrm>
                          <a:off x="0" y="0"/>
                          <a:ext cx="1867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2A1C6E" id="Conector recto 73" o:spid="_x0000_s1026" style="position:absolute;z-index:251801088;visibility:visible;mso-wrap-style:square;mso-wrap-distance-left:9pt;mso-wrap-distance-top:0;mso-wrap-distance-right:9pt;mso-wrap-distance-bottom:0;mso-position-horizontal:absolute;mso-position-horizontal-relative:text;mso-position-vertical:absolute;mso-position-vertical-relative:text" from="173.55pt,10.1pt" to="188.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" strokecolor="black [3040]"/>
            </w:pict>
          </mc:Fallback>
        </mc:AlternateContent>
      </w:r>
      <w:r w:rsidR="00AE2379">
        <w:rPr>
          <w:noProof/>
        </w:rPr>
        <mc:AlternateContent>
          <mc:Choice Requires="wps">
            <w:drawing>
              <wp:anchor distT="0" distB="0" distL="114300" distR="114300" simplePos="0" relativeHeight="251693568" behindDoc="0" locked="0" layoutInCell="1" allowOverlap="1" wp14:anchorId="0B3CEB9F" wp14:editId="3B27D980">
                <wp:simplePos x="0" y="0"/>
                <wp:positionH relativeFrom="column">
                  <wp:posOffset>-880236</wp:posOffset>
                </wp:positionH>
                <wp:positionV relativeFrom="paragraph">
                  <wp:posOffset>296799</wp:posOffset>
                </wp:positionV>
                <wp:extent cx="2989148" cy="2049729"/>
                <wp:effectExtent l="0" t="0" r="0" b="0"/>
                <wp:wrapNone/>
                <wp:docPr id="51" name="Proceso alternativo 51"/>
                <wp:cNvGraphicFramePr/>
                <a:graphic xmlns:a="http://schemas.openxmlformats.org/drawingml/2006/main">
                  <a:graphicData uri="http://schemas.microsoft.com/office/word/2010/wordprocessingShape">
                    <wps:wsp>
                      <wps:cNvSpPr/>
                      <wps:spPr>
                        <a:xfrm>
                          <a:off x="0" y="0"/>
                          <a:ext cx="2989148" cy="2049729"/>
                        </a:xfrm>
                        <a:prstGeom prst="flowChartAlternateProcess">
                          <a:avLst/>
                        </a:prstGeom>
                        <a:noFill/>
                        <a:ln w="6350" cap="flat" cmpd="sng" algn="ctr">
                          <a:noFill/>
                          <a:prstDash val="solid"/>
                        </a:ln>
                        <a:effectLst/>
                      </wps:spPr>
                      <wps:txbx>
                        <w:txbxContent>
                          <w:p w14:paraId="476A26B9" w14:textId="77777777" w:rsidR="002C091C" w:rsidRDefault="002C091C" w:rsidP="00614DC4">
                            <w:pPr>
                              <w:spacing w:after="120"/>
                              <w:ind w:left="364" w:right="-62"/>
                              <w:rPr>
                                <w:rFonts w:ascii="Arial" w:hAnsi="Arial" w:cs="Arial"/>
                                <w:w w:val="88"/>
                                <w:sz w:val="16"/>
                                <w:szCs w:val="16"/>
                              </w:rPr>
                            </w:pPr>
                            <w:r>
                              <w:rPr>
                                <w:rFonts w:ascii="Arial" w:hAnsi="Arial" w:cs="Arial"/>
                                <w:w w:val="88"/>
                                <w:sz w:val="16"/>
                                <w:szCs w:val="16"/>
                              </w:rPr>
                              <w:t>ORGANISMOS AUTÓNOMOS</w:t>
                            </w:r>
                          </w:p>
                          <w:p w14:paraId="4E5C6970" w14:textId="77777777" w:rsidR="002C091C" w:rsidRDefault="002C091C" w:rsidP="00614DC4">
                            <w:pPr>
                              <w:tabs>
                                <w:tab w:val="left" w:pos="364"/>
                              </w:tabs>
                              <w:ind w:left="-112" w:right="-64"/>
                              <w:rPr>
                                <w:rFonts w:ascii="Arial" w:hAnsi="Arial" w:cs="Arial"/>
                                <w:w w:val="88"/>
                                <w:sz w:val="16"/>
                                <w:szCs w:val="16"/>
                              </w:rPr>
                            </w:pPr>
                            <w:r>
                              <w:rPr>
                                <w:rFonts w:ascii="Arial" w:hAnsi="Arial" w:cs="Arial"/>
                                <w:w w:val="88"/>
                                <w:sz w:val="16"/>
                                <w:szCs w:val="16"/>
                              </w:rPr>
                              <w:t>HFN</w:t>
                            </w:r>
                            <w:r>
                              <w:rPr>
                                <w:rFonts w:ascii="Arial" w:hAnsi="Arial" w:cs="Arial"/>
                                <w:w w:val="88"/>
                                <w:sz w:val="16"/>
                                <w:szCs w:val="16"/>
                              </w:rPr>
                              <w:tab/>
                              <w:t>Hacienda Foral de Navarra</w:t>
                            </w:r>
                          </w:p>
                          <w:p w14:paraId="4A45CC8C" w14:textId="77777777" w:rsidR="002C091C" w:rsidRDefault="002C091C" w:rsidP="00614DC4">
                            <w:pPr>
                              <w:tabs>
                                <w:tab w:val="left" w:pos="364"/>
                              </w:tabs>
                              <w:ind w:left="-112" w:right="-64"/>
                              <w:rPr>
                                <w:rFonts w:ascii="Arial" w:hAnsi="Arial" w:cs="Arial"/>
                                <w:w w:val="88"/>
                                <w:sz w:val="16"/>
                                <w:szCs w:val="16"/>
                              </w:rPr>
                            </w:pPr>
                            <w:r>
                              <w:rPr>
                                <w:rFonts w:ascii="Arial" w:hAnsi="Arial" w:cs="Arial"/>
                                <w:w w:val="88"/>
                                <w:sz w:val="16"/>
                                <w:szCs w:val="16"/>
                              </w:rPr>
                              <w:t>INAI</w:t>
                            </w:r>
                            <w:r>
                              <w:rPr>
                                <w:rFonts w:ascii="Arial" w:hAnsi="Arial" w:cs="Arial"/>
                                <w:w w:val="88"/>
                                <w:sz w:val="16"/>
                                <w:szCs w:val="16"/>
                              </w:rPr>
                              <w:tab/>
                              <w:t>Instituto Navarro para la Igualdad</w:t>
                            </w:r>
                          </w:p>
                          <w:p w14:paraId="72C4EF0C" w14:textId="77777777" w:rsidR="002C091C" w:rsidRDefault="002C091C" w:rsidP="00614DC4">
                            <w:pPr>
                              <w:tabs>
                                <w:tab w:val="left" w:pos="364"/>
                              </w:tabs>
                              <w:ind w:left="-112" w:right="-64"/>
                              <w:rPr>
                                <w:rFonts w:ascii="Arial" w:hAnsi="Arial" w:cs="Arial"/>
                                <w:w w:val="88"/>
                                <w:sz w:val="16"/>
                                <w:szCs w:val="16"/>
                              </w:rPr>
                            </w:pPr>
                            <w:r>
                              <w:rPr>
                                <w:rFonts w:ascii="Arial" w:hAnsi="Arial" w:cs="Arial"/>
                                <w:w w:val="88"/>
                                <w:sz w:val="16"/>
                                <w:szCs w:val="16"/>
                              </w:rPr>
                              <w:t>INV/E</w:t>
                            </w:r>
                            <w:r>
                              <w:rPr>
                                <w:rFonts w:ascii="Arial" w:hAnsi="Arial" w:cs="Arial"/>
                                <w:w w:val="88"/>
                                <w:sz w:val="16"/>
                                <w:szCs w:val="16"/>
                              </w:rPr>
                              <w:tab/>
                              <w:t>Instituto Navarro del Euskera-Euskarabidea</w:t>
                            </w:r>
                          </w:p>
                          <w:p w14:paraId="0813978C" w14:textId="77777777" w:rsidR="002C091C" w:rsidRDefault="002C091C" w:rsidP="00614DC4">
                            <w:pPr>
                              <w:tabs>
                                <w:tab w:val="left" w:pos="364"/>
                              </w:tabs>
                              <w:ind w:left="-112" w:right="-64"/>
                              <w:rPr>
                                <w:rFonts w:ascii="Arial" w:hAnsi="Arial" w:cs="Arial"/>
                                <w:w w:val="88"/>
                                <w:sz w:val="16"/>
                                <w:szCs w:val="16"/>
                              </w:rPr>
                            </w:pPr>
                            <w:r>
                              <w:rPr>
                                <w:rFonts w:ascii="Arial" w:hAnsi="Arial" w:cs="Arial"/>
                                <w:w w:val="88"/>
                                <w:sz w:val="16"/>
                                <w:szCs w:val="16"/>
                              </w:rPr>
                              <w:t>ISPLN</w:t>
                            </w:r>
                            <w:r>
                              <w:rPr>
                                <w:rFonts w:ascii="Arial" w:hAnsi="Arial" w:cs="Arial"/>
                                <w:w w:val="88"/>
                                <w:sz w:val="16"/>
                                <w:szCs w:val="16"/>
                              </w:rPr>
                              <w:tab/>
                              <w:t>Instituto de Salud Pública y Laboral de Navarra</w:t>
                            </w:r>
                          </w:p>
                          <w:p w14:paraId="72A996D2" w14:textId="77777777" w:rsidR="002C091C" w:rsidRDefault="002C091C" w:rsidP="00614DC4">
                            <w:pPr>
                              <w:tabs>
                                <w:tab w:val="left" w:pos="364"/>
                              </w:tabs>
                              <w:ind w:left="-112" w:right="-64"/>
                              <w:rPr>
                                <w:rFonts w:ascii="Arial" w:hAnsi="Arial" w:cs="Arial"/>
                                <w:w w:val="88"/>
                                <w:sz w:val="16"/>
                                <w:szCs w:val="16"/>
                              </w:rPr>
                            </w:pPr>
                            <w:r>
                              <w:rPr>
                                <w:rFonts w:ascii="Arial" w:hAnsi="Arial" w:cs="Arial"/>
                                <w:w w:val="88"/>
                                <w:sz w:val="16"/>
                                <w:szCs w:val="16"/>
                              </w:rPr>
                              <w:t>SNS-O</w:t>
                            </w:r>
                            <w:r>
                              <w:rPr>
                                <w:rFonts w:ascii="Arial" w:hAnsi="Arial" w:cs="Arial"/>
                                <w:w w:val="88"/>
                                <w:sz w:val="16"/>
                                <w:szCs w:val="16"/>
                              </w:rPr>
                              <w:tab/>
                              <w:t>Servicio Navarro de Salud-Osasunbidea</w:t>
                            </w:r>
                          </w:p>
                          <w:p w14:paraId="6F0BE2A2" w14:textId="77777777" w:rsidR="002C091C" w:rsidRDefault="002C091C" w:rsidP="00614DC4">
                            <w:pPr>
                              <w:tabs>
                                <w:tab w:val="left" w:pos="364"/>
                              </w:tabs>
                              <w:ind w:left="-112" w:right="-64"/>
                              <w:rPr>
                                <w:rFonts w:ascii="Arial" w:hAnsi="Arial" w:cs="Arial"/>
                                <w:w w:val="88"/>
                                <w:sz w:val="16"/>
                                <w:szCs w:val="16"/>
                              </w:rPr>
                            </w:pPr>
                            <w:r>
                              <w:rPr>
                                <w:rFonts w:ascii="Arial" w:hAnsi="Arial" w:cs="Arial"/>
                                <w:w w:val="88"/>
                                <w:sz w:val="16"/>
                                <w:szCs w:val="16"/>
                              </w:rPr>
                              <w:t>INJ</w:t>
                            </w:r>
                            <w:r>
                              <w:rPr>
                                <w:rFonts w:ascii="Arial" w:hAnsi="Arial" w:cs="Arial"/>
                                <w:w w:val="88"/>
                                <w:sz w:val="16"/>
                                <w:szCs w:val="16"/>
                              </w:rPr>
                              <w:tab/>
                              <w:t>Instituto Navarro de la Juventud</w:t>
                            </w:r>
                          </w:p>
                          <w:p w14:paraId="360253DE" w14:textId="77777777" w:rsidR="002C091C" w:rsidRDefault="002C091C" w:rsidP="00614DC4">
                            <w:pPr>
                              <w:tabs>
                                <w:tab w:val="left" w:pos="284"/>
                                <w:tab w:val="left" w:pos="364"/>
                              </w:tabs>
                              <w:ind w:left="-112" w:right="-64"/>
                              <w:rPr>
                                <w:rFonts w:ascii="Arial" w:hAnsi="Arial" w:cs="Arial"/>
                                <w:w w:val="88"/>
                                <w:sz w:val="16"/>
                                <w:szCs w:val="16"/>
                              </w:rPr>
                            </w:pPr>
                            <w:r>
                              <w:rPr>
                                <w:rFonts w:ascii="Arial" w:hAnsi="Arial" w:cs="Arial"/>
                                <w:w w:val="88"/>
                                <w:sz w:val="16"/>
                                <w:szCs w:val="16"/>
                              </w:rPr>
                              <w:t>ANAP</w:t>
                            </w:r>
                            <w:r>
                              <w:rPr>
                                <w:rFonts w:ascii="Arial" w:hAnsi="Arial" w:cs="Arial"/>
                                <w:w w:val="88"/>
                                <w:sz w:val="16"/>
                                <w:szCs w:val="16"/>
                              </w:rPr>
                              <w:tab/>
                            </w:r>
                            <w:r>
                              <w:rPr>
                                <w:rFonts w:ascii="Arial" w:hAnsi="Arial" w:cs="Arial"/>
                                <w:w w:val="88"/>
                                <w:sz w:val="16"/>
                                <w:szCs w:val="16"/>
                              </w:rPr>
                              <w:tab/>
                              <w:t>Ag. Navarra para la Autonomía y desarrollo de las Personas</w:t>
                            </w:r>
                          </w:p>
                          <w:p w14:paraId="12583E99" w14:textId="77777777" w:rsidR="002C091C" w:rsidRDefault="002C091C" w:rsidP="00614DC4">
                            <w:pPr>
                              <w:tabs>
                                <w:tab w:val="left" w:pos="350"/>
                              </w:tabs>
                              <w:ind w:left="-112" w:right="-64"/>
                              <w:rPr>
                                <w:rFonts w:ascii="Arial" w:hAnsi="Arial" w:cs="Arial"/>
                                <w:w w:val="88"/>
                                <w:sz w:val="16"/>
                                <w:szCs w:val="16"/>
                              </w:rPr>
                            </w:pPr>
                            <w:r>
                              <w:rPr>
                                <w:rFonts w:ascii="Arial" w:hAnsi="Arial" w:cs="Arial"/>
                                <w:w w:val="88"/>
                                <w:sz w:val="16"/>
                                <w:szCs w:val="16"/>
                              </w:rPr>
                              <w:t>SNE</w:t>
                            </w:r>
                            <w:r>
                              <w:rPr>
                                <w:rFonts w:ascii="Arial" w:hAnsi="Arial" w:cs="Arial"/>
                                <w:w w:val="88"/>
                                <w:sz w:val="16"/>
                                <w:szCs w:val="16"/>
                              </w:rPr>
                              <w:tab/>
                              <w:t>Servicio Navarro de Empleo</w:t>
                            </w:r>
                          </w:p>
                          <w:p w14:paraId="5E6629FA" w14:textId="77777777" w:rsidR="002C091C" w:rsidRDefault="002C091C" w:rsidP="00614DC4">
                            <w:pPr>
                              <w:tabs>
                                <w:tab w:val="left" w:pos="350"/>
                              </w:tabs>
                              <w:ind w:left="-112" w:right="-64"/>
                              <w:rPr>
                                <w:rFonts w:ascii="Arial" w:hAnsi="Arial" w:cs="Arial"/>
                                <w:w w:val="88"/>
                                <w:sz w:val="16"/>
                                <w:szCs w:val="16"/>
                              </w:rPr>
                            </w:pPr>
                            <w:r>
                              <w:rPr>
                                <w:rFonts w:ascii="Arial" w:hAnsi="Arial" w:cs="Arial"/>
                                <w:w w:val="88"/>
                                <w:sz w:val="16"/>
                                <w:szCs w:val="16"/>
                              </w:rPr>
                              <w:t>IND</w:t>
                            </w:r>
                            <w:r>
                              <w:rPr>
                                <w:rFonts w:ascii="Arial" w:hAnsi="Arial" w:cs="Arial"/>
                                <w:w w:val="88"/>
                                <w:sz w:val="16"/>
                                <w:szCs w:val="16"/>
                              </w:rPr>
                              <w:tab/>
                              <w:t>Instituto Navarro del Deporte y la Actividad Física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CEB9F" id="Proceso alternativo 51" o:spid="_x0000_s1051" type="#_x0000_t176" style="position:absolute;left:0;text-align:left;margin-left:-69.3pt;margin-top:23.35pt;width:235.35pt;height:161.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" filled="f" stroked="f" strokeweight=".5pt">
                <v:textbox>
                  <w:txbxContent>
                    <w:p w14:paraId="476A26B9" w14:textId="77777777" w:rsidR="002C091C" w:rsidRDefault="002C091C" w:rsidP="00614DC4">
                      <w:pPr>
                        <w:spacing w:after="120"/>
                        <w:ind w:left="364" w:right="-62"/>
                        <w:rPr>
                          <w:rFonts w:ascii="Arial" w:hAnsi="Arial" w:cs="Arial"/>
                          <w:w w:val="88"/>
                          <w:sz w:val="16"/>
                          <w:szCs w:val="16"/>
                        </w:rPr>
                      </w:pPr>
                      <w:r>
                        <w:rPr>
                          <w:rFonts w:ascii="Arial" w:hAnsi="Arial" w:cs="Arial"/>
                          <w:w w:val="88"/>
                          <w:sz w:val="16"/>
                          <w:szCs w:val="16"/>
                        </w:rPr>
                        <w:t>ORGANISMOS AUTÓNOMOS</w:t>
                      </w:r>
                    </w:p>
                    <w:p w14:paraId="4E5C6970" w14:textId="77777777" w:rsidR="002C091C" w:rsidRDefault="002C091C" w:rsidP="00614DC4">
                      <w:pPr>
                        <w:tabs>
                          <w:tab w:val="left" w:pos="364"/>
                        </w:tabs>
                        <w:ind w:left="-112" w:right="-64"/>
                        <w:rPr>
                          <w:rFonts w:ascii="Arial" w:hAnsi="Arial" w:cs="Arial"/>
                          <w:w w:val="88"/>
                          <w:sz w:val="16"/>
                          <w:szCs w:val="16"/>
                        </w:rPr>
                      </w:pPr>
                      <w:r>
                        <w:rPr>
                          <w:rFonts w:ascii="Arial" w:hAnsi="Arial" w:cs="Arial"/>
                          <w:w w:val="88"/>
                          <w:sz w:val="16"/>
                          <w:szCs w:val="16"/>
                        </w:rPr>
                        <w:t>HFN</w:t>
                      </w:r>
                      <w:r>
                        <w:rPr>
                          <w:rFonts w:ascii="Arial" w:hAnsi="Arial" w:cs="Arial"/>
                          <w:w w:val="88"/>
                          <w:sz w:val="16"/>
                          <w:szCs w:val="16"/>
                        </w:rPr>
                        <w:tab/>
                        <w:t>Hacienda Foral de Navarra</w:t>
                      </w:r>
                    </w:p>
                    <w:p w14:paraId="4A45CC8C" w14:textId="77777777" w:rsidR="002C091C" w:rsidRDefault="002C091C" w:rsidP="00614DC4">
                      <w:pPr>
                        <w:tabs>
                          <w:tab w:val="left" w:pos="364"/>
                        </w:tabs>
                        <w:ind w:left="-112" w:right="-64"/>
                        <w:rPr>
                          <w:rFonts w:ascii="Arial" w:hAnsi="Arial" w:cs="Arial"/>
                          <w:w w:val="88"/>
                          <w:sz w:val="16"/>
                          <w:szCs w:val="16"/>
                        </w:rPr>
                      </w:pPr>
                      <w:r>
                        <w:rPr>
                          <w:rFonts w:ascii="Arial" w:hAnsi="Arial" w:cs="Arial"/>
                          <w:w w:val="88"/>
                          <w:sz w:val="16"/>
                          <w:szCs w:val="16"/>
                        </w:rPr>
                        <w:t>INAI</w:t>
                      </w:r>
                      <w:r>
                        <w:rPr>
                          <w:rFonts w:ascii="Arial" w:hAnsi="Arial" w:cs="Arial"/>
                          <w:w w:val="88"/>
                          <w:sz w:val="16"/>
                          <w:szCs w:val="16"/>
                        </w:rPr>
                        <w:tab/>
                        <w:t>Instituto Navarro para la Igualdad</w:t>
                      </w:r>
                    </w:p>
                    <w:p w14:paraId="72C4EF0C" w14:textId="77777777" w:rsidR="002C091C" w:rsidRDefault="002C091C" w:rsidP="00614DC4">
                      <w:pPr>
                        <w:tabs>
                          <w:tab w:val="left" w:pos="364"/>
                        </w:tabs>
                        <w:ind w:left="-112" w:right="-64"/>
                        <w:rPr>
                          <w:rFonts w:ascii="Arial" w:hAnsi="Arial" w:cs="Arial"/>
                          <w:w w:val="88"/>
                          <w:sz w:val="16"/>
                          <w:szCs w:val="16"/>
                        </w:rPr>
                      </w:pPr>
                      <w:r>
                        <w:rPr>
                          <w:rFonts w:ascii="Arial" w:hAnsi="Arial" w:cs="Arial"/>
                          <w:w w:val="88"/>
                          <w:sz w:val="16"/>
                          <w:szCs w:val="16"/>
                        </w:rPr>
                        <w:t>INV/E</w:t>
                      </w:r>
                      <w:r>
                        <w:rPr>
                          <w:rFonts w:ascii="Arial" w:hAnsi="Arial" w:cs="Arial"/>
                          <w:w w:val="88"/>
                          <w:sz w:val="16"/>
                          <w:szCs w:val="16"/>
                        </w:rPr>
                        <w:tab/>
                        <w:t>Instituto Navarro del Euskera-Euskarabidea</w:t>
                      </w:r>
                    </w:p>
                    <w:p w14:paraId="0813978C" w14:textId="77777777" w:rsidR="002C091C" w:rsidRDefault="002C091C" w:rsidP="00614DC4">
                      <w:pPr>
                        <w:tabs>
                          <w:tab w:val="left" w:pos="364"/>
                        </w:tabs>
                        <w:ind w:left="-112" w:right="-64"/>
                        <w:rPr>
                          <w:rFonts w:ascii="Arial" w:hAnsi="Arial" w:cs="Arial"/>
                          <w:w w:val="88"/>
                          <w:sz w:val="16"/>
                          <w:szCs w:val="16"/>
                        </w:rPr>
                      </w:pPr>
                      <w:r>
                        <w:rPr>
                          <w:rFonts w:ascii="Arial" w:hAnsi="Arial" w:cs="Arial"/>
                          <w:w w:val="88"/>
                          <w:sz w:val="16"/>
                          <w:szCs w:val="16"/>
                        </w:rPr>
                        <w:t>ISPLN</w:t>
                      </w:r>
                      <w:r>
                        <w:rPr>
                          <w:rFonts w:ascii="Arial" w:hAnsi="Arial" w:cs="Arial"/>
                          <w:w w:val="88"/>
                          <w:sz w:val="16"/>
                          <w:szCs w:val="16"/>
                        </w:rPr>
                        <w:tab/>
                        <w:t>Instituto de Salud Pública y Laboral de Navarra</w:t>
                      </w:r>
                    </w:p>
                    <w:p w14:paraId="72A996D2" w14:textId="77777777" w:rsidR="002C091C" w:rsidRDefault="002C091C" w:rsidP="00614DC4">
                      <w:pPr>
                        <w:tabs>
                          <w:tab w:val="left" w:pos="364"/>
                        </w:tabs>
                        <w:ind w:left="-112" w:right="-64"/>
                        <w:rPr>
                          <w:rFonts w:ascii="Arial" w:hAnsi="Arial" w:cs="Arial"/>
                          <w:w w:val="88"/>
                          <w:sz w:val="16"/>
                          <w:szCs w:val="16"/>
                        </w:rPr>
                      </w:pPr>
                      <w:r>
                        <w:rPr>
                          <w:rFonts w:ascii="Arial" w:hAnsi="Arial" w:cs="Arial"/>
                          <w:w w:val="88"/>
                          <w:sz w:val="16"/>
                          <w:szCs w:val="16"/>
                        </w:rPr>
                        <w:t>SNS-O</w:t>
                      </w:r>
                      <w:r>
                        <w:rPr>
                          <w:rFonts w:ascii="Arial" w:hAnsi="Arial" w:cs="Arial"/>
                          <w:w w:val="88"/>
                          <w:sz w:val="16"/>
                          <w:szCs w:val="16"/>
                        </w:rPr>
                        <w:tab/>
                        <w:t>Servicio Navarro de Salud-Osasunbidea</w:t>
                      </w:r>
                    </w:p>
                    <w:p w14:paraId="6F0BE2A2" w14:textId="77777777" w:rsidR="002C091C" w:rsidRDefault="002C091C" w:rsidP="00614DC4">
                      <w:pPr>
                        <w:tabs>
                          <w:tab w:val="left" w:pos="364"/>
                        </w:tabs>
                        <w:ind w:left="-112" w:right="-64"/>
                        <w:rPr>
                          <w:rFonts w:ascii="Arial" w:hAnsi="Arial" w:cs="Arial"/>
                          <w:w w:val="88"/>
                          <w:sz w:val="16"/>
                          <w:szCs w:val="16"/>
                        </w:rPr>
                      </w:pPr>
                      <w:r>
                        <w:rPr>
                          <w:rFonts w:ascii="Arial" w:hAnsi="Arial" w:cs="Arial"/>
                          <w:w w:val="88"/>
                          <w:sz w:val="16"/>
                          <w:szCs w:val="16"/>
                        </w:rPr>
                        <w:t>INJ</w:t>
                      </w:r>
                      <w:r>
                        <w:rPr>
                          <w:rFonts w:ascii="Arial" w:hAnsi="Arial" w:cs="Arial"/>
                          <w:w w:val="88"/>
                          <w:sz w:val="16"/>
                          <w:szCs w:val="16"/>
                        </w:rPr>
                        <w:tab/>
                        <w:t>Instituto Navarro de la Juventud</w:t>
                      </w:r>
                    </w:p>
                    <w:p w14:paraId="360253DE" w14:textId="77777777" w:rsidR="002C091C" w:rsidRDefault="002C091C" w:rsidP="00614DC4">
                      <w:pPr>
                        <w:tabs>
                          <w:tab w:val="left" w:pos="284"/>
                          <w:tab w:val="left" w:pos="364"/>
                        </w:tabs>
                        <w:ind w:left="-112" w:right="-64"/>
                        <w:rPr>
                          <w:rFonts w:ascii="Arial" w:hAnsi="Arial" w:cs="Arial"/>
                          <w:w w:val="88"/>
                          <w:sz w:val="16"/>
                          <w:szCs w:val="16"/>
                        </w:rPr>
                      </w:pPr>
                      <w:r>
                        <w:rPr>
                          <w:rFonts w:ascii="Arial" w:hAnsi="Arial" w:cs="Arial"/>
                          <w:w w:val="88"/>
                          <w:sz w:val="16"/>
                          <w:szCs w:val="16"/>
                        </w:rPr>
                        <w:t>ANAP</w:t>
                      </w:r>
                      <w:r>
                        <w:rPr>
                          <w:rFonts w:ascii="Arial" w:hAnsi="Arial" w:cs="Arial"/>
                          <w:w w:val="88"/>
                          <w:sz w:val="16"/>
                          <w:szCs w:val="16"/>
                        </w:rPr>
                        <w:tab/>
                      </w:r>
                      <w:r>
                        <w:rPr>
                          <w:rFonts w:ascii="Arial" w:hAnsi="Arial" w:cs="Arial"/>
                          <w:w w:val="88"/>
                          <w:sz w:val="16"/>
                          <w:szCs w:val="16"/>
                        </w:rPr>
                        <w:tab/>
                        <w:t>Ag. Navarra para la Autonomía y desarrollo de las Personas</w:t>
                      </w:r>
                    </w:p>
                    <w:p w14:paraId="12583E99" w14:textId="77777777" w:rsidR="002C091C" w:rsidRDefault="002C091C" w:rsidP="00614DC4">
                      <w:pPr>
                        <w:tabs>
                          <w:tab w:val="left" w:pos="350"/>
                        </w:tabs>
                        <w:ind w:left="-112" w:right="-64"/>
                        <w:rPr>
                          <w:rFonts w:ascii="Arial" w:hAnsi="Arial" w:cs="Arial"/>
                          <w:w w:val="88"/>
                          <w:sz w:val="16"/>
                          <w:szCs w:val="16"/>
                        </w:rPr>
                      </w:pPr>
                      <w:r>
                        <w:rPr>
                          <w:rFonts w:ascii="Arial" w:hAnsi="Arial" w:cs="Arial"/>
                          <w:w w:val="88"/>
                          <w:sz w:val="16"/>
                          <w:szCs w:val="16"/>
                        </w:rPr>
                        <w:t>SNE</w:t>
                      </w:r>
                      <w:r>
                        <w:rPr>
                          <w:rFonts w:ascii="Arial" w:hAnsi="Arial" w:cs="Arial"/>
                          <w:w w:val="88"/>
                          <w:sz w:val="16"/>
                          <w:szCs w:val="16"/>
                        </w:rPr>
                        <w:tab/>
                        <w:t>Servicio Navarro de Empleo</w:t>
                      </w:r>
                    </w:p>
                    <w:p w14:paraId="5E6629FA" w14:textId="77777777" w:rsidR="002C091C" w:rsidRDefault="002C091C" w:rsidP="00614DC4">
                      <w:pPr>
                        <w:tabs>
                          <w:tab w:val="left" w:pos="350"/>
                        </w:tabs>
                        <w:ind w:left="-112" w:right="-64"/>
                        <w:rPr>
                          <w:rFonts w:ascii="Arial" w:hAnsi="Arial" w:cs="Arial"/>
                          <w:w w:val="88"/>
                          <w:sz w:val="16"/>
                          <w:szCs w:val="16"/>
                        </w:rPr>
                      </w:pPr>
                      <w:r>
                        <w:rPr>
                          <w:rFonts w:ascii="Arial" w:hAnsi="Arial" w:cs="Arial"/>
                          <w:w w:val="88"/>
                          <w:sz w:val="16"/>
                          <w:szCs w:val="16"/>
                        </w:rPr>
                        <w:t>IND</w:t>
                      </w:r>
                      <w:r>
                        <w:rPr>
                          <w:rFonts w:ascii="Arial" w:hAnsi="Arial" w:cs="Arial"/>
                          <w:w w:val="88"/>
                          <w:sz w:val="16"/>
                          <w:szCs w:val="16"/>
                        </w:rPr>
                        <w:tab/>
                        <w:t>Instituto Navarro del Deporte y la Actividad Física</w:t>
                      </w:r>
                    </w:p>
                  </w:txbxContent>
                </v:textbox>
              </v:shape>
            </w:pict>
          </mc:Fallback>
        </mc:AlternateContent>
      </w:r>
    </w:p>
    <w:p w14:paraId="05CC19BE" w14:textId="77777777" w:rsidR="00614DC4" w:rsidRDefault="00867CCB" w:rsidP="00614DC4">
      <w:pPr>
        <w:pStyle w:val="texto"/>
      </w:pPr>
      <w:r>
        <w:rPr>
          <w:noProof/>
        </w:rPr>
        <mc:AlternateContent>
          <mc:Choice Requires="wps">
            <w:drawing>
              <wp:anchor distT="0" distB="0" distL="114300" distR="114300" simplePos="0" relativeHeight="251681280" behindDoc="0" locked="0" layoutInCell="1" allowOverlap="1" wp14:anchorId="02CFD9D2" wp14:editId="7AE40A5A">
                <wp:simplePos x="0" y="0"/>
                <wp:positionH relativeFrom="column">
                  <wp:posOffset>3610610</wp:posOffset>
                </wp:positionH>
                <wp:positionV relativeFrom="paragraph">
                  <wp:posOffset>165735</wp:posOffset>
                </wp:positionV>
                <wp:extent cx="467995" cy="257175"/>
                <wp:effectExtent l="0" t="0" r="27305" b="28575"/>
                <wp:wrapNone/>
                <wp:docPr id="33" name="Proceso alternativo 33"/>
                <wp:cNvGraphicFramePr/>
                <a:graphic xmlns:a="http://schemas.openxmlformats.org/drawingml/2006/main">
                  <a:graphicData uri="http://schemas.microsoft.com/office/word/2010/wordprocessingShape">
                    <wps:wsp>
                      <wps:cNvSpPr/>
                      <wps:spPr>
                        <a:xfrm>
                          <a:off x="0" y="0"/>
                          <a:ext cx="467995" cy="257175"/>
                        </a:xfrm>
                        <a:prstGeom prst="flowChartAlternateProcess">
                          <a:avLst/>
                        </a:prstGeom>
                        <a:noFill/>
                        <a:ln w="6350" cap="flat" cmpd="sng" algn="ctr">
                          <a:solidFill>
                            <a:sysClr val="windowText" lastClr="000000"/>
                          </a:solidFill>
                          <a:prstDash val="solid"/>
                        </a:ln>
                        <a:effectLst/>
                      </wps:spPr>
                      <wps:txbx>
                        <w:txbxContent>
                          <w:p w14:paraId="1ACA6C64"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HFN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FD9D2" id="Proceso alternativo 33" o:spid="_x0000_s1052" type="#_x0000_t176" style="position:absolute;left:0;text-align:left;margin-left:284.3pt;margin-top:13.05pt;width:36.85pt;height:20.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" filled="f" strokecolor="windowText" strokeweight=".5pt">
                <v:textbox>
                  <w:txbxContent>
                    <w:p w14:paraId="1ACA6C64"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HFN</w:t>
                      </w:r>
                    </w:p>
                  </w:txbxContent>
                </v:textbox>
              </v:shape>
            </w:pict>
          </mc:Fallback>
        </mc:AlternateContent>
      </w:r>
      <w:r>
        <w:rPr>
          <w:noProof/>
        </w:rPr>
        <mc:AlternateContent>
          <mc:Choice Requires="wps">
            <w:drawing>
              <wp:anchor distT="0" distB="0" distL="114300" distR="114300" simplePos="0" relativeHeight="251674112" behindDoc="0" locked="0" layoutInCell="1" allowOverlap="1" wp14:anchorId="196E2054" wp14:editId="30DAE3D9">
                <wp:simplePos x="0" y="0"/>
                <wp:positionH relativeFrom="column">
                  <wp:posOffset>2391410</wp:posOffset>
                </wp:positionH>
                <wp:positionV relativeFrom="paragraph">
                  <wp:posOffset>159385</wp:posOffset>
                </wp:positionV>
                <wp:extent cx="1076325" cy="219075"/>
                <wp:effectExtent l="0" t="0" r="28575" b="28575"/>
                <wp:wrapNone/>
                <wp:docPr id="25" name="Proceso alternativo 25"/>
                <wp:cNvGraphicFramePr/>
                <a:graphic xmlns:a="http://schemas.openxmlformats.org/drawingml/2006/main">
                  <a:graphicData uri="http://schemas.microsoft.com/office/word/2010/wordprocessingShape">
                    <wps:wsp>
                      <wps:cNvSpPr/>
                      <wps:spPr>
                        <a:xfrm>
                          <a:off x="0" y="0"/>
                          <a:ext cx="1076325" cy="219075"/>
                        </a:xfrm>
                        <a:prstGeom prst="flowChartAlternateProcess">
                          <a:avLst/>
                        </a:prstGeom>
                        <a:noFill/>
                        <a:ln w="6350" cap="flat" cmpd="sng" algn="ctr">
                          <a:solidFill>
                            <a:sysClr val="windowText" lastClr="000000"/>
                          </a:solidFill>
                          <a:prstDash val="solid"/>
                        </a:ln>
                        <a:effectLst/>
                      </wps:spPr>
                      <wps:txbx>
                        <w:txbxContent>
                          <w:p w14:paraId="1F520A56"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Economía y Hacienda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2054" id="Proceso alternativo 25" o:spid="_x0000_s1053" type="#_x0000_t176" style="position:absolute;left:0;text-align:left;margin-left:188.3pt;margin-top:12.55pt;width:84.75pt;height:17.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" filled="f" strokecolor="windowText" strokeweight=".5pt">
                <v:textbox>
                  <w:txbxContent>
                    <w:p w14:paraId="1F520A56"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Economía y Hacienda</w:t>
                      </w:r>
                    </w:p>
                  </w:txbxContent>
                </v:textbox>
              </v:shape>
            </w:pict>
          </mc:Fallback>
        </mc:AlternateContent>
      </w:r>
    </w:p>
    <w:p w14:paraId="020442B4" w14:textId="77777777" w:rsidR="00614DC4" w:rsidRDefault="00EB622E" w:rsidP="00614DC4">
      <w:pPr>
        <w:pStyle w:val="texto"/>
      </w:pPr>
      <w:r>
        <w:rPr>
          <w:noProof/>
        </w:rPr>
        <mc:AlternateContent>
          <mc:Choice Requires="wps">
            <w:drawing>
              <wp:anchor distT="0" distB="0" distL="114300" distR="114300" simplePos="0" relativeHeight="251818496" behindDoc="0" locked="0" layoutInCell="1" allowOverlap="1" wp14:anchorId="5863D18D" wp14:editId="086AE046">
                <wp:simplePos x="0" y="0"/>
                <wp:positionH relativeFrom="column">
                  <wp:posOffset>2206321</wp:posOffset>
                </wp:positionH>
                <wp:positionV relativeFrom="paragraph">
                  <wp:posOffset>83426</wp:posOffset>
                </wp:positionV>
                <wp:extent cx="184445" cy="0"/>
                <wp:effectExtent l="0" t="0" r="25400" b="19050"/>
                <wp:wrapNone/>
                <wp:docPr id="98" name="Conector recto 98"/>
                <wp:cNvGraphicFramePr/>
                <a:graphic xmlns:a="http://schemas.openxmlformats.org/drawingml/2006/main">
                  <a:graphicData uri="http://schemas.microsoft.com/office/word/2010/wordprocessingShape">
                    <wps:wsp>
                      <wps:cNvCnPr/>
                      <wps:spPr>
                        <a:xfrm>
                          <a:off x="0" y="0"/>
                          <a:ext cx="184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39DDFF" id="Conector recto 98" o:spid="_x0000_s1026" style="position:absolute;z-index:251818496;visibility:visible;mso-wrap-style:square;mso-wrap-distance-left:9pt;mso-wrap-distance-top:0;mso-wrap-distance-right:9pt;mso-wrap-distance-bottom:0;mso-position-horizontal:absolute;mso-position-horizontal-relative:text;mso-position-vertical:absolute;mso-position-vertical-relative:text" from="173.75pt,6.55pt" to="188.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" strokecolor="black [3040]"/>
            </w:pict>
          </mc:Fallback>
        </mc:AlternateContent>
      </w:r>
      <w:r w:rsidR="00867CCB">
        <w:rPr>
          <w:noProof/>
        </w:rPr>
        <mc:AlternateContent>
          <mc:Choice Requires="wps">
            <w:drawing>
              <wp:anchor distT="0" distB="0" distL="114300" distR="114300" simplePos="0" relativeHeight="251778560" behindDoc="0" locked="0" layoutInCell="1" allowOverlap="1" wp14:anchorId="072A8CF0" wp14:editId="066D8CD0">
                <wp:simplePos x="0" y="0"/>
                <wp:positionH relativeFrom="column">
                  <wp:posOffset>3469393</wp:posOffset>
                </wp:positionH>
                <wp:positionV relativeFrom="paragraph">
                  <wp:posOffset>81280</wp:posOffset>
                </wp:positionV>
                <wp:extent cx="140776" cy="0"/>
                <wp:effectExtent l="0" t="0" r="31115" b="19050"/>
                <wp:wrapNone/>
                <wp:docPr id="99" name="Conector recto 99"/>
                <wp:cNvGraphicFramePr/>
                <a:graphic xmlns:a="http://schemas.openxmlformats.org/drawingml/2006/main">
                  <a:graphicData uri="http://schemas.microsoft.com/office/word/2010/wordprocessingShape">
                    <wps:wsp>
                      <wps:cNvCnPr/>
                      <wps:spPr>
                        <a:xfrm>
                          <a:off x="0" y="0"/>
                          <a:ext cx="140776"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453632" id="Conector recto 99" o:spid="_x0000_s1026" style="position:absolute;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2pt,6.4pt" to="284.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" strokecolor="black [3040]" strokeweight=".5pt"/>
            </w:pict>
          </mc:Fallback>
        </mc:AlternateContent>
      </w:r>
    </w:p>
    <w:p w14:paraId="787F9B19" w14:textId="77777777" w:rsidR="00614DC4" w:rsidRDefault="00867CCB" w:rsidP="00614DC4">
      <w:pPr>
        <w:pStyle w:val="texto"/>
      </w:pPr>
      <w:r>
        <w:rPr>
          <w:noProof/>
        </w:rPr>
        <mc:AlternateContent>
          <mc:Choice Requires="wps">
            <w:drawing>
              <wp:anchor distT="0" distB="0" distL="114300" distR="114300" simplePos="0" relativeHeight="251736576" behindDoc="0" locked="0" layoutInCell="1" allowOverlap="1" wp14:anchorId="33BFAED3" wp14:editId="5BA2B562">
                <wp:simplePos x="0" y="0"/>
                <wp:positionH relativeFrom="column">
                  <wp:posOffset>2391410</wp:posOffset>
                </wp:positionH>
                <wp:positionV relativeFrom="paragraph">
                  <wp:posOffset>88900</wp:posOffset>
                </wp:positionV>
                <wp:extent cx="1076325" cy="228600"/>
                <wp:effectExtent l="0" t="0" r="28575" b="19050"/>
                <wp:wrapNone/>
                <wp:docPr id="49" name="Proceso alternativo 49"/>
                <wp:cNvGraphicFramePr/>
                <a:graphic xmlns:a="http://schemas.openxmlformats.org/drawingml/2006/main">
                  <a:graphicData uri="http://schemas.microsoft.com/office/word/2010/wordprocessingShape">
                    <wps:wsp>
                      <wps:cNvSpPr/>
                      <wps:spPr>
                        <a:xfrm>
                          <a:off x="0" y="0"/>
                          <a:ext cx="1076325" cy="228600"/>
                        </a:xfrm>
                        <a:prstGeom prst="flowChartAlternateProcess">
                          <a:avLst/>
                        </a:prstGeom>
                        <a:noFill/>
                        <a:ln w="6350" cap="flat" cmpd="sng" algn="ctr">
                          <a:solidFill>
                            <a:sysClr val="windowText" lastClr="000000"/>
                          </a:solidFill>
                          <a:prstDash val="solid"/>
                        </a:ln>
                        <a:effectLst/>
                      </wps:spPr>
                      <wps:txbx>
                        <w:txbxContent>
                          <w:p w14:paraId="627D4EBC"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Cohesión Territorial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FAED3" id="Proceso alternativo 49" o:spid="_x0000_s1054" type="#_x0000_t176" style="position:absolute;left:0;text-align:left;margin-left:188.3pt;margin-top:7pt;width:84.75pt;height:18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" filled="f" strokecolor="windowText" strokeweight=".5pt">
                <v:textbox>
                  <w:txbxContent>
                    <w:p w14:paraId="627D4EBC"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Cohesión Territorial</w:t>
                      </w:r>
                    </w:p>
                  </w:txbxContent>
                </v:textbox>
              </v:shape>
            </w:pict>
          </mc:Fallback>
        </mc:AlternateContent>
      </w:r>
    </w:p>
    <w:p w14:paraId="526E18A0" w14:textId="77777777" w:rsidR="00614DC4" w:rsidRDefault="00EB622E" w:rsidP="00614DC4">
      <w:pPr>
        <w:pStyle w:val="texto"/>
      </w:pPr>
      <w:r>
        <w:rPr>
          <w:noProof/>
        </w:rPr>
        <mc:AlternateContent>
          <mc:Choice Requires="wps">
            <w:drawing>
              <wp:anchor distT="0" distB="0" distL="114300" distR="114300" simplePos="0" relativeHeight="251819520" behindDoc="0" locked="0" layoutInCell="1" allowOverlap="1" wp14:anchorId="0C155D8D" wp14:editId="2AB2A1BF">
                <wp:simplePos x="0" y="0"/>
                <wp:positionH relativeFrom="column">
                  <wp:posOffset>2206321</wp:posOffset>
                </wp:positionH>
                <wp:positionV relativeFrom="paragraph">
                  <wp:posOffset>12789</wp:posOffset>
                </wp:positionV>
                <wp:extent cx="184445" cy="0"/>
                <wp:effectExtent l="0" t="0" r="25400" b="19050"/>
                <wp:wrapNone/>
                <wp:docPr id="100" name="Conector recto 100"/>
                <wp:cNvGraphicFramePr/>
                <a:graphic xmlns:a="http://schemas.openxmlformats.org/drawingml/2006/main">
                  <a:graphicData uri="http://schemas.microsoft.com/office/word/2010/wordprocessingShape">
                    <wps:wsp>
                      <wps:cNvCnPr/>
                      <wps:spPr>
                        <a:xfrm>
                          <a:off x="0" y="0"/>
                          <a:ext cx="184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910BBF" id="Conector recto 100" o:spid="_x0000_s1026" style="position:absolute;z-index:251819520;visibility:visible;mso-wrap-style:square;mso-wrap-distance-left:9pt;mso-wrap-distance-top:0;mso-wrap-distance-right:9pt;mso-wrap-distance-bottom:0;mso-position-horizontal:absolute;mso-position-horizontal-relative:text;mso-position-vertical:absolute;mso-position-vertical-relative:text" from="173.75pt,1pt" to="188.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" strokecolor="black [3040]"/>
            </w:pict>
          </mc:Fallback>
        </mc:AlternateContent>
      </w:r>
    </w:p>
    <w:p w14:paraId="64B39D58" w14:textId="77777777" w:rsidR="00614DC4" w:rsidRDefault="00867CCB" w:rsidP="00614DC4">
      <w:pPr>
        <w:pStyle w:val="texto"/>
      </w:pPr>
      <w:r>
        <w:rPr>
          <w:noProof/>
        </w:rPr>
        <mc:AlternateContent>
          <mc:Choice Requires="wps">
            <w:drawing>
              <wp:anchor distT="0" distB="0" distL="114300" distR="114300" simplePos="0" relativeHeight="251675136" behindDoc="0" locked="0" layoutInCell="1" allowOverlap="1" wp14:anchorId="21F3E6B8" wp14:editId="24E6DB84">
                <wp:simplePos x="0" y="0"/>
                <wp:positionH relativeFrom="column">
                  <wp:posOffset>2391410</wp:posOffset>
                </wp:positionH>
                <wp:positionV relativeFrom="paragraph">
                  <wp:posOffset>15875</wp:posOffset>
                </wp:positionV>
                <wp:extent cx="1076325" cy="372745"/>
                <wp:effectExtent l="0" t="0" r="28575" b="27305"/>
                <wp:wrapNone/>
                <wp:docPr id="26" name="Proceso alternativo 26"/>
                <wp:cNvGraphicFramePr/>
                <a:graphic xmlns:a="http://schemas.openxmlformats.org/drawingml/2006/main">
                  <a:graphicData uri="http://schemas.microsoft.com/office/word/2010/wordprocessingShape">
                    <wps:wsp>
                      <wps:cNvSpPr/>
                      <wps:spPr>
                        <a:xfrm>
                          <a:off x="0" y="0"/>
                          <a:ext cx="1076325" cy="372745"/>
                        </a:xfrm>
                        <a:prstGeom prst="flowChartAlternateProcess">
                          <a:avLst/>
                        </a:prstGeom>
                        <a:noFill/>
                        <a:ln w="6350" cap="flat" cmpd="sng" algn="ctr">
                          <a:solidFill>
                            <a:sysClr val="windowText" lastClr="000000"/>
                          </a:solidFill>
                          <a:prstDash val="solid"/>
                        </a:ln>
                        <a:effectLst/>
                      </wps:spPr>
                      <wps:txbx>
                        <w:txbxContent>
                          <w:p w14:paraId="189BFEFA"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Industria y Transición Ecológica y Digital Empresarial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3E6B8" id="Proceso alternativo 26" o:spid="_x0000_s1055" type="#_x0000_t176" style="position:absolute;left:0;text-align:left;margin-left:188.3pt;margin-top:1.25pt;width:84.75pt;height:29.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" filled="f" strokecolor="windowText" strokeweight=".5pt">
                <v:textbox>
                  <w:txbxContent>
                    <w:p w14:paraId="189BFEFA"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Industria y Transición Ecológica y Digital Empresarial</w:t>
                      </w:r>
                    </w:p>
                  </w:txbxContent>
                </v:textbox>
              </v:shape>
            </w:pict>
          </mc:Fallback>
        </mc:AlternateContent>
      </w:r>
    </w:p>
    <w:p w14:paraId="59A83666" w14:textId="77777777" w:rsidR="00614DC4" w:rsidRDefault="00EB622E" w:rsidP="00614DC4">
      <w:pPr>
        <w:pStyle w:val="texto"/>
      </w:pPr>
      <w:r>
        <w:rPr>
          <w:noProof/>
        </w:rPr>
        <mc:AlternateContent>
          <mc:Choice Requires="wps">
            <w:drawing>
              <wp:anchor distT="0" distB="0" distL="114300" distR="114300" simplePos="0" relativeHeight="251816448" behindDoc="0" locked="0" layoutInCell="1" allowOverlap="1" wp14:anchorId="4780130C" wp14:editId="176780C3">
                <wp:simplePos x="0" y="0"/>
                <wp:positionH relativeFrom="column">
                  <wp:posOffset>2255431</wp:posOffset>
                </wp:positionH>
                <wp:positionV relativeFrom="paragraph">
                  <wp:posOffset>7182</wp:posOffset>
                </wp:positionV>
                <wp:extent cx="135335" cy="0"/>
                <wp:effectExtent l="0" t="0" r="36195" b="19050"/>
                <wp:wrapNone/>
                <wp:docPr id="92" name="Conector recto 92"/>
                <wp:cNvGraphicFramePr/>
                <a:graphic xmlns:a="http://schemas.openxmlformats.org/drawingml/2006/main">
                  <a:graphicData uri="http://schemas.microsoft.com/office/word/2010/wordprocessingShape">
                    <wps:wsp>
                      <wps:cNvCnPr/>
                      <wps:spPr>
                        <a:xfrm>
                          <a:off x="0" y="0"/>
                          <a:ext cx="135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E3403F" id="Conector recto 92" o:spid="_x0000_s1026" style="position:absolute;z-index:251816448;visibility:visible;mso-wrap-style:square;mso-wrap-distance-left:9pt;mso-wrap-distance-top:0;mso-wrap-distance-right:9pt;mso-wrap-distance-bottom:0;mso-position-horizontal:absolute;mso-position-horizontal-relative:text;mso-position-vertical:absolute;mso-position-vertical-relative:text" from="177.6pt,.55pt" to="188.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" strokecolor="black [3040]"/>
            </w:pict>
          </mc:Fallback>
        </mc:AlternateContent>
      </w:r>
    </w:p>
    <w:p w14:paraId="253BC371" w14:textId="77777777" w:rsidR="00614DC4" w:rsidRDefault="00867CCB" w:rsidP="00614DC4">
      <w:pPr>
        <w:pStyle w:val="texto"/>
      </w:pPr>
      <w:r>
        <w:rPr>
          <w:noProof/>
        </w:rPr>
        <mc:AlternateContent>
          <mc:Choice Requires="wps">
            <w:drawing>
              <wp:anchor distT="0" distB="0" distL="114300" distR="114300" simplePos="0" relativeHeight="251734528" behindDoc="0" locked="0" layoutInCell="1" allowOverlap="1" wp14:anchorId="78C384AA" wp14:editId="7FC56710">
                <wp:simplePos x="0" y="0"/>
                <wp:positionH relativeFrom="column">
                  <wp:posOffset>2391410</wp:posOffset>
                </wp:positionH>
                <wp:positionV relativeFrom="paragraph">
                  <wp:posOffset>90805</wp:posOffset>
                </wp:positionV>
                <wp:extent cx="1087120" cy="481330"/>
                <wp:effectExtent l="0" t="0" r="17780" b="13970"/>
                <wp:wrapNone/>
                <wp:docPr id="7" name="Proceso alternativo 7"/>
                <wp:cNvGraphicFramePr/>
                <a:graphic xmlns:a="http://schemas.openxmlformats.org/drawingml/2006/main">
                  <a:graphicData uri="http://schemas.microsoft.com/office/word/2010/wordprocessingShape">
                    <wps:wsp>
                      <wps:cNvSpPr/>
                      <wps:spPr>
                        <a:xfrm>
                          <a:off x="0" y="0"/>
                          <a:ext cx="1087120" cy="481330"/>
                        </a:xfrm>
                        <a:prstGeom prst="flowChartAlternateProcess">
                          <a:avLst/>
                        </a:prstGeom>
                        <a:noFill/>
                        <a:ln w="6350" cap="flat" cmpd="sng" algn="ctr">
                          <a:solidFill>
                            <a:sysClr val="windowText" lastClr="000000"/>
                          </a:solidFill>
                          <a:prstDash val="solid"/>
                        </a:ln>
                        <a:effectLst/>
                      </wps:spPr>
                      <wps:txbx>
                        <w:txbxContent>
                          <w:p w14:paraId="6E5CDBF8"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 xml:space="preserve">Memoria y Convivencia, </w:t>
                            </w:r>
                          </w:p>
                          <w:p w14:paraId="7B6F9CAC"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Acción Exterior y Euskera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384AA" id="Proceso alternativo 7" o:spid="_x0000_s1056" type="#_x0000_t176" style="position:absolute;left:0;text-align:left;margin-left:188.3pt;margin-top:7.15pt;width:85.6pt;height:37.9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" filled="f" strokecolor="windowText" strokeweight=".5pt">
                <v:textbox>
                  <w:txbxContent>
                    <w:p w14:paraId="6E5CDBF8"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 xml:space="preserve">Memoria y Convivencia, </w:t>
                      </w:r>
                    </w:p>
                    <w:p w14:paraId="7B6F9CAC"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Acción Exterior y Euskera</w:t>
                      </w:r>
                    </w:p>
                  </w:txbxContent>
                </v:textbox>
              </v:shape>
            </w:pict>
          </mc:Fallback>
        </mc:AlternateContent>
      </w:r>
    </w:p>
    <w:p w14:paraId="00C59E78" w14:textId="77777777" w:rsidR="00614DC4" w:rsidRDefault="00EB622E" w:rsidP="00614DC4">
      <w:pPr>
        <w:pStyle w:val="texto"/>
      </w:pPr>
      <w:r>
        <w:rPr>
          <w:noProof/>
        </w:rPr>
        <mc:AlternateContent>
          <mc:Choice Requires="wps">
            <w:drawing>
              <wp:anchor distT="0" distB="0" distL="114300" distR="114300" simplePos="0" relativeHeight="251815424" behindDoc="0" locked="0" layoutInCell="1" allowOverlap="1" wp14:anchorId="530FD403" wp14:editId="21455307">
                <wp:simplePos x="0" y="0"/>
                <wp:positionH relativeFrom="column">
                  <wp:posOffset>2255431</wp:posOffset>
                </wp:positionH>
                <wp:positionV relativeFrom="paragraph">
                  <wp:posOffset>110410</wp:posOffset>
                </wp:positionV>
                <wp:extent cx="135335" cy="0"/>
                <wp:effectExtent l="0" t="0" r="36195" b="19050"/>
                <wp:wrapNone/>
                <wp:docPr id="89" name="Conector recto 89"/>
                <wp:cNvGraphicFramePr/>
                <a:graphic xmlns:a="http://schemas.openxmlformats.org/drawingml/2006/main">
                  <a:graphicData uri="http://schemas.microsoft.com/office/word/2010/wordprocessingShape">
                    <wps:wsp>
                      <wps:cNvCnPr/>
                      <wps:spPr>
                        <a:xfrm>
                          <a:off x="0" y="0"/>
                          <a:ext cx="135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498DAD" id="Conector recto 89" o:spid="_x0000_s1026" style="position:absolute;z-index:251815424;visibility:visible;mso-wrap-style:square;mso-wrap-distance-left:9pt;mso-wrap-distance-top:0;mso-wrap-distance-right:9pt;mso-wrap-distance-bottom:0;mso-position-horizontal:absolute;mso-position-horizontal-relative:text;mso-position-vertical:absolute;mso-position-vertical-relative:text" from="177.6pt,8.7pt" to="188.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" strokecolor="black [3040]"/>
            </w:pict>
          </mc:Fallback>
        </mc:AlternateContent>
      </w:r>
      <w:r w:rsidR="00883DD1">
        <w:rPr>
          <w:noProof/>
        </w:rPr>
        <mc:AlternateContent>
          <mc:Choice Requires="wps">
            <w:drawing>
              <wp:anchor distT="0" distB="0" distL="114300" distR="114300" simplePos="0" relativeHeight="251788800" behindDoc="0" locked="0" layoutInCell="1" allowOverlap="1" wp14:anchorId="7B8F0882" wp14:editId="394662AE">
                <wp:simplePos x="0" y="0"/>
                <wp:positionH relativeFrom="column">
                  <wp:posOffset>3479331</wp:posOffset>
                </wp:positionH>
                <wp:positionV relativeFrom="paragraph">
                  <wp:posOffset>112229</wp:posOffset>
                </wp:positionV>
                <wp:extent cx="138761" cy="0"/>
                <wp:effectExtent l="0" t="0" r="33020" b="19050"/>
                <wp:wrapNone/>
                <wp:docPr id="63" name="Conector recto 63"/>
                <wp:cNvGraphicFramePr/>
                <a:graphic xmlns:a="http://schemas.openxmlformats.org/drawingml/2006/main">
                  <a:graphicData uri="http://schemas.microsoft.com/office/word/2010/wordprocessingShape">
                    <wps:wsp>
                      <wps:cNvCnPr/>
                      <wps:spPr>
                        <a:xfrm>
                          <a:off x="0" y="0"/>
                          <a:ext cx="138761"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720276" id="Conector recto 63" o:spid="_x0000_s1026" style="position:absolute;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95pt,8.85pt" to="284.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" strokecolor="black [3040]" strokeweight=".5pt"/>
            </w:pict>
          </mc:Fallback>
        </mc:AlternateContent>
      </w:r>
      <w:r w:rsidR="00883DD1" w:rsidRPr="004A12BF">
        <w:rPr>
          <w:noProof/>
        </w:rPr>
        <mc:AlternateContent>
          <mc:Choice Requires="wps">
            <w:drawing>
              <wp:anchor distT="0" distB="0" distL="114300" distR="114300" simplePos="0" relativeHeight="251684352" behindDoc="0" locked="0" layoutInCell="1" allowOverlap="1" wp14:anchorId="5C448600" wp14:editId="4BD59134">
                <wp:simplePos x="0" y="0"/>
                <wp:positionH relativeFrom="column">
                  <wp:posOffset>3610610</wp:posOffset>
                </wp:positionH>
                <wp:positionV relativeFrom="paragraph">
                  <wp:posOffset>1502410</wp:posOffset>
                </wp:positionV>
                <wp:extent cx="511175" cy="225425"/>
                <wp:effectExtent l="0" t="0" r="22225" b="22225"/>
                <wp:wrapNone/>
                <wp:docPr id="36" name="Proceso alternativo 36"/>
                <wp:cNvGraphicFramePr/>
                <a:graphic xmlns:a="http://schemas.openxmlformats.org/drawingml/2006/main">
                  <a:graphicData uri="http://schemas.microsoft.com/office/word/2010/wordprocessingShape">
                    <wps:wsp>
                      <wps:cNvSpPr/>
                      <wps:spPr>
                        <a:xfrm>
                          <a:off x="0" y="0"/>
                          <a:ext cx="511175" cy="225425"/>
                        </a:xfrm>
                        <a:prstGeom prst="flowChartAlternateProcess">
                          <a:avLst/>
                        </a:prstGeom>
                        <a:noFill/>
                        <a:ln w="6350" cap="flat" cmpd="sng" algn="ctr">
                          <a:solidFill>
                            <a:sysClr val="windowText" lastClr="000000"/>
                          </a:solidFill>
                          <a:prstDash val="solid"/>
                        </a:ln>
                        <a:effectLst/>
                      </wps:spPr>
                      <wps:txbx>
                        <w:txbxContent>
                          <w:p w14:paraId="6AFF0341"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ISPLN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48600" id="Proceso alternativo 36" o:spid="_x0000_s1057" type="#_x0000_t176" style="position:absolute;left:0;text-align:left;margin-left:284.3pt;margin-top:118.3pt;width:40.25pt;height:17.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" filled="f" strokecolor="windowText" strokeweight=".5pt">
                <v:textbox>
                  <w:txbxContent>
                    <w:p w14:paraId="6AFF0341"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ISPLN</w:t>
                      </w:r>
                    </w:p>
                  </w:txbxContent>
                </v:textbox>
              </v:shape>
            </w:pict>
          </mc:Fallback>
        </mc:AlternateContent>
      </w:r>
      <w:r w:rsidR="00883DD1" w:rsidRPr="00AE2379">
        <w:rPr>
          <w:noProof/>
        </w:rPr>
        <mc:AlternateContent>
          <mc:Choice Requires="wps">
            <w:drawing>
              <wp:anchor distT="0" distB="0" distL="114300" distR="114300" simplePos="0" relativeHeight="251783680" behindDoc="0" locked="0" layoutInCell="1" allowOverlap="1" wp14:anchorId="5B30649C" wp14:editId="6A90A403">
                <wp:simplePos x="0" y="0"/>
                <wp:positionH relativeFrom="column">
                  <wp:posOffset>3610610</wp:posOffset>
                </wp:positionH>
                <wp:positionV relativeFrom="paragraph">
                  <wp:posOffset>27940</wp:posOffset>
                </wp:positionV>
                <wp:extent cx="506095" cy="225425"/>
                <wp:effectExtent l="0" t="0" r="27305" b="22225"/>
                <wp:wrapNone/>
                <wp:docPr id="48" name="Proceso alternativo 48"/>
                <wp:cNvGraphicFramePr/>
                <a:graphic xmlns:a="http://schemas.openxmlformats.org/drawingml/2006/main">
                  <a:graphicData uri="http://schemas.microsoft.com/office/word/2010/wordprocessingShape">
                    <wps:wsp>
                      <wps:cNvSpPr/>
                      <wps:spPr>
                        <a:xfrm>
                          <a:off x="0" y="0"/>
                          <a:ext cx="506095" cy="225425"/>
                        </a:xfrm>
                        <a:prstGeom prst="flowChartAlternateProcess">
                          <a:avLst/>
                        </a:prstGeom>
                        <a:noFill/>
                        <a:ln w="6350" cap="flat" cmpd="sng" algn="ctr">
                          <a:solidFill>
                            <a:sysClr val="windowText" lastClr="000000"/>
                          </a:solidFill>
                          <a:prstDash val="solid"/>
                        </a:ln>
                        <a:effectLst/>
                      </wps:spPr>
                      <wps:txbx>
                        <w:txbxContent>
                          <w:p w14:paraId="572984E1" w14:textId="77777777" w:rsidR="002C091C" w:rsidRDefault="002C091C" w:rsidP="00042BC8">
                            <w:pPr>
                              <w:ind w:left="-168" w:right="-177"/>
                              <w:jc w:val="center"/>
                              <w:rPr>
                                <w:rFonts w:ascii="Arial" w:hAnsi="Arial" w:cs="Arial"/>
                                <w:w w:val="86"/>
                                <w:sz w:val="14"/>
                                <w:szCs w:val="14"/>
                              </w:rPr>
                            </w:pPr>
                            <w:r>
                              <w:rPr>
                                <w:rFonts w:ascii="Arial" w:hAnsi="Arial" w:cs="Arial"/>
                                <w:w w:val="86"/>
                                <w:sz w:val="14"/>
                                <w:szCs w:val="14"/>
                              </w:rPr>
                              <w:t>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0649C" id="Proceso alternativo 48" o:spid="_x0000_s1058" type="#_x0000_t176" style="position:absolute;left:0;text-align:left;margin-left:284.3pt;margin-top:2.2pt;width:39.85pt;height:17.7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" filled="f" strokecolor="windowText" strokeweight=".5pt">
                <v:textbox>
                  <w:txbxContent>
                    <w:p w14:paraId="572984E1" w14:textId="77777777" w:rsidR="002C091C" w:rsidRDefault="002C091C" w:rsidP="00042BC8">
                      <w:pPr>
                        <w:ind w:left="-168" w:right="-177"/>
                        <w:jc w:val="center"/>
                        <w:rPr>
                          <w:rFonts w:ascii="Arial" w:hAnsi="Arial" w:cs="Arial"/>
                          <w:w w:val="86"/>
                          <w:sz w:val="14"/>
                          <w:szCs w:val="14"/>
                        </w:rPr>
                      </w:pPr>
                      <w:r>
                        <w:rPr>
                          <w:rFonts w:ascii="Arial" w:hAnsi="Arial" w:cs="Arial"/>
                          <w:w w:val="86"/>
                          <w:sz w:val="14"/>
                          <w:szCs w:val="14"/>
                        </w:rPr>
                        <w:t>INE</w:t>
                      </w:r>
                    </w:p>
                  </w:txbxContent>
                </v:textbox>
              </v:shape>
            </w:pict>
          </mc:Fallback>
        </mc:AlternateContent>
      </w:r>
      <w:r w:rsidR="00883DD1">
        <w:rPr>
          <w:noProof/>
        </w:rPr>
        <mc:AlternateContent>
          <mc:Choice Requires="wps">
            <w:drawing>
              <wp:anchor distT="0" distB="0" distL="114300" distR="114300" simplePos="0" relativeHeight="251763200" behindDoc="0" locked="0" layoutInCell="1" allowOverlap="1" wp14:anchorId="49F10425" wp14:editId="3E38DF5A">
                <wp:simplePos x="0" y="0"/>
                <wp:positionH relativeFrom="column">
                  <wp:posOffset>3610610</wp:posOffset>
                </wp:positionH>
                <wp:positionV relativeFrom="paragraph">
                  <wp:posOffset>955040</wp:posOffset>
                </wp:positionV>
                <wp:extent cx="477520" cy="282575"/>
                <wp:effectExtent l="0" t="0" r="17780" b="22225"/>
                <wp:wrapNone/>
                <wp:docPr id="38" name="Proceso alternativo 38"/>
                <wp:cNvGraphicFramePr/>
                <a:graphic xmlns:a="http://schemas.openxmlformats.org/drawingml/2006/main">
                  <a:graphicData uri="http://schemas.microsoft.com/office/word/2010/wordprocessingShape">
                    <wps:wsp>
                      <wps:cNvSpPr/>
                      <wps:spPr>
                        <a:xfrm>
                          <a:off x="0" y="0"/>
                          <a:ext cx="477520" cy="282575"/>
                        </a:xfrm>
                        <a:prstGeom prst="flowChartAlternateProcess">
                          <a:avLst/>
                        </a:prstGeom>
                        <a:noFill/>
                        <a:ln w="6350" cap="flat" cmpd="sng" algn="ctr">
                          <a:solidFill>
                            <a:sysClr val="windowText" lastClr="000000"/>
                          </a:solidFill>
                          <a:prstDash val="solid"/>
                        </a:ln>
                        <a:effectLst/>
                      </wps:spPr>
                      <wps:txbx>
                        <w:txbxContent>
                          <w:p w14:paraId="7AD63FF0" w14:textId="77777777" w:rsidR="002C091C" w:rsidRDefault="002C091C" w:rsidP="00925125">
                            <w:pPr>
                              <w:ind w:left="-168" w:right="-177"/>
                              <w:jc w:val="center"/>
                              <w:rPr>
                                <w:rFonts w:ascii="Arial" w:hAnsi="Arial" w:cs="Arial"/>
                                <w:w w:val="86"/>
                                <w:sz w:val="14"/>
                                <w:szCs w:val="14"/>
                              </w:rPr>
                            </w:pPr>
                            <w:r>
                              <w:rPr>
                                <w:rFonts w:ascii="Arial" w:hAnsi="Arial" w:cs="Arial"/>
                                <w:w w:val="86"/>
                                <w:sz w:val="14"/>
                                <w:szCs w:val="14"/>
                              </w:rPr>
                              <w:t>INJ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10425" id="Proceso alternativo 38" o:spid="_x0000_s1059" type="#_x0000_t176" style="position:absolute;left:0;text-align:left;margin-left:284.3pt;margin-top:75.2pt;width:37.6pt;height:22.2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" filled="f" strokecolor="windowText" strokeweight=".5pt">
                <v:textbox>
                  <w:txbxContent>
                    <w:p w14:paraId="7AD63FF0" w14:textId="77777777" w:rsidR="002C091C" w:rsidRDefault="002C091C" w:rsidP="00925125">
                      <w:pPr>
                        <w:ind w:left="-168" w:right="-177"/>
                        <w:jc w:val="center"/>
                        <w:rPr>
                          <w:rFonts w:ascii="Arial" w:hAnsi="Arial" w:cs="Arial"/>
                          <w:w w:val="86"/>
                          <w:sz w:val="14"/>
                          <w:szCs w:val="14"/>
                        </w:rPr>
                      </w:pPr>
                      <w:r>
                        <w:rPr>
                          <w:rFonts w:ascii="Arial" w:hAnsi="Arial" w:cs="Arial"/>
                          <w:w w:val="86"/>
                          <w:sz w:val="14"/>
                          <w:szCs w:val="14"/>
                        </w:rPr>
                        <w:t>INJ</w:t>
                      </w:r>
                    </w:p>
                  </w:txbxContent>
                </v:textbox>
              </v:shape>
            </w:pict>
          </mc:Fallback>
        </mc:AlternateContent>
      </w:r>
    </w:p>
    <w:p w14:paraId="385D21F5" w14:textId="77777777" w:rsidR="00614DC4" w:rsidRDefault="00614DC4" w:rsidP="00614DC4">
      <w:pPr>
        <w:pStyle w:val="texto"/>
      </w:pPr>
    </w:p>
    <w:p w14:paraId="67EC8EF7" w14:textId="77777777" w:rsidR="00614DC4" w:rsidRDefault="00A97A43" w:rsidP="00614DC4">
      <w:pPr>
        <w:pStyle w:val="texto"/>
      </w:pPr>
      <w:r>
        <w:rPr>
          <w:noProof/>
        </w:rPr>
        <mc:AlternateContent>
          <mc:Choice Requires="wps">
            <w:drawing>
              <wp:anchor distT="0" distB="0" distL="114300" distR="114300" simplePos="0" relativeHeight="251738624" behindDoc="0" locked="0" layoutInCell="1" allowOverlap="1" wp14:anchorId="26DD465B" wp14:editId="11E0CF8D">
                <wp:simplePos x="0" y="0"/>
                <wp:positionH relativeFrom="column">
                  <wp:posOffset>2391410</wp:posOffset>
                </wp:positionH>
                <wp:positionV relativeFrom="paragraph">
                  <wp:posOffset>115570</wp:posOffset>
                </wp:positionV>
                <wp:extent cx="1052195" cy="347345"/>
                <wp:effectExtent l="0" t="0" r="14605" b="14605"/>
                <wp:wrapNone/>
                <wp:docPr id="61" name="Proceso alternativo 61"/>
                <wp:cNvGraphicFramePr/>
                <a:graphic xmlns:a="http://schemas.openxmlformats.org/drawingml/2006/main">
                  <a:graphicData uri="http://schemas.microsoft.com/office/word/2010/wordprocessingShape">
                    <wps:wsp>
                      <wps:cNvSpPr/>
                      <wps:spPr>
                        <a:xfrm>
                          <a:off x="0" y="0"/>
                          <a:ext cx="1052195" cy="347345"/>
                        </a:xfrm>
                        <a:prstGeom prst="flowChartAlternateProcess">
                          <a:avLst/>
                        </a:prstGeom>
                        <a:noFill/>
                        <a:ln w="6350" cap="flat" cmpd="sng" algn="ctr">
                          <a:solidFill>
                            <a:sysClr val="windowText" lastClr="000000"/>
                          </a:solidFill>
                          <a:prstDash val="solid"/>
                        </a:ln>
                        <a:effectLst/>
                      </wps:spPr>
                      <wps:txbx>
                        <w:txbxContent>
                          <w:p w14:paraId="5E9AD379"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Universidad, Innovación y Transformación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D465B" id="Proceso alternativo 61" o:spid="_x0000_s1060" type="#_x0000_t176" style="position:absolute;left:0;text-align:left;margin-left:188.3pt;margin-top:9.1pt;width:82.85pt;height:27.3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" filled="f" strokecolor="windowText" strokeweight=".5pt">
                <v:textbox>
                  <w:txbxContent>
                    <w:p w14:paraId="5E9AD379"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Universidad, Innovación y Transformación Digital</w:t>
                      </w:r>
                    </w:p>
                  </w:txbxContent>
                </v:textbox>
              </v:shape>
            </w:pict>
          </mc:Fallback>
        </mc:AlternateContent>
      </w:r>
    </w:p>
    <w:p w14:paraId="793592A9" w14:textId="77777777" w:rsidR="00614DC4" w:rsidRDefault="00EB622E" w:rsidP="00614DC4">
      <w:pPr>
        <w:pStyle w:val="texto"/>
      </w:pPr>
      <w:r>
        <w:rPr>
          <w:noProof/>
        </w:rPr>
        <mc:AlternateContent>
          <mc:Choice Requires="wps">
            <w:drawing>
              <wp:anchor distT="0" distB="0" distL="114300" distR="114300" simplePos="0" relativeHeight="251813376" behindDoc="0" locked="0" layoutInCell="1" allowOverlap="1" wp14:anchorId="78871A6D" wp14:editId="720DCF5D">
                <wp:simplePos x="0" y="0"/>
                <wp:positionH relativeFrom="column">
                  <wp:posOffset>2255431</wp:posOffset>
                </wp:positionH>
                <wp:positionV relativeFrom="paragraph">
                  <wp:posOffset>120364</wp:posOffset>
                </wp:positionV>
                <wp:extent cx="135335" cy="0"/>
                <wp:effectExtent l="0" t="0" r="36195" b="19050"/>
                <wp:wrapNone/>
                <wp:docPr id="87" name="Conector recto 87"/>
                <wp:cNvGraphicFramePr/>
                <a:graphic xmlns:a="http://schemas.openxmlformats.org/drawingml/2006/main">
                  <a:graphicData uri="http://schemas.microsoft.com/office/word/2010/wordprocessingShape">
                    <wps:wsp>
                      <wps:cNvCnPr/>
                      <wps:spPr>
                        <a:xfrm>
                          <a:off x="0" y="0"/>
                          <a:ext cx="135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7130F0" id="Conector recto 87" o:spid="_x0000_s1026" style="position:absolute;z-index:251813376;visibility:visible;mso-wrap-style:square;mso-wrap-distance-left:9pt;mso-wrap-distance-top:0;mso-wrap-distance-right:9pt;mso-wrap-distance-bottom:0;mso-position-horizontal:absolute;mso-position-horizontal-relative:text;mso-position-vertical:absolute;mso-position-vertical-relative:text" from="177.6pt,9.5pt" to="188.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" strokecolor="black [3040]"/>
            </w:pict>
          </mc:Fallback>
        </mc:AlternateContent>
      </w:r>
    </w:p>
    <w:p w14:paraId="1748640B" w14:textId="77777777" w:rsidR="00614DC4" w:rsidRDefault="00614DC4" w:rsidP="00614DC4">
      <w:pPr>
        <w:pStyle w:val="texto"/>
      </w:pPr>
    </w:p>
    <w:p w14:paraId="4F32BD35" w14:textId="77777777" w:rsidR="00614DC4" w:rsidRDefault="00EB622E" w:rsidP="00614DC4">
      <w:pPr>
        <w:pStyle w:val="texto"/>
      </w:pPr>
      <w:r>
        <w:rPr>
          <w:noProof/>
        </w:rPr>
        <mc:AlternateContent>
          <mc:Choice Requires="wps">
            <w:drawing>
              <wp:anchor distT="0" distB="0" distL="114300" distR="114300" simplePos="0" relativeHeight="251814400" behindDoc="0" locked="0" layoutInCell="1" allowOverlap="1" wp14:anchorId="16D92816" wp14:editId="23E38CDD">
                <wp:simplePos x="0" y="0"/>
                <wp:positionH relativeFrom="column">
                  <wp:posOffset>2255431</wp:posOffset>
                </wp:positionH>
                <wp:positionV relativeFrom="paragraph">
                  <wp:posOffset>114121</wp:posOffset>
                </wp:positionV>
                <wp:extent cx="135335" cy="0"/>
                <wp:effectExtent l="0" t="0" r="36195" b="19050"/>
                <wp:wrapNone/>
                <wp:docPr id="88" name="Conector recto 88"/>
                <wp:cNvGraphicFramePr/>
                <a:graphic xmlns:a="http://schemas.openxmlformats.org/drawingml/2006/main">
                  <a:graphicData uri="http://schemas.microsoft.com/office/word/2010/wordprocessingShape">
                    <wps:wsp>
                      <wps:cNvCnPr/>
                      <wps:spPr>
                        <a:xfrm>
                          <a:off x="0" y="0"/>
                          <a:ext cx="135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510481" id="Conector recto 88" o:spid="_x0000_s1026" style="position:absolute;z-index:251814400;visibility:visible;mso-wrap-style:square;mso-wrap-distance-left:9pt;mso-wrap-distance-top:0;mso-wrap-distance-right:9pt;mso-wrap-distance-bottom:0;mso-position-horizontal:absolute;mso-position-horizontal-relative:text;mso-position-vertical:absolute;mso-position-vertical-relative:text" from="177.6pt,9pt" to="188.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" strokecolor="black [3040]"/>
            </w:pict>
          </mc:Fallback>
        </mc:AlternateContent>
      </w:r>
      <w:r w:rsidR="00941C7B">
        <w:rPr>
          <w:noProof/>
        </w:rPr>
        <mc:AlternateContent>
          <mc:Choice Requires="wps">
            <w:drawing>
              <wp:anchor distT="0" distB="0" distL="114300" distR="114300" simplePos="0" relativeHeight="251792896" behindDoc="0" locked="0" layoutInCell="1" allowOverlap="1" wp14:anchorId="6B9FCEF4" wp14:editId="6CD34A38">
                <wp:simplePos x="0" y="0"/>
                <wp:positionH relativeFrom="column">
                  <wp:posOffset>3449513</wp:posOffset>
                </wp:positionH>
                <wp:positionV relativeFrom="paragraph">
                  <wp:posOffset>176696</wp:posOffset>
                </wp:positionV>
                <wp:extent cx="160959" cy="0"/>
                <wp:effectExtent l="0" t="0" r="29845" b="19050"/>
                <wp:wrapNone/>
                <wp:docPr id="72" name="Conector recto 72"/>
                <wp:cNvGraphicFramePr/>
                <a:graphic xmlns:a="http://schemas.openxmlformats.org/drawingml/2006/main">
                  <a:graphicData uri="http://schemas.microsoft.com/office/word/2010/wordprocessingShape">
                    <wps:wsp>
                      <wps:cNvCnPr/>
                      <wps:spPr>
                        <a:xfrm>
                          <a:off x="0" y="0"/>
                          <a:ext cx="160959"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332097" id="Conector recto 72" o:spid="_x0000_s1026" style="position:absolute;z-index:251792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6pt,13.9pt" to="284.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" strokecolor="black [3040]" strokeweight=".5pt"/>
            </w:pict>
          </mc:Fallback>
        </mc:AlternateContent>
      </w:r>
    </w:p>
    <w:p w14:paraId="68917178" w14:textId="77777777" w:rsidR="00614DC4" w:rsidRDefault="00614DC4" w:rsidP="00614DC4">
      <w:pPr>
        <w:pStyle w:val="texto"/>
      </w:pPr>
    </w:p>
    <w:p w14:paraId="2EBAF2EB" w14:textId="77777777" w:rsidR="00614DC4" w:rsidRDefault="00EB622E" w:rsidP="00614DC4">
      <w:pPr>
        <w:pStyle w:val="texto"/>
      </w:pPr>
      <w:r>
        <w:rPr>
          <w:noProof/>
        </w:rPr>
        <mc:AlternateContent>
          <mc:Choice Requires="wps">
            <w:drawing>
              <wp:anchor distT="0" distB="0" distL="114300" distR="114300" simplePos="0" relativeHeight="251817472" behindDoc="0" locked="0" layoutInCell="1" allowOverlap="1" wp14:anchorId="00D32F9F" wp14:editId="40D6A22E">
                <wp:simplePos x="0" y="0"/>
                <wp:positionH relativeFrom="column">
                  <wp:posOffset>2255431</wp:posOffset>
                </wp:positionH>
                <wp:positionV relativeFrom="paragraph">
                  <wp:posOffset>88560</wp:posOffset>
                </wp:positionV>
                <wp:extent cx="135335" cy="0"/>
                <wp:effectExtent l="0" t="0" r="36195" b="19050"/>
                <wp:wrapNone/>
                <wp:docPr id="93" name="Conector recto 93"/>
                <wp:cNvGraphicFramePr/>
                <a:graphic xmlns:a="http://schemas.openxmlformats.org/drawingml/2006/main">
                  <a:graphicData uri="http://schemas.microsoft.com/office/word/2010/wordprocessingShape">
                    <wps:wsp>
                      <wps:cNvCnPr/>
                      <wps:spPr>
                        <a:xfrm>
                          <a:off x="0" y="0"/>
                          <a:ext cx="135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6BF171" id="Conector recto 93" o:spid="_x0000_s1026" style="position:absolute;z-index:251817472;visibility:visible;mso-wrap-style:square;mso-wrap-distance-left:9pt;mso-wrap-distance-top:0;mso-wrap-distance-right:9pt;mso-wrap-distance-bottom:0;mso-position-horizontal:absolute;mso-position-horizontal-relative:text;mso-position-vertical:absolute;mso-position-vertical-relative:text" from="177.6pt,6.95pt" to="188.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" strokecolor="black [3040]"/>
            </w:pict>
          </mc:Fallback>
        </mc:AlternateContent>
      </w:r>
      <w:r w:rsidR="00883DD1" w:rsidRPr="004A12BF">
        <w:rPr>
          <w:noProof/>
        </w:rPr>
        <mc:AlternateContent>
          <mc:Choice Requires="wps">
            <w:drawing>
              <wp:anchor distT="0" distB="0" distL="114300" distR="114300" simplePos="0" relativeHeight="251733504" behindDoc="0" locked="0" layoutInCell="1" allowOverlap="1" wp14:anchorId="05189A21" wp14:editId="1BDD93A5">
                <wp:simplePos x="0" y="0"/>
                <wp:positionH relativeFrom="column">
                  <wp:posOffset>5493159</wp:posOffset>
                </wp:positionH>
                <wp:positionV relativeFrom="paragraph">
                  <wp:posOffset>36879</wp:posOffset>
                </wp:positionV>
                <wp:extent cx="316892" cy="0"/>
                <wp:effectExtent l="0" t="0" r="26035" b="19050"/>
                <wp:wrapNone/>
                <wp:docPr id="22" name="Conector recto 22"/>
                <wp:cNvGraphicFramePr/>
                <a:graphic xmlns:a="http://schemas.openxmlformats.org/drawingml/2006/main">
                  <a:graphicData uri="http://schemas.microsoft.com/office/word/2010/wordprocessingShape">
                    <wps:wsp>
                      <wps:cNvCnPr/>
                      <wps:spPr>
                        <a:xfrm flipH="1">
                          <a:off x="0" y="0"/>
                          <a:ext cx="31689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F9CD89" id="Conector recto 22" o:spid="_x0000_s1026" style="position:absolute;flip:x;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5pt,2.9pt" to="45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" strokecolor="windowText" strokeweight=".5pt"/>
            </w:pict>
          </mc:Fallback>
        </mc:AlternateContent>
      </w:r>
    </w:p>
    <w:p w14:paraId="5505F18B" w14:textId="77777777" w:rsidR="00286F49" w:rsidRDefault="00883DD1" w:rsidP="00614DC4">
      <w:pPr>
        <w:pStyle w:val="texto"/>
      </w:pPr>
      <w:r w:rsidRPr="004A12BF">
        <w:rPr>
          <w:noProof/>
        </w:rPr>
        <mc:AlternateContent>
          <mc:Choice Requires="wps">
            <w:drawing>
              <wp:anchor distT="0" distB="0" distL="114300" distR="114300" simplePos="0" relativeHeight="251708928" behindDoc="0" locked="0" layoutInCell="1" allowOverlap="1" wp14:anchorId="1E75E880" wp14:editId="2C653BE3">
                <wp:simplePos x="0" y="0"/>
                <wp:positionH relativeFrom="column">
                  <wp:posOffset>3197722</wp:posOffset>
                </wp:positionH>
                <wp:positionV relativeFrom="paragraph">
                  <wp:posOffset>117309</wp:posOffset>
                </wp:positionV>
                <wp:extent cx="414130" cy="90805"/>
                <wp:effectExtent l="0" t="0" r="24130" b="23495"/>
                <wp:wrapNone/>
                <wp:docPr id="90" name="Conector recto 90"/>
                <wp:cNvGraphicFramePr/>
                <a:graphic xmlns:a="http://schemas.openxmlformats.org/drawingml/2006/main">
                  <a:graphicData uri="http://schemas.microsoft.com/office/word/2010/wordprocessingShape">
                    <wps:wsp>
                      <wps:cNvCnPr/>
                      <wps:spPr>
                        <a:xfrm flipH="1">
                          <a:off x="0" y="0"/>
                          <a:ext cx="414130" cy="9080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1AD846" id="Conector recto 90" o:spid="_x0000_s1026" style="position:absolute;flip:x;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8pt,9.25pt" to="284.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" strokecolor="windowText" strokeweight=".5pt"/>
            </w:pict>
          </mc:Fallback>
        </mc:AlternateContent>
      </w:r>
      <w:r w:rsidR="002956B5" w:rsidRPr="004A12BF">
        <w:rPr>
          <w:noProof/>
        </w:rPr>
        <mc:AlternateContent>
          <mc:Choice Requires="wps">
            <w:drawing>
              <wp:anchor distT="0" distB="0" distL="114300" distR="114300" simplePos="0" relativeHeight="251677184" behindDoc="0" locked="0" layoutInCell="1" allowOverlap="1" wp14:anchorId="42B72E95" wp14:editId="0882F009">
                <wp:simplePos x="0" y="0"/>
                <wp:positionH relativeFrom="column">
                  <wp:posOffset>2393314</wp:posOffset>
                </wp:positionH>
                <wp:positionV relativeFrom="paragraph">
                  <wp:posOffset>130429</wp:posOffset>
                </wp:positionV>
                <wp:extent cx="805815" cy="250190"/>
                <wp:effectExtent l="0" t="0" r="13335" b="16510"/>
                <wp:wrapNone/>
                <wp:docPr id="28" name="Proceso alternativo 28"/>
                <wp:cNvGraphicFramePr/>
                <a:graphic xmlns:a="http://schemas.openxmlformats.org/drawingml/2006/main">
                  <a:graphicData uri="http://schemas.microsoft.com/office/word/2010/wordprocessingShape">
                    <wps:wsp>
                      <wps:cNvSpPr/>
                      <wps:spPr>
                        <a:xfrm>
                          <a:off x="0" y="0"/>
                          <a:ext cx="805815" cy="250190"/>
                        </a:xfrm>
                        <a:prstGeom prst="flowChartAlternateProcess">
                          <a:avLst/>
                        </a:prstGeom>
                        <a:noFill/>
                        <a:ln w="6350" cap="flat" cmpd="sng" algn="ctr">
                          <a:solidFill>
                            <a:sysClr val="windowText" lastClr="000000"/>
                          </a:solidFill>
                          <a:prstDash val="solid"/>
                        </a:ln>
                        <a:effectLst/>
                      </wps:spPr>
                      <wps:txbx>
                        <w:txbxContent>
                          <w:p w14:paraId="12A60B08"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Salud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72E95" id="Proceso alternativo 28" o:spid="_x0000_s1061" type="#_x0000_t176" style="position:absolute;left:0;text-align:left;margin-left:188.45pt;margin-top:10.25pt;width:63.45pt;height:19.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" filled="f" strokecolor="windowText" strokeweight=".5pt">
                <v:textbox>
                  <w:txbxContent>
                    <w:p w14:paraId="12A60B08"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Salud</w:t>
                      </w:r>
                    </w:p>
                  </w:txbxContent>
                </v:textbox>
              </v:shape>
            </w:pict>
          </mc:Fallback>
        </mc:AlternateContent>
      </w:r>
    </w:p>
    <w:p w14:paraId="601048F8" w14:textId="77777777" w:rsidR="00286F49" w:rsidRDefault="00EB622E" w:rsidP="00614DC4">
      <w:pPr>
        <w:pStyle w:val="texto"/>
      </w:pPr>
      <w:r>
        <w:rPr>
          <w:noProof/>
        </w:rPr>
        <mc:AlternateContent>
          <mc:Choice Requires="wps">
            <w:drawing>
              <wp:anchor distT="0" distB="0" distL="114300" distR="114300" simplePos="0" relativeHeight="251809280" behindDoc="0" locked="0" layoutInCell="1" allowOverlap="1" wp14:anchorId="223F3DF2" wp14:editId="6F383AFD">
                <wp:simplePos x="0" y="0"/>
                <wp:positionH relativeFrom="column">
                  <wp:posOffset>2255431</wp:posOffset>
                </wp:positionH>
                <wp:positionV relativeFrom="paragraph">
                  <wp:posOffset>69439</wp:posOffset>
                </wp:positionV>
                <wp:extent cx="135335" cy="0"/>
                <wp:effectExtent l="0" t="0" r="36195" b="19050"/>
                <wp:wrapNone/>
                <wp:docPr id="83" name="Conector recto 83"/>
                <wp:cNvGraphicFramePr/>
                <a:graphic xmlns:a="http://schemas.openxmlformats.org/drawingml/2006/main">
                  <a:graphicData uri="http://schemas.microsoft.com/office/word/2010/wordprocessingShape">
                    <wps:wsp>
                      <wps:cNvCnPr/>
                      <wps:spPr>
                        <a:xfrm>
                          <a:off x="0" y="0"/>
                          <a:ext cx="135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ED1DA9" id="Conector recto 83" o:spid="_x0000_s1026" style="position:absolute;z-index:251809280;visibility:visible;mso-wrap-style:square;mso-wrap-distance-left:9pt;mso-wrap-distance-top:0;mso-wrap-distance-right:9pt;mso-wrap-distance-bottom:0;mso-position-horizontal:absolute;mso-position-horizontal-relative:text;mso-position-vertical:absolute;mso-position-vertical-relative:text" from="177.6pt,5.45pt" to="188.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" strokecolor="black [3040]"/>
            </w:pict>
          </mc:Fallback>
        </mc:AlternateContent>
      </w:r>
      <w:r w:rsidR="002956B5" w:rsidRPr="004A12BF">
        <w:rPr>
          <w:noProof/>
        </w:rPr>
        <mc:AlternateContent>
          <mc:Choice Requires="wps">
            <w:drawing>
              <wp:anchor distT="0" distB="0" distL="114300" distR="114300" simplePos="0" relativeHeight="251709952" behindDoc="0" locked="0" layoutInCell="1" allowOverlap="1" wp14:anchorId="5B3BE017" wp14:editId="2310A6A7">
                <wp:simplePos x="0" y="0"/>
                <wp:positionH relativeFrom="column">
                  <wp:posOffset>3199130</wp:posOffset>
                </wp:positionH>
                <wp:positionV relativeFrom="paragraph">
                  <wp:posOffset>68580</wp:posOffset>
                </wp:positionV>
                <wp:extent cx="420370" cy="178562"/>
                <wp:effectExtent l="0" t="0" r="17780" b="31115"/>
                <wp:wrapNone/>
                <wp:docPr id="91" name="Conector recto 91"/>
                <wp:cNvGraphicFramePr/>
                <a:graphic xmlns:a="http://schemas.openxmlformats.org/drawingml/2006/main">
                  <a:graphicData uri="http://schemas.microsoft.com/office/word/2010/wordprocessingShape">
                    <wps:wsp>
                      <wps:cNvCnPr/>
                      <wps:spPr>
                        <a:xfrm flipH="1" flipV="1">
                          <a:off x="0" y="0"/>
                          <a:ext cx="420370" cy="178562"/>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3C9C04" id="Conector recto 91" o:spid="_x0000_s1026" style="position:absolute;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9pt,5.4pt" to="28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" strokecolor="windowText" strokeweight=".5pt"/>
            </w:pict>
          </mc:Fallback>
        </mc:AlternateContent>
      </w:r>
    </w:p>
    <w:p w14:paraId="6BCC4C60" w14:textId="77777777" w:rsidR="00286F49" w:rsidRDefault="00867CCB" w:rsidP="00614DC4">
      <w:pPr>
        <w:pStyle w:val="texto"/>
      </w:pPr>
      <w:r w:rsidRPr="009A38AE">
        <w:rPr>
          <w:noProof/>
          <w:color w:val="FF0000"/>
        </w:rPr>
        <mc:AlternateContent>
          <mc:Choice Requires="wps">
            <w:drawing>
              <wp:anchor distT="0" distB="0" distL="114300" distR="114300" simplePos="0" relativeHeight="251749888" behindDoc="0" locked="0" layoutInCell="1" allowOverlap="1" wp14:anchorId="50D61568" wp14:editId="40000E39">
                <wp:simplePos x="0" y="0"/>
                <wp:positionH relativeFrom="column">
                  <wp:posOffset>5493159</wp:posOffset>
                </wp:positionH>
                <wp:positionV relativeFrom="paragraph">
                  <wp:posOffset>81784</wp:posOffset>
                </wp:positionV>
                <wp:extent cx="316892" cy="0"/>
                <wp:effectExtent l="0" t="0" r="26035" b="19050"/>
                <wp:wrapNone/>
                <wp:docPr id="8" name="Conector recto 8"/>
                <wp:cNvGraphicFramePr/>
                <a:graphic xmlns:a="http://schemas.openxmlformats.org/drawingml/2006/main">
                  <a:graphicData uri="http://schemas.microsoft.com/office/word/2010/wordprocessingShape">
                    <wps:wsp>
                      <wps:cNvCnPr/>
                      <wps:spPr>
                        <a:xfrm flipH="1" flipV="1">
                          <a:off x="0" y="0"/>
                          <a:ext cx="31689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4D704B" id="Conector recto 8" o:spid="_x0000_s1026" style="position:absolute;flip:x y;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5pt,6.45pt" to="45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" strokecolor="windowText" strokeweight=".5pt"/>
            </w:pict>
          </mc:Fallback>
        </mc:AlternateContent>
      </w:r>
      <w:r w:rsidR="00286F49">
        <w:rPr>
          <w:noProof/>
        </w:rPr>
        <mc:AlternateContent>
          <mc:Choice Requires="wps">
            <w:drawing>
              <wp:anchor distT="0" distB="0" distL="114300" distR="114300" simplePos="0" relativeHeight="251678208" behindDoc="0" locked="0" layoutInCell="1" allowOverlap="1" wp14:anchorId="5D2E7992" wp14:editId="5AFAC036">
                <wp:simplePos x="0" y="0"/>
                <wp:positionH relativeFrom="column">
                  <wp:posOffset>2391410</wp:posOffset>
                </wp:positionH>
                <wp:positionV relativeFrom="paragraph">
                  <wp:posOffset>168910</wp:posOffset>
                </wp:positionV>
                <wp:extent cx="841248" cy="314553"/>
                <wp:effectExtent l="0" t="0" r="16510" b="28575"/>
                <wp:wrapNone/>
                <wp:docPr id="30" name="Proceso alternativo 30"/>
                <wp:cNvGraphicFramePr/>
                <a:graphic xmlns:a="http://schemas.openxmlformats.org/drawingml/2006/main">
                  <a:graphicData uri="http://schemas.microsoft.com/office/word/2010/wordprocessingShape">
                    <wps:wsp>
                      <wps:cNvSpPr/>
                      <wps:spPr>
                        <a:xfrm>
                          <a:off x="0" y="0"/>
                          <a:ext cx="841248" cy="314553"/>
                        </a:xfrm>
                        <a:prstGeom prst="flowChartAlternateProcess">
                          <a:avLst/>
                        </a:prstGeom>
                        <a:noFill/>
                        <a:ln w="6350" cap="flat" cmpd="sng" algn="ctr">
                          <a:solidFill>
                            <a:sysClr val="windowText" lastClr="000000"/>
                          </a:solidFill>
                          <a:prstDash val="solid"/>
                        </a:ln>
                        <a:effectLst/>
                      </wps:spPr>
                      <wps:txbx>
                        <w:txbxContent>
                          <w:p w14:paraId="712B16DB"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Cultura, Deporte y</w:t>
                            </w:r>
                          </w:p>
                          <w:p w14:paraId="1D18B1A4"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Turismo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E7992" id="Proceso alternativo 30" o:spid="_x0000_s1062" type="#_x0000_t176" style="position:absolute;left:0;text-align:left;margin-left:188.3pt;margin-top:13.3pt;width:66.25pt;height:24.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" filled="f" strokecolor="windowText" strokeweight=".5pt">
                <v:textbox>
                  <w:txbxContent>
                    <w:p w14:paraId="712B16DB"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Cultura, Deporte y</w:t>
                      </w:r>
                    </w:p>
                    <w:p w14:paraId="1D18B1A4"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Turismo</w:t>
                      </w:r>
                    </w:p>
                  </w:txbxContent>
                </v:textbox>
              </v:shape>
            </w:pict>
          </mc:Fallback>
        </mc:AlternateContent>
      </w:r>
    </w:p>
    <w:p w14:paraId="179AE980" w14:textId="77777777" w:rsidR="00286F49" w:rsidRDefault="00EB622E" w:rsidP="00614DC4">
      <w:pPr>
        <w:pStyle w:val="texto"/>
      </w:pPr>
      <w:r>
        <w:rPr>
          <w:noProof/>
        </w:rPr>
        <mc:AlternateContent>
          <mc:Choice Requires="wps">
            <w:drawing>
              <wp:anchor distT="0" distB="0" distL="114300" distR="114300" simplePos="0" relativeHeight="251810304" behindDoc="0" locked="0" layoutInCell="1" allowOverlap="1" wp14:anchorId="60ACC037" wp14:editId="5E56EDB2">
                <wp:simplePos x="0" y="0"/>
                <wp:positionH relativeFrom="column">
                  <wp:posOffset>2255431</wp:posOffset>
                </wp:positionH>
                <wp:positionV relativeFrom="paragraph">
                  <wp:posOffset>172666</wp:posOffset>
                </wp:positionV>
                <wp:extent cx="135335" cy="0"/>
                <wp:effectExtent l="0" t="0" r="36195" b="19050"/>
                <wp:wrapNone/>
                <wp:docPr id="84" name="Conector recto 84"/>
                <wp:cNvGraphicFramePr/>
                <a:graphic xmlns:a="http://schemas.openxmlformats.org/drawingml/2006/main">
                  <a:graphicData uri="http://schemas.microsoft.com/office/word/2010/wordprocessingShape">
                    <wps:wsp>
                      <wps:cNvCnPr/>
                      <wps:spPr>
                        <a:xfrm>
                          <a:off x="0" y="0"/>
                          <a:ext cx="135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D7C875" id="Conector recto 84" o:spid="_x0000_s1026" style="position:absolute;z-index:251810304;visibility:visible;mso-wrap-style:square;mso-wrap-distance-left:9pt;mso-wrap-distance-top:0;mso-wrap-distance-right:9pt;mso-wrap-distance-bottom:0;mso-position-horizontal:absolute;mso-position-horizontal-relative:text;mso-position-vertical:absolute;mso-position-vertical-relative:text" from="177.6pt,13.6pt" to="188.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" strokecolor="black [3040]"/>
            </w:pict>
          </mc:Fallback>
        </mc:AlternateContent>
      </w:r>
      <w:r w:rsidR="00362CF4">
        <w:rPr>
          <w:noProof/>
        </w:rPr>
        <mc:AlternateContent>
          <mc:Choice Requires="wps">
            <w:drawing>
              <wp:anchor distT="0" distB="0" distL="114300" distR="114300" simplePos="0" relativeHeight="251775488" behindDoc="0" locked="0" layoutInCell="1" allowOverlap="1" wp14:anchorId="47E9BF33" wp14:editId="6D58D2D4">
                <wp:simplePos x="0" y="0"/>
                <wp:positionH relativeFrom="column">
                  <wp:posOffset>3232957</wp:posOffset>
                </wp:positionH>
                <wp:positionV relativeFrom="paragraph">
                  <wp:posOffset>170969</wp:posOffset>
                </wp:positionV>
                <wp:extent cx="376881" cy="0"/>
                <wp:effectExtent l="0" t="0" r="23495" b="19050"/>
                <wp:wrapNone/>
                <wp:docPr id="94" name="Conector recto 94"/>
                <wp:cNvGraphicFramePr/>
                <a:graphic xmlns:a="http://schemas.openxmlformats.org/drawingml/2006/main">
                  <a:graphicData uri="http://schemas.microsoft.com/office/word/2010/wordprocessingShape">
                    <wps:wsp>
                      <wps:cNvCnPr/>
                      <wps:spPr>
                        <a:xfrm>
                          <a:off x="0" y="0"/>
                          <a:ext cx="376881"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C3E90" id="Conector recto 94" o:spid="_x0000_s1026" style="position:absolute;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55pt,13.45pt" to="284.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" strokecolor="black [3040]" strokeweight=".5pt"/>
            </w:pict>
          </mc:Fallback>
        </mc:AlternateContent>
      </w:r>
      <w:r w:rsidR="00362CF4" w:rsidRPr="009A38AE">
        <w:rPr>
          <w:noProof/>
          <w:color w:val="FF0000"/>
        </w:rPr>
        <mc:AlternateContent>
          <mc:Choice Requires="wps">
            <w:drawing>
              <wp:anchor distT="0" distB="0" distL="114300" distR="114300" simplePos="0" relativeHeight="251748864" behindDoc="0" locked="0" layoutInCell="1" allowOverlap="1" wp14:anchorId="039CFDEA" wp14:editId="38C5A6E4">
                <wp:simplePos x="0" y="0"/>
                <wp:positionH relativeFrom="column">
                  <wp:posOffset>3610610</wp:posOffset>
                </wp:positionH>
                <wp:positionV relativeFrom="paragraph">
                  <wp:posOffset>45720</wp:posOffset>
                </wp:positionV>
                <wp:extent cx="506095" cy="225425"/>
                <wp:effectExtent l="0" t="0" r="27305" b="22225"/>
                <wp:wrapNone/>
                <wp:docPr id="74" name="Proceso alternativo 74"/>
                <wp:cNvGraphicFramePr/>
                <a:graphic xmlns:a="http://schemas.openxmlformats.org/drawingml/2006/main">
                  <a:graphicData uri="http://schemas.microsoft.com/office/word/2010/wordprocessingShape">
                    <wps:wsp>
                      <wps:cNvSpPr/>
                      <wps:spPr>
                        <a:xfrm>
                          <a:off x="0" y="0"/>
                          <a:ext cx="506095" cy="225425"/>
                        </a:xfrm>
                        <a:prstGeom prst="flowChartAlternateProcess">
                          <a:avLst/>
                        </a:prstGeom>
                        <a:noFill/>
                        <a:ln w="6350" cap="flat" cmpd="sng" algn="ctr">
                          <a:solidFill>
                            <a:sysClr val="windowText" lastClr="000000"/>
                          </a:solidFill>
                          <a:prstDash val="solid"/>
                        </a:ln>
                        <a:effectLst/>
                      </wps:spPr>
                      <wps:txbx>
                        <w:txbxContent>
                          <w:p w14:paraId="26A03BCE"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IND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CFDEA" id="Proceso alternativo 74" o:spid="_x0000_s1063" type="#_x0000_t176" style="position:absolute;left:0;text-align:left;margin-left:284.3pt;margin-top:3.6pt;width:39.85pt;height:17.7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" filled="f" strokecolor="windowText" strokeweight=".5pt">
                <v:textbox>
                  <w:txbxContent>
                    <w:p w14:paraId="26A03BCE"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IND</w:t>
                      </w:r>
                    </w:p>
                  </w:txbxContent>
                </v:textbox>
              </v:shape>
            </w:pict>
          </mc:Fallback>
        </mc:AlternateContent>
      </w:r>
    </w:p>
    <w:p w14:paraId="2CFC9942" w14:textId="77777777" w:rsidR="00286F49" w:rsidRDefault="00042BC8" w:rsidP="00614DC4">
      <w:pPr>
        <w:pStyle w:val="texto"/>
      </w:pPr>
      <w:r w:rsidRPr="00AE2379">
        <w:rPr>
          <w:noProof/>
        </w:rPr>
        <mc:AlternateContent>
          <mc:Choice Requires="wps">
            <w:drawing>
              <wp:anchor distT="0" distB="0" distL="114300" distR="114300" simplePos="0" relativeHeight="251785728" behindDoc="0" locked="0" layoutInCell="1" allowOverlap="1" wp14:anchorId="11A04B1A" wp14:editId="4D6DE8DB">
                <wp:simplePos x="0" y="0"/>
                <wp:positionH relativeFrom="column">
                  <wp:posOffset>4725035</wp:posOffset>
                </wp:positionH>
                <wp:positionV relativeFrom="paragraph">
                  <wp:posOffset>74295</wp:posOffset>
                </wp:positionV>
                <wp:extent cx="723900" cy="238125"/>
                <wp:effectExtent l="0" t="0" r="19050" b="28575"/>
                <wp:wrapNone/>
                <wp:docPr id="53" name="Proceso alternativo 53"/>
                <wp:cNvGraphicFramePr/>
                <a:graphic xmlns:a="http://schemas.openxmlformats.org/drawingml/2006/main">
                  <a:graphicData uri="http://schemas.microsoft.com/office/word/2010/wordprocessingShape">
                    <wps:wsp>
                      <wps:cNvSpPr/>
                      <wps:spPr>
                        <a:xfrm>
                          <a:off x="0" y="0"/>
                          <a:ext cx="723900" cy="238125"/>
                        </a:xfrm>
                        <a:prstGeom prst="flowChartAlternateProcess">
                          <a:avLst/>
                        </a:prstGeom>
                        <a:noFill/>
                        <a:ln w="6350" cap="flat" cmpd="sng" algn="ctr">
                          <a:solidFill>
                            <a:sysClr val="windowText" lastClr="000000"/>
                          </a:solidFill>
                          <a:prstDash val="solid"/>
                        </a:ln>
                        <a:effectLst/>
                      </wps:spPr>
                      <wps:txbx>
                        <w:txbxContent>
                          <w:p w14:paraId="19C77FC4" w14:textId="77777777" w:rsidR="002C091C" w:rsidRPr="00042BC8" w:rsidRDefault="002C091C" w:rsidP="00042BC8">
                            <w:pPr>
                              <w:ind w:left="-168" w:right="-177"/>
                              <w:jc w:val="center"/>
                              <w:rPr>
                                <w:rFonts w:ascii="Arial" w:hAnsi="Arial" w:cs="Arial"/>
                                <w:w w:val="86"/>
                                <w:sz w:val="14"/>
                                <w:szCs w:val="14"/>
                                <w:lang w:val="es-ES_tradnl"/>
                              </w:rPr>
                            </w:pPr>
                            <w:r>
                              <w:rPr>
                                <w:rFonts w:ascii="Arial" w:hAnsi="Arial" w:cs="Arial"/>
                                <w:w w:val="86"/>
                                <w:sz w:val="14"/>
                                <w:szCs w:val="14"/>
                                <w:lang w:val="es-ES_tradnl"/>
                              </w:rPr>
                              <w:t>CENER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04B1A" id="Proceso alternativo 53" o:spid="_x0000_s1064" type="#_x0000_t176" style="position:absolute;left:0;text-align:left;margin-left:372.05pt;margin-top:5.85pt;width:57pt;height:18.7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" filled="f" strokecolor="windowText" strokeweight=".5pt">
                <v:textbox>
                  <w:txbxContent>
                    <w:p w14:paraId="19C77FC4" w14:textId="77777777" w:rsidR="002C091C" w:rsidRPr="00042BC8" w:rsidRDefault="002C091C" w:rsidP="00042BC8">
                      <w:pPr>
                        <w:ind w:left="-168" w:right="-177"/>
                        <w:jc w:val="center"/>
                        <w:rPr>
                          <w:rFonts w:ascii="Arial" w:hAnsi="Arial" w:cs="Arial"/>
                          <w:w w:val="86"/>
                          <w:sz w:val="14"/>
                          <w:szCs w:val="14"/>
                          <w:lang w:val="es-ES_tradnl"/>
                        </w:rPr>
                      </w:pPr>
                      <w:r>
                        <w:rPr>
                          <w:rFonts w:ascii="Arial" w:hAnsi="Arial" w:cs="Arial"/>
                          <w:w w:val="86"/>
                          <w:sz w:val="14"/>
                          <w:szCs w:val="14"/>
                          <w:lang w:val="es-ES_tradnl"/>
                        </w:rPr>
                        <w:t>CENER</w:t>
                      </w:r>
                    </w:p>
                  </w:txbxContent>
                </v:textbox>
              </v:shape>
            </w:pict>
          </mc:Fallback>
        </mc:AlternateContent>
      </w:r>
      <w:r w:rsidR="00867CCB">
        <w:rPr>
          <w:noProof/>
        </w:rPr>
        <mc:AlternateContent>
          <mc:Choice Requires="wps">
            <w:drawing>
              <wp:anchor distT="0" distB="0" distL="114300" distR="114300" simplePos="0" relativeHeight="251680256" behindDoc="0" locked="0" layoutInCell="1" allowOverlap="1" wp14:anchorId="0C8AED2F" wp14:editId="48B9CC76">
                <wp:simplePos x="0" y="0"/>
                <wp:positionH relativeFrom="column">
                  <wp:posOffset>2391410</wp:posOffset>
                </wp:positionH>
                <wp:positionV relativeFrom="paragraph">
                  <wp:posOffset>160655</wp:posOffset>
                </wp:positionV>
                <wp:extent cx="806399" cy="446228"/>
                <wp:effectExtent l="0" t="0" r="13335" b="11430"/>
                <wp:wrapNone/>
                <wp:docPr id="45" name="Proceso alternativo 45"/>
                <wp:cNvGraphicFramePr/>
                <a:graphic xmlns:a="http://schemas.openxmlformats.org/drawingml/2006/main">
                  <a:graphicData uri="http://schemas.microsoft.com/office/word/2010/wordprocessingShape">
                    <wps:wsp>
                      <wps:cNvSpPr/>
                      <wps:spPr>
                        <a:xfrm>
                          <a:off x="0" y="0"/>
                          <a:ext cx="806399" cy="446228"/>
                        </a:xfrm>
                        <a:prstGeom prst="flowChartAlternateProcess">
                          <a:avLst/>
                        </a:prstGeom>
                        <a:noFill/>
                        <a:ln w="6350" cap="flat" cmpd="sng" algn="ctr">
                          <a:solidFill>
                            <a:sysClr val="windowText" lastClr="000000"/>
                          </a:solidFill>
                          <a:prstDash val="solid"/>
                        </a:ln>
                        <a:effectLst/>
                      </wps:spPr>
                      <wps:txbx>
                        <w:txbxContent>
                          <w:p w14:paraId="023306D9"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Derechos sociales, Economía Social y</w:t>
                            </w:r>
                          </w:p>
                          <w:p w14:paraId="7A9A6E3F"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Empleo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AED2F" id="Proceso alternativo 45" o:spid="_x0000_s1065" type="#_x0000_t176" style="position:absolute;left:0;text-align:left;margin-left:188.3pt;margin-top:12.65pt;width:63.5pt;height:35.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" filled="f" strokecolor="windowText" strokeweight=".5pt">
                <v:textbox>
                  <w:txbxContent>
                    <w:p w14:paraId="023306D9"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Derechos sociales, Economía Social y</w:t>
                      </w:r>
                    </w:p>
                    <w:p w14:paraId="7A9A6E3F"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Empleo</w:t>
                      </w:r>
                    </w:p>
                  </w:txbxContent>
                </v:textbox>
              </v:shape>
            </w:pict>
          </mc:Fallback>
        </mc:AlternateContent>
      </w:r>
      <w:r w:rsidR="00BA522B" w:rsidRPr="009A38AE">
        <w:rPr>
          <w:noProof/>
          <w:color w:val="FF0000"/>
        </w:rPr>
        <mc:AlternateContent>
          <mc:Choice Requires="wps">
            <w:drawing>
              <wp:anchor distT="0" distB="0" distL="114300" distR="114300" simplePos="0" relativeHeight="251686400" behindDoc="0" locked="0" layoutInCell="1" allowOverlap="1" wp14:anchorId="1AE5A10A" wp14:editId="765FABC2">
                <wp:simplePos x="0" y="0"/>
                <wp:positionH relativeFrom="column">
                  <wp:posOffset>3610610</wp:posOffset>
                </wp:positionH>
                <wp:positionV relativeFrom="paragraph">
                  <wp:posOffset>158750</wp:posOffset>
                </wp:positionV>
                <wp:extent cx="476250" cy="244475"/>
                <wp:effectExtent l="0" t="0" r="19050" b="22225"/>
                <wp:wrapNone/>
                <wp:docPr id="39" name="Proceso alternativo 39"/>
                <wp:cNvGraphicFramePr/>
                <a:graphic xmlns:a="http://schemas.openxmlformats.org/drawingml/2006/main">
                  <a:graphicData uri="http://schemas.microsoft.com/office/word/2010/wordprocessingShape">
                    <wps:wsp>
                      <wps:cNvSpPr/>
                      <wps:spPr>
                        <a:xfrm>
                          <a:off x="0" y="0"/>
                          <a:ext cx="476250" cy="244475"/>
                        </a:xfrm>
                        <a:prstGeom prst="flowChartAlternateProcess">
                          <a:avLst/>
                        </a:prstGeom>
                        <a:noFill/>
                        <a:ln w="6350" cap="flat" cmpd="sng" algn="ctr">
                          <a:solidFill>
                            <a:sysClr val="windowText" lastClr="000000"/>
                          </a:solidFill>
                          <a:prstDash val="solid"/>
                        </a:ln>
                        <a:effectLst/>
                      </wps:spPr>
                      <wps:txbx>
                        <w:txbxContent>
                          <w:p w14:paraId="1FB02364"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ANAP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5A10A" id="Proceso alternativo 39" o:spid="_x0000_s1066" type="#_x0000_t176" style="position:absolute;left:0;text-align:left;margin-left:284.3pt;margin-top:12.5pt;width:37.5pt;height:19.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" filled="f" strokecolor="windowText" strokeweight=".5pt">
                <v:textbox>
                  <w:txbxContent>
                    <w:p w14:paraId="1FB02364"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ANAP</w:t>
                      </w:r>
                    </w:p>
                  </w:txbxContent>
                </v:textbox>
              </v:shape>
            </w:pict>
          </mc:Fallback>
        </mc:AlternateContent>
      </w:r>
    </w:p>
    <w:p w14:paraId="719056EF" w14:textId="77777777" w:rsidR="00286F49" w:rsidRDefault="00EB622E" w:rsidP="00614DC4">
      <w:pPr>
        <w:pStyle w:val="texto"/>
      </w:pPr>
      <w:r>
        <w:rPr>
          <w:noProof/>
        </w:rPr>
        <mc:AlternateContent>
          <mc:Choice Requires="wps">
            <w:drawing>
              <wp:anchor distT="0" distB="0" distL="114300" distR="114300" simplePos="0" relativeHeight="251811328" behindDoc="0" locked="0" layoutInCell="1" allowOverlap="1" wp14:anchorId="4F4D3B58" wp14:editId="60EA8133">
                <wp:simplePos x="0" y="0"/>
                <wp:positionH relativeFrom="column">
                  <wp:posOffset>2255511</wp:posOffset>
                </wp:positionH>
                <wp:positionV relativeFrom="paragraph">
                  <wp:posOffset>179303</wp:posOffset>
                </wp:positionV>
                <wp:extent cx="135255" cy="0"/>
                <wp:effectExtent l="0" t="0" r="36195" b="19050"/>
                <wp:wrapNone/>
                <wp:docPr id="85" name="Conector recto 85"/>
                <wp:cNvGraphicFramePr/>
                <a:graphic xmlns:a="http://schemas.openxmlformats.org/drawingml/2006/main">
                  <a:graphicData uri="http://schemas.microsoft.com/office/word/2010/wordprocessingShape">
                    <wps:wsp>
                      <wps:cNvCnPr/>
                      <wps:spPr>
                        <a:xfrm>
                          <a:off x="0" y="0"/>
                          <a:ext cx="135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27DFC3" id="Conector recto 85" o:spid="_x0000_s1026" style="position:absolute;z-index:251811328;visibility:visible;mso-wrap-style:square;mso-wrap-distance-left:9pt;mso-wrap-distance-top:0;mso-wrap-distance-right:9pt;mso-wrap-distance-bottom:0;mso-position-horizontal:absolute;mso-position-horizontal-relative:text;mso-position-vertical:absolute;mso-position-vertical-relative:text" from="177.6pt,14.1pt" to="188.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" strokecolor="black [3040]"/>
            </w:pict>
          </mc:Fallback>
        </mc:AlternateContent>
      </w:r>
      <w:r w:rsidR="00883DD1">
        <w:rPr>
          <w:noProof/>
        </w:rPr>
        <mc:AlternateContent>
          <mc:Choice Requires="wps">
            <w:drawing>
              <wp:anchor distT="0" distB="0" distL="114300" distR="114300" simplePos="0" relativeHeight="251790848" behindDoc="0" locked="0" layoutInCell="1" allowOverlap="1" wp14:anchorId="1F6B6064" wp14:editId="755D8E27">
                <wp:simplePos x="0" y="0"/>
                <wp:positionH relativeFrom="column">
                  <wp:posOffset>5449058</wp:posOffset>
                </wp:positionH>
                <wp:positionV relativeFrom="paragraph">
                  <wp:posOffset>17903</wp:posOffset>
                </wp:positionV>
                <wp:extent cx="376318" cy="0"/>
                <wp:effectExtent l="0" t="0" r="24130" b="19050"/>
                <wp:wrapNone/>
                <wp:docPr id="66" name="Conector recto 66"/>
                <wp:cNvGraphicFramePr/>
                <a:graphic xmlns:a="http://schemas.openxmlformats.org/drawingml/2006/main">
                  <a:graphicData uri="http://schemas.microsoft.com/office/word/2010/wordprocessingShape">
                    <wps:wsp>
                      <wps:cNvCnPr/>
                      <wps:spPr>
                        <a:xfrm>
                          <a:off x="0" y="0"/>
                          <a:ext cx="37631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523905" id="Conector recto 66" o:spid="_x0000_s1026" style="position:absolute;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05pt,1.4pt" to="458.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" strokecolor="black [3040]" strokeweight=".5pt"/>
            </w:pict>
          </mc:Fallback>
        </mc:AlternateContent>
      </w:r>
      <w:r w:rsidR="00883DD1">
        <w:rPr>
          <w:noProof/>
          <w:color w:val="FF0000"/>
        </w:rPr>
        <mc:AlternateContent>
          <mc:Choice Requires="wps">
            <w:drawing>
              <wp:anchor distT="0" distB="0" distL="114300" distR="114300" simplePos="0" relativeHeight="251777536" behindDoc="0" locked="0" layoutInCell="1" allowOverlap="1" wp14:anchorId="2123665B" wp14:editId="661A7205">
                <wp:simplePos x="0" y="0"/>
                <wp:positionH relativeFrom="column">
                  <wp:posOffset>3197722</wp:posOffset>
                </wp:positionH>
                <wp:positionV relativeFrom="paragraph">
                  <wp:posOffset>181776</wp:posOffset>
                </wp:positionV>
                <wp:extent cx="412998" cy="155575"/>
                <wp:effectExtent l="0" t="0" r="25400" b="34925"/>
                <wp:wrapNone/>
                <wp:docPr id="97" name="Conector recto 97"/>
                <wp:cNvGraphicFramePr/>
                <a:graphic xmlns:a="http://schemas.openxmlformats.org/drawingml/2006/main">
                  <a:graphicData uri="http://schemas.microsoft.com/office/word/2010/wordprocessingShape">
                    <wps:wsp>
                      <wps:cNvCnPr/>
                      <wps:spPr>
                        <a:xfrm>
                          <a:off x="0" y="0"/>
                          <a:ext cx="412998" cy="15557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D49DD" id="Conector recto 97" o:spid="_x0000_s1026"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8pt,14.3pt" to="284.3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" strokecolor="black [3040]" strokeweight=".5pt"/>
            </w:pict>
          </mc:Fallback>
        </mc:AlternateContent>
      </w:r>
      <w:r w:rsidR="002956B5">
        <w:rPr>
          <w:noProof/>
        </w:rPr>
        <mc:AlternateContent>
          <mc:Choice Requires="wps">
            <w:drawing>
              <wp:anchor distT="0" distB="0" distL="114300" distR="114300" simplePos="0" relativeHeight="251776512" behindDoc="0" locked="0" layoutInCell="1" allowOverlap="1" wp14:anchorId="1F95162A" wp14:editId="358015C3">
                <wp:simplePos x="0" y="0"/>
                <wp:positionH relativeFrom="column">
                  <wp:posOffset>3197723</wp:posOffset>
                </wp:positionH>
                <wp:positionV relativeFrom="paragraph">
                  <wp:posOffset>118828</wp:posOffset>
                </wp:positionV>
                <wp:extent cx="414130" cy="2899"/>
                <wp:effectExtent l="0" t="0" r="24130" b="35560"/>
                <wp:wrapNone/>
                <wp:docPr id="95" name="Conector recto 95"/>
                <wp:cNvGraphicFramePr/>
                <a:graphic xmlns:a="http://schemas.openxmlformats.org/drawingml/2006/main">
                  <a:graphicData uri="http://schemas.microsoft.com/office/word/2010/wordprocessingShape">
                    <wps:wsp>
                      <wps:cNvCnPr/>
                      <wps:spPr>
                        <a:xfrm flipV="1">
                          <a:off x="0" y="0"/>
                          <a:ext cx="414130" cy="2899"/>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E1805B" id="Conector recto 95" o:spid="_x0000_s1026" style="position:absolute;flip:y;z-index:251776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1.8pt,9.35pt" to="284.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" strokecolor="black [3040]" strokeweight=".5pt"/>
            </w:pict>
          </mc:Fallback>
        </mc:AlternateContent>
      </w:r>
    </w:p>
    <w:p w14:paraId="4964067C" w14:textId="77777777" w:rsidR="00286F49" w:rsidRDefault="00042BC8" w:rsidP="00614DC4">
      <w:pPr>
        <w:pStyle w:val="texto"/>
      </w:pPr>
      <w:r w:rsidRPr="00AE2379">
        <w:rPr>
          <w:noProof/>
        </w:rPr>
        <mc:AlternateContent>
          <mc:Choice Requires="wps">
            <w:drawing>
              <wp:anchor distT="0" distB="0" distL="114300" distR="114300" simplePos="0" relativeHeight="251787776" behindDoc="0" locked="0" layoutInCell="1" allowOverlap="1" wp14:anchorId="0DCF9EC7" wp14:editId="710AEFF6">
                <wp:simplePos x="0" y="0"/>
                <wp:positionH relativeFrom="column">
                  <wp:posOffset>4725035</wp:posOffset>
                </wp:positionH>
                <wp:positionV relativeFrom="paragraph">
                  <wp:posOffset>75565</wp:posOffset>
                </wp:positionV>
                <wp:extent cx="695325" cy="238125"/>
                <wp:effectExtent l="0" t="0" r="28575" b="28575"/>
                <wp:wrapNone/>
                <wp:docPr id="54" name="Proceso alternativo 54"/>
                <wp:cNvGraphicFramePr/>
                <a:graphic xmlns:a="http://schemas.openxmlformats.org/drawingml/2006/main">
                  <a:graphicData uri="http://schemas.microsoft.com/office/word/2010/wordprocessingShape">
                    <wps:wsp>
                      <wps:cNvSpPr/>
                      <wps:spPr>
                        <a:xfrm>
                          <a:off x="0" y="0"/>
                          <a:ext cx="695325" cy="238125"/>
                        </a:xfrm>
                        <a:prstGeom prst="flowChartAlternateProcess">
                          <a:avLst/>
                        </a:prstGeom>
                        <a:noFill/>
                        <a:ln w="6350" cap="flat" cmpd="sng" algn="ctr">
                          <a:solidFill>
                            <a:sysClr val="windowText" lastClr="000000"/>
                          </a:solidFill>
                          <a:prstDash val="solid"/>
                        </a:ln>
                        <a:effectLst/>
                      </wps:spPr>
                      <wps:txbx>
                        <w:txbxContent>
                          <w:p w14:paraId="1C3C31A2" w14:textId="77777777" w:rsidR="002C091C" w:rsidRPr="00042BC8" w:rsidRDefault="002C091C" w:rsidP="00042BC8">
                            <w:pPr>
                              <w:ind w:left="-168" w:right="-177"/>
                              <w:jc w:val="center"/>
                              <w:rPr>
                                <w:rFonts w:ascii="Arial" w:hAnsi="Arial" w:cs="Arial"/>
                                <w:w w:val="86"/>
                                <w:sz w:val="14"/>
                                <w:szCs w:val="14"/>
                                <w:lang w:val="es-ES_tradnl"/>
                              </w:rPr>
                            </w:pPr>
                            <w:r>
                              <w:rPr>
                                <w:rFonts w:ascii="Arial" w:hAnsi="Arial" w:cs="Arial"/>
                                <w:w w:val="86"/>
                                <w:sz w:val="14"/>
                                <w:szCs w:val="14"/>
                                <w:lang w:val="es-ES_tradnl"/>
                              </w:rPr>
                              <w:t>IDISNA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F9EC7" id="Proceso alternativo 54" o:spid="_x0000_s1067" type="#_x0000_t176" style="position:absolute;left:0;text-align:left;margin-left:372.05pt;margin-top:5.95pt;width:54.75pt;height:18.7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" filled="f" strokecolor="windowText" strokeweight=".5pt">
                <v:textbox>
                  <w:txbxContent>
                    <w:p w14:paraId="1C3C31A2" w14:textId="77777777" w:rsidR="002C091C" w:rsidRPr="00042BC8" w:rsidRDefault="002C091C" w:rsidP="00042BC8">
                      <w:pPr>
                        <w:ind w:left="-168" w:right="-177"/>
                        <w:jc w:val="center"/>
                        <w:rPr>
                          <w:rFonts w:ascii="Arial" w:hAnsi="Arial" w:cs="Arial"/>
                          <w:w w:val="86"/>
                          <w:sz w:val="14"/>
                          <w:szCs w:val="14"/>
                          <w:lang w:val="es-ES_tradnl"/>
                        </w:rPr>
                      </w:pPr>
                      <w:r>
                        <w:rPr>
                          <w:rFonts w:ascii="Arial" w:hAnsi="Arial" w:cs="Arial"/>
                          <w:w w:val="86"/>
                          <w:sz w:val="14"/>
                          <w:szCs w:val="14"/>
                          <w:lang w:val="es-ES_tradnl"/>
                        </w:rPr>
                        <w:t>IDISNA</w:t>
                      </w:r>
                    </w:p>
                  </w:txbxContent>
                </v:textbox>
              </v:shape>
            </w:pict>
          </mc:Fallback>
        </mc:AlternateContent>
      </w:r>
      <w:r w:rsidR="00BA522B" w:rsidRPr="009A38AE">
        <w:rPr>
          <w:noProof/>
          <w:color w:val="FF0000"/>
        </w:rPr>
        <mc:AlternateContent>
          <mc:Choice Requires="wps">
            <w:drawing>
              <wp:anchor distT="0" distB="0" distL="114300" distR="114300" simplePos="0" relativeHeight="251687424" behindDoc="0" locked="0" layoutInCell="1" allowOverlap="1" wp14:anchorId="4BA4AEFF" wp14:editId="07DA4595">
                <wp:simplePos x="0" y="0"/>
                <wp:positionH relativeFrom="column">
                  <wp:posOffset>3610610</wp:posOffset>
                </wp:positionH>
                <wp:positionV relativeFrom="paragraph">
                  <wp:posOffset>55880</wp:posOffset>
                </wp:positionV>
                <wp:extent cx="533400" cy="257175"/>
                <wp:effectExtent l="0" t="0" r="19050" b="28575"/>
                <wp:wrapNone/>
                <wp:docPr id="56" name="Proceso alternativo 56"/>
                <wp:cNvGraphicFramePr/>
                <a:graphic xmlns:a="http://schemas.openxmlformats.org/drawingml/2006/main">
                  <a:graphicData uri="http://schemas.microsoft.com/office/word/2010/wordprocessingShape">
                    <wps:wsp>
                      <wps:cNvSpPr/>
                      <wps:spPr>
                        <a:xfrm>
                          <a:off x="0" y="0"/>
                          <a:ext cx="533400" cy="257175"/>
                        </a:xfrm>
                        <a:prstGeom prst="flowChartAlternateProcess">
                          <a:avLst/>
                        </a:prstGeom>
                        <a:noFill/>
                        <a:ln w="6350" cap="flat" cmpd="sng" algn="ctr">
                          <a:solidFill>
                            <a:sysClr val="windowText" lastClr="000000"/>
                          </a:solidFill>
                          <a:prstDash val="solid"/>
                        </a:ln>
                        <a:effectLst/>
                      </wps:spPr>
                      <wps:txbx>
                        <w:txbxContent>
                          <w:p w14:paraId="232CE3FC"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SNE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4AEFF" id="Proceso alternativo 56" o:spid="_x0000_s1068" type="#_x0000_t176" style="position:absolute;left:0;text-align:left;margin-left:284.3pt;margin-top:4.4pt;width:42pt;height:20.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" filled="f" strokecolor="windowText" strokeweight=".5pt">
                <v:textbox>
                  <w:txbxContent>
                    <w:p w14:paraId="232CE3FC" w14:textId="77777777" w:rsidR="002C091C" w:rsidRDefault="002C091C" w:rsidP="00614DC4">
                      <w:pPr>
                        <w:ind w:left="-168" w:right="-177"/>
                        <w:jc w:val="center"/>
                        <w:rPr>
                          <w:rFonts w:ascii="Arial" w:hAnsi="Arial" w:cs="Arial"/>
                          <w:w w:val="86"/>
                          <w:sz w:val="14"/>
                          <w:szCs w:val="14"/>
                        </w:rPr>
                      </w:pPr>
                      <w:r>
                        <w:rPr>
                          <w:rFonts w:ascii="Arial" w:hAnsi="Arial" w:cs="Arial"/>
                          <w:w w:val="86"/>
                          <w:sz w:val="14"/>
                          <w:szCs w:val="14"/>
                        </w:rPr>
                        <w:t>SNE</w:t>
                      </w:r>
                    </w:p>
                  </w:txbxContent>
                </v:textbox>
              </v:shape>
            </w:pict>
          </mc:Fallback>
        </mc:AlternateContent>
      </w:r>
    </w:p>
    <w:p w14:paraId="1D59A009" w14:textId="77777777" w:rsidR="00286F49" w:rsidRDefault="00883DD1" w:rsidP="00614DC4">
      <w:pPr>
        <w:pStyle w:val="texto"/>
      </w:pPr>
      <w:r>
        <w:rPr>
          <w:noProof/>
        </w:rPr>
        <mc:AlternateContent>
          <mc:Choice Requires="wps">
            <w:drawing>
              <wp:anchor distT="0" distB="0" distL="114300" distR="114300" simplePos="0" relativeHeight="251791872" behindDoc="0" locked="0" layoutInCell="1" allowOverlap="1" wp14:anchorId="5BAC098B" wp14:editId="71F6FDF9">
                <wp:simplePos x="0" y="0"/>
                <wp:positionH relativeFrom="column">
                  <wp:posOffset>5419656</wp:posOffset>
                </wp:positionH>
                <wp:positionV relativeFrom="paragraph">
                  <wp:posOffset>17457</wp:posOffset>
                </wp:positionV>
                <wp:extent cx="405322" cy="0"/>
                <wp:effectExtent l="0" t="0" r="33020" b="19050"/>
                <wp:wrapNone/>
                <wp:docPr id="68" name="Conector recto 68"/>
                <wp:cNvGraphicFramePr/>
                <a:graphic xmlns:a="http://schemas.openxmlformats.org/drawingml/2006/main">
                  <a:graphicData uri="http://schemas.microsoft.com/office/word/2010/wordprocessingShape">
                    <wps:wsp>
                      <wps:cNvCnPr/>
                      <wps:spPr>
                        <a:xfrm>
                          <a:off x="0" y="0"/>
                          <a:ext cx="405322"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09E4AF" id="Conector recto 68" o:spid="_x0000_s1026" style="position:absolute;z-index:251791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6.75pt,1.35pt" to="458.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" strokecolor="black [3040]" strokeweight=".5pt"/>
            </w:pict>
          </mc:Fallback>
        </mc:AlternateContent>
      </w:r>
      <w:r w:rsidR="00867CCB" w:rsidRPr="009A38AE">
        <w:rPr>
          <w:noProof/>
          <w:color w:val="FF0000"/>
        </w:rPr>
        <mc:AlternateContent>
          <mc:Choice Requires="wps">
            <w:drawing>
              <wp:anchor distT="0" distB="0" distL="114300" distR="114300" simplePos="0" relativeHeight="251679232" behindDoc="0" locked="0" layoutInCell="1" allowOverlap="1" wp14:anchorId="2B7A298D" wp14:editId="0898D5E0">
                <wp:simplePos x="0" y="0"/>
                <wp:positionH relativeFrom="column">
                  <wp:posOffset>2391410</wp:posOffset>
                </wp:positionH>
                <wp:positionV relativeFrom="paragraph">
                  <wp:posOffset>122555</wp:posOffset>
                </wp:positionV>
                <wp:extent cx="767080" cy="361950"/>
                <wp:effectExtent l="0" t="0" r="13970" b="19050"/>
                <wp:wrapNone/>
                <wp:docPr id="32" name="Proceso alternativo 32"/>
                <wp:cNvGraphicFramePr/>
                <a:graphic xmlns:a="http://schemas.openxmlformats.org/drawingml/2006/main">
                  <a:graphicData uri="http://schemas.microsoft.com/office/word/2010/wordprocessingShape">
                    <wps:wsp>
                      <wps:cNvSpPr/>
                      <wps:spPr>
                        <a:xfrm>
                          <a:off x="0" y="0"/>
                          <a:ext cx="767080" cy="361950"/>
                        </a:xfrm>
                        <a:prstGeom prst="flowChartAlternateProcess">
                          <a:avLst/>
                        </a:prstGeom>
                        <a:noFill/>
                        <a:ln w="6350" cap="flat" cmpd="sng" algn="ctr">
                          <a:solidFill>
                            <a:sysClr val="windowText" lastClr="000000"/>
                          </a:solidFill>
                          <a:prstDash val="solid"/>
                        </a:ln>
                        <a:effectLst/>
                      </wps:spPr>
                      <wps:txbx>
                        <w:txbxContent>
                          <w:p w14:paraId="1D5D1A41"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 xml:space="preserve">Desarrollo Rural y Medio Ambiente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A298D" id="Proceso alternativo 32" o:spid="_x0000_s1069" type="#_x0000_t176" style="position:absolute;left:0;text-align:left;margin-left:188.3pt;margin-top:9.65pt;width:60.4pt;height:2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" filled="f" strokecolor="windowText" strokeweight=".5pt">
                <v:textbox>
                  <w:txbxContent>
                    <w:p w14:paraId="1D5D1A41" w14:textId="77777777" w:rsidR="002C091C" w:rsidRDefault="002C091C" w:rsidP="00614DC4">
                      <w:pPr>
                        <w:ind w:left="-112" w:right="-64"/>
                        <w:jc w:val="center"/>
                        <w:rPr>
                          <w:rFonts w:ascii="Arial" w:hAnsi="Arial" w:cs="Arial"/>
                          <w:w w:val="88"/>
                          <w:sz w:val="14"/>
                          <w:szCs w:val="14"/>
                        </w:rPr>
                      </w:pPr>
                      <w:r>
                        <w:rPr>
                          <w:rFonts w:ascii="Arial" w:hAnsi="Arial" w:cs="Arial"/>
                          <w:w w:val="88"/>
                          <w:sz w:val="14"/>
                          <w:szCs w:val="14"/>
                        </w:rPr>
                        <w:t xml:space="preserve">Desarrollo Rural y Medio Ambiente </w:t>
                      </w:r>
                    </w:p>
                  </w:txbxContent>
                </v:textbox>
              </v:shape>
            </w:pict>
          </mc:Fallback>
        </mc:AlternateContent>
      </w:r>
    </w:p>
    <w:p w14:paraId="125D3CB5" w14:textId="77777777" w:rsidR="00286F49" w:rsidRDefault="00286F49" w:rsidP="00614DC4">
      <w:pPr>
        <w:pStyle w:val="texto"/>
      </w:pPr>
    </w:p>
    <w:p w14:paraId="1DEEB184" w14:textId="77777777" w:rsidR="00286F49" w:rsidRDefault="00EB622E" w:rsidP="00614DC4">
      <w:pPr>
        <w:pStyle w:val="texto"/>
      </w:pPr>
      <w:r>
        <w:rPr>
          <w:noProof/>
        </w:rPr>
        <mc:AlternateContent>
          <mc:Choice Requires="wps">
            <w:drawing>
              <wp:anchor distT="0" distB="0" distL="114300" distR="114300" simplePos="0" relativeHeight="251812352" behindDoc="0" locked="0" layoutInCell="1" allowOverlap="1" wp14:anchorId="6A51A912" wp14:editId="59D0084E">
                <wp:simplePos x="0" y="0"/>
                <wp:positionH relativeFrom="column">
                  <wp:posOffset>2255511</wp:posOffset>
                </wp:positionH>
                <wp:positionV relativeFrom="paragraph">
                  <wp:posOffset>44387</wp:posOffset>
                </wp:positionV>
                <wp:extent cx="135255" cy="0"/>
                <wp:effectExtent l="0" t="0" r="36195" b="19050"/>
                <wp:wrapNone/>
                <wp:docPr id="86" name="Conector recto 86"/>
                <wp:cNvGraphicFramePr/>
                <a:graphic xmlns:a="http://schemas.openxmlformats.org/drawingml/2006/main">
                  <a:graphicData uri="http://schemas.microsoft.com/office/word/2010/wordprocessingShape">
                    <wps:wsp>
                      <wps:cNvCnPr/>
                      <wps:spPr>
                        <a:xfrm>
                          <a:off x="0" y="0"/>
                          <a:ext cx="135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7A641E" id="Conector recto 86" o:spid="_x0000_s1026" style="position:absolute;z-index:251812352;visibility:visible;mso-wrap-style:square;mso-wrap-distance-left:9pt;mso-wrap-distance-top:0;mso-wrap-distance-right:9pt;mso-wrap-distance-bottom:0;mso-position-horizontal:absolute;mso-position-horizontal-relative:text;mso-position-vertical:absolute;mso-position-vertical-relative:text" from="177.6pt,3.5pt" to="188.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" strokecolor="black [3040]"/>
            </w:pict>
          </mc:Fallback>
        </mc:AlternateContent>
      </w:r>
    </w:p>
    <w:p w14:paraId="691CCC8C" w14:textId="77777777" w:rsidR="00867CCB" w:rsidRDefault="00362CF4" w:rsidP="00362CF4">
      <w:pPr>
        <w:pStyle w:val="texto"/>
        <w:tabs>
          <w:tab w:val="clear" w:pos="2835"/>
          <w:tab w:val="clear" w:pos="3969"/>
          <w:tab w:val="clear" w:pos="5103"/>
          <w:tab w:val="clear" w:pos="6237"/>
          <w:tab w:val="clear" w:pos="7371"/>
          <w:tab w:val="left" w:pos="720"/>
          <w:tab w:val="left" w:pos="1440"/>
          <w:tab w:val="left" w:pos="2160"/>
          <w:tab w:val="left" w:pos="2880"/>
        </w:tabs>
      </w:pPr>
      <w:r>
        <w:tab/>
      </w:r>
      <w:r>
        <w:tab/>
      </w:r>
      <w:r>
        <w:tab/>
      </w:r>
    </w:p>
    <w:p w14:paraId="10E00E86" w14:textId="77777777" w:rsidR="00286F49" w:rsidRDefault="00362CF4" w:rsidP="00362CF4">
      <w:pPr>
        <w:pStyle w:val="texto"/>
        <w:tabs>
          <w:tab w:val="clear" w:pos="2835"/>
          <w:tab w:val="clear" w:pos="3969"/>
          <w:tab w:val="clear" w:pos="5103"/>
          <w:tab w:val="clear" w:pos="6237"/>
          <w:tab w:val="clear" w:pos="7371"/>
          <w:tab w:val="left" w:pos="720"/>
          <w:tab w:val="left" w:pos="1440"/>
          <w:tab w:val="left" w:pos="2160"/>
          <w:tab w:val="left" w:pos="2880"/>
        </w:tabs>
      </w:pPr>
      <w:r>
        <w:tab/>
      </w:r>
      <w:r>
        <w:tab/>
      </w:r>
    </w:p>
    <w:p w14:paraId="7E99E139" w14:textId="77777777" w:rsidR="00614DC4" w:rsidRDefault="00614DC4" w:rsidP="00286F49">
      <w:pPr>
        <w:pStyle w:val="texto"/>
        <w:jc w:val="both"/>
      </w:pPr>
      <w:r>
        <w:lastRenderedPageBreak/>
        <w:t>Del análisis del gráfico anterior destacamos los siguientes aspectos:</w:t>
      </w:r>
    </w:p>
    <w:p w14:paraId="706250E6" w14:textId="77777777" w:rsidR="00131A5E" w:rsidRDefault="00131A5E" w:rsidP="00286F49">
      <w:pPr>
        <w:pStyle w:val="texto"/>
        <w:jc w:val="both"/>
      </w:pPr>
    </w:p>
    <w:p w14:paraId="06C677E0" w14:textId="77777777" w:rsidR="00614DC4" w:rsidRPr="007A72FA" w:rsidRDefault="00943025" w:rsidP="00F43C32">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7A72FA">
        <w:rPr>
          <w:rFonts w:cs="Arial"/>
          <w:lang w:val="es-ES_tradnl" w:eastAsia="en-US"/>
        </w:rPr>
        <w:t xml:space="preserve">En mayo de 2023 se </w:t>
      </w:r>
      <w:r w:rsidR="00390C89" w:rsidRPr="007A72FA">
        <w:rPr>
          <w:rFonts w:cs="Arial"/>
          <w:lang w:val="es-ES_tradnl" w:eastAsia="en-US"/>
        </w:rPr>
        <w:t xml:space="preserve">celebraron </w:t>
      </w:r>
      <w:r w:rsidRPr="007A72FA">
        <w:rPr>
          <w:rFonts w:cs="Arial"/>
          <w:lang w:val="es-ES_tradnl" w:eastAsia="en-US"/>
        </w:rPr>
        <w:t>las elecciones al Parlamento de Navarra</w:t>
      </w:r>
      <w:r w:rsidR="004E3964" w:rsidRPr="007A72FA">
        <w:rPr>
          <w:rFonts w:cs="Arial"/>
          <w:lang w:val="es-ES_tradnl" w:eastAsia="en-US"/>
        </w:rPr>
        <w:t xml:space="preserve"> y como resultado del proceso electoral, se constituyó </w:t>
      </w:r>
      <w:r w:rsidR="00007AB8" w:rsidRPr="007A72FA">
        <w:rPr>
          <w:rFonts w:cs="Arial"/>
          <w:lang w:val="es-ES_tradnl" w:eastAsia="en-US"/>
        </w:rPr>
        <w:t xml:space="preserve">el </w:t>
      </w:r>
      <w:r w:rsidR="004E3964" w:rsidRPr="007A72FA">
        <w:rPr>
          <w:rFonts w:cs="Arial"/>
          <w:lang w:val="es-ES_tradnl" w:eastAsia="en-US"/>
        </w:rPr>
        <w:t>nuevo gobierno</w:t>
      </w:r>
      <w:r w:rsidR="00007AB8" w:rsidRPr="007A72FA">
        <w:rPr>
          <w:rFonts w:cs="Arial"/>
          <w:lang w:val="es-ES_tradnl" w:eastAsia="en-US"/>
        </w:rPr>
        <w:t xml:space="preserve"> para la legislatura 2023-2027</w:t>
      </w:r>
      <w:r w:rsidR="004E3964" w:rsidRPr="007A72FA">
        <w:rPr>
          <w:rFonts w:cs="Arial"/>
          <w:lang w:val="es-ES_tradnl" w:eastAsia="en-US"/>
        </w:rPr>
        <w:t>. E</w:t>
      </w:r>
      <w:r w:rsidRPr="007A72FA">
        <w:rPr>
          <w:rFonts w:cs="Arial"/>
          <w:lang w:val="es-ES_tradnl" w:eastAsia="en-US"/>
        </w:rPr>
        <w:t xml:space="preserve">l Decreto Foral de la Presidenta de la Comunidad Foral de Navarra 10/2023, de 17 de agosto, </w:t>
      </w:r>
      <w:r w:rsidR="004E3964" w:rsidRPr="007A72FA">
        <w:rPr>
          <w:rFonts w:cs="Arial"/>
          <w:lang w:val="es-ES_tradnl" w:eastAsia="en-US"/>
        </w:rPr>
        <w:t>aprobó la</w:t>
      </w:r>
      <w:r w:rsidRPr="007A72FA">
        <w:rPr>
          <w:rFonts w:cs="Arial"/>
          <w:lang w:val="es-ES_tradnl" w:eastAsia="en-US"/>
        </w:rPr>
        <w:t xml:space="preserve"> nueva estructura departamental de la Comunidad Foral de Navarra</w:t>
      </w:r>
      <w:r w:rsidR="004E3964" w:rsidRPr="007A72FA">
        <w:rPr>
          <w:rFonts w:cs="Arial"/>
          <w:lang w:val="es-ES_tradnl" w:eastAsia="en-US"/>
        </w:rPr>
        <w:t xml:space="preserve">. </w:t>
      </w:r>
      <w:r w:rsidR="00483A21" w:rsidRPr="007A72FA">
        <w:rPr>
          <w:rFonts w:cs="Arial"/>
          <w:lang w:val="es-ES_tradnl" w:eastAsia="en-US"/>
        </w:rPr>
        <w:t>A 31 de diciembre de 2023</w:t>
      </w:r>
      <w:r w:rsidR="00614DC4" w:rsidRPr="007A72FA">
        <w:rPr>
          <w:rFonts w:cs="Arial"/>
          <w:lang w:val="es-ES_tradnl" w:eastAsia="en-US"/>
        </w:rPr>
        <w:t xml:space="preserve"> la ACFN se estructuraba en 13 departamentos a los cuales estaban adscritos </w:t>
      </w:r>
      <w:r w:rsidRPr="007A72FA">
        <w:rPr>
          <w:rFonts w:cs="Arial"/>
          <w:lang w:val="es-ES_tradnl" w:eastAsia="en-US"/>
        </w:rPr>
        <w:t xml:space="preserve">nueve </w:t>
      </w:r>
      <w:r w:rsidR="00614DC4" w:rsidRPr="007A72FA">
        <w:rPr>
          <w:rFonts w:cs="Arial"/>
          <w:lang w:val="es-ES_tradnl" w:eastAsia="en-US"/>
        </w:rPr>
        <w:t>OOAA</w:t>
      </w:r>
      <w:r w:rsidRPr="007B3741">
        <w:rPr>
          <w:rStyle w:val="Refdenotaalpie"/>
        </w:rPr>
        <w:footnoteReference w:id="8"/>
      </w:r>
      <w:r w:rsidR="00614DC4" w:rsidRPr="007A72FA">
        <w:rPr>
          <w:rFonts w:cs="Arial"/>
          <w:lang w:val="es-ES_tradnl" w:eastAsia="en-US"/>
        </w:rPr>
        <w:t>.</w:t>
      </w:r>
    </w:p>
    <w:p w14:paraId="06F18AA5" w14:textId="77777777" w:rsidR="004E3964" w:rsidRDefault="004E396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ind w:left="0" w:firstLine="289"/>
        <w:jc w:val="both"/>
        <w:rPr>
          <w:rFonts w:cs="Arial"/>
          <w:lang w:val="es-ES_tradnl" w:eastAsia="en-US"/>
        </w:rPr>
      </w:pPr>
      <w:r w:rsidRPr="009A38AE">
        <w:rPr>
          <w:rFonts w:cs="Arial"/>
          <w:lang w:val="es-ES_tradnl" w:eastAsia="en-US"/>
        </w:rPr>
        <w:t>Las empresas públicas</w:t>
      </w:r>
      <w:r w:rsidR="00571CB3">
        <w:rPr>
          <w:rFonts w:cs="Arial"/>
          <w:lang w:val="es-ES_tradnl" w:eastAsia="en-US"/>
        </w:rPr>
        <w:t xml:space="preserve">, según consta en el documento “Delimitación del sector público foral” </w:t>
      </w:r>
      <w:r w:rsidRPr="009A38AE">
        <w:rPr>
          <w:rFonts w:cs="Arial"/>
          <w:lang w:val="es-ES_tradnl" w:eastAsia="en-US"/>
        </w:rPr>
        <w:t>ascienden a 1</w:t>
      </w:r>
      <w:r w:rsidR="00571CB3">
        <w:rPr>
          <w:rFonts w:cs="Arial"/>
          <w:lang w:val="es-ES_tradnl" w:eastAsia="en-US"/>
        </w:rPr>
        <w:t>9</w:t>
      </w:r>
      <w:r w:rsidRPr="009A38AE">
        <w:rPr>
          <w:rFonts w:cs="Arial"/>
          <w:lang w:val="es-ES_tradnl" w:eastAsia="en-US"/>
        </w:rPr>
        <w:t>, incluida la Corporación Pública Empresarial (en adelante CPEN). Las 1</w:t>
      </w:r>
      <w:r w:rsidR="00571CB3">
        <w:rPr>
          <w:rFonts w:cs="Arial"/>
          <w:lang w:val="es-ES_tradnl" w:eastAsia="en-US"/>
        </w:rPr>
        <w:t>8</w:t>
      </w:r>
      <w:r w:rsidRPr="009A38AE">
        <w:rPr>
          <w:rFonts w:cs="Arial"/>
          <w:lang w:val="es-ES_tradnl" w:eastAsia="en-US"/>
        </w:rPr>
        <w:t xml:space="preserve"> sociedades que dependen de la </w:t>
      </w:r>
      <w:proofErr w:type="gramStart"/>
      <w:r w:rsidRPr="009A38AE">
        <w:rPr>
          <w:rFonts w:cs="Arial"/>
          <w:lang w:val="es-ES_tradnl" w:eastAsia="en-US"/>
        </w:rPr>
        <w:t>CPEN,</w:t>
      </w:r>
      <w:proofErr w:type="gramEnd"/>
      <w:r w:rsidRPr="009A38AE">
        <w:rPr>
          <w:rFonts w:cs="Arial"/>
          <w:lang w:val="es-ES_tradnl" w:eastAsia="en-US"/>
        </w:rPr>
        <w:t xml:space="preserve"> se desglosan en 1</w:t>
      </w:r>
      <w:r w:rsidR="00827F48">
        <w:rPr>
          <w:rFonts w:cs="Arial"/>
          <w:lang w:val="es-ES_tradnl" w:eastAsia="en-US"/>
        </w:rPr>
        <w:t>4</w:t>
      </w:r>
      <w:r w:rsidRPr="009A38AE">
        <w:rPr>
          <w:rFonts w:cs="Arial"/>
          <w:lang w:val="es-ES_tradnl" w:eastAsia="en-US"/>
        </w:rPr>
        <w:t xml:space="preserve"> socie</w:t>
      </w:r>
      <w:r w:rsidR="00473633">
        <w:rPr>
          <w:rFonts w:cs="Arial"/>
          <w:lang w:val="es-ES_tradnl" w:eastAsia="en-US"/>
        </w:rPr>
        <w:t xml:space="preserve">dades dependientes directamente, dos participadas indirectamente en su totalidad y </w:t>
      </w:r>
      <w:r w:rsidRPr="009A38AE">
        <w:rPr>
          <w:rFonts w:cs="Arial"/>
          <w:lang w:val="es-ES_tradnl" w:eastAsia="en-US"/>
        </w:rPr>
        <w:t xml:space="preserve">dos </w:t>
      </w:r>
      <w:r w:rsidR="006F6089">
        <w:rPr>
          <w:rFonts w:cs="Arial"/>
          <w:lang w:val="es-ES_tradnl" w:eastAsia="en-US"/>
        </w:rPr>
        <w:t xml:space="preserve">participadas indirectamente de forma </w:t>
      </w:r>
      <w:r w:rsidRPr="009A38AE">
        <w:rPr>
          <w:rFonts w:cs="Arial"/>
          <w:lang w:val="es-ES_tradnl" w:eastAsia="en-US"/>
        </w:rPr>
        <w:t>mayoritaria. En el cuadro siguiente se muestra esta composición:</w:t>
      </w:r>
    </w:p>
    <w:p w14:paraId="7B608D3E" w14:textId="77777777" w:rsidR="00827F48" w:rsidRDefault="00827F48" w:rsidP="00827F48">
      <w:pPr>
        <w:pStyle w:val="texto"/>
        <w:tabs>
          <w:tab w:val="clear" w:pos="2835"/>
          <w:tab w:val="clear" w:pos="3969"/>
          <w:tab w:val="left" w:pos="480"/>
          <w:tab w:val="num" w:pos="600"/>
          <w:tab w:val="num" w:pos="720"/>
          <w:tab w:val="num" w:pos="1320"/>
          <w:tab w:val="num" w:pos="2062"/>
          <w:tab w:val="num" w:pos="4472"/>
        </w:tabs>
        <w:jc w:val="both"/>
        <w:rPr>
          <w:rFonts w:cs="Arial"/>
          <w:lang w:val="es-ES_tradnl" w:eastAsia="en-US"/>
        </w:rPr>
      </w:pP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462"/>
        <w:gridCol w:w="649"/>
        <w:gridCol w:w="1228"/>
        <w:gridCol w:w="3450"/>
      </w:tblGrid>
      <w:tr w:rsidR="00D52A3C" w:rsidRPr="000D7CCD" w14:paraId="74840AFA" w14:textId="77777777" w:rsidTr="00D52A3C">
        <w:trPr>
          <w:trHeight w:val="255"/>
          <w:jc w:val="center"/>
        </w:trPr>
        <w:tc>
          <w:tcPr>
            <w:tcW w:w="3462" w:type="dxa"/>
            <w:shd w:val="clear" w:color="auto" w:fill="8DB3E2"/>
            <w:vAlign w:val="center"/>
            <w:hideMark/>
          </w:tcPr>
          <w:p w14:paraId="4217714B" w14:textId="77777777" w:rsidR="00D52A3C" w:rsidRPr="000D7CCD" w:rsidRDefault="00D52A3C" w:rsidP="000D7CCD">
            <w:pPr>
              <w:keepLines/>
              <w:tabs>
                <w:tab w:val="right" w:pos="2835"/>
                <w:tab w:val="right" w:pos="3969"/>
                <w:tab w:val="right" w:pos="5103"/>
                <w:tab w:val="right" w:pos="6237"/>
                <w:tab w:val="right" w:pos="7371"/>
              </w:tabs>
              <w:rPr>
                <w:rFonts w:ascii="Arial" w:hAnsi="Arial" w:cs="Arial"/>
                <w:spacing w:val="6"/>
                <w:sz w:val="18"/>
                <w:szCs w:val="18"/>
                <w:lang w:val="es-ES_tradnl" w:eastAsia="en-US"/>
              </w:rPr>
            </w:pPr>
            <w:r w:rsidRPr="000D7CCD">
              <w:rPr>
                <w:rFonts w:ascii="Arial" w:hAnsi="Arial" w:cs="Arial"/>
                <w:spacing w:val="6"/>
                <w:sz w:val="18"/>
                <w:szCs w:val="18"/>
                <w:lang w:val="es-ES_tradnl" w:eastAsia="en-US"/>
              </w:rPr>
              <w:t xml:space="preserve">Empresa Pública </w:t>
            </w:r>
          </w:p>
        </w:tc>
        <w:tc>
          <w:tcPr>
            <w:tcW w:w="649" w:type="dxa"/>
            <w:shd w:val="clear" w:color="auto" w:fill="8DB3E2"/>
          </w:tcPr>
          <w:p w14:paraId="18622822" w14:textId="77777777" w:rsidR="00D52A3C" w:rsidRPr="000D7CCD" w:rsidRDefault="00D52A3C" w:rsidP="00053346">
            <w:pPr>
              <w:keepLines/>
              <w:tabs>
                <w:tab w:val="right" w:pos="2835"/>
                <w:tab w:val="right" w:pos="3969"/>
                <w:tab w:val="right" w:pos="5103"/>
                <w:tab w:val="right" w:pos="6237"/>
                <w:tab w:val="right" w:pos="7371"/>
              </w:tabs>
              <w:ind w:right="-297"/>
              <w:jc w:val="right"/>
              <w:rPr>
                <w:rFonts w:ascii="Arial" w:hAnsi="Arial" w:cs="Arial"/>
                <w:spacing w:val="6"/>
                <w:sz w:val="18"/>
                <w:szCs w:val="18"/>
                <w:lang w:val="es-ES_tradnl" w:eastAsia="en-US"/>
              </w:rPr>
            </w:pPr>
          </w:p>
        </w:tc>
        <w:tc>
          <w:tcPr>
            <w:tcW w:w="1228" w:type="dxa"/>
            <w:tcBorders>
              <w:right w:val="single" w:sz="4" w:space="0" w:color="auto"/>
            </w:tcBorders>
            <w:shd w:val="clear" w:color="auto" w:fill="8DB3E2"/>
            <w:vAlign w:val="center"/>
            <w:hideMark/>
          </w:tcPr>
          <w:p w14:paraId="08AA6AAF" w14:textId="77777777" w:rsidR="00D52A3C" w:rsidRPr="000D7CCD" w:rsidRDefault="00D52A3C" w:rsidP="00D52A3C">
            <w:pPr>
              <w:keepLines/>
              <w:tabs>
                <w:tab w:val="right" w:pos="2835"/>
                <w:tab w:val="right" w:pos="3969"/>
                <w:tab w:val="right" w:pos="5103"/>
                <w:tab w:val="right" w:pos="6237"/>
                <w:tab w:val="right" w:pos="7371"/>
              </w:tabs>
              <w:ind w:right="-297"/>
              <w:jc w:val="center"/>
              <w:rPr>
                <w:rFonts w:ascii="Arial" w:hAnsi="Arial" w:cs="Arial"/>
                <w:spacing w:val="6"/>
                <w:sz w:val="18"/>
                <w:szCs w:val="18"/>
                <w:lang w:val="es-ES_tradnl" w:eastAsia="en-US"/>
              </w:rPr>
            </w:pPr>
            <w:r w:rsidRPr="000D7CCD">
              <w:rPr>
                <w:rFonts w:ascii="Arial" w:hAnsi="Arial" w:cs="Arial"/>
                <w:spacing w:val="6"/>
                <w:sz w:val="18"/>
                <w:szCs w:val="18"/>
                <w:lang w:val="es-ES_tradnl" w:eastAsia="en-US"/>
              </w:rPr>
              <w:t>% CPEN</w:t>
            </w:r>
          </w:p>
        </w:tc>
        <w:tc>
          <w:tcPr>
            <w:tcW w:w="3450" w:type="dxa"/>
            <w:tcBorders>
              <w:left w:val="single" w:sz="4" w:space="0" w:color="auto"/>
            </w:tcBorders>
            <w:shd w:val="clear" w:color="auto" w:fill="8DB3E2"/>
            <w:vAlign w:val="center"/>
            <w:hideMark/>
          </w:tcPr>
          <w:p w14:paraId="0CCB763F" w14:textId="77777777" w:rsidR="00D52A3C" w:rsidRPr="000D7CCD" w:rsidRDefault="00D52A3C" w:rsidP="000D7CCD">
            <w:pPr>
              <w:keepLines/>
              <w:tabs>
                <w:tab w:val="right" w:pos="2835"/>
                <w:tab w:val="right" w:pos="3969"/>
                <w:tab w:val="right" w:pos="5103"/>
                <w:tab w:val="right" w:pos="6237"/>
                <w:tab w:val="right" w:pos="7371"/>
              </w:tabs>
              <w:ind w:left="-27"/>
              <w:jc w:val="right"/>
              <w:rPr>
                <w:rFonts w:ascii="Arial" w:hAnsi="Arial" w:cs="Arial"/>
                <w:spacing w:val="6"/>
                <w:sz w:val="18"/>
                <w:szCs w:val="18"/>
                <w:lang w:val="es-ES_tradnl" w:eastAsia="en-US"/>
              </w:rPr>
            </w:pPr>
            <w:r w:rsidRPr="000D7CCD">
              <w:rPr>
                <w:rFonts w:ascii="Arial" w:hAnsi="Arial" w:cs="Arial"/>
                <w:spacing w:val="6"/>
                <w:sz w:val="18"/>
                <w:szCs w:val="18"/>
                <w:lang w:val="es-ES_tradnl" w:eastAsia="en-US"/>
              </w:rPr>
              <w:t>Actividad económica</w:t>
            </w:r>
          </w:p>
        </w:tc>
      </w:tr>
      <w:tr w:rsidR="00D52A3C" w:rsidRPr="000D7CCD" w14:paraId="6EC0CF8B" w14:textId="77777777" w:rsidTr="00D52A3C">
        <w:trPr>
          <w:trHeight w:val="198"/>
          <w:jc w:val="center"/>
        </w:trPr>
        <w:tc>
          <w:tcPr>
            <w:tcW w:w="3462" w:type="dxa"/>
            <w:vAlign w:val="center"/>
            <w:hideMark/>
          </w:tcPr>
          <w:p w14:paraId="08A60C97" w14:textId="77777777" w:rsidR="00D52A3C" w:rsidRPr="00C97700" w:rsidRDefault="00D52A3C" w:rsidP="000D7CCD">
            <w:pPr>
              <w:rPr>
                <w:rFonts w:ascii="Arial Narrow" w:hAnsi="Arial Narrow" w:cs="Arial"/>
                <w:sz w:val="18"/>
                <w:szCs w:val="18"/>
              </w:rPr>
            </w:pPr>
            <w:r w:rsidRPr="00C97700">
              <w:rPr>
                <w:rFonts w:ascii="Arial Narrow" w:hAnsi="Arial Narrow" w:cs="Arial"/>
                <w:sz w:val="18"/>
                <w:szCs w:val="18"/>
              </w:rPr>
              <w:t>Centro Europeo de Empresas e Innovación, S.L. (CEIN)</w:t>
            </w:r>
          </w:p>
        </w:tc>
        <w:tc>
          <w:tcPr>
            <w:tcW w:w="649" w:type="dxa"/>
          </w:tcPr>
          <w:p w14:paraId="653DA265" w14:textId="77777777" w:rsidR="00D52A3C" w:rsidRPr="00C97700" w:rsidRDefault="00D52A3C" w:rsidP="00D52A3C">
            <w:pPr>
              <w:ind w:left="-94"/>
              <w:jc w:val="right"/>
              <w:rPr>
                <w:rFonts w:ascii="Arial Narrow" w:hAnsi="Arial Narrow" w:cs="Arial"/>
                <w:sz w:val="18"/>
                <w:szCs w:val="18"/>
              </w:rPr>
            </w:pPr>
          </w:p>
        </w:tc>
        <w:tc>
          <w:tcPr>
            <w:tcW w:w="1228" w:type="dxa"/>
            <w:tcBorders>
              <w:right w:val="single" w:sz="4" w:space="0" w:color="auto"/>
            </w:tcBorders>
            <w:vAlign w:val="center"/>
            <w:hideMark/>
          </w:tcPr>
          <w:p w14:paraId="088BD69C" w14:textId="77777777" w:rsidR="00D52A3C" w:rsidRPr="00C97700" w:rsidRDefault="00D52A3C" w:rsidP="00D52A3C">
            <w:pPr>
              <w:ind w:left="-94"/>
              <w:jc w:val="right"/>
              <w:rPr>
                <w:rFonts w:ascii="Arial Narrow" w:hAnsi="Arial Narrow" w:cs="Arial"/>
                <w:sz w:val="18"/>
                <w:szCs w:val="18"/>
              </w:rPr>
            </w:pPr>
            <w:r w:rsidRPr="00C97700">
              <w:rPr>
                <w:rFonts w:ascii="Arial Narrow" w:hAnsi="Arial Narrow" w:cs="Arial"/>
                <w:sz w:val="18"/>
                <w:szCs w:val="18"/>
              </w:rPr>
              <w:t>100</w:t>
            </w:r>
          </w:p>
        </w:tc>
        <w:tc>
          <w:tcPr>
            <w:tcW w:w="3450" w:type="dxa"/>
            <w:tcBorders>
              <w:left w:val="single" w:sz="4" w:space="0" w:color="auto"/>
            </w:tcBorders>
            <w:vAlign w:val="center"/>
            <w:hideMark/>
          </w:tcPr>
          <w:p w14:paraId="77B4D0F2" w14:textId="77777777" w:rsidR="00D52A3C" w:rsidRPr="00C97700" w:rsidRDefault="00D52A3C" w:rsidP="00D52A3C">
            <w:pPr>
              <w:ind w:left="-27"/>
              <w:rPr>
                <w:rFonts w:ascii="Arial Narrow" w:hAnsi="Arial Narrow" w:cs="Arial"/>
                <w:sz w:val="18"/>
                <w:szCs w:val="18"/>
              </w:rPr>
            </w:pPr>
            <w:r w:rsidRPr="00C97700">
              <w:rPr>
                <w:rFonts w:ascii="Arial Narrow" w:hAnsi="Arial Narrow" w:cs="Arial"/>
                <w:sz w:val="18"/>
                <w:szCs w:val="18"/>
              </w:rPr>
              <w:t>Innovación y emprendedores</w:t>
            </w:r>
          </w:p>
        </w:tc>
      </w:tr>
      <w:tr w:rsidR="00D52A3C" w:rsidRPr="000D7CCD" w14:paraId="0A80D478" w14:textId="77777777" w:rsidTr="00D52A3C">
        <w:trPr>
          <w:trHeight w:val="198"/>
          <w:jc w:val="center"/>
        </w:trPr>
        <w:tc>
          <w:tcPr>
            <w:tcW w:w="3462" w:type="dxa"/>
            <w:vAlign w:val="center"/>
            <w:hideMark/>
          </w:tcPr>
          <w:p w14:paraId="75E6FC9B" w14:textId="77777777" w:rsidR="00D52A3C" w:rsidRPr="00C97700" w:rsidRDefault="00D52A3C" w:rsidP="000D7CCD">
            <w:pPr>
              <w:rPr>
                <w:rFonts w:ascii="Arial Narrow" w:hAnsi="Arial Narrow" w:cs="Arial"/>
                <w:sz w:val="18"/>
                <w:szCs w:val="18"/>
              </w:rPr>
            </w:pPr>
            <w:r w:rsidRPr="00C97700">
              <w:rPr>
                <w:rFonts w:ascii="Arial Narrow" w:hAnsi="Arial Narrow" w:cs="Arial"/>
                <w:sz w:val="18"/>
                <w:szCs w:val="18"/>
              </w:rPr>
              <w:t>Centro Navarro de Aprendizaje Integral, S.A. (CNAI)</w:t>
            </w:r>
          </w:p>
        </w:tc>
        <w:tc>
          <w:tcPr>
            <w:tcW w:w="649" w:type="dxa"/>
          </w:tcPr>
          <w:p w14:paraId="3975C2EA" w14:textId="77777777" w:rsidR="00D52A3C" w:rsidRPr="00C97700" w:rsidRDefault="00D52A3C" w:rsidP="00D52A3C">
            <w:pPr>
              <w:ind w:left="-94"/>
              <w:jc w:val="right"/>
              <w:rPr>
                <w:rFonts w:ascii="Arial Narrow" w:hAnsi="Arial Narrow" w:cs="Arial"/>
                <w:sz w:val="18"/>
                <w:szCs w:val="18"/>
              </w:rPr>
            </w:pPr>
          </w:p>
        </w:tc>
        <w:tc>
          <w:tcPr>
            <w:tcW w:w="1228" w:type="dxa"/>
            <w:tcBorders>
              <w:right w:val="single" w:sz="4" w:space="0" w:color="auto"/>
            </w:tcBorders>
            <w:vAlign w:val="center"/>
            <w:hideMark/>
          </w:tcPr>
          <w:p w14:paraId="75C3678B" w14:textId="77777777" w:rsidR="00D52A3C" w:rsidRPr="00C97700" w:rsidRDefault="00D52A3C" w:rsidP="00D52A3C">
            <w:pPr>
              <w:ind w:left="-94"/>
              <w:jc w:val="right"/>
              <w:rPr>
                <w:rFonts w:ascii="Arial Narrow" w:hAnsi="Arial Narrow" w:cs="Arial"/>
                <w:sz w:val="18"/>
                <w:szCs w:val="18"/>
              </w:rPr>
            </w:pPr>
            <w:r w:rsidRPr="00C97700">
              <w:rPr>
                <w:rFonts w:ascii="Arial Narrow" w:hAnsi="Arial Narrow" w:cs="Arial"/>
                <w:sz w:val="18"/>
                <w:szCs w:val="18"/>
              </w:rPr>
              <w:t>100</w:t>
            </w:r>
          </w:p>
        </w:tc>
        <w:tc>
          <w:tcPr>
            <w:tcW w:w="3450" w:type="dxa"/>
            <w:tcBorders>
              <w:left w:val="single" w:sz="4" w:space="0" w:color="auto"/>
            </w:tcBorders>
            <w:vAlign w:val="center"/>
            <w:hideMark/>
          </w:tcPr>
          <w:p w14:paraId="646825D9" w14:textId="77777777" w:rsidR="00D52A3C" w:rsidRPr="00C97700" w:rsidRDefault="00D52A3C" w:rsidP="00D52A3C">
            <w:pPr>
              <w:ind w:left="-27"/>
              <w:rPr>
                <w:rFonts w:ascii="Arial Narrow" w:hAnsi="Arial Narrow" w:cs="Arial"/>
                <w:sz w:val="18"/>
                <w:szCs w:val="18"/>
              </w:rPr>
            </w:pPr>
            <w:r w:rsidRPr="00C97700">
              <w:rPr>
                <w:rFonts w:ascii="Arial Narrow" w:hAnsi="Arial Narrow" w:cs="Arial"/>
                <w:sz w:val="18"/>
                <w:szCs w:val="18"/>
              </w:rPr>
              <w:t>Educación y talento</w:t>
            </w:r>
          </w:p>
        </w:tc>
      </w:tr>
      <w:tr w:rsidR="00D52A3C" w:rsidRPr="000D7CCD" w14:paraId="1B974141" w14:textId="77777777" w:rsidTr="00D52A3C">
        <w:trPr>
          <w:trHeight w:val="198"/>
          <w:jc w:val="center"/>
        </w:trPr>
        <w:tc>
          <w:tcPr>
            <w:tcW w:w="3462" w:type="dxa"/>
            <w:vAlign w:val="center"/>
            <w:hideMark/>
          </w:tcPr>
          <w:p w14:paraId="0B63C2E2" w14:textId="77777777" w:rsidR="00D52A3C" w:rsidRPr="00C97700" w:rsidRDefault="00D52A3C" w:rsidP="000D7CCD">
            <w:pPr>
              <w:rPr>
                <w:rFonts w:ascii="Arial Narrow" w:hAnsi="Arial Narrow" w:cs="Arial"/>
                <w:sz w:val="18"/>
                <w:szCs w:val="18"/>
              </w:rPr>
            </w:pPr>
            <w:r w:rsidRPr="00C97700">
              <w:rPr>
                <w:rFonts w:ascii="Arial Narrow" w:hAnsi="Arial Narrow" w:cs="Arial"/>
                <w:sz w:val="18"/>
                <w:szCs w:val="18"/>
              </w:rPr>
              <w:t>Ciudad Agroalimentaria de Tudela, S.L. (CAT)</w:t>
            </w:r>
          </w:p>
        </w:tc>
        <w:tc>
          <w:tcPr>
            <w:tcW w:w="649" w:type="dxa"/>
          </w:tcPr>
          <w:p w14:paraId="0D380FED" w14:textId="77777777" w:rsidR="00D52A3C" w:rsidRPr="00C97700" w:rsidRDefault="00D52A3C" w:rsidP="00D52A3C">
            <w:pPr>
              <w:ind w:left="-94"/>
              <w:jc w:val="right"/>
              <w:rPr>
                <w:rFonts w:ascii="Arial Narrow" w:hAnsi="Arial Narrow" w:cs="Arial"/>
                <w:sz w:val="18"/>
                <w:szCs w:val="18"/>
              </w:rPr>
            </w:pPr>
          </w:p>
        </w:tc>
        <w:tc>
          <w:tcPr>
            <w:tcW w:w="1228" w:type="dxa"/>
            <w:tcBorders>
              <w:right w:val="single" w:sz="4" w:space="0" w:color="auto"/>
            </w:tcBorders>
            <w:vAlign w:val="center"/>
            <w:hideMark/>
          </w:tcPr>
          <w:p w14:paraId="3AC7B6F0" w14:textId="77777777" w:rsidR="00D52A3C" w:rsidRPr="00C97700" w:rsidRDefault="00D52A3C" w:rsidP="00D52A3C">
            <w:pPr>
              <w:ind w:left="-94"/>
              <w:jc w:val="right"/>
              <w:rPr>
                <w:rFonts w:ascii="Arial Narrow" w:hAnsi="Arial Narrow" w:cs="Arial"/>
                <w:sz w:val="18"/>
                <w:szCs w:val="18"/>
              </w:rPr>
            </w:pPr>
            <w:r w:rsidRPr="00C97700">
              <w:rPr>
                <w:rFonts w:ascii="Arial Narrow" w:hAnsi="Arial Narrow" w:cs="Arial"/>
                <w:sz w:val="18"/>
                <w:szCs w:val="18"/>
              </w:rPr>
              <w:t>100</w:t>
            </w:r>
          </w:p>
        </w:tc>
        <w:tc>
          <w:tcPr>
            <w:tcW w:w="3450" w:type="dxa"/>
            <w:tcBorders>
              <w:left w:val="single" w:sz="4" w:space="0" w:color="auto"/>
            </w:tcBorders>
            <w:vAlign w:val="center"/>
            <w:hideMark/>
          </w:tcPr>
          <w:p w14:paraId="1AC1E5BD" w14:textId="77777777" w:rsidR="00D52A3C" w:rsidRPr="00C97700" w:rsidRDefault="00D52A3C" w:rsidP="00D52A3C">
            <w:pPr>
              <w:ind w:left="-27"/>
              <w:rPr>
                <w:rFonts w:ascii="Arial Narrow" w:hAnsi="Arial Narrow" w:cs="Arial"/>
                <w:sz w:val="18"/>
                <w:szCs w:val="18"/>
              </w:rPr>
            </w:pPr>
            <w:r w:rsidRPr="00C97700">
              <w:rPr>
                <w:rFonts w:ascii="Arial Narrow" w:hAnsi="Arial Narrow" w:cs="Arial"/>
                <w:sz w:val="18"/>
                <w:szCs w:val="18"/>
              </w:rPr>
              <w:t>Agroalimentación</w:t>
            </w:r>
          </w:p>
        </w:tc>
      </w:tr>
      <w:tr w:rsidR="00D52A3C" w:rsidRPr="000D7CCD" w14:paraId="7F8EFCC6" w14:textId="77777777" w:rsidTr="00D52A3C">
        <w:trPr>
          <w:trHeight w:val="198"/>
          <w:jc w:val="center"/>
        </w:trPr>
        <w:tc>
          <w:tcPr>
            <w:tcW w:w="3462" w:type="dxa"/>
            <w:vAlign w:val="center"/>
            <w:hideMark/>
          </w:tcPr>
          <w:p w14:paraId="14AF19EE" w14:textId="77777777" w:rsidR="00D52A3C" w:rsidRPr="00C97700" w:rsidRDefault="00D52A3C" w:rsidP="000D7CCD">
            <w:pPr>
              <w:rPr>
                <w:rFonts w:ascii="Arial Narrow" w:hAnsi="Arial Narrow" w:cs="Arial"/>
                <w:sz w:val="18"/>
                <w:szCs w:val="18"/>
              </w:rPr>
            </w:pPr>
            <w:r w:rsidRPr="00C97700">
              <w:rPr>
                <w:rFonts w:ascii="Arial Narrow" w:hAnsi="Arial Narrow" w:cs="Arial"/>
                <w:sz w:val="18"/>
                <w:szCs w:val="18"/>
              </w:rPr>
              <w:t>Gestión Ambiental de Navarra, S.A. (GAN)</w:t>
            </w:r>
          </w:p>
        </w:tc>
        <w:tc>
          <w:tcPr>
            <w:tcW w:w="649" w:type="dxa"/>
          </w:tcPr>
          <w:p w14:paraId="1C828599" w14:textId="77777777" w:rsidR="00D52A3C" w:rsidRPr="00C97700" w:rsidRDefault="00D52A3C" w:rsidP="00D52A3C">
            <w:pPr>
              <w:ind w:left="-94"/>
              <w:jc w:val="right"/>
              <w:rPr>
                <w:rFonts w:ascii="Arial Narrow" w:hAnsi="Arial Narrow" w:cs="Arial"/>
                <w:sz w:val="18"/>
                <w:szCs w:val="18"/>
              </w:rPr>
            </w:pPr>
          </w:p>
        </w:tc>
        <w:tc>
          <w:tcPr>
            <w:tcW w:w="1228" w:type="dxa"/>
            <w:tcBorders>
              <w:right w:val="single" w:sz="4" w:space="0" w:color="auto"/>
            </w:tcBorders>
            <w:vAlign w:val="center"/>
            <w:hideMark/>
          </w:tcPr>
          <w:p w14:paraId="564BF2A8" w14:textId="77777777" w:rsidR="00D52A3C" w:rsidRPr="00C97700" w:rsidRDefault="00D52A3C" w:rsidP="00D52A3C">
            <w:pPr>
              <w:ind w:left="-94"/>
              <w:jc w:val="right"/>
              <w:rPr>
                <w:rFonts w:ascii="Arial Narrow" w:hAnsi="Arial Narrow" w:cs="Arial"/>
                <w:sz w:val="18"/>
                <w:szCs w:val="18"/>
              </w:rPr>
            </w:pPr>
            <w:r w:rsidRPr="00C97700">
              <w:rPr>
                <w:rFonts w:ascii="Arial Narrow" w:hAnsi="Arial Narrow" w:cs="Arial"/>
                <w:sz w:val="18"/>
                <w:szCs w:val="18"/>
              </w:rPr>
              <w:t>100</w:t>
            </w:r>
          </w:p>
        </w:tc>
        <w:tc>
          <w:tcPr>
            <w:tcW w:w="3450" w:type="dxa"/>
            <w:tcBorders>
              <w:left w:val="single" w:sz="4" w:space="0" w:color="auto"/>
            </w:tcBorders>
            <w:vAlign w:val="center"/>
            <w:hideMark/>
          </w:tcPr>
          <w:p w14:paraId="3AA8FA16" w14:textId="77777777" w:rsidR="00D52A3C" w:rsidRPr="00C97700" w:rsidRDefault="00D52A3C" w:rsidP="00D52A3C">
            <w:pPr>
              <w:ind w:left="-27"/>
              <w:rPr>
                <w:rFonts w:ascii="Arial Narrow" w:hAnsi="Arial Narrow" w:cs="Arial"/>
                <w:sz w:val="18"/>
                <w:szCs w:val="18"/>
              </w:rPr>
            </w:pPr>
            <w:r w:rsidRPr="00C97700">
              <w:rPr>
                <w:rFonts w:ascii="Arial Narrow" w:hAnsi="Arial Narrow" w:cs="Arial"/>
                <w:sz w:val="18"/>
                <w:szCs w:val="18"/>
              </w:rPr>
              <w:t>Medio ambiente</w:t>
            </w:r>
          </w:p>
        </w:tc>
      </w:tr>
      <w:tr w:rsidR="00D52A3C" w:rsidRPr="000D7CCD" w14:paraId="0328D63F" w14:textId="77777777" w:rsidTr="00D52A3C">
        <w:trPr>
          <w:trHeight w:val="136"/>
          <w:jc w:val="center"/>
        </w:trPr>
        <w:tc>
          <w:tcPr>
            <w:tcW w:w="3462" w:type="dxa"/>
            <w:vAlign w:val="center"/>
            <w:hideMark/>
          </w:tcPr>
          <w:p w14:paraId="2B842F84" w14:textId="77777777" w:rsidR="00D52A3C" w:rsidRPr="00C97700" w:rsidRDefault="00D52A3C" w:rsidP="000D7CCD">
            <w:pPr>
              <w:rPr>
                <w:rFonts w:ascii="Arial Narrow" w:hAnsi="Arial Narrow" w:cs="Arial"/>
                <w:sz w:val="18"/>
                <w:szCs w:val="18"/>
              </w:rPr>
            </w:pPr>
            <w:r w:rsidRPr="00C97700">
              <w:rPr>
                <w:rFonts w:ascii="Arial Narrow" w:hAnsi="Arial Narrow" w:cs="Arial"/>
                <w:sz w:val="18"/>
                <w:szCs w:val="18"/>
              </w:rPr>
              <w:t xml:space="preserve">Instituto Navarro de Tecnologías e Infraestructuras </w:t>
            </w:r>
          </w:p>
          <w:p w14:paraId="091FB0E6" w14:textId="77777777" w:rsidR="00D52A3C" w:rsidRPr="00C97700" w:rsidRDefault="00D52A3C" w:rsidP="000D7CCD">
            <w:pPr>
              <w:rPr>
                <w:rFonts w:ascii="Arial Narrow" w:hAnsi="Arial Narrow" w:cs="Arial"/>
                <w:sz w:val="18"/>
                <w:szCs w:val="18"/>
              </w:rPr>
            </w:pPr>
            <w:r w:rsidRPr="00C97700">
              <w:rPr>
                <w:rFonts w:ascii="Arial Narrow" w:hAnsi="Arial Narrow" w:cs="Arial"/>
                <w:sz w:val="18"/>
                <w:szCs w:val="18"/>
              </w:rPr>
              <w:t>Agroalimentarias, S.A. (</w:t>
            </w:r>
            <w:proofErr w:type="spellStart"/>
            <w:r w:rsidRPr="00C97700">
              <w:rPr>
                <w:rFonts w:ascii="Arial Narrow" w:hAnsi="Arial Narrow" w:cs="Arial"/>
                <w:sz w:val="18"/>
                <w:szCs w:val="18"/>
              </w:rPr>
              <w:t>Intia</w:t>
            </w:r>
            <w:proofErr w:type="spellEnd"/>
            <w:r w:rsidRPr="00C97700">
              <w:rPr>
                <w:rFonts w:ascii="Arial Narrow" w:hAnsi="Arial Narrow" w:cs="Arial"/>
                <w:sz w:val="18"/>
                <w:szCs w:val="18"/>
              </w:rPr>
              <w:t>)</w:t>
            </w:r>
          </w:p>
        </w:tc>
        <w:tc>
          <w:tcPr>
            <w:tcW w:w="649" w:type="dxa"/>
          </w:tcPr>
          <w:p w14:paraId="1FD22825" w14:textId="77777777" w:rsidR="00D52A3C" w:rsidRPr="00C97700" w:rsidRDefault="00D52A3C" w:rsidP="00D52A3C">
            <w:pPr>
              <w:ind w:left="-94"/>
              <w:jc w:val="right"/>
              <w:rPr>
                <w:rFonts w:ascii="Arial Narrow" w:hAnsi="Arial Narrow" w:cs="Arial"/>
                <w:sz w:val="18"/>
                <w:szCs w:val="18"/>
              </w:rPr>
            </w:pPr>
          </w:p>
        </w:tc>
        <w:tc>
          <w:tcPr>
            <w:tcW w:w="1228" w:type="dxa"/>
            <w:tcBorders>
              <w:right w:val="single" w:sz="4" w:space="0" w:color="auto"/>
            </w:tcBorders>
            <w:vAlign w:val="center"/>
            <w:hideMark/>
          </w:tcPr>
          <w:p w14:paraId="5C5ADCF2" w14:textId="77777777" w:rsidR="00D52A3C" w:rsidRPr="00C97700" w:rsidRDefault="00D52A3C" w:rsidP="00D52A3C">
            <w:pPr>
              <w:ind w:left="-94"/>
              <w:jc w:val="right"/>
              <w:rPr>
                <w:rFonts w:ascii="Arial Narrow" w:hAnsi="Arial Narrow" w:cs="Arial"/>
                <w:sz w:val="18"/>
                <w:szCs w:val="18"/>
              </w:rPr>
            </w:pPr>
            <w:r w:rsidRPr="00C97700">
              <w:rPr>
                <w:rFonts w:ascii="Arial Narrow" w:hAnsi="Arial Narrow" w:cs="Arial"/>
                <w:sz w:val="18"/>
                <w:szCs w:val="18"/>
              </w:rPr>
              <w:t>100</w:t>
            </w:r>
          </w:p>
        </w:tc>
        <w:tc>
          <w:tcPr>
            <w:tcW w:w="3450" w:type="dxa"/>
            <w:tcBorders>
              <w:left w:val="single" w:sz="4" w:space="0" w:color="auto"/>
            </w:tcBorders>
            <w:vAlign w:val="center"/>
            <w:hideMark/>
          </w:tcPr>
          <w:p w14:paraId="24DB1106" w14:textId="77777777" w:rsidR="00D52A3C" w:rsidRPr="00C97700" w:rsidRDefault="00D52A3C" w:rsidP="00D52A3C">
            <w:pPr>
              <w:ind w:left="-27"/>
              <w:rPr>
                <w:rFonts w:ascii="Arial Narrow" w:hAnsi="Arial Narrow" w:cs="Arial"/>
                <w:sz w:val="18"/>
                <w:szCs w:val="18"/>
              </w:rPr>
            </w:pPr>
            <w:r w:rsidRPr="00C97700">
              <w:rPr>
                <w:rFonts w:ascii="Arial Narrow" w:hAnsi="Arial Narrow" w:cs="Arial"/>
                <w:sz w:val="18"/>
                <w:szCs w:val="18"/>
              </w:rPr>
              <w:t>Agroalimentación</w:t>
            </w:r>
          </w:p>
        </w:tc>
      </w:tr>
      <w:tr w:rsidR="00D52A3C" w:rsidRPr="000D7CCD" w14:paraId="7BB69781" w14:textId="77777777" w:rsidTr="00D52A3C">
        <w:trPr>
          <w:trHeight w:val="198"/>
          <w:jc w:val="center"/>
        </w:trPr>
        <w:tc>
          <w:tcPr>
            <w:tcW w:w="3462" w:type="dxa"/>
            <w:vAlign w:val="center"/>
          </w:tcPr>
          <w:p w14:paraId="50AFD1CD" w14:textId="77777777" w:rsidR="00D52A3C" w:rsidRPr="00C97700" w:rsidRDefault="00D52A3C" w:rsidP="000D7CCD">
            <w:pPr>
              <w:rPr>
                <w:rFonts w:ascii="Arial Narrow" w:hAnsi="Arial Narrow" w:cs="Arial"/>
                <w:sz w:val="18"/>
                <w:szCs w:val="18"/>
              </w:rPr>
            </w:pPr>
            <w:r w:rsidRPr="00C97700">
              <w:rPr>
                <w:rFonts w:ascii="Arial Narrow" w:hAnsi="Arial Narrow" w:cs="Arial"/>
                <w:sz w:val="18"/>
                <w:szCs w:val="18"/>
              </w:rPr>
              <w:t>Instituto Navarro de Inversiones S.L.U. (INI)</w:t>
            </w:r>
          </w:p>
        </w:tc>
        <w:tc>
          <w:tcPr>
            <w:tcW w:w="649" w:type="dxa"/>
          </w:tcPr>
          <w:p w14:paraId="0410980B" w14:textId="77777777" w:rsidR="00D52A3C" w:rsidRPr="00C97700" w:rsidRDefault="00D52A3C" w:rsidP="00D52A3C">
            <w:pPr>
              <w:ind w:left="-94"/>
              <w:jc w:val="right"/>
              <w:rPr>
                <w:rFonts w:ascii="Arial Narrow" w:hAnsi="Arial Narrow" w:cs="Arial"/>
                <w:sz w:val="18"/>
                <w:szCs w:val="18"/>
              </w:rPr>
            </w:pPr>
          </w:p>
        </w:tc>
        <w:tc>
          <w:tcPr>
            <w:tcW w:w="1228" w:type="dxa"/>
            <w:tcBorders>
              <w:right w:val="single" w:sz="4" w:space="0" w:color="auto"/>
            </w:tcBorders>
            <w:vAlign w:val="center"/>
          </w:tcPr>
          <w:p w14:paraId="0BA59E10" w14:textId="77777777" w:rsidR="00D52A3C" w:rsidRPr="00C97700" w:rsidRDefault="00D52A3C" w:rsidP="00D52A3C">
            <w:pPr>
              <w:ind w:left="-94"/>
              <w:jc w:val="right"/>
              <w:rPr>
                <w:rFonts w:ascii="Arial Narrow" w:hAnsi="Arial Narrow" w:cs="Arial"/>
                <w:sz w:val="18"/>
                <w:szCs w:val="18"/>
              </w:rPr>
            </w:pPr>
            <w:r w:rsidRPr="00C97700">
              <w:rPr>
                <w:rFonts w:ascii="Arial Narrow" w:hAnsi="Arial Narrow" w:cs="Arial"/>
                <w:sz w:val="18"/>
                <w:szCs w:val="18"/>
              </w:rPr>
              <w:t>100</w:t>
            </w:r>
          </w:p>
        </w:tc>
        <w:tc>
          <w:tcPr>
            <w:tcW w:w="3450" w:type="dxa"/>
            <w:tcBorders>
              <w:left w:val="single" w:sz="4" w:space="0" w:color="auto"/>
            </w:tcBorders>
            <w:vAlign w:val="center"/>
          </w:tcPr>
          <w:p w14:paraId="6BAD8AE6" w14:textId="77777777" w:rsidR="00D52A3C" w:rsidRPr="00C97700" w:rsidRDefault="00D52A3C" w:rsidP="00D52A3C">
            <w:pPr>
              <w:ind w:left="-27"/>
              <w:rPr>
                <w:rFonts w:ascii="Arial Narrow" w:hAnsi="Arial Narrow" w:cs="Arial"/>
                <w:sz w:val="18"/>
                <w:szCs w:val="18"/>
              </w:rPr>
            </w:pPr>
            <w:r w:rsidRPr="00C97700">
              <w:rPr>
                <w:rFonts w:ascii="Arial Narrow" w:hAnsi="Arial Narrow" w:cs="Arial"/>
                <w:sz w:val="18"/>
                <w:szCs w:val="18"/>
              </w:rPr>
              <w:t>Aportación de recursos financieros a empresas</w:t>
            </w:r>
          </w:p>
        </w:tc>
      </w:tr>
      <w:tr w:rsidR="00D52A3C" w:rsidRPr="000D7CCD" w14:paraId="502015FC" w14:textId="77777777" w:rsidTr="00D52A3C">
        <w:trPr>
          <w:trHeight w:val="198"/>
          <w:jc w:val="center"/>
        </w:trPr>
        <w:tc>
          <w:tcPr>
            <w:tcW w:w="3462" w:type="dxa"/>
            <w:vAlign w:val="center"/>
          </w:tcPr>
          <w:p w14:paraId="26DF3D1B" w14:textId="77777777" w:rsidR="00D52A3C" w:rsidRPr="00C97700" w:rsidRDefault="00D52A3C" w:rsidP="000D7CCD">
            <w:pPr>
              <w:rPr>
                <w:rFonts w:ascii="Arial Narrow" w:hAnsi="Arial Narrow" w:cs="Arial"/>
                <w:sz w:val="18"/>
                <w:szCs w:val="18"/>
              </w:rPr>
            </w:pPr>
            <w:proofErr w:type="spellStart"/>
            <w:r w:rsidRPr="00C97700">
              <w:rPr>
                <w:rFonts w:ascii="Arial Narrow" w:hAnsi="Arial Narrow" w:cs="Arial"/>
                <w:sz w:val="18"/>
                <w:szCs w:val="18"/>
              </w:rPr>
              <w:t>Nafarbide</w:t>
            </w:r>
            <w:proofErr w:type="spellEnd"/>
            <w:r w:rsidRPr="00C97700">
              <w:rPr>
                <w:rFonts w:ascii="Arial Narrow" w:hAnsi="Arial Narrow" w:cs="Arial"/>
                <w:sz w:val="18"/>
                <w:szCs w:val="18"/>
              </w:rPr>
              <w:t xml:space="preserve"> </w:t>
            </w:r>
          </w:p>
        </w:tc>
        <w:tc>
          <w:tcPr>
            <w:tcW w:w="649" w:type="dxa"/>
          </w:tcPr>
          <w:p w14:paraId="5D37F76B" w14:textId="77777777" w:rsidR="00D52A3C" w:rsidRPr="00C97700" w:rsidRDefault="00D52A3C" w:rsidP="00D52A3C">
            <w:pPr>
              <w:ind w:left="-94"/>
              <w:jc w:val="right"/>
              <w:rPr>
                <w:rFonts w:ascii="Arial Narrow" w:hAnsi="Arial Narrow" w:cs="Arial"/>
                <w:sz w:val="18"/>
                <w:szCs w:val="18"/>
              </w:rPr>
            </w:pPr>
          </w:p>
        </w:tc>
        <w:tc>
          <w:tcPr>
            <w:tcW w:w="1228" w:type="dxa"/>
            <w:tcBorders>
              <w:right w:val="single" w:sz="4" w:space="0" w:color="auto"/>
            </w:tcBorders>
            <w:vAlign w:val="center"/>
          </w:tcPr>
          <w:p w14:paraId="471BB011" w14:textId="77777777" w:rsidR="00D52A3C" w:rsidRPr="00C97700" w:rsidRDefault="00D52A3C" w:rsidP="00D52A3C">
            <w:pPr>
              <w:ind w:left="-94"/>
              <w:jc w:val="right"/>
              <w:rPr>
                <w:rFonts w:ascii="Arial Narrow" w:hAnsi="Arial Narrow" w:cs="Arial"/>
                <w:sz w:val="18"/>
                <w:szCs w:val="18"/>
              </w:rPr>
            </w:pPr>
            <w:r w:rsidRPr="00C97700">
              <w:rPr>
                <w:rFonts w:ascii="Arial Narrow" w:hAnsi="Arial Narrow" w:cs="Arial"/>
                <w:sz w:val="18"/>
                <w:szCs w:val="18"/>
              </w:rPr>
              <w:t>100</w:t>
            </w:r>
          </w:p>
        </w:tc>
        <w:tc>
          <w:tcPr>
            <w:tcW w:w="3450" w:type="dxa"/>
            <w:tcBorders>
              <w:left w:val="single" w:sz="4" w:space="0" w:color="auto"/>
            </w:tcBorders>
            <w:vAlign w:val="center"/>
          </w:tcPr>
          <w:p w14:paraId="0C3E611C" w14:textId="77777777" w:rsidR="00D52A3C" w:rsidRPr="00C97700" w:rsidRDefault="00D52A3C" w:rsidP="00D52A3C">
            <w:pPr>
              <w:ind w:left="-27"/>
              <w:rPr>
                <w:rFonts w:ascii="Arial Narrow" w:hAnsi="Arial Narrow" w:cs="Arial"/>
                <w:sz w:val="18"/>
                <w:szCs w:val="18"/>
              </w:rPr>
            </w:pPr>
            <w:r w:rsidRPr="00C97700">
              <w:rPr>
                <w:rFonts w:ascii="Arial Narrow" w:hAnsi="Arial Narrow" w:cs="Arial"/>
                <w:sz w:val="18"/>
                <w:szCs w:val="18"/>
              </w:rPr>
              <w:t>Conservación y mantenimiento de infraestructuras viarias</w:t>
            </w:r>
          </w:p>
        </w:tc>
      </w:tr>
      <w:tr w:rsidR="00D52A3C" w:rsidRPr="000D7CCD" w14:paraId="0BDFC580" w14:textId="77777777" w:rsidTr="00D52A3C">
        <w:trPr>
          <w:trHeight w:val="198"/>
          <w:jc w:val="center"/>
        </w:trPr>
        <w:tc>
          <w:tcPr>
            <w:tcW w:w="3462" w:type="dxa"/>
            <w:vAlign w:val="center"/>
            <w:hideMark/>
          </w:tcPr>
          <w:p w14:paraId="79F841D4" w14:textId="77777777" w:rsidR="00D52A3C" w:rsidRPr="00C97700" w:rsidRDefault="00D52A3C" w:rsidP="000D7CCD">
            <w:pPr>
              <w:rPr>
                <w:rFonts w:ascii="Arial Narrow" w:hAnsi="Arial Narrow" w:cs="Arial"/>
                <w:sz w:val="18"/>
                <w:szCs w:val="18"/>
              </w:rPr>
            </w:pPr>
            <w:r w:rsidRPr="00C97700">
              <w:rPr>
                <w:rFonts w:ascii="Arial Narrow" w:hAnsi="Arial Narrow" w:cs="Arial"/>
                <w:sz w:val="18"/>
                <w:szCs w:val="18"/>
              </w:rPr>
              <w:t>Navarra Impulsa Cultura, Deporte y Ocio, S.L. (NICDO)</w:t>
            </w:r>
          </w:p>
        </w:tc>
        <w:tc>
          <w:tcPr>
            <w:tcW w:w="649" w:type="dxa"/>
          </w:tcPr>
          <w:p w14:paraId="440267B0" w14:textId="77777777" w:rsidR="00D52A3C" w:rsidRPr="00C97700" w:rsidRDefault="00D52A3C" w:rsidP="00D52A3C">
            <w:pPr>
              <w:ind w:left="-94"/>
              <w:jc w:val="right"/>
              <w:rPr>
                <w:rFonts w:ascii="Arial Narrow" w:hAnsi="Arial Narrow" w:cs="Arial"/>
                <w:sz w:val="18"/>
                <w:szCs w:val="18"/>
              </w:rPr>
            </w:pPr>
          </w:p>
        </w:tc>
        <w:tc>
          <w:tcPr>
            <w:tcW w:w="1228" w:type="dxa"/>
            <w:tcBorders>
              <w:right w:val="single" w:sz="4" w:space="0" w:color="auto"/>
            </w:tcBorders>
            <w:vAlign w:val="center"/>
            <w:hideMark/>
          </w:tcPr>
          <w:p w14:paraId="2B50A694" w14:textId="77777777" w:rsidR="00D52A3C" w:rsidRPr="00C97700" w:rsidRDefault="00D52A3C" w:rsidP="00D52A3C">
            <w:pPr>
              <w:ind w:left="-94"/>
              <w:jc w:val="right"/>
              <w:rPr>
                <w:rFonts w:ascii="Arial Narrow" w:hAnsi="Arial Narrow" w:cs="Arial"/>
                <w:sz w:val="18"/>
                <w:szCs w:val="18"/>
              </w:rPr>
            </w:pPr>
            <w:r w:rsidRPr="00C97700">
              <w:rPr>
                <w:rFonts w:ascii="Arial Narrow" w:hAnsi="Arial Narrow" w:cs="Arial"/>
                <w:sz w:val="18"/>
                <w:szCs w:val="18"/>
              </w:rPr>
              <w:t>100</w:t>
            </w:r>
          </w:p>
        </w:tc>
        <w:tc>
          <w:tcPr>
            <w:tcW w:w="3450" w:type="dxa"/>
            <w:tcBorders>
              <w:left w:val="single" w:sz="4" w:space="0" w:color="auto"/>
            </w:tcBorders>
            <w:vAlign w:val="center"/>
            <w:hideMark/>
          </w:tcPr>
          <w:p w14:paraId="501334DC" w14:textId="77777777" w:rsidR="00D52A3C" w:rsidRPr="00C97700" w:rsidRDefault="00D52A3C" w:rsidP="00D52A3C">
            <w:pPr>
              <w:ind w:left="-27"/>
              <w:rPr>
                <w:rFonts w:ascii="Arial Narrow" w:hAnsi="Arial Narrow" w:cs="Arial"/>
                <w:sz w:val="18"/>
                <w:szCs w:val="18"/>
              </w:rPr>
            </w:pPr>
            <w:r w:rsidRPr="00C97700">
              <w:rPr>
                <w:rFonts w:ascii="Arial Narrow" w:hAnsi="Arial Narrow" w:cs="Arial"/>
                <w:sz w:val="18"/>
                <w:szCs w:val="18"/>
              </w:rPr>
              <w:t xml:space="preserve">Infraestructuras </w:t>
            </w:r>
            <w:proofErr w:type="spellStart"/>
            <w:r w:rsidRPr="00C97700">
              <w:rPr>
                <w:rFonts w:ascii="Arial Narrow" w:hAnsi="Arial Narrow" w:cs="Arial"/>
                <w:sz w:val="18"/>
                <w:szCs w:val="18"/>
              </w:rPr>
              <w:t>temáticas,culturales</w:t>
            </w:r>
            <w:proofErr w:type="spellEnd"/>
            <w:r w:rsidRPr="00C97700">
              <w:rPr>
                <w:rFonts w:ascii="Arial Narrow" w:hAnsi="Arial Narrow" w:cs="Arial"/>
                <w:sz w:val="18"/>
                <w:szCs w:val="18"/>
              </w:rPr>
              <w:t>, ocio y deporte</w:t>
            </w:r>
          </w:p>
        </w:tc>
      </w:tr>
      <w:tr w:rsidR="00D52A3C" w:rsidRPr="000D7CCD" w14:paraId="165F50F6" w14:textId="77777777" w:rsidTr="00D52A3C">
        <w:trPr>
          <w:trHeight w:val="198"/>
          <w:jc w:val="center"/>
        </w:trPr>
        <w:tc>
          <w:tcPr>
            <w:tcW w:w="3462" w:type="dxa"/>
            <w:vAlign w:val="center"/>
            <w:hideMark/>
          </w:tcPr>
          <w:p w14:paraId="22A8705B" w14:textId="77777777" w:rsidR="00D52A3C" w:rsidRPr="00C97700" w:rsidRDefault="00D52A3C" w:rsidP="000D7CCD">
            <w:pPr>
              <w:rPr>
                <w:rFonts w:ascii="Arial Narrow" w:hAnsi="Arial Narrow" w:cs="Arial"/>
                <w:sz w:val="18"/>
                <w:szCs w:val="18"/>
              </w:rPr>
            </w:pPr>
            <w:r w:rsidRPr="00C97700">
              <w:rPr>
                <w:rFonts w:ascii="Arial Narrow" w:hAnsi="Arial Narrow" w:cs="Arial"/>
                <w:sz w:val="18"/>
                <w:szCs w:val="18"/>
              </w:rPr>
              <w:t>Navarra de Infraestructuras Locales, S.A. (Nilsa)</w:t>
            </w:r>
          </w:p>
        </w:tc>
        <w:tc>
          <w:tcPr>
            <w:tcW w:w="649" w:type="dxa"/>
          </w:tcPr>
          <w:p w14:paraId="32EB1705" w14:textId="77777777" w:rsidR="00D52A3C" w:rsidRPr="00C97700" w:rsidRDefault="00D52A3C" w:rsidP="00D52A3C">
            <w:pPr>
              <w:ind w:left="-94"/>
              <w:jc w:val="right"/>
              <w:rPr>
                <w:rFonts w:ascii="Arial Narrow" w:hAnsi="Arial Narrow" w:cs="Arial"/>
                <w:sz w:val="18"/>
                <w:szCs w:val="18"/>
              </w:rPr>
            </w:pPr>
          </w:p>
        </w:tc>
        <w:tc>
          <w:tcPr>
            <w:tcW w:w="1228" w:type="dxa"/>
            <w:tcBorders>
              <w:right w:val="single" w:sz="4" w:space="0" w:color="auto"/>
            </w:tcBorders>
            <w:vAlign w:val="center"/>
            <w:hideMark/>
          </w:tcPr>
          <w:p w14:paraId="7FDEEAFC" w14:textId="77777777" w:rsidR="00D52A3C" w:rsidRPr="00C97700" w:rsidRDefault="00D52A3C" w:rsidP="00D52A3C">
            <w:pPr>
              <w:ind w:left="-94"/>
              <w:jc w:val="right"/>
              <w:rPr>
                <w:rFonts w:ascii="Arial Narrow" w:hAnsi="Arial Narrow" w:cs="Arial"/>
                <w:sz w:val="18"/>
                <w:szCs w:val="18"/>
              </w:rPr>
            </w:pPr>
            <w:r w:rsidRPr="00C97700">
              <w:rPr>
                <w:rFonts w:ascii="Arial Narrow" w:hAnsi="Arial Narrow" w:cs="Arial"/>
                <w:sz w:val="18"/>
                <w:szCs w:val="18"/>
              </w:rPr>
              <w:t>100</w:t>
            </w:r>
          </w:p>
        </w:tc>
        <w:tc>
          <w:tcPr>
            <w:tcW w:w="3450" w:type="dxa"/>
            <w:tcBorders>
              <w:left w:val="single" w:sz="4" w:space="0" w:color="auto"/>
            </w:tcBorders>
            <w:vAlign w:val="center"/>
            <w:hideMark/>
          </w:tcPr>
          <w:p w14:paraId="25E9D363" w14:textId="77777777" w:rsidR="00D52A3C" w:rsidRPr="00C97700" w:rsidRDefault="00D52A3C" w:rsidP="00D52A3C">
            <w:pPr>
              <w:ind w:left="-27"/>
              <w:rPr>
                <w:rFonts w:ascii="Arial Narrow" w:hAnsi="Arial Narrow" w:cs="Arial"/>
                <w:sz w:val="18"/>
                <w:szCs w:val="18"/>
              </w:rPr>
            </w:pPr>
            <w:r w:rsidRPr="00C97700">
              <w:rPr>
                <w:rFonts w:ascii="Arial Narrow" w:hAnsi="Arial Narrow" w:cs="Arial"/>
                <w:sz w:val="18"/>
                <w:szCs w:val="18"/>
              </w:rPr>
              <w:t>Infraestructuras locales</w:t>
            </w:r>
          </w:p>
        </w:tc>
      </w:tr>
      <w:tr w:rsidR="00D52A3C" w:rsidRPr="000D7CCD" w14:paraId="563FF6D4" w14:textId="77777777" w:rsidTr="00D52A3C">
        <w:trPr>
          <w:trHeight w:val="198"/>
          <w:jc w:val="center"/>
        </w:trPr>
        <w:tc>
          <w:tcPr>
            <w:tcW w:w="3462" w:type="dxa"/>
            <w:vAlign w:val="center"/>
            <w:hideMark/>
          </w:tcPr>
          <w:p w14:paraId="61B1B898" w14:textId="77777777" w:rsidR="00D52A3C" w:rsidRPr="00C97700" w:rsidRDefault="00D52A3C" w:rsidP="000D7CCD">
            <w:pPr>
              <w:rPr>
                <w:rFonts w:ascii="Arial Narrow" w:hAnsi="Arial Narrow" w:cs="Arial"/>
                <w:sz w:val="18"/>
                <w:szCs w:val="18"/>
              </w:rPr>
            </w:pPr>
            <w:r w:rsidRPr="00C97700">
              <w:rPr>
                <w:rFonts w:ascii="Arial Narrow" w:hAnsi="Arial Narrow" w:cs="Arial"/>
                <w:sz w:val="18"/>
                <w:szCs w:val="18"/>
              </w:rPr>
              <w:t>Navarra de Servicios y Tecnologías, S.A. (</w:t>
            </w:r>
            <w:proofErr w:type="spellStart"/>
            <w:r w:rsidRPr="00C97700">
              <w:rPr>
                <w:rFonts w:ascii="Arial Narrow" w:hAnsi="Arial Narrow" w:cs="Arial"/>
                <w:sz w:val="18"/>
                <w:szCs w:val="18"/>
              </w:rPr>
              <w:t>Nasertic</w:t>
            </w:r>
            <w:proofErr w:type="spellEnd"/>
            <w:r w:rsidRPr="00C97700">
              <w:rPr>
                <w:rFonts w:ascii="Arial Narrow" w:hAnsi="Arial Narrow" w:cs="Arial"/>
                <w:sz w:val="18"/>
                <w:szCs w:val="18"/>
              </w:rPr>
              <w:t>)</w:t>
            </w:r>
          </w:p>
        </w:tc>
        <w:tc>
          <w:tcPr>
            <w:tcW w:w="649" w:type="dxa"/>
          </w:tcPr>
          <w:p w14:paraId="7A038724" w14:textId="77777777" w:rsidR="00D52A3C" w:rsidRPr="00C97700" w:rsidRDefault="00D52A3C" w:rsidP="00D52A3C">
            <w:pPr>
              <w:ind w:left="-94"/>
              <w:jc w:val="right"/>
              <w:rPr>
                <w:rFonts w:ascii="Arial Narrow" w:hAnsi="Arial Narrow" w:cs="Arial"/>
                <w:sz w:val="18"/>
                <w:szCs w:val="18"/>
              </w:rPr>
            </w:pPr>
          </w:p>
        </w:tc>
        <w:tc>
          <w:tcPr>
            <w:tcW w:w="1228" w:type="dxa"/>
            <w:tcBorders>
              <w:right w:val="single" w:sz="4" w:space="0" w:color="auto"/>
            </w:tcBorders>
            <w:vAlign w:val="center"/>
            <w:hideMark/>
          </w:tcPr>
          <w:p w14:paraId="74646DCE" w14:textId="77777777" w:rsidR="00D52A3C" w:rsidRPr="00C97700" w:rsidRDefault="00D52A3C" w:rsidP="00D52A3C">
            <w:pPr>
              <w:ind w:left="-94"/>
              <w:jc w:val="right"/>
              <w:rPr>
                <w:rFonts w:ascii="Arial Narrow" w:hAnsi="Arial Narrow" w:cs="Arial"/>
                <w:sz w:val="18"/>
                <w:szCs w:val="18"/>
              </w:rPr>
            </w:pPr>
            <w:r w:rsidRPr="00C97700">
              <w:rPr>
                <w:rFonts w:ascii="Arial Narrow" w:hAnsi="Arial Narrow" w:cs="Arial"/>
                <w:sz w:val="18"/>
                <w:szCs w:val="18"/>
              </w:rPr>
              <w:t>100</w:t>
            </w:r>
          </w:p>
        </w:tc>
        <w:tc>
          <w:tcPr>
            <w:tcW w:w="3450" w:type="dxa"/>
            <w:tcBorders>
              <w:left w:val="single" w:sz="4" w:space="0" w:color="auto"/>
            </w:tcBorders>
            <w:vAlign w:val="center"/>
            <w:hideMark/>
          </w:tcPr>
          <w:p w14:paraId="4BD5703F" w14:textId="77777777" w:rsidR="00D52A3C" w:rsidRPr="00C97700" w:rsidRDefault="00D52A3C" w:rsidP="00D52A3C">
            <w:pPr>
              <w:ind w:left="-27"/>
              <w:rPr>
                <w:rFonts w:ascii="Arial Narrow" w:hAnsi="Arial Narrow" w:cs="Arial"/>
                <w:sz w:val="18"/>
                <w:szCs w:val="18"/>
              </w:rPr>
            </w:pPr>
            <w:r w:rsidRPr="00C97700">
              <w:rPr>
                <w:rFonts w:ascii="Arial Narrow" w:hAnsi="Arial Narrow" w:cs="Arial"/>
                <w:sz w:val="18"/>
                <w:szCs w:val="18"/>
              </w:rPr>
              <w:t>Servicios y tecnología para las AAPP</w:t>
            </w:r>
          </w:p>
        </w:tc>
      </w:tr>
      <w:tr w:rsidR="00D52A3C" w:rsidRPr="000D7CCD" w14:paraId="10A47DF5" w14:textId="77777777" w:rsidTr="00D52A3C">
        <w:trPr>
          <w:trHeight w:val="198"/>
          <w:jc w:val="center"/>
        </w:trPr>
        <w:tc>
          <w:tcPr>
            <w:tcW w:w="3462" w:type="dxa"/>
            <w:vAlign w:val="center"/>
            <w:hideMark/>
          </w:tcPr>
          <w:p w14:paraId="6EED09F7" w14:textId="77777777" w:rsidR="00D52A3C" w:rsidRPr="00C97700" w:rsidRDefault="00D52A3C" w:rsidP="000D7CCD">
            <w:pPr>
              <w:rPr>
                <w:rFonts w:ascii="Arial Narrow" w:hAnsi="Arial Narrow" w:cs="Arial"/>
                <w:sz w:val="18"/>
                <w:szCs w:val="18"/>
              </w:rPr>
            </w:pPr>
            <w:r w:rsidRPr="00C97700">
              <w:rPr>
                <w:rFonts w:ascii="Arial Narrow" w:hAnsi="Arial Narrow" w:cs="Arial"/>
                <w:sz w:val="18"/>
                <w:szCs w:val="18"/>
              </w:rPr>
              <w:t>Navarra de Suelo y Vivienda, S.A. (Nasuvinsa)</w:t>
            </w:r>
          </w:p>
        </w:tc>
        <w:tc>
          <w:tcPr>
            <w:tcW w:w="649" w:type="dxa"/>
          </w:tcPr>
          <w:p w14:paraId="16A4389A" w14:textId="77777777" w:rsidR="00D52A3C" w:rsidRPr="00C97700" w:rsidRDefault="00D52A3C" w:rsidP="00D52A3C">
            <w:pPr>
              <w:ind w:left="-94"/>
              <w:jc w:val="right"/>
              <w:rPr>
                <w:rFonts w:ascii="Arial Narrow" w:hAnsi="Arial Narrow" w:cs="Arial"/>
                <w:sz w:val="18"/>
                <w:szCs w:val="18"/>
              </w:rPr>
            </w:pPr>
          </w:p>
        </w:tc>
        <w:tc>
          <w:tcPr>
            <w:tcW w:w="1228" w:type="dxa"/>
            <w:tcBorders>
              <w:right w:val="single" w:sz="4" w:space="0" w:color="auto"/>
            </w:tcBorders>
            <w:vAlign w:val="center"/>
            <w:hideMark/>
          </w:tcPr>
          <w:p w14:paraId="351C26C4" w14:textId="77777777" w:rsidR="00D52A3C" w:rsidRPr="00C97700" w:rsidRDefault="00D52A3C" w:rsidP="00D52A3C">
            <w:pPr>
              <w:ind w:left="-94"/>
              <w:jc w:val="right"/>
              <w:rPr>
                <w:rFonts w:ascii="Arial Narrow" w:hAnsi="Arial Narrow" w:cs="Arial"/>
                <w:sz w:val="18"/>
                <w:szCs w:val="18"/>
              </w:rPr>
            </w:pPr>
            <w:r w:rsidRPr="00C97700">
              <w:rPr>
                <w:rFonts w:ascii="Arial Narrow" w:hAnsi="Arial Narrow" w:cs="Arial"/>
                <w:sz w:val="18"/>
                <w:szCs w:val="18"/>
              </w:rPr>
              <w:t>100</w:t>
            </w:r>
          </w:p>
        </w:tc>
        <w:tc>
          <w:tcPr>
            <w:tcW w:w="3450" w:type="dxa"/>
            <w:tcBorders>
              <w:left w:val="single" w:sz="4" w:space="0" w:color="auto"/>
            </w:tcBorders>
            <w:vAlign w:val="center"/>
            <w:hideMark/>
          </w:tcPr>
          <w:p w14:paraId="1407F73C" w14:textId="77777777" w:rsidR="00D52A3C" w:rsidRPr="00C97700" w:rsidRDefault="00D52A3C" w:rsidP="00D52A3C">
            <w:pPr>
              <w:ind w:left="-27"/>
              <w:rPr>
                <w:rFonts w:ascii="Arial Narrow" w:hAnsi="Arial Narrow" w:cs="Arial"/>
                <w:sz w:val="18"/>
                <w:szCs w:val="18"/>
              </w:rPr>
            </w:pPr>
            <w:r w:rsidRPr="00C97700">
              <w:rPr>
                <w:rFonts w:ascii="Arial Narrow" w:hAnsi="Arial Narrow" w:cs="Arial"/>
                <w:sz w:val="18"/>
                <w:szCs w:val="18"/>
              </w:rPr>
              <w:t>Suelo y vivienda</w:t>
            </w:r>
          </w:p>
        </w:tc>
      </w:tr>
      <w:tr w:rsidR="00D52A3C" w:rsidRPr="000D7CCD" w14:paraId="63599F88" w14:textId="77777777" w:rsidTr="00D52A3C">
        <w:trPr>
          <w:trHeight w:val="198"/>
          <w:jc w:val="center"/>
        </w:trPr>
        <w:tc>
          <w:tcPr>
            <w:tcW w:w="3462" w:type="dxa"/>
            <w:vAlign w:val="center"/>
            <w:hideMark/>
          </w:tcPr>
          <w:p w14:paraId="1180EC95" w14:textId="77777777" w:rsidR="00D52A3C" w:rsidRPr="00C97700" w:rsidRDefault="00D52A3C" w:rsidP="000D7CCD">
            <w:pPr>
              <w:rPr>
                <w:rFonts w:ascii="Arial Narrow" w:hAnsi="Arial Narrow" w:cs="Arial"/>
                <w:sz w:val="18"/>
                <w:szCs w:val="18"/>
              </w:rPr>
            </w:pPr>
            <w:r w:rsidRPr="00C97700">
              <w:rPr>
                <w:rFonts w:ascii="Arial Narrow" w:hAnsi="Arial Narrow" w:cs="Arial"/>
                <w:sz w:val="18"/>
                <w:szCs w:val="18"/>
              </w:rPr>
              <w:t xml:space="preserve">Potasas de </w:t>
            </w:r>
            <w:proofErr w:type="spellStart"/>
            <w:r w:rsidRPr="00C97700">
              <w:rPr>
                <w:rFonts w:ascii="Arial Narrow" w:hAnsi="Arial Narrow" w:cs="Arial"/>
                <w:sz w:val="18"/>
                <w:szCs w:val="18"/>
              </w:rPr>
              <w:t>Subiza</w:t>
            </w:r>
            <w:proofErr w:type="spellEnd"/>
            <w:r w:rsidRPr="00C97700">
              <w:rPr>
                <w:rFonts w:ascii="Arial Narrow" w:hAnsi="Arial Narrow" w:cs="Arial"/>
                <w:sz w:val="18"/>
                <w:szCs w:val="18"/>
              </w:rPr>
              <w:t>, S.A.U. (</w:t>
            </w:r>
            <w:proofErr w:type="spellStart"/>
            <w:r w:rsidRPr="00C97700">
              <w:rPr>
                <w:rFonts w:ascii="Arial Narrow" w:hAnsi="Arial Narrow" w:cs="Arial"/>
                <w:sz w:val="18"/>
                <w:szCs w:val="18"/>
              </w:rPr>
              <w:t>Posusa</w:t>
            </w:r>
            <w:proofErr w:type="spellEnd"/>
            <w:r w:rsidRPr="00C97700">
              <w:rPr>
                <w:rFonts w:ascii="Arial Narrow" w:hAnsi="Arial Narrow" w:cs="Arial"/>
                <w:sz w:val="18"/>
                <w:szCs w:val="18"/>
              </w:rPr>
              <w:t>)</w:t>
            </w:r>
          </w:p>
        </w:tc>
        <w:tc>
          <w:tcPr>
            <w:tcW w:w="649" w:type="dxa"/>
          </w:tcPr>
          <w:p w14:paraId="1A00DC09" w14:textId="77777777" w:rsidR="00D52A3C" w:rsidRPr="00C97700" w:rsidRDefault="00D52A3C" w:rsidP="00D52A3C">
            <w:pPr>
              <w:ind w:left="-94"/>
              <w:jc w:val="right"/>
              <w:rPr>
                <w:rFonts w:ascii="Arial Narrow" w:hAnsi="Arial Narrow" w:cs="Arial"/>
                <w:sz w:val="18"/>
                <w:szCs w:val="18"/>
              </w:rPr>
            </w:pPr>
          </w:p>
        </w:tc>
        <w:tc>
          <w:tcPr>
            <w:tcW w:w="1228" w:type="dxa"/>
            <w:tcBorders>
              <w:right w:val="single" w:sz="4" w:space="0" w:color="auto"/>
            </w:tcBorders>
            <w:vAlign w:val="center"/>
            <w:hideMark/>
          </w:tcPr>
          <w:p w14:paraId="2E05F8D2" w14:textId="77777777" w:rsidR="00D52A3C" w:rsidRPr="00C97700" w:rsidRDefault="00D52A3C" w:rsidP="00D52A3C">
            <w:pPr>
              <w:ind w:left="-94"/>
              <w:jc w:val="right"/>
              <w:rPr>
                <w:rFonts w:ascii="Arial Narrow" w:hAnsi="Arial Narrow" w:cs="Arial"/>
                <w:sz w:val="18"/>
                <w:szCs w:val="18"/>
              </w:rPr>
            </w:pPr>
            <w:r w:rsidRPr="00C97700">
              <w:rPr>
                <w:rFonts w:ascii="Arial Narrow" w:hAnsi="Arial Narrow" w:cs="Arial"/>
                <w:sz w:val="18"/>
                <w:szCs w:val="18"/>
              </w:rPr>
              <w:t>100</w:t>
            </w:r>
          </w:p>
        </w:tc>
        <w:tc>
          <w:tcPr>
            <w:tcW w:w="3450" w:type="dxa"/>
            <w:tcBorders>
              <w:left w:val="single" w:sz="4" w:space="0" w:color="auto"/>
            </w:tcBorders>
            <w:vAlign w:val="center"/>
            <w:hideMark/>
          </w:tcPr>
          <w:p w14:paraId="362768EE" w14:textId="77777777" w:rsidR="00D52A3C" w:rsidRDefault="00D52A3C" w:rsidP="00D52A3C">
            <w:pPr>
              <w:ind w:left="-27"/>
              <w:rPr>
                <w:rFonts w:ascii="Arial Narrow" w:hAnsi="Arial Narrow" w:cs="Arial"/>
                <w:sz w:val="18"/>
                <w:szCs w:val="18"/>
              </w:rPr>
            </w:pPr>
            <w:r w:rsidRPr="00C97700">
              <w:rPr>
                <w:rFonts w:ascii="Arial Narrow" w:hAnsi="Arial Narrow" w:cs="Arial"/>
                <w:sz w:val="18"/>
                <w:szCs w:val="18"/>
              </w:rPr>
              <w:t xml:space="preserve">Actividad medioambiental y recomposición tejido </w:t>
            </w:r>
          </w:p>
          <w:p w14:paraId="20F147BB" w14:textId="77777777" w:rsidR="00D52A3C" w:rsidRPr="00C97700" w:rsidRDefault="00D52A3C" w:rsidP="00D52A3C">
            <w:pPr>
              <w:ind w:left="-27"/>
              <w:rPr>
                <w:rFonts w:ascii="Arial Narrow" w:hAnsi="Arial Narrow" w:cs="Arial"/>
                <w:sz w:val="18"/>
                <w:szCs w:val="18"/>
              </w:rPr>
            </w:pPr>
            <w:r w:rsidRPr="00C97700">
              <w:rPr>
                <w:rFonts w:ascii="Arial Narrow" w:hAnsi="Arial Narrow" w:cs="Arial"/>
                <w:sz w:val="18"/>
                <w:szCs w:val="18"/>
              </w:rPr>
              <w:t>industrial</w:t>
            </w:r>
          </w:p>
        </w:tc>
      </w:tr>
      <w:tr w:rsidR="00D52A3C" w:rsidRPr="000D7CCD" w14:paraId="51DD494A" w14:textId="77777777" w:rsidTr="00D52A3C">
        <w:trPr>
          <w:trHeight w:val="198"/>
          <w:jc w:val="center"/>
        </w:trPr>
        <w:tc>
          <w:tcPr>
            <w:tcW w:w="3462" w:type="dxa"/>
            <w:tcBorders>
              <w:bottom w:val="single" w:sz="4" w:space="0" w:color="auto"/>
            </w:tcBorders>
            <w:vAlign w:val="center"/>
            <w:hideMark/>
          </w:tcPr>
          <w:p w14:paraId="004A1301" w14:textId="77777777" w:rsidR="00D52A3C" w:rsidRPr="00C97700" w:rsidRDefault="00D52A3C" w:rsidP="000D7CCD">
            <w:pPr>
              <w:rPr>
                <w:rFonts w:ascii="Arial Narrow" w:hAnsi="Arial Narrow" w:cs="Arial"/>
                <w:sz w:val="18"/>
                <w:szCs w:val="18"/>
              </w:rPr>
            </w:pPr>
            <w:r w:rsidRPr="00C97700">
              <w:rPr>
                <w:rFonts w:ascii="Arial Narrow" w:hAnsi="Arial Narrow" w:cs="Arial"/>
                <w:sz w:val="18"/>
                <w:szCs w:val="18"/>
              </w:rPr>
              <w:t>Sociedad de Desarrollo de Navarra, S.L. (</w:t>
            </w:r>
            <w:proofErr w:type="spellStart"/>
            <w:r w:rsidRPr="00C97700">
              <w:rPr>
                <w:rFonts w:ascii="Arial Narrow" w:hAnsi="Arial Narrow" w:cs="Arial"/>
                <w:sz w:val="18"/>
                <w:szCs w:val="18"/>
              </w:rPr>
              <w:t>Sodena</w:t>
            </w:r>
            <w:proofErr w:type="spellEnd"/>
            <w:r w:rsidRPr="00C97700">
              <w:rPr>
                <w:rFonts w:ascii="Arial Narrow" w:hAnsi="Arial Narrow" w:cs="Arial"/>
                <w:sz w:val="18"/>
                <w:szCs w:val="18"/>
              </w:rPr>
              <w:t>)</w:t>
            </w:r>
          </w:p>
        </w:tc>
        <w:tc>
          <w:tcPr>
            <w:tcW w:w="649" w:type="dxa"/>
            <w:tcBorders>
              <w:bottom w:val="single" w:sz="4" w:space="0" w:color="auto"/>
            </w:tcBorders>
          </w:tcPr>
          <w:p w14:paraId="34C7C4BC" w14:textId="77777777" w:rsidR="00D52A3C" w:rsidRPr="00C97700" w:rsidRDefault="00D52A3C" w:rsidP="00D52A3C">
            <w:pPr>
              <w:ind w:left="-94"/>
              <w:jc w:val="right"/>
              <w:rPr>
                <w:rFonts w:ascii="Arial Narrow" w:hAnsi="Arial Narrow" w:cs="Arial"/>
                <w:sz w:val="18"/>
                <w:szCs w:val="18"/>
              </w:rPr>
            </w:pPr>
          </w:p>
        </w:tc>
        <w:tc>
          <w:tcPr>
            <w:tcW w:w="1228" w:type="dxa"/>
            <w:tcBorders>
              <w:bottom w:val="single" w:sz="4" w:space="0" w:color="auto"/>
              <w:right w:val="single" w:sz="4" w:space="0" w:color="auto"/>
            </w:tcBorders>
            <w:vAlign w:val="center"/>
            <w:hideMark/>
          </w:tcPr>
          <w:p w14:paraId="6ED3430D" w14:textId="77777777" w:rsidR="00D52A3C" w:rsidRPr="00C97700" w:rsidRDefault="00D52A3C" w:rsidP="00D52A3C">
            <w:pPr>
              <w:ind w:left="-94"/>
              <w:jc w:val="right"/>
              <w:rPr>
                <w:rFonts w:ascii="Arial Narrow" w:hAnsi="Arial Narrow" w:cs="Arial"/>
                <w:sz w:val="18"/>
                <w:szCs w:val="18"/>
              </w:rPr>
            </w:pPr>
            <w:r w:rsidRPr="00C97700">
              <w:rPr>
                <w:rFonts w:ascii="Arial Narrow" w:hAnsi="Arial Narrow" w:cs="Arial"/>
                <w:sz w:val="18"/>
                <w:szCs w:val="18"/>
              </w:rPr>
              <w:t>100</w:t>
            </w:r>
          </w:p>
        </w:tc>
        <w:tc>
          <w:tcPr>
            <w:tcW w:w="3450" w:type="dxa"/>
            <w:tcBorders>
              <w:left w:val="single" w:sz="4" w:space="0" w:color="auto"/>
              <w:bottom w:val="single" w:sz="4" w:space="0" w:color="auto"/>
            </w:tcBorders>
            <w:vAlign w:val="center"/>
            <w:hideMark/>
          </w:tcPr>
          <w:p w14:paraId="39C04162" w14:textId="77777777" w:rsidR="00D52A3C" w:rsidRDefault="00D52A3C" w:rsidP="00D52A3C">
            <w:pPr>
              <w:ind w:left="-27"/>
              <w:rPr>
                <w:rFonts w:ascii="Arial Narrow" w:hAnsi="Arial Narrow" w:cs="Arial"/>
                <w:sz w:val="18"/>
                <w:szCs w:val="18"/>
              </w:rPr>
            </w:pPr>
            <w:r w:rsidRPr="00C97700">
              <w:rPr>
                <w:rFonts w:ascii="Arial Narrow" w:hAnsi="Arial Narrow" w:cs="Arial"/>
                <w:sz w:val="18"/>
                <w:szCs w:val="18"/>
              </w:rPr>
              <w:t xml:space="preserve">Actividades de inversión y financiación para el </w:t>
            </w:r>
          </w:p>
          <w:p w14:paraId="1F992997" w14:textId="77777777" w:rsidR="00D52A3C" w:rsidRPr="00C97700" w:rsidRDefault="00D52A3C" w:rsidP="00D52A3C">
            <w:pPr>
              <w:ind w:left="-27"/>
              <w:rPr>
                <w:rFonts w:ascii="Arial Narrow" w:hAnsi="Arial Narrow" w:cs="Arial"/>
                <w:sz w:val="18"/>
                <w:szCs w:val="18"/>
              </w:rPr>
            </w:pPr>
            <w:r w:rsidRPr="00C97700">
              <w:rPr>
                <w:rFonts w:ascii="Arial Narrow" w:hAnsi="Arial Narrow" w:cs="Arial"/>
                <w:sz w:val="18"/>
                <w:szCs w:val="18"/>
              </w:rPr>
              <w:t xml:space="preserve">desarrollo empresarial </w:t>
            </w:r>
          </w:p>
        </w:tc>
      </w:tr>
      <w:tr w:rsidR="00D52A3C" w:rsidRPr="000D7CCD" w14:paraId="67201FC4" w14:textId="77777777" w:rsidTr="00D52A3C">
        <w:trPr>
          <w:trHeight w:val="198"/>
          <w:jc w:val="center"/>
        </w:trPr>
        <w:tc>
          <w:tcPr>
            <w:tcW w:w="3462" w:type="dxa"/>
            <w:tcBorders>
              <w:bottom w:val="single" w:sz="4" w:space="0" w:color="auto"/>
            </w:tcBorders>
            <w:vAlign w:val="center"/>
            <w:hideMark/>
          </w:tcPr>
          <w:p w14:paraId="31518801" w14:textId="77777777" w:rsidR="00D52A3C" w:rsidRPr="00C97700" w:rsidRDefault="00D52A3C" w:rsidP="000D7CCD">
            <w:pPr>
              <w:rPr>
                <w:rFonts w:ascii="Arial Narrow" w:hAnsi="Arial Narrow" w:cs="Arial"/>
                <w:sz w:val="18"/>
                <w:szCs w:val="18"/>
              </w:rPr>
            </w:pPr>
            <w:r w:rsidRPr="00C97700">
              <w:rPr>
                <w:rFonts w:ascii="Arial Narrow" w:hAnsi="Arial Narrow" w:cs="Arial"/>
                <w:sz w:val="18"/>
                <w:szCs w:val="18"/>
              </w:rPr>
              <w:t>Trabajos Catastrales, S.A. (</w:t>
            </w:r>
            <w:proofErr w:type="spellStart"/>
            <w:r w:rsidRPr="00C97700">
              <w:rPr>
                <w:rFonts w:ascii="Arial Narrow" w:hAnsi="Arial Narrow" w:cs="Arial"/>
                <w:sz w:val="18"/>
                <w:szCs w:val="18"/>
              </w:rPr>
              <w:t>Tracasa</w:t>
            </w:r>
            <w:proofErr w:type="spellEnd"/>
            <w:r w:rsidRPr="00C97700">
              <w:rPr>
                <w:rFonts w:ascii="Arial Narrow" w:hAnsi="Arial Narrow" w:cs="Arial"/>
                <w:sz w:val="18"/>
                <w:szCs w:val="18"/>
              </w:rPr>
              <w:t>)</w:t>
            </w:r>
          </w:p>
        </w:tc>
        <w:tc>
          <w:tcPr>
            <w:tcW w:w="649" w:type="dxa"/>
            <w:tcBorders>
              <w:bottom w:val="single" w:sz="4" w:space="0" w:color="auto"/>
            </w:tcBorders>
            <w:vAlign w:val="center"/>
          </w:tcPr>
          <w:p w14:paraId="1FDB6C53" w14:textId="77777777" w:rsidR="00D52A3C" w:rsidRPr="00C97700" w:rsidRDefault="00D52A3C" w:rsidP="00D52A3C">
            <w:pPr>
              <w:ind w:left="-94"/>
              <w:jc w:val="right"/>
              <w:rPr>
                <w:rFonts w:ascii="Arial Narrow" w:hAnsi="Arial Narrow" w:cs="Arial"/>
                <w:sz w:val="18"/>
                <w:szCs w:val="18"/>
              </w:rPr>
            </w:pPr>
          </w:p>
        </w:tc>
        <w:tc>
          <w:tcPr>
            <w:tcW w:w="1228" w:type="dxa"/>
            <w:vMerge w:val="restart"/>
            <w:tcBorders>
              <w:bottom w:val="single" w:sz="4" w:space="0" w:color="auto"/>
              <w:right w:val="single" w:sz="4" w:space="0" w:color="auto"/>
            </w:tcBorders>
            <w:vAlign w:val="center"/>
            <w:hideMark/>
          </w:tcPr>
          <w:p w14:paraId="3FD77D73" w14:textId="77777777" w:rsidR="00D52A3C" w:rsidRPr="00C97700" w:rsidRDefault="00D52A3C" w:rsidP="00D52A3C">
            <w:pPr>
              <w:ind w:left="-94"/>
              <w:jc w:val="right"/>
              <w:rPr>
                <w:rFonts w:ascii="Arial Narrow" w:hAnsi="Arial Narrow" w:cs="Arial"/>
                <w:sz w:val="18"/>
                <w:szCs w:val="18"/>
              </w:rPr>
            </w:pPr>
            <w:r w:rsidRPr="00C97700">
              <w:rPr>
                <w:rFonts w:ascii="Arial Narrow" w:hAnsi="Arial Narrow" w:cs="Arial"/>
                <w:sz w:val="18"/>
                <w:szCs w:val="18"/>
              </w:rPr>
              <w:t>100</w:t>
            </w:r>
          </w:p>
        </w:tc>
        <w:tc>
          <w:tcPr>
            <w:tcW w:w="3450" w:type="dxa"/>
            <w:vMerge w:val="restart"/>
            <w:tcBorders>
              <w:left w:val="single" w:sz="4" w:space="0" w:color="auto"/>
              <w:bottom w:val="single" w:sz="4" w:space="0" w:color="auto"/>
            </w:tcBorders>
            <w:vAlign w:val="center"/>
            <w:hideMark/>
          </w:tcPr>
          <w:p w14:paraId="48F481B0" w14:textId="77777777" w:rsidR="00D52A3C" w:rsidRPr="00C97700" w:rsidRDefault="00D52A3C" w:rsidP="00D52A3C">
            <w:pPr>
              <w:ind w:left="-27"/>
              <w:rPr>
                <w:rFonts w:ascii="Arial Narrow" w:hAnsi="Arial Narrow" w:cs="Arial"/>
                <w:sz w:val="18"/>
                <w:szCs w:val="18"/>
              </w:rPr>
            </w:pPr>
            <w:r w:rsidRPr="00C97700">
              <w:rPr>
                <w:rFonts w:ascii="Arial Narrow" w:hAnsi="Arial Narrow" w:cs="Arial"/>
                <w:sz w:val="18"/>
                <w:szCs w:val="18"/>
              </w:rPr>
              <w:t>Catastro, cartografía</w:t>
            </w:r>
          </w:p>
        </w:tc>
      </w:tr>
      <w:tr w:rsidR="00D52A3C" w:rsidRPr="000D7CCD" w14:paraId="58FC8C02" w14:textId="77777777" w:rsidTr="00D52A3C">
        <w:trPr>
          <w:trHeight w:val="198"/>
          <w:jc w:val="center"/>
        </w:trPr>
        <w:tc>
          <w:tcPr>
            <w:tcW w:w="3462" w:type="dxa"/>
            <w:tcBorders>
              <w:bottom w:val="single" w:sz="4" w:space="0" w:color="auto"/>
            </w:tcBorders>
            <w:vAlign w:val="center"/>
            <w:hideMark/>
          </w:tcPr>
          <w:p w14:paraId="566F9272" w14:textId="77777777" w:rsidR="00D52A3C" w:rsidRPr="00C97700" w:rsidRDefault="00D52A3C" w:rsidP="000D7CCD">
            <w:pPr>
              <w:rPr>
                <w:rFonts w:ascii="Arial Narrow" w:hAnsi="Arial Narrow" w:cs="Arial"/>
                <w:sz w:val="18"/>
                <w:szCs w:val="18"/>
              </w:rPr>
            </w:pPr>
            <w:proofErr w:type="spellStart"/>
            <w:r w:rsidRPr="00C97700">
              <w:rPr>
                <w:rFonts w:ascii="Arial Narrow" w:hAnsi="Arial Narrow" w:cs="Arial"/>
                <w:sz w:val="18"/>
                <w:szCs w:val="18"/>
              </w:rPr>
              <w:t>Tracasa</w:t>
            </w:r>
            <w:proofErr w:type="spellEnd"/>
            <w:r w:rsidRPr="00C97700">
              <w:rPr>
                <w:rFonts w:ascii="Arial Narrow" w:hAnsi="Arial Narrow" w:cs="Arial"/>
                <w:sz w:val="18"/>
                <w:szCs w:val="18"/>
              </w:rPr>
              <w:t xml:space="preserve"> Instrumental, S.L.</w:t>
            </w:r>
          </w:p>
        </w:tc>
        <w:tc>
          <w:tcPr>
            <w:tcW w:w="649" w:type="dxa"/>
            <w:tcBorders>
              <w:bottom w:val="single" w:sz="4" w:space="0" w:color="auto"/>
            </w:tcBorders>
          </w:tcPr>
          <w:p w14:paraId="1151FD01" w14:textId="77777777" w:rsidR="00D52A3C" w:rsidRPr="00C97700" w:rsidRDefault="00D52A3C" w:rsidP="00D52A3C">
            <w:pPr>
              <w:jc w:val="right"/>
              <w:rPr>
                <w:rFonts w:ascii="Arial Narrow" w:hAnsi="Arial Narrow" w:cs="Arial"/>
                <w:sz w:val="18"/>
                <w:szCs w:val="18"/>
              </w:rPr>
            </w:pPr>
          </w:p>
        </w:tc>
        <w:tc>
          <w:tcPr>
            <w:tcW w:w="1228" w:type="dxa"/>
            <w:vMerge/>
            <w:tcBorders>
              <w:bottom w:val="single" w:sz="4" w:space="0" w:color="auto"/>
              <w:right w:val="single" w:sz="4" w:space="0" w:color="auto"/>
            </w:tcBorders>
            <w:vAlign w:val="center"/>
            <w:hideMark/>
          </w:tcPr>
          <w:p w14:paraId="1163BDD2" w14:textId="77777777" w:rsidR="00D52A3C" w:rsidRPr="00C97700" w:rsidRDefault="00D52A3C" w:rsidP="00D52A3C">
            <w:pPr>
              <w:jc w:val="right"/>
              <w:rPr>
                <w:rFonts w:ascii="Arial Narrow" w:hAnsi="Arial Narrow" w:cs="Arial"/>
                <w:sz w:val="18"/>
                <w:szCs w:val="18"/>
              </w:rPr>
            </w:pPr>
          </w:p>
        </w:tc>
        <w:tc>
          <w:tcPr>
            <w:tcW w:w="3450" w:type="dxa"/>
            <w:vMerge/>
            <w:tcBorders>
              <w:left w:val="single" w:sz="4" w:space="0" w:color="auto"/>
              <w:bottom w:val="single" w:sz="4" w:space="0" w:color="auto"/>
            </w:tcBorders>
            <w:vAlign w:val="center"/>
            <w:hideMark/>
          </w:tcPr>
          <w:p w14:paraId="3A75EC71" w14:textId="77777777" w:rsidR="00D52A3C" w:rsidRPr="00C97700" w:rsidRDefault="00D52A3C" w:rsidP="00D52A3C">
            <w:pPr>
              <w:rPr>
                <w:rFonts w:ascii="Arial Narrow" w:hAnsi="Arial Narrow" w:cs="Arial"/>
                <w:sz w:val="18"/>
                <w:szCs w:val="18"/>
              </w:rPr>
            </w:pPr>
          </w:p>
        </w:tc>
      </w:tr>
      <w:tr w:rsidR="00D52A3C" w:rsidRPr="000D7CCD" w14:paraId="45A54032" w14:textId="77777777" w:rsidTr="00D52A3C">
        <w:trPr>
          <w:trHeight w:val="198"/>
          <w:jc w:val="center"/>
        </w:trPr>
        <w:tc>
          <w:tcPr>
            <w:tcW w:w="3462" w:type="dxa"/>
            <w:tcBorders>
              <w:top w:val="single" w:sz="4" w:space="0" w:color="auto"/>
            </w:tcBorders>
            <w:vAlign w:val="center"/>
          </w:tcPr>
          <w:p w14:paraId="6B940436" w14:textId="77777777" w:rsidR="00D52A3C" w:rsidRPr="00C97700" w:rsidRDefault="00D52A3C" w:rsidP="000D7CCD">
            <w:pPr>
              <w:rPr>
                <w:rFonts w:ascii="Arial Narrow" w:hAnsi="Arial Narrow" w:cs="Arial"/>
                <w:sz w:val="18"/>
                <w:szCs w:val="18"/>
              </w:rPr>
            </w:pPr>
            <w:r w:rsidRPr="00C97700">
              <w:rPr>
                <w:rFonts w:ascii="Arial Narrow" w:hAnsi="Arial Narrow" w:cs="Arial"/>
                <w:sz w:val="18"/>
                <w:szCs w:val="18"/>
              </w:rPr>
              <w:t>Transporte sanitario de Navarra (BIDEAN)</w:t>
            </w:r>
          </w:p>
        </w:tc>
        <w:tc>
          <w:tcPr>
            <w:tcW w:w="649" w:type="dxa"/>
            <w:tcBorders>
              <w:top w:val="single" w:sz="4" w:space="0" w:color="auto"/>
            </w:tcBorders>
          </w:tcPr>
          <w:p w14:paraId="28728381" w14:textId="77777777" w:rsidR="00D52A3C" w:rsidRPr="00C97700" w:rsidRDefault="00D52A3C" w:rsidP="00D52A3C">
            <w:pPr>
              <w:ind w:left="-94"/>
              <w:jc w:val="right"/>
              <w:rPr>
                <w:rFonts w:ascii="Arial Narrow" w:hAnsi="Arial Narrow" w:cs="Arial"/>
                <w:sz w:val="18"/>
                <w:szCs w:val="18"/>
              </w:rPr>
            </w:pPr>
          </w:p>
        </w:tc>
        <w:tc>
          <w:tcPr>
            <w:tcW w:w="1228" w:type="dxa"/>
            <w:tcBorders>
              <w:top w:val="single" w:sz="4" w:space="0" w:color="auto"/>
              <w:right w:val="single" w:sz="4" w:space="0" w:color="auto"/>
            </w:tcBorders>
            <w:vAlign w:val="center"/>
          </w:tcPr>
          <w:p w14:paraId="4C2BB751" w14:textId="77777777" w:rsidR="00D52A3C" w:rsidRPr="00C97700" w:rsidRDefault="00D52A3C" w:rsidP="00D52A3C">
            <w:pPr>
              <w:ind w:left="-94"/>
              <w:jc w:val="right"/>
              <w:rPr>
                <w:rFonts w:ascii="Arial Narrow" w:hAnsi="Arial Narrow" w:cs="Arial"/>
                <w:sz w:val="18"/>
                <w:szCs w:val="18"/>
              </w:rPr>
            </w:pPr>
            <w:r w:rsidRPr="00C97700">
              <w:rPr>
                <w:rFonts w:ascii="Arial Narrow" w:hAnsi="Arial Narrow" w:cs="Arial"/>
                <w:sz w:val="18"/>
                <w:szCs w:val="18"/>
              </w:rPr>
              <w:t>100</w:t>
            </w:r>
          </w:p>
        </w:tc>
        <w:tc>
          <w:tcPr>
            <w:tcW w:w="3450" w:type="dxa"/>
            <w:tcBorders>
              <w:top w:val="single" w:sz="4" w:space="0" w:color="auto"/>
              <w:left w:val="single" w:sz="4" w:space="0" w:color="auto"/>
            </w:tcBorders>
            <w:vAlign w:val="center"/>
          </w:tcPr>
          <w:p w14:paraId="442474E5" w14:textId="77777777" w:rsidR="00D52A3C" w:rsidRPr="00C97700" w:rsidRDefault="00D52A3C" w:rsidP="00D52A3C">
            <w:pPr>
              <w:ind w:left="-27"/>
              <w:rPr>
                <w:rFonts w:ascii="Arial Narrow" w:hAnsi="Arial Narrow" w:cs="Arial"/>
                <w:sz w:val="18"/>
                <w:szCs w:val="18"/>
              </w:rPr>
            </w:pPr>
            <w:r w:rsidRPr="00C97700">
              <w:rPr>
                <w:rFonts w:ascii="Arial Narrow" w:hAnsi="Arial Narrow" w:cs="Arial"/>
                <w:sz w:val="18"/>
                <w:szCs w:val="18"/>
              </w:rPr>
              <w:t>Servicio de transporte sanitario</w:t>
            </w:r>
          </w:p>
        </w:tc>
      </w:tr>
      <w:tr w:rsidR="00D52A3C" w:rsidRPr="000D7CCD" w14:paraId="6C0EA9D3" w14:textId="77777777" w:rsidTr="00D52A3C">
        <w:trPr>
          <w:trHeight w:val="198"/>
          <w:jc w:val="center"/>
        </w:trPr>
        <w:tc>
          <w:tcPr>
            <w:tcW w:w="3462" w:type="dxa"/>
            <w:vAlign w:val="center"/>
            <w:hideMark/>
          </w:tcPr>
          <w:p w14:paraId="6F9C912F" w14:textId="77777777" w:rsidR="00D52A3C" w:rsidRPr="00C97700" w:rsidRDefault="00D52A3C" w:rsidP="000D7CCD">
            <w:pPr>
              <w:rPr>
                <w:rFonts w:ascii="Arial Narrow" w:hAnsi="Arial Narrow" w:cs="Arial"/>
                <w:sz w:val="18"/>
                <w:szCs w:val="18"/>
              </w:rPr>
            </w:pPr>
            <w:r w:rsidRPr="00C97700">
              <w:rPr>
                <w:rFonts w:ascii="Arial Narrow" w:hAnsi="Arial Narrow" w:cs="Arial"/>
                <w:sz w:val="18"/>
                <w:szCs w:val="18"/>
              </w:rPr>
              <w:t>Salinas de Navarra, S.A.</w:t>
            </w:r>
          </w:p>
        </w:tc>
        <w:tc>
          <w:tcPr>
            <w:tcW w:w="649" w:type="dxa"/>
          </w:tcPr>
          <w:p w14:paraId="647A9BCD" w14:textId="77777777" w:rsidR="00D52A3C" w:rsidRPr="00C97700" w:rsidRDefault="00D52A3C" w:rsidP="00D52A3C">
            <w:pPr>
              <w:ind w:left="-94"/>
              <w:jc w:val="right"/>
              <w:rPr>
                <w:rFonts w:ascii="Arial Narrow" w:hAnsi="Arial Narrow" w:cs="Arial"/>
                <w:sz w:val="18"/>
                <w:szCs w:val="18"/>
              </w:rPr>
            </w:pPr>
          </w:p>
        </w:tc>
        <w:tc>
          <w:tcPr>
            <w:tcW w:w="1228" w:type="dxa"/>
            <w:tcBorders>
              <w:right w:val="single" w:sz="4" w:space="0" w:color="auto"/>
            </w:tcBorders>
            <w:vAlign w:val="center"/>
            <w:hideMark/>
          </w:tcPr>
          <w:p w14:paraId="4EB7FEAF" w14:textId="77777777" w:rsidR="00D52A3C" w:rsidRPr="00C97700" w:rsidRDefault="00D52A3C" w:rsidP="00D52A3C">
            <w:pPr>
              <w:ind w:left="-94"/>
              <w:jc w:val="right"/>
              <w:rPr>
                <w:rFonts w:ascii="Arial Narrow" w:hAnsi="Arial Narrow" w:cs="Arial"/>
                <w:sz w:val="18"/>
                <w:szCs w:val="18"/>
              </w:rPr>
            </w:pPr>
            <w:r w:rsidRPr="00C97700">
              <w:rPr>
                <w:rFonts w:ascii="Arial Narrow" w:hAnsi="Arial Narrow" w:cs="Arial"/>
                <w:sz w:val="18"/>
                <w:szCs w:val="18"/>
              </w:rPr>
              <w:t>76</w:t>
            </w:r>
          </w:p>
        </w:tc>
        <w:tc>
          <w:tcPr>
            <w:tcW w:w="3450" w:type="dxa"/>
            <w:tcBorders>
              <w:left w:val="single" w:sz="4" w:space="0" w:color="auto"/>
            </w:tcBorders>
            <w:vAlign w:val="center"/>
            <w:hideMark/>
          </w:tcPr>
          <w:p w14:paraId="03B2590B" w14:textId="77777777" w:rsidR="00D52A3C" w:rsidRPr="00C97700" w:rsidRDefault="00D52A3C" w:rsidP="00D52A3C">
            <w:pPr>
              <w:ind w:left="-27"/>
              <w:rPr>
                <w:rFonts w:ascii="Arial Narrow" w:hAnsi="Arial Narrow" w:cs="Arial"/>
                <w:sz w:val="18"/>
                <w:szCs w:val="18"/>
              </w:rPr>
            </w:pPr>
            <w:r w:rsidRPr="00C97700">
              <w:rPr>
                <w:rFonts w:ascii="Arial Narrow" w:hAnsi="Arial Narrow" w:cs="Arial"/>
                <w:sz w:val="18"/>
                <w:szCs w:val="18"/>
              </w:rPr>
              <w:t>Producción y comercialización de sal y derivados</w:t>
            </w:r>
          </w:p>
        </w:tc>
      </w:tr>
      <w:tr w:rsidR="00D52A3C" w:rsidRPr="000D7CCD" w14:paraId="758E22D2" w14:textId="77777777" w:rsidTr="00D52A3C">
        <w:trPr>
          <w:trHeight w:val="255"/>
          <w:jc w:val="center"/>
        </w:trPr>
        <w:tc>
          <w:tcPr>
            <w:tcW w:w="3462" w:type="dxa"/>
            <w:vAlign w:val="center"/>
            <w:hideMark/>
          </w:tcPr>
          <w:p w14:paraId="0995F1A7" w14:textId="77777777" w:rsidR="00D52A3C" w:rsidRPr="00C97700" w:rsidRDefault="00D52A3C" w:rsidP="000D7CCD">
            <w:pPr>
              <w:rPr>
                <w:rFonts w:ascii="Arial Narrow" w:hAnsi="Arial Narrow" w:cs="Arial"/>
                <w:sz w:val="18"/>
                <w:szCs w:val="18"/>
                <w:lang w:val="en-US"/>
              </w:rPr>
            </w:pPr>
            <w:proofErr w:type="spellStart"/>
            <w:r w:rsidRPr="00C97700">
              <w:rPr>
                <w:rFonts w:ascii="Arial Narrow" w:hAnsi="Arial Narrow" w:cs="Arial"/>
                <w:sz w:val="18"/>
                <w:szCs w:val="18"/>
              </w:rPr>
              <w:t>Start</w:t>
            </w:r>
            <w:proofErr w:type="spellEnd"/>
            <w:r w:rsidRPr="00C97700">
              <w:rPr>
                <w:rFonts w:ascii="Arial Narrow" w:hAnsi="Arial Narrow" w:cs="Arial"/>
                <w:sz w:val="18"/>
                <w:szCs w:val="18"/>
              </w:rPr>
              <w:t xml:space="preserve"> Up Capital Navarra, S.L</w:t>
            </w:r>
            <w:r w:rsidRPr="00C97700">
              <w:rPr>
                <w:rFonts w:ascii="Arial Narrow" w:hAnsi="Arial Narrow" w:cs="Arial"/>
                <w:sz w:val="18"/>
                <w:szCs w:val="18"/>
                <w:lang w:val="en-US"/>
              </w:rPr>
              <w:t>.</w:t>
            </w:r>
          </w:p>
        </w:tc>
        <w:tc>
          <w:tcPr>
            <w:tcW w:w="649" w:type="dxa"/>
          </w:tcPr>
          <w:p w14:paraId="586439A8" w14:textId="77777777" w:rsidR="00D52A3C" w:rsidRPr="00C97700" w:rsidRDefault="00D52A3C" w:rsidP="00D52A3C">
            <w:pPr>
              <w:ind w:left="-94"/>
              <w:jc w:val="right"/>
              <w:rPr>
                <w:rFonts w:ascii="Arial Narrow" w:hAnsi="Arial Narrow" w:cs="Arial"/>
                <w:sz w:val="18"/>
                <w:szCs w:val="18"/>
              </w:rPr>
            </w:pPr>
          </w:p>
        </w:tc>
        <w:tc>
          <w:tcPr>
            <w:tcW w:w="1228" w:type="dxa"/>
            <w:tcBorders>
              <w:right w:val="single" w:sz="4" w:space="0" w:color="auto"/>
            </w:tcBorders>
            <w:vAlign w:val="center"/>
            <w:hideMark/>
          </w:tcPr>
          <w:p w14:paraId="1804BF65" w14:textId="77777777" w:rsidR="00D52A3C" w:rsidRPr="00C97700" w:rsidRDefault="00D52A3C" w:rsidP="00D52A3C">
            <w:pPr>
              <w:ind w:left="-94"/>
              <w:jc w:val="right"/>
              <w:rPr>
                <w:rFonts w:ascii="Arial Narrow" w:hAnsi="Arial Narrow" w:cs="Arial"/>
                <w:sz w:val="18"/>
                <w:szCs w:val="18"/>
              </w:rPr>
            </w:pPr>
            <w:r w:rsidRPr="00C97700">
              <w:rPr>
                <w:rFonts w:ascii="Arial Narrow" w:hAnsi="Arial Narrow" w:cs="Arial"/>
                <w:sz w:val="18"/>
                <w:szCs w:val="18"/>
              </w:rPr>
              <w:t>68,46</w:t>
            </w:r>
          </w:p>
        </w:tc>
        <w:tc>
          <w:tcPr>
            <w:tcW w:w="3450" w:type="dxa"/>
            <w:tcBorders>
              <w:left w:val="single" w:sz="4" w:space="0" w:color="auto"/>
            </w:tcBorders>
            <w:vAlign w:val="center"/>
            <w:hideMark/>
          </w:tcPr>
          <w:p w14:paraId="092F459C" w14:textId="77777777" w:rsidR="00D52A3C" w:rsidRPr="00C97700" w:rsidRDefault="00D52A3C" w:rsidP="009B2DAA">
            <w:pPr>
              <w:ind w:left="-27"/>
              <w:rPr>
                <w:rFonts w:ascii="Arial Narrow" w:hAnsi="Arial Narrow" w:cs="Arial"/>
                <w:sz w:val="18"/>
                <w:szCs w:val="18"/>
              </w:rPr>
            </w:pPr>
            <w:r w:rsidRPr="00C97700">
              <w:rPr>
                <w:rFonts w:ascii="Arial Narrow" w:hAnsi="Arial Narrow" w:cs="Arial"/>
                <w:sz w:val="18"/>
                <w:szCs w:val="18"/>
              </w:rPr>
              <w:t>Promoción y fomento de empresas</w:t>
            </w:r>
          </w:p>
        </w:tc>
      </w:tr>
    </w:tbl>
    <w:p w14:paraId="68DAD87C" w14:textId="77777777" w:rsidR="000D7CCD" w:rsidRDefault="000D7CCD" w:rsidP="000D7CCD">
      <w:pPr>
        <w:pStyle w:val="texto"/>
        <w:tabs>
          <w:tab w:val="clear" w:pos="2835"/>
          <w:tab w:val="clear" w:pos="3969"/>
          <w:tab w:val="left" w:pos="480"/>
          <w:tab w:val="num" w:pos="600"/>
          <w:tab w:val="num" w:pos="720"/>
          <w:tab w:val="num" w:pos="1320"/>
          <w:tab w:val="num" w:pos="2062"/>
          <w:tab w:val="num" w:pos="4472"/>
        </w:tabs>
        <w:spacing w:after="120"/>
        <w:jc w:val="both"/>
        <w:rPr>
          <w:rFonts w:cs="Arial"/>
          <w:lang w:val="es-ES_tradnl" w:eastAsia="en-US"/>
        </w:rPr>
      </w:pPr>
    </w:p>
    <w:p w14:paraId="2EAFF32D" w14:textId="77777777" w:rsidR="000D7CCD" w:rsidRPr="000D7CCD" w:rsidRDefault="000D7CCD" w:rsidP="009604B1">
      <w:pPr>
        <w:pStyle w:val="texto"/>
        <w:spacing w:after="120"/>
        <w:jc w:val="both"/>
      </w:pPr>
      <w:r w:rsidRPr="000D7CCD">
        <w:lastRenderedPageBreak/>
        <w:t xml:space="preserve">Sobre la información que figura en la documentación de la memoria, </w:t>
      </w:r>
      <w:r w:rsidR="003F4319">
        <w:t xml:space="preserve">si bien el acuerdo de creación de </w:t>
      </w:r>
      <w:r w:rsidR="00AD35B9">
        <w:t xml:space="preserve">la sociedad pública </w:t>
      </w:r>
      <w:proofErr w:type="spellStart"/>
      <w:r w:rsidR="00AD35B9">
        <w:t>Nafarbide</w:t>
      </w:r>
      <w:proofErr w:type="spellEnd"/>
      <w:r w:rsidR="00AD35B9">
        <w:t xml:space="preserve"> </w:t>
      </w:r>
      <w:r w:rsidR="007A72FA">
        <w:t xml:space="preserve">se adoptó </w:t>
      </w:r>
      <w:r w:rsidRPr="000D7CCD">
        <w:t>en 2023, la constitución e inscripción en el Registro Mercantil se produce en el ejercici</w:t>
      </w:r>
      <w:r w:rsidR="00DC7AE2">
        <w:t xml:space="preserve">o 2024, </w:t>
      </w:r>
      <w:r w:rsidR="003F4319">
        <w:t xml:space="preserve">por lo que </w:t>
      </w:r>
      <w:r w:rsidR="003F4319" w:rsidRPr="000D7CCD">
        <w:t>a juicio de esta Cámara</w:t>
      </w:r>
      <w:r w:rsidR="003F4319">
        <w:t xml:space="preserve">, esta sociedad </w:t>
      </w:r>
      <w:r w:rsidR="00DC7AE2">
        <w:t>debiera</w:t>
      </w:r>
      <w:r w:rsidRPr="000D7CCD">
        <w:t xml:space="preserve"> incorporarse en las Cuentas Generales del ejercicio 2024. </w:t>
      </w:r>
    </w:p>
    <w:p w14:paraId="2F10CEEE" w14:textId="77777777" w:rsidR="00614DC4" w:rsidRPr="000D7CCD" w:rsidRDefault="00614DC4" w:rsidP="00E906A4">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240"/>
        <w:ind w:left="0" w:firstLine="289"/>
        <w:jc w:val="both"/>
        <w:rPr>
          <w:rFonts w:cs="Arial"/>
          <w:lang w:val="es-ES_tradnl" w:eastAsia="en-US"/>
        </w:rPr>
      </w:pPr>
      <w:r w:rsidRPr="000D7CCD">
        <w:rPr>
          <w:rFonts w:cs="Arial"/>
          <w:lang w:val="es-ES_tradnl" w:eastAsia="en-US"/>
        </w:rPr>
        <w:t>Las fundaciones públicas de la ACFN</w:t>
      </w:r>
      <w:r w:rsidR="00571CB3" w:rsidRPr="000D7CCD">
        <w:rPr>
          <w:rFonts w:cs="Arial"/>
          <w:lang w:val="es-ES_tradnl" w:eastAsia="en-US"/>
        </w:rPr>
        <w:t xml:space="preserve">, </w:t>
      </w:r>
      <w:r w:rsidRPr="000D7CCD">
        <w:rPr>
          <w:rFonts w:cs="Arial"/>
          <w:lang w:val="es-ES_tradnl" w:eastAsia="en-US"/>
        </w:rPr>
        <w:t>a 31 de diciembre de 202</w:t>
      </w:r>
      <w:r w:rsidR="00483A21">
        <w:rPr>
          <w:rFonts w:cs="Arial"/>
          <w:lang w:val="es-ES_tradnl" w:eastAsia="en-US"/>
        </w:rPr>
        <w:t>3</w:t>
      </w:r>
      <w:r w:rsidRPr="000D7CCD">
        <w:rPr>
          <w:rFonts w:cs="Arial"/>
          <w:lang w:val="es-ES_tradnl" w:eastAsia="en-US"/>
        </w:rPr>
        <w:t xml:space="preserve"> ascendían a </w:t>
      </w:r>
      <w:r w:rsidR="001633BF">
        <w:rPr>
          <w:rFonts w:cs="Arial"/>
          <w:lang w:val="es-ES_tradnl" w:eastAsia="en-US"/>
        </w:rPr>
        <w:t xml:space="preserve">ocho </w:t>
      </w:r>
      <w:r w:rsidRPr="000D7CCD">
        <w:rPr>
          <w:rFonts w:cs="Arial"/>
          <w:lang w:val="es-ES_tradnl" w:eastAsia="en-US"/>
        </w:rPr>
        <w:t>según el siguiente detalle:</w:t>
      </w:r>
    </w:p>
    <w:tbl>
      <w:tblPr>
        <w:tblW w:w="5081" w:type="pct"/>
        <w:jc w:val="center"/>
        <w:tblLook w:val="01E0" w:firstRow="1" w:lastRow="1" w:firstColumn="1" w:lastColumn="1" w:noHBand="0" w:noVBand="0"/>
      </w:tblPr>
      <w:tblGrid>
        <w:gridCol w:w="4253"/>
        <w:gridCol w:w="4678"/>
      </w:tblGrid>
      <w:tr w:rsidR="00614DC4" w14:paraId="58BF1B89" w14:textId="77777777" w:rsidTr="009B2DAA">
        <w:trPr>
          <w:trHeight w:val="255"/>
          <w:jc w:val="center"/>
        </w:trPr>
        <w:tc>
          <w:tcPr>
            <w:tcW w:w="4253" w:type="dxa"/>
            <w:tcBorders>
              <w:top w:val="single" w:sz="4" w:space="0" w:color="auto"/>
              <w:left w:val="nil"/>
              <w:bottom w:val="single" w:sz="4" w:space="0" w:color="auto"/>
              <w:right w:val="single" w:sz="2" w:space="0" w:color="auto"/>
            </w:tcBorders>
            <w:shd w:val="clear" w:color="auto" w:fill="8DB3E2"/>
            <w:vAlign w:val="center"/>
            <w:hideMark/>
          </w:tcPr>
          <w:p w14:paraId="32DF422D" w14:textId="77777777" w:rsidR="00614DC4" w:rsidRDefault="00614DC4" w:rsidP="003B4290">
            <w:pPr>
              <w:pStyle w:val="cuadroCabe"/>
            </w:pPr>
            <w:r>
              <w:t>Fundación Pública</w:t>
            </w:r>
          </w:p>
        </w:tc>
        <w:tc>
          <w:tcPr>
            <w:tcW w:w="4678" w:type="dxa"/>
            <w:tcBorders>
              <w:top w:val="single" w:sz="4" w:space="0" w:color="auto"/>
              <w:left w:val="single" w:sz="2" w:space="0" w:color="auto"/>
              <w:bottom w:val="single" w:sz="4" w:space="0" w:color="auto"/>
              <w:right w:val="nil"/>
            </w:tcBorders>
            <w:shd w:val="clear" w:color="auto" w:fill="8DB3E2"/>
            <w:vAlign w:val="center"/>
            <w:hideMark/>
          </w:tcPr>
          <w:p w14:paraId="39FA774A" w14:textId="77777777" w:rsidR="00614DC4" w:rsidRDefault="00614DC4" w:rsidP="009604B1">
            <w:pPr>
              <w:pStyle w:val="cuadroCabe"/>
              <w:jc w:val="right"/>
            </w:pPr>
            <w:r>
              <w:t>Objeto</w:t>
            </w:r>
          </w:p>
        </w:tc>
      </w:tr>
      <w:tr w:rsidR="00614DC4" w:rsidRPr="004732E4" w14:paraId="5928F26A" w14:textId="77777777" w:rsidTr="009B2DAA">
        <w:trPr>
          <w:trHeight w:val="198"/>
          <w:jc w:val="center"/>
        </w:trPr>
        <w:tc>
          <w:tcPr>
            <w:tcW w:w="4253" w:type="dxa"/>
            <w:tcBorders>
              <w:top w:val="single" w:sz="4" w:space="0" w:color="auto"/>
              <w:left w:val="nil"/>
              <w:bottom w:val="single" w:sz="2" w:space="0" w:color="auto"/>
              <w:right w:val="single" w:sz="2" w:space="0" w:color="auto"/>
            </w:tcBorders>
            <w:vAlign w:val="center"/>
            <w:hideMark/>
          </w:tcPr>
          <w:p w14:paraId="369045D0" w14:textId="77777777" w:rsidR="00614DC4" w:rsidRPr="004732E4" w:rsidRDefault="00614DC4" w:rsidP="003B4290">
            <w:pPr>
              <w:pStyle w:val="cuatexto"/>
            </w:pPr>
            <w:r w:rsidRPr="004732E4">
              <w:t>Baluarte</w:t>
            </w:r>
          </w:p>
        </w:tc>
        <w:tc>
          <w:tcPr>
            <w:tcW w:w="4678" w:type="dxa"/>
            <w:tcBorders>
              <w:top w:val="single" w:sz="4" w:space="0" w:color="auto"/>
              <w:left w:val="single" w:sz="2" w:space="0" w:color="auto"/>
              <w:bottom w:val="single" w:sz="2" w:space="0" w:color="auto"/>
              <w:right w:val="nil"/>
            </w:tcBorders>
            <w:vAlign w:val="center"/>
            <w:hideMark/>
          </w:tcPr>
          <w:p w14:paraId="57D31DBE" w14:textId="77777777" w:rsidR="00614DC4" w:rsidRPr="004732E4" w:rsidRDefault="00614DC4" w:rsidP="009B2DAA">
            <w:pPr>
              <w:pStyle w:val="cuatexto"/>
            </w:pPr>
            <w:r w:rsidRPr="004732E4">
              <w:t>Promoción actividades culturales en Baluarte</w:t>
            </w:r>
          </w:p>
        </w:tc>
      </w:tr>
      <w:tr w:rsidR="00614DC4" w:rsidRPr="004732E4" w14:paraId="739F7BF2" w14:textId="77777777" w:rsidTr="009B2DAA">
        <w:trPr>
          <w:trHeight w:val="198"/>
          <w:jc w:val="center"/>
        </w:trPr>
        <w:tc>
          <w:tcPr>
            <w:tcW w:w="4253" w:type="dxa"/>
            <w:tcBorders>
              <w:top w:val="single" w:sz="2" w:space="0" w:color="auto"/>
              <w:left w:val="nil"/>
              <w:bottom w:val="single" w:sz="2" w:space="0" w:color="auto"/>
              <w:right w:val="single" w:sz="2" w:space="0" w:color="auto"/>
            </w:tcBorders>
            <w:vAlign w:val="center"/>
            <w:hideMark/>
          </w:tcPr>
          <w:p w14:paraId="12E8B808" w14:textId="77777777" w:rsidR="00614DC4" w:rsidRPr="004732E4" w:rsidRDefault="00614DC4" w:rsidP="003B4290">
            <w:pPr>
              <w:pStyle w:val="cuatexto"/>
            </w:pPr>
            <w:r w:rsidRPr="004732E4">
              <w:t>Conservación del Patrimonio Histórico de Navarra</w:t>
            </w:r>
          </w:p>
        </w:tc>
        <w:tc>
          <w:tcPr>
            <w:tcW w:w="4678" w:type="dxa"/>
            <w:tcBorders>
              <w:top w:val="single" w:sz="2" w:space="0" w:color="auto"/>
              <w:left w:val="single" w:sz="2" w:space="0" w:color="auto"/>
              <w:bottom w:val="single" w:sz="2" w:space="0" w:color="auto"/>
              <w:right w:val="nil"/>
            </w:tcBorders>
            <w:vAlign w:val="center"/>
            <w:hideMark/>
          </w:tcPr>
          <w:p w14:paraId="04E8D77D" w14:textId="77777777" w:rsidR="00614DC4" w:rsidRPr="004732E4" w:rsidRDefault="00614DC4" w:rsidP="009B2DAA">
            <w:pPr>
              <w:pStyle w:val="cuatexto"/>
            </w:pPr>
            <w:proofErr w:type="spellStart"/>
            <w:r w:rsidRPr="004732E4">
              <w:t>Conservaci</w:t>
            </w:r>
            <w:proofErr w:type="spellEnd"/>
            <w:r w:rsidR="009604B1">
              <w:t>.</w:t>
            </w:r>
            <w:r w:rsidRPr="004732E4">
              <w:t xml:space="preserve"> y restauración de Bienes de interés cultural</w:t>
            </w:r>
          </w:p>
        </w:tc>
      </w:tr>
      <w:tr w:rsidR="00614DC4" w:rsidRPr="004732E4" w14:paraId="20AAFF52" w14:textId="77777777" w:rsidTr="009B2DAA">
        <w:trPr>
          <w:trHeight w:val="198"/>
          <w:jc w:val="center"/>
        </w:trPr>
        <w:tc>
          <w:tcPr>
            <w:tcW w:w="4253" w:type="dxa"/>
            <w:tcBorders>
              <w:top w:val="single" w:sz="2" w:space="0" w:color="auto"/>
              <w:left w:val="nil"/>
              <w:bottom w:val="single" w:sz="2" w:space="0" w:color="auto"/>
              <w:right w:val="single" w:sz="2" w:space="0" w:color="auto"/>
            </w:tcBorders>
            <w:vAlign w:val="center"/>
            <w:hideMark/>
          </w:tcPr>
          <w:p w14:paraId="4862F331" w14:textId="77777777" w:rsidR="00614DC4" w:rsidRPr="004732E4" w:rsidRDefault="00614DC4" w:rsidP="003B4290">
            <w:pPr>
              <w:pStyle w:val="cuatexto"/>
            </w:pPr>
            <w:r w:rsidRPr="004732E4">
              <w:t>Miguel Servet</w:t>
            </w:r>
          </w:p>
        </w:tc>
        <w:tc>
          <w:tcPr>
            <w:tcW w:w="4678" w:type="dxa"/>
            <w:tcBorders>
              <w:top w:val="single" w:sz="2" w:space="0" w:color="auto"/>
              <w:left w:val="single" w:sz="2" w:space="0" w:color="auto"/>
              <w:bottom w:val="single" w:sz="2" w:space="0" w:color="auto"/>
              <w:right w:val="nil"/>
            </w:tcBorders>
            <w:vAlign w:val="center"/>
            <w:hideMark/>
          </w:tcPr>
          <w:p w14:paraId="17187772" w14:textId="77777777" w:rsidR="00614DC4" w:rsidRPr="004732E4" w:rsidRDefault="00614DC4" w:rsidP="009B2DAA">
            <w:pPr>
              <w:pStyle w:val="cuatexto"/>
            </w:pPr>
            <w:r w:rsidRPr="004732E4">
              <w:t>Fomento de la investigación sanitaria</w:t>
            </w:r>
          </w:p>
        </w:tc>
      </w:tr>
      <w:tr w:rsidR="00614DC4" w:rsidRPr="004732E4" w14:paraId="304B52B0" w14:textId="77777777" w:rsidTr="009B2DAA">
        <w:trPr>
          <w:trHeight w:val="198"/>
          <w:jc w:val="center"/>
        </w:trPr>
        <w:tc>
          <w:tcPr>
            <w:tcW w:w="4253" w:type="dxa"/>
            <w:tcBorders>
              <w:top w:val="single" w:sz="2" w:space="0" w:color="auto"/>
              <w:left w:val="nil"/>
              <w:bottom w:val="single" w:sz="2" w:space="0" w:color="auto"/>
              <w:right w:val="single" w:sz="2" w:space="0" w:color="auto"/>
            </w:tcBorders>
            <w:vAlign w:val="center"/>
            <w:hideMark/>
          </w:tcPr>
          <w:p w14:paraId="5B11BB63" w14:textId="77777777" w:rsidR="00614DC4" w:rsidRPr="004732E4" w:rsidRDefault="00614DC4" w:rsidP="003B4290">
            <w:pPr>
              <w:pStyle w:val="cuatexto"/>
            </w:pPr>
            <w:r w:rsidRPr="004732E4">
              <w:t>Provisión de Apoyos a Personas con Discapacidad</w:t>
            </w:r>
          </w:p>
        </w:tc>
        <w:tc>
          <w:tcPr>
            <w:tcW w:w="4678" w:type="dxa"/>
            <w:tcBorders>
              <w:top w:val="single" w:sz="2" w:space="0" w:color="auto"/>
              <w:left w:val="single" w:sz="2" w:space="0" w:color="auto"/>
              <w:bottom w:val="single" w:sz="2" w:space="0" w:color="auto"/>
              <w:right w:val="nil"/>
            </w:tcBorders>
            <w:vAlign w:val="center"/>
            <w:hideMark/>
          </w:tcPr>
          <w:p w14:paraId="524EB38F" w14:textId="77777777" w:rsidR="00614DC4" w:rsidRPr="004732E4" w:rsidRDefault="00614DC4" w:rsidP="009B2DAA">
            <w:pPr>
              <w:pStyle w:val="cuatexto"/>
            </w:pPr>
            <w:r w:rsidRPr="004732E4">
              <w:t>Medidas de apoyo a personas adultas con discapacidad</w:t>
            </w:r>
          </w:p>
        </w:tc>
      </w:tr>
      <w:tr w:rsidR="00614DC4" w:rsidRPr="004732E4" w14:paraId="3131E017" w14:textId="77777777" w:rsidTr="009B2DAA">
        <w:trPr>
          <w:trHeight w:val="198"/>
          <w:jc w:val="center"/>
        </w:trPr>
        <w:tc>
          <w:tcPr>
            <w:tcW w:w="4253" w:type="dxa"/>
            <w:tcBorders>
              <w:top w:val="single" w:sz="2" w:space="0" w:color="auto"/>
              <w:left w:val="nil"/>
              <w:bottom w:val="single" w:sz="2" w:space="0" w:color="auto"/>
              <w:right w:val="single" w:sz="2" w:space="0" w:color="auto"/>
            </w:tcBorders>
            <w:vAlign w:val="center"/>
            <w:hideMark/>
          </w:tcPr>
          <w:p w14:paraId="54AFE654" w14:textId="77777777" w:rsidR="00614DC4" w:rsidRPr="004732E4" w:rsidRDefault="00614DC4" w:rsidP="003B4290">
            <w:pPr>
              <w:pStyle w:val="cuatexto"/>
            </w:pPr>
            <w:r w:rsidRPr="004732E4">
              <w:t>Miguel Induráin</w:t>
            </w:r>
          </w:p>
        </w:tc>
        <w:tc>
          <w:tcPr>
            <w:tcW w:w="4678" w:type="dxa"/>
            <w:tcBorders>
              <w:top w:val="single" w:sz="2" w:space="0" w:color="auto"/>
              <w:left w:val="single" w:sz="2" w:space="0" w:color="auto"/>
              <w:bottom w:val="single" w:sz="2" w:space="0" w:color="auto"/>
              <w:right w:val="nil"/>
            </w:tcBorders>
            <w:vAlign w:val="center"/>
            <w:hideMark/>
          </w:tcPr>
          <w:p w14:paraId="7B240DC9" w14:textId="77777777" w:rsidR="00614DC4" w:rsidRPr="004732E4" w:rsidRDefault="00614DC4" w:rsidP="009B2DAA">
            <w:pPr>
              <w:pStyle w:val="cuatexto"/>
            </w:pPr>
            <w:r w:rsidRPr="004732E4">
              <w:t>Promoción y desarrollo del deporte y ejercicio físico en Navarra</w:t>
            </w:r>
          </w:p>
        </w:tc>
      </w:tr>
      <w:tr w:rsidR="00614DC4" w:rsidRPr="004732E4" w14:paraId="0B9D1A0E" w14:textId="77777777" w:rsidTr="009B2DAA">
        <w:trPr>
          <w:trHeight w:val="198"/>
          <w:jc w:val="center"/>
        </w:trPr>
        <w:tc>
          <w:tcPr>
            <w:tcW w:w="4253" w:type="dxa"/>
            <w:tcBorders>
              <w:top w:val="single" w:sz="2" w:space="0" w:color="auto"/>
              <w:left w:val="nil"/>
              <w:bottom w:val="single" w:sz="2" w:space="0" w:color="auto"/>
              <w:right w:val="single" w:sz="2" w:space="0" w:color="auto"/>
            </w:tcBorders>
            <w:vAlign w:val="center"/>
            <w:hideMark/>
          </w:tcPr>
          <w:p w14:paraId="616EA6CC" w14:textId="77777777" w:rsidR="00614DC4" w:rsidRPr="004732E4" w:rsidRDefault="00614DC4" w:rsidP="003B4290">
            <w:pPr>
              <w:pStyle w:val="cuatexto"/>
            </w:pPr>
            <w:r w:rsidRPr="004732E4">
              <w:t>Gestión Servicios Sociales Públicos-</w:t>
            </w:r>
            <w:proofErr w:type="spellStart"/>
            <w:r w:rsidRPr="004732E4">
              <w:t>Gizain</w:t>
            </w:r>
            <w:proofErr w:type="spellEnd"/>
            <w:r w:rsidRPr="004732E4">
              <w:t xml:space="preserve"> </w:t>
            </w:r>
          </w:p>
        </w:tc>
        <w:tc>
          <w:tcPr>
            <w:tcW w:w="4678" w:type="dxa"/>
            <w:tcBorders>
              <w:top w:val="single" w:sz="2" w:space="0" w:color="auto"/>
              <w:left w:val="single" w:sz="2" w:space="0" w:color="auto"/>
              <w:bottom w:val="single" w:sz="2" w:space="0" w:color="auto"/>
              <w:right w:val="nil"/>
            </w:tcBorders>
            <w:vAlign w:val="center"/>
            <w:hideMark/>
          </w:tcPr>
          <w:p w14:paraId="6D01D525" w14:textId="77777777" w:rsidR="009A1928" w:rsidRDefault="00614DC4" w:rsidP="009B2DAA">
            <w:pPr>
              <w:pStyle w:val="cuatexto"/>
            </w:pPr>
            <w:r w:rsidRPr="004732E4">
              <w:t>Gestión, prestación y ejecución directa de servicios</w:t>
            </w:r>
          </w:p>
          <w:p w14:paraId="7A5AE200" w14:textId="77777777" w:rsidR="00614DC4" w:rsidRPr="004732E4" w:rsidRDefault="00614DC4" w:rsidP="009B2DAA">
            <w:pPr>
              <w:pStyle w:val="cuatexto"/>
            </w:pPr>
            <w:r w:rsidRPr="004732E4">
              <w:t xml:space="preserve"> sociales públicos</w:t>
            </w:r>
          </w:p>
        </w:tc>
      </w:tr>
      <w:tr w:rsidR="00111F82" w:rsidRPr="000A562A" w14:paraId="07AC409F" w14:textId="77777777" w:rsidTr="009B2DAA">
        <w:trPr>
          <w:trHeight w:val="198"/>
          <w:jc w:val="center"/>
        </w:trPr>
        <w:tc>
          <w:tcPr>
            <w:tcW w:w="4253" w:type="dxa"/>
            <w:tcBorders>
              <w:top w:val="single" w:sz="2" w:space="0" w:color="auto"/>
              <w:left w:val="nil"/>
              <w:bottom w:val="single" w:sz="2" w:space="0" w:color="auto"/>
              <w:right w:val="single" w:sz="2" w:space="0" w:color="auto"/>
            </w:tcBorders>
            <w:vAlign w:val="center"/>
          </w:tcPr>
          <w:p w14:paraId="24FD4EE6" w14:textId="77777777" w:rsidR="00571CB3" w:rsidRPr="000A562A" w:rsidRDefault="00111F82" w:rsidP="003B4290">
            <w:pPr>
              <w:pStyle w:val="cuatexto"/>
            </w:pPr>
            <w:r w:rsidRPr="000A562A">
              <w:t xml:space="preserve">Fundación </w:t>
            </w:r>
            <w:proofErr w:type="spellStart"/>
            <w:r w:rsidR="00571CB3" w:rsidRPr="000A562A">
              <w:t>Cener</w:t>
            </w:r>
            <w:proofErr w:type="spellEnd"/>
          </w:p>
        </w:tc>
        <w:tc>
          <w:tcPr>
            <w:tcW w:w="4678" w:type="dxa"/>
            <w:tcBorders>
              <w:top w:val="single" w:sz="2" w:space="0" w:color="auto"/>
              <w:left w:val="single" w:sz="2" w:space="0" w:color="auto"/>
              <w:bottom w:val="single" w:sz="2" w:space="0" w:color="auto"/>
              <w:right w:val="nil"/>
            </w:tcBorders>
            <w:vAlign w:val="center"/>
          </w:tcPr>
          <w:p w14:paraId="24C88FCB" w14:textId="77777777" w:rsidR="009A1928" w:rsidRDefault="00840EB8" w:rsidP="009B2DAA">
            <w:pPr>
              <w:pStyle w:val="cuatexto"/>
            </w:pPr>
            <w:r w:rsidRPr="000A562A">
              <w:t xml:space="preserve">Investigación y fomento en el sector de energías </w:t>
            </w:r>
          </w:p>
          <w:p w14:paraId="3D41281A" w14:textId="77777777" w:rsidR="00571CB3" w:rsidRPr="000A562A" w:rsidRDefault="00840EB8" w:rsidP="009B2DAA">
            <w:pPr>
              <w:pStyle w:val="cuatexto"/>
            </w:pPr>
            <w:r w:rsidRPr="000A562A">
              <w:t>renovables</w:t>
            </w:r>
          </w:p>
        </w:tc>
      </w:tr>
      <w:tr w:rsidR="00111F82" w:rsidRPr="000A562A" w14:paraId="1BDEC5FB" w14:textId="77777777" w:rsidTr="009B2DAA">
        <w:trPr>
          <w:trHeight w:val="198"/>
          <w:jc w:val="center"/>
        </w:trPr>
        <w:tc>
          <w:tcPr>
            <w:tcW w:w="4253" w:type="dxa"/>
            <w:tcBorders>
              <w:top w:val="single" w:sz="2" w:space="0" w:color="auto"/>
              <w:left w:val="nil"/>
              <w:bottom w:val="single" w:sz="4" w:space="0" w:color="auto"/>
              <w:right w:val="single" w:sz="2" w:space="0" w:color="auto"/>
            </w:tcBorders>
            <w:vAlign w:val="center"/>
          </w:tcPr>
          <w:p w14:paraId="7637B8B3" w14:textId="77777777" w:rsidR="00571CB3" w:rsidRPr="000A562A" w:rsidRDefault="00111F82" w:rsidP="003B4290">
            <w:pPr>
              <w:pStyle w:val="cuatexto"/>
            </w:pPr>
            <w:r w:rsidRPr="000A562A">
              <w:t>Fundación Instituto de Investigación Sanitaria de Navarra (Fundación IDISNA)</w:t>
            </w:r>
          </w:p>
        </w:tc>
        <w:tc>
          <w:tcPr>
            <w:tcW w:w="4678" w:type="dxa"/>
            <w:tcBorders>
              <w:top w:val="single" w:sz="2" w:space="0" w:color="auto"/>
              <w:left w:val="single" w:sz="2" w:space="0" w:color="auto"/>
              <w:bottom w:val="single" w:sz="4" w:space="0" w:color="auto"/>
              <w:right w:val="nil"/>
            </w:tcBorders>
            <w:vAlign w:val="center"/>
          </w:tcPr>
          <w:p w14:paraId="52B599EC" w14:textId="77777777" w:rsidR="00571CB3" w:rsidRPr="000A562A" w:rsidRDefault="00840EB8" w:rsidP="009B2DAA">
            <w:pPr>
              <w:pStyle w:val="cuatexto"/>
            </w:pPr>
            <w:r w:rsidRPr="000A562A">
              <w:t>Investigación sanitaria</w:t>
            </w:r>
          </w:p>
        </w:tc>
      </w:tr>
    </w:tbl>
    <w:p w14:paraId="4C5E0074" w14:textId="77777777" w:rsidR="000D7CCD" w:rsidRPr="000A562A" w:rsidRDefault="000D7CCD" w:rsidP="000D7CCD">
      <w:pPr>
        <w:pStyle w:val="texto"/>
        <w:spacing w:before="240" w:after="240"/>
        <w:jc w:val="both"/>
      </w:pPr>
      <w:r w:rsidRPr="000A562A">
        <w:t>Indicamos q</w:t>
      </w:r>
      <w:r w:rsidR="00AA1CAE" w:rsidRPr="000A562A">
        <w:t>ue las dos últimas fundaciones</w:t>
      </w:r>
      <w:r w:rsidRPr="000A562A">
        <w:t xml:space="preserve">, se incorporan </w:t>
      </w:r>
      <w:r w:rsidR="007A72FA">
        <w:t xml:space="preserve">este ejercicio </w:t>
      </w:r>
      <w:r w:rsidRPr="000A562A">
        <w:t xml:space="preserve">como entidades integrantes del sector </w:t>
      </w:r>
      <w:r w:rsidR="00AA1CAE" w:rsidRPr="000A562A">
        <w:t xml:space="preserve">público fundacional de la ACFN en las Cuentas Generales por primera vez. </w:t>
      </w:r>
      <w:r w:rsidRPr="000A562A">
        <w:t>Al respecto, no nos consta info</w:t>
      </w:r>
      <w:r w:rsidR="00AA1CAE" w:rsidRPr="000A562A">
        <w:t xml:space="preserve">rmación del cambio de criterio, respecto a </w:t>
      </w:r>
      <w:r w:rsidR="007A72FA">
        <w:t xml:space="preserve">su integración en </w:t>
      </w:r>
      <w:r w:rsidR="00AA1CAE" w:rsidRPr="000A562A">
        <w:t xml:space="preserve">las cuentas de ejercicios anteriores. </w:t>
      </w:r>
    </w:p>
    <w:p w14:paraId="4D444CEA" w14:textId="77777777" w:rsidR="00614DC4" w:rsidRDefault="00614DC4" w:rsidP="00D01D3B">
      <w:pPr>
        <w:pStyle w:val="texto"/>
        <w:spacing w:before="120" w:after="360"/>
        <w:jc w:val="both"/>
      </w:pPr>
      <w:r>
        <w:t>Los principales datos económicos y de personal a 31 de diciembre de 202</w:t>
      </w:r>
      <w:r w:rsidR="00483A21">
        <w:t>3</w:t>
      </w:r>
      <w:r>
        <w:t xml:space="preserve"> de las entidades que componen el Sector Público Foral, ampliados y comentados en la memoria de las Cuentas Generales, son los siguientes:</w:t>
      </w:r>
    </w:p>
    <w:p w14:paraId="504780A1" w14:textId="77777777" w:rsidR="00735746" w:rsidRPr="00735746"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289" w:firstLine="0"/>
        <w:jc w:val="both"/>
        <w:rPr>
          <w:rFonts w:cs="Arial"/>
          <w:lang w:val="es-ES_tradnl" w:eastAsia="en-US"/>
        </w:rPr>
      </w:pPr>
      <w:r w:rsidRPr="00735746">
        <w:rPr>
          <w:rFonts w:cs="Arial"/>
          <w:lang w:val="es-ES_tradnl" w:eastAsia="en-US"/>
        </w:rPr>
        <w:t>Administración de la Comunidad Foral de Navarra</w:t>
      </w:r>
    </w:p>
    <w:p w14:paraId="621E6F3C" w14:textId="77777777" w:rsidR="00735746" w:rsidRDefault="00735746" w:rsidP="00735746">
      <w:pPr>
        <w:suppressAutoHyphens/>
        <w:spacing w:after="60"/>
        <w:jc w:val="right"/>
        <w:rPr>
          <w:rFonts w:ascii="Arial" w:hAnsi="Arial"/>
          <w:spacing w:val="6"/>
          <w:sz w:val="17"/>
          <w:szCs w:val="17"/>
        </w:rPr>
      </w:pPr>
      <w:r>
        <w:rPr>
          <w:rFonts w:ascii="Arial" w:hAnsi="Arial"/>
          <w:spacing w:val="6"/>
          <w:sz w:val="17"/>
          <w:szCs w:val="17"/>
        </w:rPr>
        <w:t>(en miles, salvo que se indique número)</w:t>
      </w:r>
    </w:p>
    <w:tbl>
      <w:tblPr>
        <w:tblW w:w="5028" w:type="pct"/>
        <w:jc w:val="center"/>
        <w:tblCellMar>
          <w:left w:w="80" w:type="dxa"/>
          <w:right w:w="80" w:type="dxa"/>
        </w:tblCellMar>
        <w:tblLook w:val="04A0" w:firstRow="1" w:lastRow="0" w:firstColumn="1" w:lastColumn="0" w:noHBand="0" w:noVBand="1"/>
      </w:tblPr>
      <w:tblGrid>
        <w:gridCol w:w="4864"/>
        <w:gridCol w:w="27"/>
        <w:gridCol w:w="3899"/>
        <w:gridCol w:w="48"/>
      </w:tblGrid>
      <w:tr w:rsidR="00614DC4" w:rsidRPr="003B4290" w14:paraId="6B74E13B" w14:textId="77777777" w:rsidTr="00C97700">
        <w:trPr>
          <w:gridAfter w:val="1"/>
          <w:wAfter w:w="27" w:type="pct"/>
          <w:trHeight w:val="255"/>
          <w:jc w:val="center"/>
        </w:trPr>
        <w:tc>
          <w:tcPr>
            <w:tcW w:w="2752" w:type="pct"/>
            <w:tcBorders>
              <w:top w:val="single" w:sz="4" w:space="0" w:color="auto"/>
              <w:left w:val="nil"/>
              <w:bottom w:val="single" w:sz="4" w:space="0" w:color="auto"/>
              <w:right w:val="nil"/>
            </w:tcBorders>
            <w:shd w:val="clear" w:color="auto" w:fill="8DB3E2"/>
            <w:vAlign w:val="center"/>
          </w:tcPr>
          <w:p w14:paraId="449E4D54" w14:textId="77777777" w:rsidR="00614DC4" w:rsidRPr="003B4290" w:rsidRDefault="00614DC4" w:rsidP="003B4290">
            <w:pPr>
              <w:pStyle w:val="cuadroCabe"/>
            </w:pPr>
          </w:p>
        </w:tc>
        <w:tc>
          <w:tcPr>
            <w:tcW w:w="2221" w:type="pct"/>
            <w:gridSpan w:val="2"/>
            <w:tcBorders>
              <w:top w:val="single" w:sz="4" w:space="0" w:color="auto"/>
              <w:left w:val="nil"/>
              <w:bottom w:val="single" w:sz="4" w:space="0" w:color="auto"/>
              <w:right w:val="nil"/>
            </w:tcBorders>
            <w:shd w:val="clear" w:color="auto" w:fill="8DB3E2"/>
            <w:vAlign w:val="center"/>
            <w:hideMark/>
          </w:tcPr>
          <w:p w14:paraId="08096503" w14:textId="77777777" w:rsidR="00614DC4" w:rsidRPr="003B4290" w:rsidRDefault="00614DC4" w:rsidP="00735746">
            <w:pPr>
              <w:pStyle w:val="cuadroCabe"/>
              <w:jc w:val="right"/>
            </w:pPr>
            <w:r w:rsidRPr="003B4290">
              <w:t xml:space="preserve">Importe </w:t>
            </w:r>
          </w:p>
        </w:tc>
      </w:tr>
      <w:tr w:rsidR="00614DC4" w:rsidRPr="004732E4" w14:paraId="59D90389" w14:textId="77777777" w:rsidTr="00C97700">
        <w:trPr>
          <w:gridAfter w:val="1"/>
          <w:wAfter w:w="27" w:type="pct"/>
          <w:trHeight w:val="198"/>
          <w:jc w:val="center"/>
        </w:trPr>
        <w:tc>
          <w:tcPr>
            <w:tcW w:w="2752" w:type="pct"/>
            <w:tcBorders>
              <w:top w:val="single" w:sz="4" w:space="0" w:color="auto"/>
              <w:left w:val="nil"/>
              <w:bottom w:val="single" w:sz="2" w:space="0" w:color="auto"/>
              <w:right w:val="nil"/>
            </w:tcBorders>
            <w:vAlign w:val="center"/>
            <w:hideMark/>
          </w:tcPr>
          <w:p w14:paraId="7DF176A9" w14:textId="77777777" w:rsidR="00614DC4" w:rsidRPr="004732E4" w:rsidRDefault="00614DC4" w:rsidP="003B4290">
            <w:pPr>
              <w:pStyle w:val="cuatexto"/>
            </w:pPr>
            <w:r w:rsidRPr="004732E4">
              <w:t>Derechos reconocidos</w:t>
            </w:r>
          </w:p>
        </w:tc>
        <w:tc>
          <w:tcPr>
            <w:tcW w:w="2221" w:type="pct"/>
            <w:gridSpan w:val="2"/>
            <w:tcBorders>
              <w:top w:val="single" w:sz="4" w:space="0" w:color="auto"/>
              <w:left w:val="nil"/>
              <w:bottom w:val="single" w:sz="2" w:space="0" w:color="auto"/>
              <w:right w:val="nil"/>
            </w:tcBorders>
            <w:vAlign w:val="center"/>
          </w:tcPr>
          <w:p w14:paraId="336236B1" w14:textId="77777777" w:rsidR="00614DC4" w:rsidRPr="004732E4" w:rsidRDefault="0013570B" w:rsidP="003B4290">
            <w:pPr>
              <w:pStyle w:val="cuatexto"/>
              <w:jc w:val="right"/>
            </w:pPr>
            <w:r w:rsidRPr="004732E4">
              <w:t>5.925.483</w:t>
            </w:r>
          </w:p>
        </w:tc>
      </w:tr>
      <w:tr w:rsidR="00614DC4" w:rsidRPr="004732E4" w14:paraId="3318E0FA" w14:textId="77777777" w:rsidTr="00C97700">
        <w:trPr>
          <w:gridAfter w:val="1"/>
          <w:wAfter w:w="27" w:type="pct"/>
          <w:trHeight w:val="198"/>
          <w:jc w:val="center"/>
        </w:trPr>
        <w:tc>
          <w:tcPr>
            <w:tcW w:w="2752" w:type="pct"/>
            <w:tcBorders>
              <w:top w:val="single" w:sz="2" w:space="0" w:color="auto"/>
              <w:left w:val="nil"/>
              <w:bottom w:val="single" w:sz="2" w:space="0" w:color="auto"/>
              <w:right w:val="nil"/>
            </w:tcBorders>
            <w:vAlign w:val="center"/>
            <w:hideMark/>
          </w:tcPr>
          <w:p w14:paraId="75697370" w14:textId="77777777" w:rsidR="00614DC4" w:rsidRPr="004732E4" w:rsidRDefault="00614DC4" w:rsidP="003B4290">
            <w:pPr>
              <w:pStyle w:val="cuatexto"/>
            </w:pPr>
            <w:r w:rsidRPr="004732E4">
              <w:t>Obligaciones reconocidas</w:t>
            </w:r>
          </w:p>
        </w:tc>
        <w:tc>
          <w:tcPr>
            <w:tcW w:w="2221" w:type="pct"/>
            <w:gridSpan w:val="2"/>
            <w:tcBorders>
              <w:top w:val="single" w:sz="2" w:space="0" w:color="auto"/>
              <w:left w:val="nil"/>
              <w:bottom w:val="single" w:sz="2" w:space="0" w:color="auto"/>
              <w:right w:val="nil"/>
            </w:tcBorders>
            <w:vAlign w:val="center"/>
          </w:tcPr>
          <w:p w14:paraId="697E7344" w14:textId="77777777" w:rsidR="00614DC4" w:rsidRPr="004732E4" w:rsidRDefault="0013570B" w:rsidP="003B4290">
            <w:pPr>
              <w:pStyle w:val="cuatexto"/>
              <w:jc w:val="right"/>
            </w:pPr>
            <w:r w:rsidRPr="004732E4">
              <w:t>5.781.904</w:t>
            </w:r>
          </w:p>
        </w:tc>
      </w:tr>
      <w:tr w:rsidR="00614DC4" w:rsidRPr="003B4290" w14:paraId="1A577516" w14:textId="77777777" w:rsidTr="00C97700">
        <w:trPr>
          <w:trHeight w:val="255"/>
          <w:jc w:val="center"/>
        </w:trPr>
        <w:tc>
          <w:tcPr>
            <w:tcW w:w="2767" w:type="pct"/>
            <w:gridSpan w:val="2"/>
            <w:tcBorders>
              <w:top w:val="single" w:sz="4" w:space="0" w:color="auto"/>
              <w:left w:val="nil"/>
              <w:bottom w:val="single" w:sz="4" w:space="0" w:color="auto"/>
              <w:right w:val="nil"/>
            </w:tcBorders>
            <w:shd w:val="clear" w:color="auto" w:fill="8DB3E2"/>
            <w:vAlign w:val="center"/>
          </w:tcPr>
          <w:p w14:paraId="5C7BB887" w14:textId="77777777" w:rsidR="00614DC4" w:rsidRPr="003B4290" w:rsidRDefault="00614DC4" w:rsidP="003B4290">
            <w:pPr>
              <w:pStyle w:val="cuadroCabe"/>
            </w:pPr>
          </w:p>
        </w:tc>
        <w:tc>
          <w:tcPr>
            <w:tcW w:w="2233" w:type="pct"/>
            <w:gridSpan w:val="2"/>
            <w:tcBorders>
              <w:top w:val="single" w:sz="4" w:space="0" w:color="auto"/>
              <w:left w:val="nil"/>
              <w:bottom w:val="single" w:sz="4" w:space="0" w:color="auto"/>
              <w:right w:val="nil"/>
            </w:tcBorders>
            <w:shd w:val="clear" w:color="auto" w:fill="8DB3E2"/>
            <w:vAlign w:val="center"/>
            <w:hideMark/>
          </w:tcPr>
          <w:p w14:paraId="1162E77E" w14:textId="77777777" w:rsidR="00614DC4" w:rsidRPr="003B4290" w:rsidRDefault="00614DC4" w:rsidP="003B4290">
            <w:pPr>
              <w:pStyle w:val="cuadroCabe"/>
              <w:jc w:val="right"/>
            </w:pPr>
            <w:r w:rsidRPr="003B4290">
              <w:t>Número personas</w:t>
            </w:r>
          </w:p>
        </w:tc>
      </w:tr>
      <w:tr w:rsidR="000D7CCD" w:rsidRPr="00070BED" w14:paraId="7F6A0EA2" w14:textId="77777777" w:rsidTr="00C97700">
        <w:trPr>
          <w:gridAfter w:val="1"/>
          <w:wAfter w:w="27" w:type="pct"/>
          <w:trHeight w:val="198"/>
          <w:jc w:val="center"/>
        </w:trPr>
        <w:tc>
          <w:tcPr>
            <w:tcW w:w="2752" w:type="pct"/>
            <w:tcBorders>
              <w:top w:val="single" w:sz="4" w:space="0" w:color="auto"/>
              <w:left w:val="nil"/>
              <w:bottom w:val="single" w:sz="4" w:space="0" w:color="auto"/>
              <w:right w:val="nil"/>
            </w:tcBorders>
            <w:vAlign w:val="center"/>
            <w:hideMark/>
          </w:tcPr>
          <w:p w14:paraId="28339C31" w14:textId="77777777" w:rsidR="00614DC4" w:rsidRPr="00070BED" w:rsidRDefault="00614DC4" w:rsidP="000D7CCD">
            <w:pPr>
              <w:pStyle w:val="cuatexto"/>
            </w:pPr>
            <w:r w:rsidRPr="00070BED">
              <w:t>Personal a 31 de diciembre de 202</w:t>
            </w:r>
            <w:r w:rsidR="000D7CCD" w:rsidRPr="00070BED">
              <w:t>3</w:t>
            </w:r>
          </w:p>
        </w:tc>
        <w:tc>
          <w:tcPr>
            <w:tcW w:w="2221" w:type="pct"/>
            <w:gridSpan w:val="2"/>
            <w:tcBorders>
              <w:top w:val="single" w:sz="4" w:space="0" w:color="auto"/>
              <w:left w:val="nil"/>
              <w:bottom w:val="single" w:sz="4" w:space="0" w:color="auto"/>
              <w:right w:val="nil"/>
            </w:tcBorders>
            <w:vAlign w:val="center"/>
            <w:hideMark/>
          </w:tcPr>
          <w:p w14:paraId="5EFBDD6A" w14:textId="77777777" w:rsidR="00614DC4" w:rsidRPr="00070BED" w:rsidRDefault="000D7CCD" w:rsidP="003B4290">
            <w:pPr>
              <w:pStyle w:val="cuatexto"/>
              <w:jc w:val="right"/>
              <w:rPr>
                <w:szCs w:val="20"/>
              </w:rPr>
            </w:pPr>
            <w:r w:rsidRPr="00070BED">
              <w:rPr>
                <w:szCs w:val="20"/>
              </w:rPr>
              <w:t>32.587</w:t>
            </w:r>
          </w:p>
        </w:tc>
      </w:tr>
    </w:tbl>
    <w:p w14:paraId="22C068F8" w14:textId="77777777" w:rsidR="00614DC4" w:rsidRPr="003D09D7" w:rsidRDefault="00614DC4" w:rsidP="00D01D3B">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before="360" w:after="120"/>
        <w:ind w:left="0" w:firstLine="289"/>
        <w:jc w:val="both"/>
        <w:rPr>
          <w:rFonts w:cs="Arial"/>
          <w:lang w:val="es-ES_tradnl" w:eastAsia="en-US"/>
        </w:rPr>
      </w:pPr>
      <w:r w:rsidRPr="003D09D7">
        <w:rPr>
          <w:rFonts w:cs="Arial"/>
          <w:lang w:val="es-ES_tradnl" w:eastAsia="en-US"/>
        </w:rPr>
        <w:t>Sociedades públicas</w:t>
      </w:r>
    </w:p>
    <w:p w14:paraId="4A87BF58" w14:textId="77777777" w:rsidR="00614DC4" w:rsidRPr="00D01D3B" w:rsidRDefault="00614DC4" w:rsidP="00614DC4">
      <w:pPr>
        <w:tabs>
          <w:tab w:val="left" w:pos="480"/>
        </w:tabs>
        <w:spacing w:after="40"/>
        <w:ind w:left="1588"/>
        <w:jc w:val="right"/>
        <w:rPr>
          <w:rFonts w:ascii="Arial" w:hAnsi="Arial"/>
          <w:spacing w:val="6"/>
          <w:sz w:val="17"/>
          <w:szCs w:val="17"/>
        </w:rPr>
      </w:pPr>
      <w:r w:rsidRPr="00D01D3B">
        <w:rPr>
          <w:rFonts w:ascii="Arial" w:hAnsi="Arial"/>
          <w:spacing w:val="6"/>
          <w:sz w:val="17"/>
          <w:szCs w:val="17"/>
        </w:rPr>
        <w:t>(en miles, salvo que se indique número)</w:t>
      </w:r>
    </w:p>
    <w:tbl>
      <w:tblPr>
        <w:tblW w:w="5000" w:type="pct"/>
        <w:jc w:val="center"/>
        <w:tblCellMar>
          <w:left w:w="80" w:type="dxa"/>
          <w:right w:w="80" w:type="dxa"/>
        </w:tblCellMar>
        <w:tblLook w:val="04A0" w:firstRow="1" w:lastRow="0" w:firstColumn="1" w:lastColumn="0" w:noHBand="0" w:noVBand="1"/>
      </w:tblPr>
      <w:tblGrid>
        <w:gridCol w:w="2145"/>
        <w:gridCol w:w="1278"/>
        <w:gridCol w:w="1385"/>
        <w:gridCol w:w="1508"/>
        <w:gridCol w:w="1204"/>
        <w:gridCol w:w="1269"/>
      </w:tblGrid>
      <w:tr w:rsidR="00614DC4" w14:paraId="0D4DCEC2" w14:textId="77777777" w:rsidTr="00D01D3B">
        <w:trPr>
          <w:trHeight w:val="255"/>
          <w:jc w:val="center"/>
        </w:trPr>
        <w:tc>
          <w:tcPr>
            <w:tcW w:w="1220" w:type="pct"/>
            <w:tcBorders>
              <w:top w:val="single" w:sz="4" w:space="0" w:color="auto"/>
              <w:left w:val="nil"/>
              <w:bottom w:val="single" w:sz="4" w:space="0" w:color="auto"/>
              <w:right w:val="nil"/>
            </w:tcBorders>
            <w:shd w:val="clear" w:color="auto" w:fill="8DB3E2"/>
            <w:vAlign w:val="center"/>
            <w:hideMark/>
          </w:tcPr>
          <w:p w14:paraId="54C47739" w14:textId="77777777" w:rsidR="00614DC4" w:rsidRDefault="00614DC4" w:rsidP="0003329D">
            <w:pPr>
              <w:pStyle w:val="cuadroCabe"/>
            </w:pPr>
          </w:p>
        </w:tc>
        <w:tc>
          <w:tcPr>
            <w:tcW w:w="727" w:type="pct"/>
            <w:tcBorders>
              <w:top w:val="single" w:sz="4" w:space="0" w:color="auto"/>
              <w:left w:val="nil"/>
              <w:bottom w:val="single" w:sz="4" w:space="0" w:color="auto"/>
              <w:right w:val="nil"/>
            </w:tcBorders>
            <w:shd w:val="clear" w:color="auto" w:fill="8DB3E2"/>
            <w:vAlign w:val="center"/>
            <w:hideMark/>
          </w:tcPr>
          <w:p w14:paraId="101EA0E6" w14:textId="77777777" w:rsidR="00614DC4" w:rsidRDefault="00614DC4" w:rsidP="00775F30">
            <w:pPr>
              <w:pStyle w:val="cuadroCabe"/>
              <w:jc w:val="right"/>
              <w:rPr>
                <w:rFonts w:cs="Arial"/>
                <w:szCs w:val="18"/>
              </w:rPr>
            </w:pPr>
            <w:r>
              <w:rPr>
                <w:rFonts w:cs="Arial"/>
                <w:szCs w:val="18"/>
              </w:rPr>
              <w:t>Resultado del ejercicio</w:t>
            </w:r>
          </w:p>
        </w:tc>
        <w:tc>
          <w:tcPr>
            <w:tcW w:w="788" w:type="pct"/>
            <w:tcBorders>
              <w:top w:val="single" w:sz="4" w:space="0" w:color="auto"/>
              <w:left w:val="nil"/>
              <w:bottom w:val="single" w:sz="4" w:space="0" w:color="auto"/>
              <w:right w:val="nil"/>
            </w:tcBorders>
            <w:shd w:val="clear" w:color="auto" w:fill="8DB3E2"/>
            <w:vAlign w:val="center"/>
            <w:hideMark/>
          </w:tcPr>
          <w:p w14:paraId="020F4D35" w14:textId="77777777" w:rsidR="00614DC4" w:rsidRDefault="00614DC4" w:rsidP="00775F30">
            <w:pPr>
              <w:pStyle w:val="cuadroCabe"/>
              <w:jc w:val="right"/>
              <w:rPr>
                <w:rFonts w:cs="Arial"/>
                <w:szCs w:val="18"/>
              </w:rPr>
            </w:pPr>
            <w:r>
              <w:rPr>
                <w:rFonts w:cs="Arial"/>
                <w:szCs w:val="18"/>
              </w:rPr>
              <w:t xml:space="preserve">Subvenciones </w:t>
            </w:r>
          </w:p>
          <w:p w14:paraId="20119FD4" w14:textId="77777777" w:rsidR="00614DC4" w:rsidRDefault="00614DC4" w:rsidP="00775F30">
            <w:pPr>
              <w:pStyle w:val="cuadroCabe"/>
              <w:jc w:val="right"/>
              <w:rPr>
                <w:rFonts w:cs="Arial"/>
                <w:szCs w:val="18"/>
              </w:rPr>
            </w:pPr>
            <w:r>
              <w:rPr>
                <w:rFonts w:cs="Arial"/>
                <w:szCs w:val="18"/>
              </w:rPr>
              <w:t>Admón. Foral</w:t>
            </w:r>
          </w:p>
        </w:tc>
        <w:tc>
          <w:tcPr>
            <w:tcW w:w="858" w:type="pct"/>
            <w:tcBorders>
              <w:top w:val="single" w:sz="4" w:space="0" w:color="auto"/>
              <w:left w:val="nil"/>
              <w:bottom w:val="single" w:sz="4" w:space="0" w:color="auto"/>
              <w:right w:val="nil"/>
            </w:tcBorders>
            <w:shd w:val="clear" w:color="auto" w:fill="8DB3E2"/>
            <w:vAlign w:val="center"/>
            <w:hideMark/>
          </w:tcPr>
          <w:p w14:paraId="5F2D5CFC" w14:textId="77777777" w:rsidR="00614DC4" w:rsidRDefault="00614DC4" w:rsidP="00775F30">
            <w:pPr>
              <w:pStyle w:val="cuadroCabe"/>
              <w:jc w:val="right"/>
              <w:rPr>
                <w:rFonts w:cs="Arial"/>
                <w:szCs w:val="18"/>
              </w:rPr>
            </w:pPr>
            <w:r>
              <w:rPr>
                <w:rFonts w:cs="Arial"/>
                <w:szCs w:val="18"/>
              </w:rPr>
              <w:t xml:space="preserve">Endeudamiento largo plazo </w:t>
            </w:r>
          </w:p>
        </w:tc>
        <w:tc>
          <w:tcPr>
            <w:tcW w:w="685" w:type="pct"/>
            <w:tcBorders>
              <w:top w:val="single" w:sz="4" w:space="0" w:color="auto"/>
              <w:left w:val="nil"/>
              <w:bottom w:val="single" w:sz="4" w:space="0" w:color="auto"/>
              <w:right w:val="nil"/>
            </w:tcBorders>
            <w:shd w:val="clear" w:color="auto" w:fill="8DB3E2"/>
            <w:vAlign w:val="center"/>
            <w:hideMark/>
          </w:tcPr>
          <w:p w14:paraId="6A551FA3" w14:textId="77777777" w:rsidR="00614DC4" w:rsidRDefault="00614DC4" w:rsidP="00775F30">
            <w:pPr>
              <w:pStyle w:val="cuadroCabe"/>
              <w:jc w:val="right"/>
              <w:rPr>
                <w:rFonts w:cs="Arial"/>
                <w:szCs w:val="18"/>
              </w:rPr>
            </w:pPr>
            <w:r>
              <w:rPr>
                <w:rFonts w:cs="Arial"/>
                <w:szCs w:val="18"/>
              </w:rPr>
              <w:t>Patrimonio</w:t>
            </w:r>
          </w:p>
          <w:p w14:paraId="5EABA63A" w14:textId="77777777" w:rsidR="00614DC4" w:rsidRDefault="00614DC4" w:rsidP="00775F30">
            <w:pPr>
              <w:pStyle w:val="cuadroCabe"/>
              <w:jc w:val="right"/>
              <w:rPr>
                <w:rFonts w:cs="Arial"/>
                <w:szCs w:val="18"/>
              </w:rPr>
            </w:pPr>
            <w:r>
              <w:rPr>
                <w:rFonts w:cs="Arial"/>
                <w:szCs w:val="18"/>
              </w:rPr>
              <w:t xml:space="preserve"> neto</w:t>
            </w:r>
          </w:p>
        </w:tc>
        <w:tc>
          <w:tcPr>
            <w:tcW w:w="722" w:type="pct"/>
            <w:tcBorders>
              <w:top w:val="single" w:sz="4" w:space="0" w:color="auto"/>
              <w:left w:val="nil"/>
              <w:bottom w:val="single" w:sz="4" w:space="0" w:color="auto"/>
              <w:right w:val="nil"/>
            </w:tcBorders>
            <w:shd w:val="clear" w:color="auto" w:fill="8DB3E2"/>
            <w:vAlign w:val="center"/>
            <w:hideMark/>
          </w:tcPr>
          <w:p w14:paraId="7A14DC21" w14:textId="77777777" w:rsidR="00614DC4" w:rsidRDefault="00614DC4" w:rsidP="00775F30">
            <w:pPr>
              <w:pStyle w:val="cuadroCabe"/>
              <w:jc w:val="right"/>
              <w:rPr>
                <w:rFonts w:cs="Arial"/>
                <w:szCs w:val="18"/>
              </w:rPr>
            </w:pPr>
            <w:r>
              <w:rPr>
                <w:rFonts w:cs="Arial"/>
                <w:szCs w:val="18"/>
              </w:rPr>
              <w:t>Nº medio de empleados</w:t>
            </w:r>
          </w:p>
        </w:tc>
      </w:tr>
      <w:tr w:rsidR="00725ABE" w:rsidRPr="00725ABE" w14:paraId="7EDF004A" w14:textId="77777777" w:rsidTr="009A1928">
        <w:trPr>
          <w:trHeight w:val="198"/>
          <w:jc w:val="center"/>
        </w:trPr>
        <w:tc>
          <w:tcPr>
            <w:tcW w:w="1220" w:type="pct"/>
            <w:tcBorders>
              <w:top w:val="single" w:sz="4" w:space="0" w:color="auto"/>
              <w:left w:val="nil"/>
              <w:bottom w:val="single" w:sz="4" w:space="0" w:color="auto"/>
              <w:right w:val="nil"/>
            </w:tcBorders>
            <w:vAlign w:val="center"/>
            <w:hideMark/>
          </w:tcPr>
          <w:p w14:paraId="7D01AA2F" w14:textId="77777777" w:rsidR="00614DC4" w:rsidRPr="00725ABE" w:rsidRDefault="00614DC4" w:rsidP="00483A21">
            <w:pPr>
              <w:pStyle w:val="cuatexto"/>
            </w:pPr>
            <w:r w:rsidRPr="00725ABE">
              <w:t xml:space="preserve">Datos </w:t>
            </w:r>
            <w:r w:rsidR="00D57750">
              <w:t>no consolidados</w:t>
            </w:r>
          </w:p>
        </w:tc>
        <w:tc>
          <w:tcPr>
            <w:tcW w:w="727" w:type="pct"/>
            <w:tcBorders>
              <w:top w:val="single" w:sz="4" w:space="0" w:color="auto"/>
              <w:left w:val="nil"/>
              <w:bottom w:val="single" w:sz="4" w:space="0" w:color="auto"/>
              <w:right w:val="nil"/>
            </w:tcBorders>
            <w:vAlign w:val="center"/>
          </w:tcPr>
          <w:p w14:paraId="43EAD8BE" w14:textId="77777777" w:rsidR="00614DC4" w:rsidRPr="00725ABE" w:rsidRDefault="00725ABE" w:rsidP="00483A21">
            <w:pPr>
              <w:pStyle w:val="cuatexto"/>
              <w:jc w:val="right"/>
            </w:pPr>
            <w:r w:rsidRPr="00725ABE">
              <w:t>-</w:t>
            </w:r>
            <w:r w:rsidR="00483A21">
              <w:t>8.520</w:t>
            </w:r>
          </w:p>
        </w:tc>
        <w:tc>
          <w:tcPr>
            <w:tcW w:w="788" w:type="pct"/>
            <w:tcBorders>
              <w:top w:val="single" w:sz="4" w:space="0" w:color="auto"/>
              <w:left w:val="nil"/>
              <w:bottom w:val="single" w:sz="4" w:space="0" w:color="auto"/>
              <w:right w:val="nil"/>
            </w:tcBorders>
            <w:vAlign w:val="center"/>
          </w:tcPr>
          <w:p w14:paraId="2389BAAE" w14:textId="77777777" w:rsidR="00614DC4" w:rsidRPr="00725ABE" w:rsidRDefault="00D57750" w:rsidP="0003329D">
            <w:pPr>
              <w:pStyle w:val="cuatexto"/>
              <w:jc w:val="right"/>
            </w:pPr>
            <w:r>
              <w:t>36.172</w:t>
            </w:r>
          </w:p>
        </w:tc>
        <w:tc>
          <w:tcPr>
            <w:tcW w:w="858" w:type="pct"/>
            <w:tcBorders>
              <w:top w:val="single" w:sz="4" w:space="0" w:color="auto"/>
              <w:left w:val="nil"/>
              <w:bottom w:val="single" w:sz="4" w:space="0" w:color="auto"/>
              <w:right w:val="nil"/>
            </w:tcBorders>
            <w:vAlign w:val="center"/>
          </w:tcPr>
          <w:p w14:paraId="75CB6DE3" w14:textId="77777777" w:rsidR="00614DC4" w:rsidRPr="00725ABE" w:rsidRDefault="005D447B" w:rsidP="005D447B">
            <w:pPr>
              <w:pStyle w:val="cuatexto"/>
              <w:jc w:val="right"/>
            </w:pPr>
            <w:r>
              <w:t>4.859</w:t>
            </w:r>
          </w:p>
        </w:tc>
        <w:tc>
          <w:tcPr>
            <w:tcW w:w="685" w:type="pct"/>
            <w:tcBorders>
              <w:top w:val="single" w:sz="4" w:space="0" w:color="auto"/>
              <w:left w:val="nil"/>
              <w:bottom w:val="single" w:sz="4" w:space="0" w:color="auto"/>
              <w:right w:val="nil"/>
            </w:tcBorders>
            <w:vAlign w:val="center"/>
          </w:tcPr>
          <w:p w14:paraId="1843A503" w14:textId="77777777" w:rsidR="00614DC4" w:rsidRPr="00725ABE" w:rsidRDefault="00D57750" w:rsidP="00D57750">
            <w:pPr>
              <w:pStyle w:val="cuatexto"/>
              <w:jc w:val="right"/>
            </w:pPr>
            <w:r>
              <w:t>1.042.127</w:t>
            </w:r>
          </w:p>
        </w:tc>
        <w:tc>
          <w:tcPr>
            <w:tcW w:w="722" w:type="pct"/>
            <w:tcBorders>
              <w:top w:val="single" w:sz="4" w:space="0" w:color="auto"/>
              <w:left w:val="nil"/>
              <w:bottom w:val="single" w:sz="4" w:space="0" w:color="auto"/>
              <w:right w:val="nil"/>
            </w:tcBorders>
            <w:vAlign w:val="center"/>
          </w:tcPr>
          <w:p w14:paraId="761E2E31" w14:textId="77777777" w:rsidR="00614DC4" w:rsidRPr="00725ABE" w:rsidRDefault="00725ABE" w:rsidP="0003329D">
            <w:pPr>
              <w:pStyle w:val="cuatexto"/>
              <w:jc w:val="right"/>
            </w:pPr>
            <w:r w:rsidRPr="00725ABE">
              <w:t>1.604</w:t>
            </w:r>
          </w:p>
        </w:tc>
      </w:tr>
    </w:tbl>
    <w:p w14:paraId="4C1B05B4" w14:textId="77777777" w:rsidR="009A1928" w:rsidRDefault="009A1928">
      <w:pPr>
        <w:rPr>
          <w:rFonts w:cs="Arial"/>
          <w:spacing w:val="6"/>
          <w:sz w:val="26"/>
          <w:lang w:val="es-ES_tradnl" w:eastAsia="en-US"/>
        </w:rPr>
      </w:pPr>
      <w:r>
        <w:rPr>
          <w:rFonts w:cs="Arial"/>
          <w:lang w:val="es-ES_tradnl" w:eastAsia="en-US"/>
        </w:rPr>
        <w:br w:type="page"/>
      </w:r>
    </w:p>
    <w:p w14:paraId="43B696BE" w14:textId="77777777" w:rsidR="00614DC4" w:rsidRPr="003D09D7" w:rsidRDefault="00614DC4" w:rsidP="00D01D3B">
      <w:pPr>
        <w:pStyle w:val="texto"/>
        <w:keepNext/>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before="240" w:after="120"/>
        <w:ind w:left="0" w:firstLine="289"/>
        <w:jc w:val="both"/>
        <w:rPr>
          <w:rFonts w:cs="Arial"/>
          <w:lang w:val="es-ES_tradnl" w:eastAsia="en-US"/>
        </w:rPr>
      </w:pPr>
      <w:r w:rsidRPr="003D09D7">
        <w:rPr>
          <w:rFonts w:cs="Arial"/>
          <w:lang w:val="es-ES_tradnl" w:eastAsia="en-US"/>
        </w:rPr>
        <w:lastRenderedPageBreak/>
        <w:t>Fundaciones</w:t>
      </w:r>
    </w:p>
    <w:p w14:paraId="4EC1D462" w14:textId="77777777" w:rsidR="00614DC4" w:rsidRDefault="00614DC4" w:rsidP="00614DC4">
      <w:pPr>
        <w:tabs>
          <w:tab w:val="left" w:pos="480"/>
        </w:tabs>
        <w:spacing w:after="40"/>
        <w:jc w:val="right"/>
        <w:rPr>
          <w:rFonts w:ascii="Arial" w:hAnsi="Arial"/>
          <w:spacing w:val="6"/>
          <w:sz w:val="17"/>
          <w:szCs w:val="17"/>
        </w:rPr>
      </w:pPr>
      <w:r>
        <w:rPr>
          <w:rFonts w:ascii="Arial" w:hAnsi="Arial"/>
          <w:spacing w:val="6"/>
          <w:sz w:val="17"/>
          <w:szCs w:val="17"/>
        </w:rPr>
        <w:t>(en miles, salvo que se indique número)</w:t>
      </w:r>
    </w:p>
    <w:tbl>
      <w:tblPr>
        <w:tblW w:w="8789" w:type="dxa"/>
        <w:jc w:val="center"/>
        <w:tblCellMar>
          <w:left w:w="80" w:type="dxa"/>
          <w:right w:w="80" w:type="dxa"/>
        </w:tblCellMar>
        <w:tblLook w:val="04A0" w:firstRow="1" w:lastRow="0" w:firstColumn="1" w:lastColumn="0" w:noHBand="0" w:noVBand="1"/>
      </w:tblPr>
      <w:tblGrid>
        <w:gridCol w:w="2837"/>
        <w:gridCol w:w="1705"/>
        <w:gridCol w:w="1839"/>
        <w:gridCol w:w="2408"/>
      </w:tblGrid>
      <w:tr w:rsidR="00614DC4" w:rsidRPr="00867E72" w14:paraId="7A28E634" w14:textId="77777777" w:rsidTr="009B2DAA">
        <w:trPr>
          <w:trHeight w:val="255"/>
          <w:jc w:val="center"/>
        </w:trPr>
        <w:tc>
          <w:tcPr>
            <w:tcW w:w="1614" w:type="pct"/>
            <w:tcBorders>
              <w:top w:val="single" w:sz="4" w:space="0" w:color="auto"/>
              <w:left w:val="nil"/>
              <w:bottom w:val="single" w:sz="4" w:space="0" w:color="auto"/>
              <w:right w:val="nil"/>
            </w:tcBorders>
            <w:shd w:val="clear" w:color="auto" w:fill="8DB3E2"/>
            <w:vAlign w:val="center"/>
            <w:hideMark/>
          </w:tcPr>
          <w:p w14:paraId="7CFD99E0" w14:textId="77777777" w:rsidR="00614DC4" w:rsidRPr="00867E72" w:rsidRDefault="00614DC4" w:rsidP="00867E72">
            <w:pPr>
              <w:pStyle w:val="cuadroCabe"/>
            </w:pPr>
            <w:r w:rsidRPr="00867E72">
              <w:t>Fundaciones</w:t>
            </w:r>
          </w:p>
        </w:tc>
        <w:tc>
          <w:tcPr>
            <w:tcW w:w="970" w:type="pct"/>
            <w:tcBorders>
              <w:top w:val="single" w:sz="4" w:space="0" w:color="auto"/>
              <w:left w:val="nil"/>
              <w:bottom w:val="single" w:sz="4" w:space="0" w:color="auto"/>
              <w:right w:val="nil"/>
            </w:tcBorders>
            <w:shd w:val="clear" w:color="auto" w:fill="8DB3E2"/>
            <w:vAlign w:val="center"/>
            <w:hideMark/>
          </w:tcPr>
          <w:p w14:paraId="28052442" w14:textId="77777777" w:rsidR="00614DC4" w:rsidRPr="00867E72" w:rsidRDefault="00614DC4" w:rsidP="00775F30">
            <w:pPr>
              <w:pStyle w:val="cuadroCabe"/>
              <w:jc w:val="right"/>
            </w:pPr>
            <w:r w:rsidRPr="00867E72">
              <w:t>Resultado total</w:t>
            </w:r>
          </w:p>
        </w:tc>
        <w:tc>
          <w:tcPr>
            <w:tcW w:w="1046" w:type="pct"/>
            <w:tcBorders>
              <w:top w:val="single" w:sz="4" w:space="0" w:color="auto"/>
              <w:left w:val="nil"/>
              <w:bottom w:val="single" w:sz="4" w:space="0" w:color="auto"/>
              <w:right w:val="nil"/>
            </w:tcBorders>
            <w:shd w:val="clear" w:color="auto" w:fill="8DB3E2"/>
            <w:vAlign w:val="center"/>
            <w:hideMark/>
          </w:tcPr>
          <w:p w14:paraId="684CB172" w14:textId="77777777" w:rsidR="00614DC4" w:rsidRPr="00867E72" w:rsidRDefault="00614DC4" w:rsidP="00775F30">
            <w:pPr>
              <w:pStyle w:val="cuadroCabe"/>
              <w:jc w:val="right"/>
            </w:pPr>
            <w:r w:rsidRPr="00867E72">
              <w:t>Patrimonio</w:t>
            </w:r>
            <w:r w:rsidR="0077381C" w:rsidRPr="00867E72">
              <w:t xml:space="preserve"> neto</w:t>
            </w:r>
          </w:p>
        </w:tc>
        <w:tc>
          <w:tcPr>
            <w:tcW w:w="1370" w:type="pct"/>
            <w:tcBorders>
              <w:top w:val="single" w:sz="4" w:space="0" w:color="auto"/>
              <w:left w:val="nil"/>
              <w:bottom w:val="single" w:sz="4" w:space="0" w:color="auto"/>
              <w:right w:val="nil"/>
            </w:tcBorders>
            <w:shd w:val="clear" w:color="auto" w:fill="8DB3E2"/>
            <w:vAlign w:val="center"/>
            <w:hideMark/>
          </w:tcPr>
          <w:p w14:paraId="61404877" w14:textId="77777777" w:rsidR="00614DC4" w:rsidRPr="00867E72" w:rsidRDefault="00614DC4" w:rsidP="00775F30">
            <w:pPr>
              <w:pStyle w:val="cuadroCabe"/>
              <w:jc w:val="right"/>
            </w:pPr>
            <w:r w:rsidRPr="00867E72">
              <w:t xml:space="preserve">Nº medio de </w:t>
            </w:r>
            <w:r w:rsidR="00867E72" w:rsidRPr="00867E72">
              <w:t>empleados</w:t>
            </w:r>
          </w:p>
        </w:tc>
      </w:tr>
      <w:tr w:rsidR="009C3603" w:rsidRPr="009C3603" w14:paraId="540913C5" w14:textId="77777777" w:rsidTr="009B2DAA">
        <w:trPr>
          <w:trHeight w:val="198"/>
          <w:jc w:val="center"/>
        </w:trPr>
        <w:tc>
          <w:tcPr>
            <w:tcW w:w="1614" w:type="pct"/>
            <w:tcBorders>
              <w:top w:val="single" w:sz="4" w:space="0" w:color="auto"/>
              <w:left w:val="nil"/>
              <w:bottom w:val="single" w:sz="4" w:space="0" w:color="auto"/>
              <w:right w:val="nil"/>
            </w:tcBorders>
            <w:vAlign w:val="center"/>
            <w:hideMark/>
          </w:tcPr>
          <w:p w14:paraId="0E144517" w14:textId="77777777" w:rsidR="00614DC4" w:rsidRPr="00A35015" w:rsidRDefault="00615BEA" w:rsidP="00615BEA">
            <w:pPr>
              <w:pStyle w:val="cuatexto"/>
            </w:pPr>
            <w:r w:rsidRPr="00A35015">
              <w:t>Total cinco</w:t>
            </w:r>
            <w:r w:rsidR="00614DC4" w:rsidRPr="00A35015">
              <w:t xml:space="preserve"> fundaciones públicas</w:t>
            </w:r>
            <w:r w:rsidRPr="00A35015">
              <w:rPr>
                <w:rStyle w:val="Refdenotaalpie"/>
              </w:rPr>
              <w:footnoteReference w:id="9"/>
            </w:r>
          </w:p>
        </w:tc>
        <w:tc>
          <w:tcPr>
            <w:tcW w:w="970" w:type="pct"/>
            <w:tcBorders>
              <w:top w:val="single" w:sz="4" w:space="0" w:color="auto"/>
              <w:left w:val="nil"/>
              <w:bottom w:val="single" w:sz="4" w:space="0" w:color="auto"/>
              <w:right w:val="nil"/>
            </w:tcBorders>
            <w:vAlign w:val="center"/>
          </w:tcPr>
          <w:p w14:paraId="3AAB41EC" w14:textId="77777777" w:rsidR="00614DC4" w:rsidRPr="00A35015" w:rsidRDefault="00725ABE" w:rsidP="00867E72">
            <w:pPr>
              <w:pStyle w:val="cuatexto"/>
              <w:jc w:val="right"/>
            </w:pPr>
            <w:r w:rsidRPr="00A35015">
              <w:t>15</w:t>
            </w:r>
          </w:p>
        </w:tc>
        <w:tc>
          <w:tcPr>
            <w:tcW w:w="1046" w:type="pct"/>
            <w:tcBorders>
              <w:top w:val="single" w:sz="4" w:space="0" w:color="auto"/>
              <w:left w:val="nil"/>
              <w:bottom w:val="single" w:sz="4" w:space="0" w:color="auto"/>
              <w:right w:val="nil"/>
            </w:tcBorders>
            <w:vAlign w:val="center"/>
          </w:tcPr>
          <w:p w14:paraId="570CC7E9" w14:textId="77777777" w:rsidR="00614DC4" w:rsidRPr="00A35015" w:rsidRDefault="00725ABE" w:rsidP="00867E72">
            <w:pPr>
              <w:pStyle w:val="cuatexto"/>
              <w:jc w:val="right"/>
            </w:pPr>
            <w:r w:rsidRPr="00A35015">
              <w:t>4.738</w:t>
            </w:r>
          </w:p>
        </w:tc>
        <w:tc>
          <w:tcPr>
            <w:tcW w:w="1370" w:type="pct"/>
            <w:tcBorders>
              <w:top w:val="single" w:sz="4" w:space="0" w:color="auto"/>
              <w:left w:val="nil"/>
              <w:bottom w:val="single" w:sz="4" w:space="0" w:color="auto"/>
              <w:right w:val="nil"/>
            </w:tcBorders>
            <w:vAlign w:val="center"/>
          </w:tcPr>
          <w:p w14:paraId="205E12EF" w14:textId="77777777" w:rsidR="00614DC4" w:rsidRPr="009C3603" w:rsidRDefault="009C3603" w:rsidP="009C3603">
            <w:pPr>
              <w:pStyle w:val="cuatexto"/>
              <w:jc w:val="right"/>
            </w:pPr>
            <w:r w:rsidRPr="009C3603">
              <w:t>461</w:t>
            </w:r>
          </w:p>
        </w:tc>
      </w:tr>
    </w:tbl>
    <w:p w14:paraId="7B484833" w14:textId="77777777" w:rsidR="00614DC4" w:rsidRPr="003D09D7" w:rsidRDefault="00614DC4" w:rsidP="00E906A4">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before="360" w:after="120"/>
        <w:ind w:left="0" w:firstLine="289"/>
        <w:jc w:val="both"/>
        <w:rPr>
          <w:rFonts w:cs="Arial"/>
          <w:lang w:val="es-ES_tradnl" w:eastAsia="en-US"/>
        </w:rPr>
      </w:pPr>
      <w:r w:rsidRPr="003D09D7">
        <w:rPr>
          <w:rFonts w:cs="Arial"/>
          <w:lang w:val="es-ES_tradnl" w:eastAsia="en-US"/>
        </w:rPr>
        <w:t>Otras entidades</w:t>
      </w:r>
    </w:p>
    <w:tbl>
      <w:tblPr>
        <w:tblW w:w="5000" w:type="pct"/>
        <w:jc w:val="center"/>
        <w:tblLayout w:type="fixed"/>
        <w:tblCellMar>
          <w:left w:w="80" w:type="dxa"/>
          <w:right w:w="80" w:type="dxa"/>
        </w:tblCellMar>
        <w:tblLook w:val="04A0" w:firstRow="1" w:lastRow="0" w:firstColumn="1" w:lastColumn="0" w:noHBand="0" w:noVBand="1"/>
      </w:tblPr>
      <w:tblGrid>
        <w:gridCol w:w="3546"/>
        <w:gridCol w:w="1275"/>
        <w:gridCol w:w="1274"/>
        <w:gridCol w:w="1557"/>
        <w:gridCol w:w="1137"/>
      </w:tblGrid>
      <w:tr w:rsidR="00614DC4" w14:paraId="63C08A0E" w14:textId="77777777" w:rsidTr="00D01D3B">
        <w:trPr>
          <w:trHeight w:val="255"/>
          <w:jc w:val="center"/>
        </w:trPr>
        <w:tc>
          <w:tcPr>
            <w:tcW w:w="5000" w:type="pct"/>
            <w:gridSpan w:val="5"/>
            <w:tcBorders>
              <w:top w:val="nil"/>
              <w:left w:val="nil"/>
              <w:bottom w:val="single" w:sz="4" w:space="0" w:color="auto"/>
              <w:right w:val="nil"/>
            </w:tcBorders>
            <w:vAlign w:val="center"/>
            <w:hideMark/>
          </w:tcPr>
          <w:p w14:paraId="1F06D25A" w14:textId="77777777" w:rsidR="00614DC4" w:rsidRPr="00867E72" w:rsidRDefault="00614DC4" w:rsidP="00B43E54">
            <w:pPr>
              <w:tabs>
                <w:tab w:val="left" w:pos="480"/>
              </w:tabs>
              <w:spacing w:after="40"/>
              <w:jc w:val="right"/>
              <w:rPr>
                <w:rFonts w:ascii="Arial" w:hAnsi="Arial"/>
                <w:spacing w:val="6"/>
                <w:sz w:val="17"/>
                <w:szCs w:val="17"/>
              </w:rPr>
            </w:pPr>
            <w:r w:rsidRPr="00867E72">
              <w:rPr>
                <w:rFonts w:ascii="Arial" w:hAnsi="Arial"/>
                <w:spacing w:val="6"/>
                <w:sz w:val="17"/>
                <w:szCs w:val="17"/>
              </w:rPr>
              <w:t>(en</w:t>
            </w:r>
            <w:r w:rsidR="00B43E54">
              <w:rPr>
                <w:rFonts w:ascii="Arial" w:hAnsi="Arial"/>
                <w:spacing w:val="6"/>
                <w:sz w:val="17"/>
                <w:szCs w:val="17"/>
              </w:rPr>
              <w:t xml:space="preserve"> euros</w:t>
            </w:r>
            <w:r w:rsidRPr="00867E72">
              <w:rPr>
                <w:rFonts w:ascii="Arial" w:hAnsi="Arial"/>
                <w:spacing w:val="6"/>
                <w:sz w:val="17"/>
                <w:szCs w:val="17"/>
              </w:rPr>
              <w:t>, salvo que se indique número)</w:t>
            </w:r>
          </w:p>
        </w:tc>
      </w:tr>
      <w:tr w:rsidR="00614DC4" w14:paraId="6E927FAC" w14:textId="77777777" w:rsidTr="00D01D3B">
        <w:trPr>
          <w:trHeight w:val="255"/>
          <w:jc w:val="center"/>
        </w:trPr>
        <w:tc>
          <w:tcPr>
            <w:tcW w:w="2017" w:type="pct"/>
            <w:tcBorders>
              <w:top w:val="single" w:sz="4" w:space="0" w:color="auto"/>
              <w:left w:val="nil"/>
              <w:bottom w:val="single" w:sz="4" w:space="0" w:color="auto"/>
              <w:right w:val="nil"/>
            </w:tcBorders>
            <w:shd w:val="clear" w:color="auto" w:fill="8DB3E2" w:themeFill="text2" w:themeFillTint="66"/>
            <w:vAlign w:val="center"/>
            <w:hideMark/>
          </w:tcPr>
          <w:p w14:paraId="6C7D203D" w14:textId="77777777" w:rsidR="00614DC4" w:rsidRPr="0003329D" w:rsidRDefault="00614DC4" w:rsidP="0003329D">
            <w:pPr>
              <w:pStyle w:val="cuadroCabe"/>
            </w:pPr>
            <w:r w:rsidRPr="0003329D">
              <w:t>Entidad</w:t>
            </w:r>
          </w:p>
        </w:tc>
        <w:tc>
          <w:tcPr>
            <w:tcW w:w="725" w:type="pct"/>
            <w:tcBorders>
              <w:top w:val="single" w:sz="4" w:space="0" w:color="auto"/>
              <w:left w:val="nil"/>
              <w:bottom w:val="single" w:sz="4" w:space="0" w:color="auto"/>
              <w:right w:val="nil"/>
            </w:tcBorders>
            <w:shd w:val="clear" w:color="auto" w:fill="8DB3E2" w:themeFill="text2" w:themeFillTint="66"/>
            <w:vAlign w:val="center"/>
            <w:hideMark/>
          </w:tcPr>
          <w:p w14:paraId="174AA63E" w14:textId="77777777" w:rsidR="00614DC4" w:rsidRPr="0003329D" w:rsidRDefault="00614DC4" w:rsidP="00D01D3B">
            <w:pPr>
              <w:pStyle w:val="cuadroCabe"/>
              <w:jc w:val="right"/>
            </w:pPr>
            <w:r w:rsidRPr="0003329D">
              <w:t>Derechos</w:t>
            </w:r>
          </w:p>
          <w:p w14:paraId="25D86986" w14:textId="77777777" w:rsidR="00614DC4" w:rsidRPr="0003329D" w:rsidRDefault="00614DC4" w:rsidP="00D01D3B">
            <w:pPr>
              <w:pStyle w:val="cuadroCabe"/>
              <w:jc w:val="right"/>
            </w:pPr>
            <w:r w:rsidRPr="0003329D">
              <w:t>reconocidos</w:t>
            </w:r>
          </w:p>
        </w:tc>
        <w:tc>
          <w:tcPr>
            <w:tcW w:w="725" w:type="pct"/>
            <w:tcBorders>
              <w:top w:val="single" w:sz="4" w:space="0" w:color="auto"/>
              <w:left w:val="nil"/>
              <w:bottom w:val="single" w:sz="4" w:space="0" w:color="auto"/>
              <w:right w:val="nil"/>
            </w:tcBorders>
            <w:shd w:val="clear" w:color="auto" w:fill="8DB3E2" w:themeFill="text2" w:themeFillTint="66"/>
            <w:vAlign w:val="center"/>
            <w:hideMark/>
          </w:tcPr>
          <w:p w14:paraId="7A54FAB7" w14:textId="77777777" w:rsidR="00614DC4" w:rsidRPr="0003329D" w:rsidRDefault="00614DC4" w:rsidP="0003329D">
            <w:pPr>
              <w:pStyle w:val="cuadroCabe"/>
            </w:pPr>
            <w:r w:rsidRPr="0003329D">
              <w:t>Obligaciones</w:t>
            </w:r>
          </w:p>
          <w:p w14:paraId="292331CC" w14:textId="77777777" w:rsidR="00614DC4" w:rsidRPr="0003329D" w:rsidRDefault="00614DC4" w:rsidP="0003329D">
            <w:pPr>
              <w:pStyle w:val="cuadroCabe"/>
            </w:pPr>
            <w:r w:rsidRPr="0003329D">
              <w:t>reconocidas</w:t>
            </w:r>
          </w:p>
        </w:tc>
        <w:tc>
          <w:tcPr>
            <w:tcW w:w="886" w:type="pct"/>
            <w:tcBorders>
              <w:top w:val="single" w:sz="4" w:space="0" w:color="auto"/>
              <w:left w:val="nil"/>
              <w:bottom w:val="single" w:sz="4" w:space="0" w:color="auto"/>
              <w:right w:val="nil"/>
            </w:tcBorders>
            <w:shd w:val="clear" w:color="auto" w:fill="8DB3E2" w:themeFill="text2" w:themeFillTint="66"/>
            <w:vAlign w:val="center"/>
            <w:hideMark/>
          </w:tcPr>
          <w:p w14:paraId="463A2791" w14:textId="77777777" w:rsidR="008E366D" w:rsidRPr="0003329D" w:rsidRDefault="00614DC4" w:rsidP="00D01D3B">
            <w:pPr>
              <w:pStyle w:val="cuadroCabe"/>
              <w:jc w:val="right"/>
            </w:pPr>
            <w:r w:rsidRPr="0003329D">
              <w:t xml:space="preserve">Remanente </w:t>
            </w:r>
          </w:p>
          <w:p w14:paraId="400CB1F4" w14:textId="77777777" w:rsidR="00FA5CB9" w:rsidRPr="0003329D" w:rsidRDefault="00614DC4" w:rsidP="00D01D3B">
            <w:pPr>
              <w:pStyle w:val="cuadroCabe"/>
              <w:jc w:val="right"/>
            </w:pPr>
            <w:r w:rsidRPr="0003329D">
              <w:t>devuelto a la</w:t>
            </w:r>
          </w:p>
          <w:p w14:paraId="4213B408" w14:textId="77777777" w:rsidR="00614DC4" w:rsidRPr="0003329D" w:rsidRDefault="00614DC4" w:rsidP="00D01D3B">
            <w:pPr>
              <w:pStyle w:val="cuadroCabe"/>
              <w:jc w:val="right"/>
            </w:pPr>
            <w:r w:rsidRPr="0003329D">
              <w:t>Hacienda Foral</w:t>
            </w:r>
          </w:p>
        </w:tc>
        <w:tc>
          <w:tcPr>
            <w:tcW w:w="647" w:type="pct"/>
            <w:tcBorders>
              <w:top w:val="single" w:sz="4" w:space="0" w:color="auto"/>
              <w:left w:val="nil"/>
              <w:bottom w:val="single" w:sz="4" w:space="0" w:color="auto"/>
              <w:right w:val="nil"/>
            </w:tcBorders>
            <w:shd w:val="clear" w:color="auto" w:fill="8DB3E2" w:themeFill="text2" w:themeFillTint="66"/>
            <w:vAlign w:val="center"/>
            <w:hideMark/>
          </w:tcPr>
          <w:p w14:paraId="08EE814F" w14:textId="77777777" w:rsidR="00614DC4" w:rsidRPr="0003329D" w:rsidRDefault="00614DC4" w:rsidP="0003329D">
            <w:pPr>
              <w:pStyle w:val="cuadroCabe"/>
            </w:pPr>
            <w:r w:rsidRPr="0003329D">
              <w:t xml:space="preserve">Personal a </w:t>
            </w:r>
          </w:p>
          <w:p w14:paraId="40E3647A" w14:textId="77777777" w:rsidR="00614DC4" w:rsidRPr="0003329D" w:rsidRDefault="00614DC4" w:rsidP="0003329D">
            <w:pPr>
              <w:pStyle w:val="cuadroCabe"/>
            </w:pPr>
            <w:r w:rsidRPr="0003329D">
              <w:t>31/12/202</w:t>
            </w:r>
            <w:r w:rsidR="004A78AA" w:rsidRPr="0003329D">
              <w:t>3</w:t>
            </w:r>
          </w:p>
        </w:tc>
      </w:tr>
      <w:tr w:rsidR="00614DC4" w:rsidRPr="00725ABE" w14:paraId="1D5B0D3D" w14:textId="77777777" w:rsidTr="00D01D3B">
        <w:trPr>
          <w:trHeight w:val="198"/>
          <w:jc w:val="center"/>
        </w:trPr>
        <w:tc>
          <w:tcPr>
            <w:tcW w:w="2017" w:type="pct"/>
            <w:tcBorders>
              <w:top w:val="single" w:sz="4" w:space="0" w:color="auto"/>
              <w:left w:val="nil"/>
              <w:bottom w:val="single" w:sz="2" w:space="0" w:color="auto"/>
              <w:right w:val="nil"/>
            </w:tcBorders>
            <w:vAlign w:val="center"/>
            <w:hideMark/>
          </w:tcPr>
          <w:p w14:paraId="0538E425" w14:textId="77777777" w:rsidR="00614DC4" w:rsidRPr="0003329D" w:rsidRDefault="00614DC4" w:rsidP="0003329D">
            <w:pPr>
              <w:pStyle w:val="cuatexto"/>
            </w:pPr>
            <w:r w:rsidRPr="0003329D">
              <w:t>Parlamento de Navarra</w:t>
            </w:r>
          </w:p>
        </w:tc>
        <w:tc>
          <w:tcPr>
            <w:tcW w:w="725" w:type="pct"/>
            <w:tcBorders>
              <w:top w:val="single" w:sz="4" w:space="0" w:color="auto"/>
              <w:left w:val="nil"/>
              <w:bottom w:val="single" w:sz="2" w:space="0" w:color="auto"/>
              <w:right w:val="nil"/>
            </w:tcBorders>
            <w:vAlign w:val="center"/>
          </w:tcPr>
          <w:p w14:paraId="72952040" w14:textId="77777777" w:rsidR="00614DC4" w:rsidRPr="0003329D" w:rsidRDefault="00872222" w:rsidP="00D01D3B">
            <w:pPr>
              <w:pStyle w:val="cuatexto"/>
              <w:jc w:val="right"/>
            </w:pPr>
            <w:r w:rsidRPr="0003329D">
              <w:t>15.834.292</w:t>
            </w:r>
          </w:p>
        </w:tc>
        <w:tc>
          <w:tcPr>
            <w:tcW w:w="725" w:type="pct"/>
            <w:tcBorders>
              <w:top w:val="single" w:sz="4" w:space="0" w:color="auto"/>
              <w:left w:val="nil"/>
              <w:bottom w:val="single" w:sz="2" w:space="0" w:color="auto"/>
              <w:right w:val="nil"/>
            </w:tcBorders>
            <w:vAlign w:val="center"/>
          </w:tcPr>
          <w:p w14:paraId="5E033C05" w14:textId="77777777" w:rsidR="00614DC4" w:rsidRPr="0003329D" w:rsidRDefault="00872222" w:rsidP="00867E72">
            <w:pPr>
              <w:pStyle w:val="cuatexto"/>
              <w:jc w:val="right"/>
            </w:pPr>
            <w:r w:rsidRPr="0003329D">
              <w:t>13.529.255</w:t>
            </w:r>
          </w:p>
        </w:tc>
        <w:tc>
          <w:tcPr>
            <w:tcW w:w="886" w:type="pct"/>
            <w:tcBorders>
              <w:top w:val="single" w:sz="4" w:space="0" w:color="auto"/>
              <w:left w:val="nil"/>
              <w:bottom w:val="single" w:sz="2" w:space="0" w:color="auto"/>
              <w:right w:val="nil"/>
            </w:tcBorders>
            <w:vAlign w:val="center"/>
          </w:tcPr>
          <w:p w14:paraId="3D2286ED" w14:textId="77777777" w:rsidR="00614DC4" w:rsidRPr="0003329D" w:rsidRDefault="00872222" w:rsidP="00D01D3B">
            <w:pPr>
              <w:pStyle w:val="cuatexto"/>
              <w:jc w:val="right"/>
            </w:pPr>
            <w:r w:rsidRPr="0003329D">
              <w:t>2.387.244</w:t>
            </w:r>
          </w:p>
        </w:tc>
        <w:tc>
          <w:tcPr>
            <w:tcW w:w="647" w:type="pct"/>
            <w:tcBorders>
              <w:top w:val="single" w:sz="4" w:space="0" w:color="auto"/>
              <w:left w:val="nil"/>
              <w:bottom w:val="single" w:sz="2" w:space="0" w:color="auto"/>
              <w:right w:val="nil"/>
            </w:tcBorders>
            <w:vAlign w:val="center"/>
            <w:hideMark/>
          </w:tcPr>
          <w:p w14:paraId="709EF648" w14:textId="77777777" w:rsidR="00614DC4" w:rsidRPr="0003329D" w:rsidRDefault="00614DC4" w:rsidP="00867E72">
            <w:pPr>
              <w:pStyle w:val="cuatexto"/>
              <w:jc w:val="right"/>
            </w:pPr>
            <w:r w:rsidRPr="0003329D">
              <w:t>74</w:t>
            </w:r>
          </w:p>
        </w:tc>
      </w:tr>
      <w:tr w:rsidR="00614DC4" w:rsidRPr="00725ABE" w14:paraId="1F6503F7" w14:textId="77777777" w:rsidTr="00D01D3B">
        <w:trPr>
          <w:trHeight w:val="198"/>
          <w:jc w:val="center"/>
        </w:trPr>
        <w:tc>
          <w:tcPr>
            <w:tcW w:w="2017" w:type="pct"/>
            <w:tcBorders>
              <w:top w:val="single" w:sz="2" w:space="0" w:color="auto"/>
              <w:left w:val="nil"/>
              <w:bottom w:val="single" w:sz="2" w:space="0" w:color="auto"/>
              <w:right w:val="nil"/>
            </w:tcBorders>
            <w:vAlign w:val="center"/>
            <w:hideMark/>
          </w:tcPr>
          <w:p w14:paraId="491791FC" w14:textId="77777777" w:rsidR="00614DC4" w:rsidRPr="0003329D" w:rsidRDefault="00614DC4" w:rsidP="0003329D">
            <w:pPr>
              <w:pStyle w:val="cuatexto"/>
            </w:pPr>
            <w:r w:rsidRPr="0003329D">
              <w:t>Cámara de Comptos</w:t>
            </w:r>
          </w:p>
        </w:tc>
        <w:tc>
          <w:tcPr>
            <w:tcW w:w="725" w:type="pct"/>
            <w:tcBorders>
              <w:top w:val="single" w:sz="2" w:space="0" w:color="auto"/>
              <w:left w:val="nil"/>
              <w:bottom w:val="single" w:sz="2" w:space="0" w:color="auto"/>
              <w:right w:val="nil"/>
            </w:tcBorders>
            <w:vAlign w:val="center"/>
          </w:tcPr>
          <w:p w14:paraId="28484C90" w14:textId="77777777" w:rsidR="00614DC4" w:rsidRPr="0003329D" w:rsidRDefault="00872222" w:rsidP="00D01D3B">
            <w:pPr>
              <w:pStyle w:val="cuatexto"/>
              <w:jc w:val="right"/>
            </w:pPr>
            <w:r w:rsidRPr="0003329D">
              <w:t>3.177.396</w:t>
            </w:r>
          </w:p>
        </w:tc>
        <w:tc>
          <w:tcPr>
            <w:tcW w:w="725" w:type="pct"/>
            <w:tcBorders>
              <w:top w:val="single" w:sz="2" w:space="0" w:color="auto"/>
              <w:left w:val="nil"/>
              <w:bottom w:val="single" w:sz="2" w:space="0" w:color="auto"/>
              <w:right w:val="nil"/>
            </w:tcBorders>
            <w:vAlign w:val="center"/>
          </w:tcPr>
          <w:p w14:paraId="78ADE5E2" w14:textId="77777777" w:rsidR="00614DC4" w:rsidRPr="0003329D" w:rsidRDefault="00872222" w:rsidP="00867E72">
            <w:pPr>
              <w:pStyle w:val="cuatexto"/>
              <w:jc w:val="right"/>
            </w:pPr>
            <w:r w:rsidRPr="0003329D">
              <w:t>3.200.919</w:t>
            </w:r>
          </w:p>
        </w:tc>
        <w:tc>
          <w:tcPr>
            <w:tcW w:w="886" w:type="pct"/>
            <w:tcBorders>
              <w:top w:val="single" w:sz="2" w:space="0" w:color="auto"/>
              <w:left w:val="nil"/>
              <w:bottom w:val="single" w:sz="2" w:space="0" w:color="auto"/>
              <w:right w:val="nil"/>
            </w:tcBorders>
            <w:vAlign w:val="center"/>
          </w:tcPr>
          <w:p w14:paraId="42590A6F" w14:textId="77777777" w:rsidR="00614DC4" w:rsidRPr="0003329D" w:rsidRDefault="004A78AA" w:rsidP="00D01D3B">
            <w:pPr>
              <w:pStyle w:val="cuatexto"/>
              <w:jc w:val="right"/>
            </w:pPr>
            <w:r w:rsidRPr="0003329D">
              <w:t>561.344</w:t>
            </w:r>
          </w:p>
        </w:tc>
        <w:tc>
          <w:tcPr>
            <w:tcW w:w="647" w:type="pct"/>
            <w:tcBorders>
              <w:top w:val="single" w:sz="2" w:space="0" w:color="auto"/>
              <w:left w:val="nil"/>
              <w:bottom w:val="single" w:sz="2" w:space="0" w:color="auto"/>
              <w:right w:val="nil"/>
            </w:tcBorders>
            <w:vAlign w:val="center"/>
            <w:hideMark/>
          </w:tcPr>
          <w:p w14:paraId="6CF21D90" w14:textId="77777777" w:rsidR="00614DC4" w:rsidRPr="0003329D" w:rsidRDefault="00614DC4" w:rsidP="00867E72">
            <w:pPr>
              <w:pStyle w:val="cuatexto"/>
              <w:jc w:val="right"/>
            </w:pPr>
            <w:r w:rsidRPr="0003329D">
              <w:t>35</w:t>
            </w:r>
          </w:p>
        </w:tc>
      </w:tr>
      <w:tr w:rsidR="00614DC4" w:rsidRPr="00725ABE" w14:paraId="7082E47E" w14:textId="77777777" w:rsidTr="009B2DAA">
        <w:trPr>
          <w:trHeight w:val="198"/>
          <w:jc w:val="center"/>
        </w:trPr>
        <w:tc>
          <w:tcPr>
            <w:tcW w:w="2017" w:type="pct"/>
            <w:tcBorders>
              <w:top w:val="single" w:sz="2" w:space="0" w:color="auto"/>
              <w:left w:val="nil"/>
              <w:bottom w:val="single" w:sz="2" w:space="0" w:color="auto"/>
              <w:right w:val="nil"/>
            </w:tcBorders>
            <w:vAlign w:val="center"/>
            <w:hideMark/>
          </w:tcPr>
          <w:p w14:paraId="0155EEE1" w14:textId="77777777" w:rsidR="00614DC4" w:rsidRPr="0003329D" w:rsidRDefault="00614DC4" w:rsidP="0003329D">
            <w:pPr>
              <w:pStyle w:val="cuatexto"/>
            </w:pPr>
            <w:r w:rsidRPr="0003329D">
              <w:t>Defensor del Pueblo</w:t>
            </w:r>
          </w:p>
        </w:tc>
        <w:tc>
          <w:tcPr>
            <w:tcW w:w="725" w:type="pct"/>
            <w:tcBorders>
              <w:top w:val="single" w:sz="2" w:space="0" w:color="auto"/>
              <w:left w:val="nil"/>
              <w:bottom w:val="single" w:sz="2" w:space="0" w:color="auto"/>
              <w:right w:val="nil"/>
            </w:tcBorders>
            <w:vAlign w:val="center"/>
          </w:tcPr>
          <w:p w14:paraId="58B9E08A" w14:textId="77777777" w:rsidR="00614DC4" w:rsidRPr="0003329D" w:rsidRDefault="00872222" w:rsidP="00D01D3B">
            <w:pPr>
              <w:pStyle w:val="cuatexto"/>
              <w:jc w:val="right"/>
            </w:pPr>
            <w:r w:rsidRPr="0003329D">
              <w:t>1.073.800</w:t>
            </w:r>
          </w:p>
        </w:tc>
        <w:tc>
          <w:tcPr>
            <w:tcW w:w="725" w:type="pct"/>
            <w:tcBorders>
              <w:top w:val="single" w:sz="2" w:space="0" w:color="auto"/>
              <w:left w:val="nil"/>
              <w:bottom w:val="single" w:sz="2" w:space="0" w:color="auto"/>
              <w:right w:val="nil"/>
            </w:tcBorders>
            <w:vAlign w:val="center"/>
          </w:tcPr>
          <w:p w14:paraId="6DE7EDD1" w14:textId="77777777" w:rsidR="00614DC4" w:rsidRPr="0003329D" w:rsidRDefault="00872222" w:rsidP="00867E72">
            <w:pPr>
              <w:pStyle w:val="cuatexto"/>
              <w:jc w:val="right"/>
            </w:pPr>
            <w:r w:rsidRPr="0003329D">
              <w:t>951.274</w:t>
            </w:r>
          </w:p>
        </w:tc>
        <w:tc>
          <w:tcPr>
            <w:tcW w:w="886" w:type="pct"/>
            <w:tcBorders>
              <w:top w:val="single" w:sz="2" w:space="0" w:color="auto"/>
              <w:left w:val="nil"/>
              <w:bottom w:val="single" w:sz="2" w:space="0" w:color="auto"/>
              <w:right w:val="nil"/>
            </w:tcBorders>
            <w:vAlign w:val="center"/>
          </w:tcPr>
          <w:p w14:paraId="759B4E81" w14:textId="77777777" w:rsidR="00614DC4" w:rsidRPr="0003329D" w:rsidRDefault="00872222" w:rsidP="00D01D3B">
            <w:pPr>
              <w:pStyle w:val="cuatexto"/>
              <w:jc w:val="right"/>
            </w:pPr>
            <w:r w:rsidRPr="0003329D">
              <w:t>122.526</w:t>
            </w:r>
          </w:p>
        </w:tc>
        <w:tc>
          <w:tcPr>
            <w:tcW w:w="647" w:type="pct"/>
            <w:tcBorders>
              <w:top w:val="single" w:sz="2" w:space="0" w:color="auto"/>
              <w:left w:val="nil"/>
              <w:bottom w:val="single" w:sz="2" w:space="0" w:color="auto"/>
              <w:right w:val="nil"/>
            </w:tcBorders>
            <w:vAlign w:val="center"/>
            <w:hideMark/>
          </w:tcPr>
          <w:p w14:paraId="621F9423" w14:textId="77777777" w:rsidR="00614DC4" w:rsidRPr="0003329D" w:rsidRDefault="00614DC4" w:rsidP="00867E72">
            <w:pPr>
              <w:pStyle w:val="cuatexto"/>
              <w:jc w:val="right"/>
            </w:pPr>
            <w:r w:rsidRPr="0003329D">
              <w:t>9</w:t>
            </w:r>
          </w:p>
        </w:tc>
      </w:tr>
      <w:tr w:rsidR="00614DC4" w:rsidRPr="00725ABE" w14:paraId="302B827D" w14:textId="77777777" w:rsidTr="009B2DAA">
        <w:trPr>
          <w:trHeight w:val="198"/>
          <w:jc w:val="center"/>
        </w:trPr>
        <w:tc>
          <w:tcPr>
            <w:tcW w:w="2017" w:type="pct"/>
            <w:tcBorders>
              <w:top w:val="single" w:sz="2" w:space="0" w:color="auto"/>
              <w:left w:val="nil"/>
              <w:bottom w:val="single" w:sz="2" w:space="0" w:color="auto"/>
              <w:right w:val="nil"/>
            </w:tcBorders>
            <w:vAlign w:val="center"/>
            <w:hideMark/>
          </w:tcPr>
          <w:p w14:paraId="6884B78C" w14:textId="77777777" w:rsidR="00614DC4" w:rsidRPr="0003329D" w:rsidRDefault="00614DC4" w:rsidP="0003329D">
            <w:pPr>
              <w:pStyle w:val="cuatexto"/>
            </w:pPr>
            <w:r w:rsidRPr="0003329D">
              <w:t>Consejo de Navarra</w:t>
            </w:r>
          </w:p>
        </w:tc>
        <w:tc>
          <w:tcPr>
            <w:tcW w:w="725" w:type="pct"/>
            <w:tcBorders>
              <w:top w:val="single" w:sz="2" w:space="0" w:color="auto"/>
              <w:left w:val="nil"/>
              <w:bottom w:val="single" w:sz="2" w:space="0" w:color="auto"/>
              <w:right w:val="nil"/>
            </w:tcBorders>
            <w:vAlign w:val="center"/>
          </w:tcPr>
          <w:p w14:paraId="468266C7" w14:textId="77777777" w:rsidR="00614DC4" w:rsidRPr="0003329D" w:rsidRDefault="00872222" w:rsidP="00D01D3B">
            <w:pPr>
              <w:pStyle w:val="cuatexto"/>
              <w:jc w:val="right"/>
            </w:pPr>
            <w:r w:rsidRPr="0003329D">
              <w:t>404.377</w:t>
            </w:r>
          </w:p>
        </w:tc>
        <w:tc>
          <w:tcPr>
            <w:tcW w:w="725" w:type="pct"/>
            <w:tcBorders>
              <w:top w:val="single" w:sz="2" w:space="0" w:color="auto"/>
              <w:left w:val="nil"/>
              <w:bottom w:val="single" w:sz="2" w:space="0" w:color="auto"/>
              <w:right w:val="nil"/>
            </w:tcBorders>
            <w:vAlign w:val="center"/>
          </w:tcPr>
          <w:p w14:paraId="13ADAFDF" w14:textId="77777777" w:rsidR="00614DC4" w:rsidRPr="0003329D" w:rsidRDefault="00872222" w:rsidP="00867E72">
            <w:pPr>
              <w:pStyle w:val="cuatexto"/>
              <w:jc w:val="right"/>
            </w:pPr>
            <w:r w:rsidRPr="0003329D">
              <w:t>291.579</w:t>
            </w:r>
          </w:p>
        </w:tc>
        <w:tc>
          <w:tcPr>
            <w:tcW w:w="886" w:type="pct"/>
            <w:tcBorders>
              <w:top w:val="single" w:sz="2" w:space="0" w:color="auto"/>
              <w:left w:val="nil"/>
              <w:bottom w:val="single" w:sz="2" w:space="0" w:color="auto"/>
              <w:right w:val="nil"/>
            </w:tcBorders>
            <w:vAlign w:val="center"/>
          </w:tcPr>
          <w:p w14:paraId="0940ADBF" w14:textId="77777777" w:rsidR="00614DC4" w:rsidRPr="0003329D" w:rsidRDefault="00872222" w:rsidP="00D01D3B">
            <w:pPr>
              <w:pStyle w:val="cuatexto"/>
              <w:jc w:val="right"/>
            </w:pPr>
            <w:r w:rsidRPr="0003329D">
              <w:t>112.798</w:t>
            </w:r>
          </w:p>
        </w:tc>
        <w:tc>
          <w:tcPr>
            <w:tcW w:w="647" w:type="pct"/>
            <w:tcBorders>
              <w:top w:val="single" w:sz="2" w:space="0" w:color="auto"/>
              <w:left w:val="nil"/>
              <w:bottom w:val="single" w:sz="2" w:space="0" w:color="auto"/>
              <w:right w:val="nil"/>
            </w:tcBorders>
            <w:vAlign w:val="center"/>
            <w:hideMark/>
          </w:tcPr>
          <w:p w14:paraId="1156208D" w14:textId="77777777" w:rsidR="00614DC4" w:rsidRPr="0003329D" w:rsidRDefault="00614DC4" w:rsidP="00867E72">
            <w:pPr>
              <w:pStyle w:val="cuatexto"/>
              <w:jc w:val="right"/>
            </w:pPr>
            <w:r w:rsidRPr="0003329D">
              <w:t>2</w:t>
            </w:r>
          </w:p>
        </w:tc>
      </w:tr>
      <w:tr w:rsidR="00B43E54" w:rsidRPr="00B43E54" w14:paraId="6ACBFA4B" w14:textId="77777777" w:rsidTr="009B2DAA">
        <w:trPr>
          <w:trHeight w:val="198"/>
          <w:jc w:val="center"/>
        </w:trPr>
        <w:tc>
          <w:tcPr>
            <w:tcW w:w="2017" w:type="pct"/>
            <w:tcBorders>
              <w:top w:val="single" w:sz="2" w:space="0" w:color="auto"/>
              <w:left w:val="nil"/>
              <w:bottom w:val="single" w:sz="4" w:space="0" w:color="auto"/>
              <w:right w:val="nil"/>
            </w:tcBorders>
            <w:vAlign w:val="center"/>
          </w:tcPr>
          <w:p w14:paraId="1039B0E8" w14:textId="77777777" w:rsidR="0013570B" w:rsidRPr="00B43E54" w:rsidRDefault="0013570B" w:rsidP="0003329D">
            <w:pPr>
              <w:pStyle w:val="cuatexto"/>
            </w:pPr>
            <w:r w:rsidRPr="00B43E54">
              <w:t>Oficina Buenas Prácticas y Anticorrupción</w:t>
            </w:r>
          </w:p>
        </w:tc>
        <w:tc>
          <w:tcPr>
            <w:tcW w:w="725" w:type="pct"/>
            <w:tcBorders>
              <w:top w:val="single" w:sz="2" w:space="0" w:color="auto"/>
              <w:left w:val="nil"/>
              <w:bottom w:val="single" w:sz="4" w:space="0" w:color="auto"/>
              <w:right w:val="nil"/>
            </w:tcBorders>
            <w:vAlign w:val="center"/>
          </w:tcPr>
          <w:p w14:paraId="1044704D" w14:textId="77777777" w:rsidR="0013570B" w:rsidRPr="00B43E54" w:rsidRDefault="00B43E54" w:rsidP="00DC7AE2">
            <w:pPr>
              <w:pStyle w:val="cuatexto"/>
              <w:jc w:val="right"/>
            </w:pPr>
            <w:r w:rsidRPr="00B43E54">
              <w:t>212.860</w:t>
            </w:r>
          </w:p>
        </w:tc>
        <w:tc>
          <w:tcPr>
            <w:tcW w:w="725" w:type="pct"/>
            <w:tcBorders>
              <w:top w:val="single" w:sz="2" w:space="0" w:color="auto"/>
              <w:left w:val="nil"/>
              <w:bottom w:val="single" w:sz="4" w:space="0" w:color="auto"/>
              <w:right w:val="nil"/>
            </w:tcBorders>
            <w:vAlign w:val="center"/>
          </w:tcPr>
          <w:p w14:paraId="2C950068" w14:textId="77777777" w:rsidR="0013570B" w:rsidRPr="00B43E54" w:rsidRDefault="00B43E54" w:rsidP="00DC7AE2">
            <w:pPr>
              <w:pStyle w:val="cuatexto"/>
              <w:jc w:val="right"/>
            </w:pPr>
            <w:r w:rsidRPr="00B43E54">
              <w:t>208.702</w:t>
            </w:r>
          </w:p>
        </w:tc>
        <w:tc>
          <w:tcPr>
            <w:tcW w:w="886" w:type="pct"/>
            <w:tcBorders>
              <w:top w:val="single" w:sz="2" w:space="0" w:color="auto"/>
              <w:left w:val="nil"/>
              <w:bottom w:val="single" w:sz="4" w:space="0" w:color="auto"/>
              <w:right w:val="nil"/>
            </w:tcBorders>
            <w:vAlign w:val="center"/>
          </w:tcPr>
          <w:p w14:paraId="6B3D65BA" w14:textId="77777777" w:rsidR="0013570B" w:rsidRPr="00B43E54" w:rsidRDefault="00B43E54" w:rsidP="00D01D3B">
            <w:pPr>
              <w:pStyle w:val="cuatexto"/>
              <w:jc w:val="right"/>
            </w:pPr>
            <w:r w:rsidRPr="00B43E54">
              <w:t>4.159</w:t>
            </w:r>
          </w:p>
        </w:tc>
        <w:tc>
          <w:tcPr>
            <w:tcW w:w="647" w:type="pct"/>
            <w:tcBorders>
              <w:top w:val="single" w:sz="2" w:space="0" w:color="auto"/>
              <w:left w:val="nil"/>
              <w:bottom w:val="single" w:sz="4" w:space="0" w:color="auto"/>
              <w:right w:val="nil"/>
            </w:tcBorders>
            <w:vAlign w:val="center"/>
          </w:tcPr>
          <w:p w14:paraId="2D748982" w14:textId="77777777" w:rsidR="0013570B" w:rsidRPr="00B43E54" w:rsidRDefault="00B43E54" w:rsidP="00DC7AE2">
            <w:pPr>
              <w:pStyle w:val="cuatexto"/>
              <w:jc w:val="right"/>
            </w:pPr>
            <w:r w:rsidRPr="00B43E54">
              <w:t>2</w:t>
            </w:r>
          </w:p>
        </w:tc>
      </w:tr>
    </w:tbl>
    <w:p w14:paraId="2E4E06AF" w14:textId="77777777" w:rsidR="000D7CCD" w:rsidRDefault="000D7CCD" w:rsidP="000D7CCD">
      <w:pPr>
        <w:pStyle w:val="texto"/>
        <w:spacing w:before="240" w:after="240"/>
        <w:jc w:val="both"/>
      </w:pPr>
      <w:bookmarkStart w:id="82" w:name="_Toc52267354"/>
      <w:bookmarkStart w:id="83" w:name="_Toc146471237"/>
      <w:r w:rsidRPr="000A562A">
        <w:t xml:space="preserve">Sobre el resto de </w:t>
      </w:r>
      <w:proofErr w:type="gramStart"/>
      <w:r w:rsidRPr="000A562A">
        <w:t>entidades</w:t>
      </w:r>
      <w:proofErr w:type="gramEnd"/>
      <w:r w:rsidRPr="000A562A">
        <w:t>, destacamos que contrariamente a lo establecido en el artículo 2 de la Ley</w:t>
      </w:r>
      <w:r w:rsidR="00AA1CAE" w:rsidRPr="000A562A">
        <w:t xml:space="preserve"> Foral 13/2007, no consta </w:t>
      </w:r>
      <w:r w:rsidRPr="000A562A">
        <w:t>ni la inclusión de la UPNA</w:t>
      </w:r>
      <w:r w:rsidR="000C5B5F" w:rsidRPr="000A562A">
        <w:t xml:space="preserve"> en la delimitación del sector público foral, </w:t>
      </w:r>
      <w:r w:rsidRPr="000A562A">
        <w:t>ni la documentación de sus cuentas anuales</w:t>
      </w:r>
      <w:r w:rsidR="00AA1CAE" w:rsidRPr="000A562A">
        <w:t>.</w:t>
      </w:r>
    </w:p>
    <w:p w14:paraId="02632FBC" w14:textId="77777777" w:rsidR="005A13EC" w:rsidRPr="005A13EC" w:rsidRDefault="005A13EC" w:rsidP="00CC657A">
      <w:pPr>
        <w:pStyle w:val="texto"/>
        <w:spacing w:before="240" w:after="360"/>
        <w:jc w:val="both"/>
        <w:rPr>
          <w:i/>
        </w:rPr>
      </w:pPr>
      <w:r w:rsidRPr="005A13EC">
        <w:rPr>
          <w:i/>
        </w:rPr>
        <w:t>Recomendamos, incluir la UPNA, así como sus cuenta</w:t>
      </w:r>
      <w:r>
        <w:rPr>
          <w:i/>
        </w:rPr>
        <w:t>s</w:t>
      </w:r>
      <w:r w:rsidRPr="005A13EC">
        <w:rPr>
          <w:i/>
        </w:rPr>
        <w:t xml:space="preserve"> anuales en la documentación de las Cuentas Generales de Navarra. </w:t>
      </w:r>
    </w:p>
    <w:p w14:paraId="322AEFB4" w14:textId="77777777" w:rsidR="00614DC4" w:rsidRPr="00164B57" w:rsidRDefault="00614DC4" w:rsidP="002B4FF0">
      <w:pPr>
        <w:pStyle w:val="atitulo2"/>
        <w:spacing w:before="120" w:after="120"/>
        <w:jc w:val="both"/>
        <w:rPr>
          <w:bCs w:val="0"/>
          <w:iCs w:val="0"/>
          <w:color w:val="auto"/>
        </w:rPr>
      </w:pPr>
      <w:bookmarkStart w:id="84" w:name="_Toc182464271"/>
      <w:r w:rsidRPr="00164B57">
        <w:rPr>
          <w:bCs w:val="0"/>
          <w:iCs w:val="0"/>
          <w:color w:val="auto"/>
        </w:rPr>
        <w:t>2.2 Sector Administración Pública de Navarra según la Ley Orgánica 2/2012, de 27 de abril, de Estabilidad Presupuestaria y Sostenibilidad Financiera</w:t>
      </w:r>
      <w:bookmarkEnd w:id="82"/>
      <w:bookmarkEnd w:id="83"/>
      <w:bookmarkEnd w:id="84"/>
    </w:p>
    <w:p w14:paraId="343A8CE8" w14:textId="77777777" w:rsidR="00614DC4" w:rsidRDefault="00614DC4" w:rsidP="002B4FF0">
      <w:pPr>
        <w:pStyle w:val="texto"/>
        <w:jc w:val="both"/>
      </w:pPr>
      <w:r>
        <w:t xml:space="preserve">En términos de contabilidad nacional (SEC´2010), </w:t>
      </w:r>
      <w:r>
        <w:rPr>
          <w:spacing w:val="4"/>
        </w:rPr>
        <w:t>para</w:t>
      </w:r>
      <w:r>
        <w:t xml:space="preserve"> 202</w:t>
      </w:r>
      <w:r w:rsidR="00D57750">
        <w:t>3</w:t>
      </w:r>
      <w:r>
        <w:t>, se consideran Sector Administración Pública de Navarra:</w:t>
      </w:r>
    </w:p>
    <w:p w14:paraId="453C79D2" w14:textId="77777777" w:rsidR="00164B57" w:rsidRDefault="00164B57" w:rsidP="00286F49">
      <w:pPr>
        <w:pStyle w:val="texto"/>
        <w:jc w:val="both"/>
      </w:pPr>
    </w:p>
    <w:p w14:paraId="3C1A4974"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La ACFN y sus OOAA.</w:t>
      </w:r>
    </w:p>
    <w:p w14:paraId="5780AAA6"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El Parlamento de Navarra y sus entes dependientes.</w:t>
      </w:r>
    </w:p>
    <w:p w14:paraId="7E1F9564" w14:textId="77777777" w:rsidR="004A78AA" w:rsidRPr="003D09D7" w:rsidRDefault="004A78AA"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La Oficina de Buenas Prácticas y Anticorrupción de la Comunidad Foral de Navarra.</w:t>
      </w:r>
    </w:p>
    <w:p w14:paraId="1CB31D88"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La Universidad Pública de Navarra.</w:t>
      </w:r>
    </w:p>
    <w:p w14:paraId="1E80BC28"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El ente público Consorcio para el Tratamiento de Residuos Urbanos de Navarra.</w:t>
      </w:r>
    </w:p>
    <w:p w14:paraId="4BBF0486"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 xml:space="preserve">El ente público Consorcio de Alta Velocidad de la Comarca de Pamplona. </w:t>
      </w:r>
    </w:p>
    <w:p w14:paraId="7A1D7925"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lastRenderedPageBreak/>
        <w:t>El Consejo de la Juventud de Navarra.</w:t>
      </w:r>
    </w:p>
    <w:p w14:paraId="57BD72EE"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El Consejo de Navarra.</w:t>
      </w:r>
    </w:p>
    <w:p w14:paraId="19EF0348" w14:textId="77777777" w:rsidR="009604B1"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7B3741">
        <w:rPr>
          <w:rFonts w:cs="Arial"/>
          <w:lang w:val="es-ES_tradnl" w:eastAsia="en-US"/>
        </w:rPr>
        <w:t>Las sociedades públicas de la Comunidad Foral que prestan servicios o produzcan bienes que no se financian mayoritariamente con ingresos comerciales.</w:t>
      </w:r>
    </w:p>
    <w:p w14:paraId="015DAD70" w14:textId="77777777" w:rsidR="00614DC4" w:rsidRDefault="00614DC4" w:rsidP="009604B1">
      <w:pPr>
        <w:pStyle w:val="texto"/>
        <w:tabs>
          <w:tab w:val="clear" w:pos="2835"/>
          <w:tab w:val="clear" w:pos="3969"/>
          <w:tab w:val="num" w:pos="360"/>
          <w:tab w:val="left" w:pos="480"/>
          <w:tab w:val="num" w:pos="600"/>
          <w:tab w:val="num" w:pos="720"/>
          <w:tab w:val="num" w:pos="1320"/>
          <w:tab w:val="num" w:pos="2062"/>
          <w:tab w:val="num" w:pos="4472"/>
        </w:tabs>
        <w:spacing w:after="120"/>
        <w:jc w:val="both"/>
        <w:rPr>
          <w:rFonts w:cs="Arial"/>
          <w:lang w:val="es-ES_tradnl" w:eastAsia="en-US"/>
        </w:rPr>
      </w:pPr>
      <w:r w:rsidRPr="007B3741">
        <w:rPr>
          <w:rFonts w:cs="Arial"/>
          <w:lang w:val="es-ES_tradnl" w:eastAsia="en-US"/>
        </w:rPr>
        <w:t>En concreto, para 202</w:t>
      </w:r>
      <w:r w:rsidR="007B3741" w:rsidRPr="007B3741">
        <w:rPr>
          <w:rFonts w:cs="Arial"/>
          <w:lang w:val="es-ES_tradnl" w:eastAsia="en-US"/>
        </w:rPr>
        <w:t>3</w:t>
      </w:r>
      <w:r w:rsidRPr="007B3741">
        <w:rPr>
          <w:rFonts w:cs="Arial"/>
          <w:lang w:val="es-ES_tradnl" w:eastAsia="en-US"/>
        </w:rPr>
        <w:t xml:space="preserve"> se consideran sector administraciones públicas las 1</w:t>
      </w:r>
      <w:r w:rsidR="001633BF">
        <w:rPr>
          <w:rFonts w:cs="Arial"/>
          <w:lang w:val="es-ES_tradnl" w:eastAsia="en-US"/>
        </w:rPr>
        <w:t>6</w:t>
      </w:r>
      <w:r w:rsidRPr="007B3741">
        <w:rPr>
          <w:rFonts w:cs="Arial"/>
          <w:lang w:val="es-ES_tradnl" w:eastAsia="en-US"/>
        </w:rPr>
        <w:t xml:space="preserve"> sociedades siguientes: CPEN, CNAI, CEIN, CAT, GAN, INTIA, </w:t>
      </w:r>
      <w:r w:rsidR="007B3741" w:rsidRPr="007B3741">
        <w:rPr>
          <w:rFonts w:cs="Arial"/>
          <w:lang w:val="es-ES_tradnl" w:eastAsia="en-US"/>
        </w:rPr>
        <w:t>INI</w:t>
      </w:r>
      <w:r w:rsidR="00164B57">
        <w:rPr>
          <w:rStyle w:val="Refdenotaalpie"/>
          <w:rFonts w:cs="Arial"/>
          <w:lang w:val="es-ES_tradnl" w:eastAsia="en-US"/>
        </w:rPr>
        <w:footnoteReference w:id="10"/>
      </w:r>
      <w:r w:rsidR="007B3741" w:rsidRPr="007B3741">
        <w:rPr>
          <w:rFonts w:cs="Arial"/>
          <w:lang w:val="es-ES_tradnl" w:eastAsia="en-US"/>
        </w:rPr>
        <w:t xml:space="preserve">, </w:t>
      </w:r>
      <w:r w:rsidRPr="007B3741">
        <w:rPr>
          <w:rFonts w:cs="Arial"/>
          <w:lang w:val="es-ES_tradnl" w:eastAsia="en-US"/>
        </w:rPr>
        <w:t xml:space="preserve">NICDO, NASERTIC, NILSA, SODENA, TRACASA, TRACASA Instrumental, START UP, POSUSA, </w:t>
      </w:r>
      <w:r w:rsidR="00B87777">
        <w:rPr>
          <w:rFonts w:cs="Arial"/>
          <w:lang w:val="es-ES_tradnl" w:eastAsia="en-US"/>
        </w:rPr>
        <w:t xml:space="preserve">y el </w:t>
      </w:r>
      <w:r w:rsidRPr="007B3741">
        <w:rPr>
          <w:rFonts w:cs="Arial"/>
          <w:lang w:val="es-ES_tradnl" w:eastAsia="en-US"/>
        </w:rPr>
        <w:t xml:space="preserve">Instituto </w:t>
      </w:r>
      <w:proofErr w:type="spellStart"/>
      <w:r w:rsidRPr="007B3741">
        <w:rPr>
          <w:rFonts w:cs="Arial"/>
          <w:lang w:val="es-ES_tradnl" w:eastAsia="en-US"/>
        </w:rPr>
        <w:t>Lactológico</w:t>
      </w:r>
      <w:proofErr w:type="spellEnd"/>
      <w:r w:rsidRPr="007B3741">
        <w:rPr>
          <w:rFonts w:cs="Arial"/>
          <w:lang w:val="es-ES_tradnl" w:eastAsia="en-US"/>
        </w:rPr>
        <w:t xml:space="preserve"> de Lecumberri S.A</w:t>
      </w:r>
      <w:r w:rsidR="00D83A5A">
        <w:rPr>
          <w:rStyle w:val="Refdenotaalpie"/>
          <w:rFonts w:cs="Arial"/>
          <w:lang w:val="es-ES_tradnl" w:eastAsia="en-US"/>
        </w:rPr>
        <w:footnoteReference w:id="11"/>
      </w:r>
      <w:r w:rsidR="00B87777">
        <w:rPr>
          <w:rFonts w:cs="Arial"/>
          <w:lang w:val="es-ES_tradnl" w:eastAsia="en-US"/>
        </w:rPr>
        <w:t>.</w:t>
      </w:r>
    </w:p>
    <w:p w14:paraId="01D351B8" w14:textId="77777777" w:rsidR="000D7CCD" w:rsidRPr="000D7CCD" w:rsidRDefault="000D7CCD" w:rsidP="002D69C2">
      <w:pPr>
        <w:pStyle w:val="texto"/>
        <w:spacing w:after="120"/>
        <w:jc w:val="both"/>
        <w:rPr>
          <w:rFonts w:cs="Arial"/>
          <w:lang w:val="es-ES_tradnl" w:eastAsia="en-US"/>
        </w:rPr>
      </w:pPr>
      <w:r w:rsidRPr="000D7CCD">
        <w:rPr>
          <w:rFonts w:cs="Arial"/>
          <w:lang w:val="es-ES_tradnl" w:eastAsia="en-US"/>
        </w:rPr>
        <w:t xml:space="preserve">Por otro lado, destacamos que las sociedades </w:t>
      </w:r>
      <w:r w:rsidR="00AA1CAE">
        <w:rPr>
          <w:rFonts w:cs="Arial"/>
          <w:lang w:val="es-ES_tradnl" w:eastAsia="en-US"/>
        </w:rPr>
        <w:t xml:space="preserve">públicas </w:t>
      </w:r>
      <w:proofErr w:type="spellStart"/>
      <w:r w:rsidRPr="000D7CCD">
        <w:rPr>
          <w:rFonts w:cs="Arial"/>
          <w:lang w:val="es-ES_tradnl" w:eastAsia="en-US"/>
        </w:rPr>
        <w:t>Bidean</w:t>
      </w:r>
      <w:proofErr w:type="spellEnd"/>
      <w:r w:rsidRPr="000D7CCD">
        <w:rPr>
          <w:rFonts w:cs="Arial"/>
          <w:lang w:val="es-ES_tradnl" w:eastAsia="en-US"/>
        </w:rPr>
        <w:t xml:space="preserve"> y </w:t>
      </w:r>
      <w:proofErr w:type="spellStart"/>
      <w:r w:rsidRPr="000D7CCD">
        <w:rPr>
          <w:rFonts w:cs="Arial"/>
          <w:lang w:val="es-ES_tradnl" w:eastAsia="en-US"/>
        </w:rPr>
        <w:t>Nafarbide</w:t>
      </w:r>
      <w:proofErr w:type="spellEnd"/>
      <w:r w:rsidRPr="000D7CCD">
        <w:rPr>
          <w:rFonts w:cs="Arial"/>
          <w:lang w:val="es-ES_tradnl" w:eastAsia="en-US"/>
        </w:rPr>
        <w:t xml:space="preserve"> se han </w:t>
      </w:r>
      <w:r w:rsidR="00D57750">
        <w:rPr>
          <w:rFonts w:cs="Arial"/>
          <w:lang w:val="es-ES_tradnl" w:eastAsia="en-US"/>
        </w:rPr>
        <w:t xml:space="preserve">incluido </w:t>
      </w:r>
      <w:r w:rsidRPr="000D7CCD">
        <w:rPr>
          <w:rFonts w:cs="Arial"/>
          <w:lang w:val="es-ES_tradnl" w:eastAsia="en-US"/>
        </w:rPr>
        <w:t>como sociedades que no se consideran sector administración pública, contrariamente a lo establecido por la IGAE, tal y com</w:t>
      </w:r>
      <w:r w:rsidR="00D57750">
        <w:rPr>
          <w:rFonts w:cs="Arial"/>
          <w:lang w:val="es-ES_tradnl" w:eastAsia="en-US"/>
        </w:rPr>
        <w:t>o detallamos en el apartado 5.12</w:t>
      </w:r>
      <w:r w:rsidRPr="000D7CCD">
        <w:rPr>
          <w:rFonts w:cs="Arial"/>
          <w:lang w:val="es-ES_tradnl" w:eastAsia="en-US"/>
        </w:rPr>
        <w:t xml:space="preserve"> del Apéndice </w:t>
      </w:r>
      <w:r w:rsidR="00D57750">
        <w:rPr>
          <w:rFonts w:cs="Arial"/>
          <w:lang w:val="es-ES_tradnl" w:eastAsia="en-US"/>
        </w:rPr>
        <w:t>5</w:t>
      </w:r>
      <w:r w:rsidRPr="000D7CCD">
        <w:rPr>
          <w:rFonts w:cs="Arial"/>
          <w:lang w:val="es-ES_tradnl" w:eastAsia="en-US"/>
        </w:rPr>
        <w:t xml:space="preserve"> del informe</w:t>
      </w:r>
      <w:r w:rsidR="009604B1">
        <w:rPr>
          <w:rFonts w:cs="Arial"/>
          <w:lang w:val="es-ES_tradnl" w:eastAsia="en-US"/>
        </w:rPr>
        <w:t>.</w:t>
      </w:r>
    </w:p>
    <w:p w14:paraId="22F2C3E2" w14:textId="77777777" w:rsidR="00164B57" w:rsidRPr="00164B5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pPr>
      <w:r w:rsidRPr="00164B57">
        <w:rPr>
          <w:rFonts w:cs="Arial"/>
          <w:lang w:val="es-ES_tradnl" w:eastAsia="en-US"/>
        </w:rPr>
        <w:t>Las siguientes fundaciones: Fundación Baluarte, Fundación para la Conservación del Patrimonio Histórico de Navarra, Fundación Miguel Servet, Funda</w:t>
      </w:r>
      <w:r w:rsidRPr="00C01060">
        <w:rPr>
          <w:rFonts w:cs="Arial"/>
          <w:lang w:val="es-ES_tradnl" w:eastAsia="en-US"/>
        </w:rPr>
        <w:t>ción Navarra para la Provisión de Apoyos a Personas con Discapacidad, Fundación CENER, Fundación Amado Alonso, Fundación Centro de Arte Contemporáneo de Huarte, la Fundación Instituto de Investigación Sanitaria de Navarra, Fundación Miguel Induráin, la Fundación Universidad-Sociedad de la Universi</w:t>
      </w:r>
      <w:r w:rsidRPr="00164B57">
        <w:rPr>
          <w:rFonts w:cs="Arial"/>
          <w:lang w:val="es-ES_tradnl" w:eastAsia="en-US"/>
        </w:rPr>
        <w:t>dad Pública de Navarra, Fundación Julián Gayarre, Fundación Museo Jorge Oteiza, Fundación Navarra para la excelencia y Fundación Navarra para la Gestión de los Servicios Sociales Públicos-</w:t>
      </w:r>
      <w:proofErr w:type="spellStart"/>
      <w:r w:rsidRPr="00164B57">
        <w:rPr>
          <w:rFonts w:cs="Arial"/>
          <w:lang w:val="es-ES_tradnl" w:eastAsia="en-US"/>
        </w:rPr>
        <w:t>Gizain</w:t>
      </w:r>
      <w:proofErr w:type="spellEnd"/>
      <w:r w:rsidRPr="00164B57">
        <w:rPr>
          <w:rFonts w:cs="Arial"/>
          <w:lang w:val="es-ES_tradnl" w:eastAsia="en-US"/>
        </w:rPr>
        <w:t xml:space="preserve"> </w:t>
      </w:r>
      <w:proofErr w:type="spellStart"/>
      <w:r w:rsidRPr="00164B57">
        <w:rPr>
          <w:rFonts w:cs="Arial"/>
          <w:lang w:val="es-ES_tradnl" w:eastAsia="en-US"/>
        </w:rPr>
        <w:t>Fundazioa</w:t>
      </w:r>
      <w:proofErr w:type="spellEnd"/>
      <w:r w:rsidRPr="00164B57">
        <w:rPr>
          <w:rFonts w:cs="Arial"/>
          <w:lang w:val="es-ES_tradnl" w:eastAsia="en-US"/>
        </w:rPr>
        <w:t>.</w:t>
      </w:r>
    </w:p>
    <w:p w14:paraId="56517161" w14:textId="77777777" w:rsidR="00D57750" w:rsidRDefault="00D57750">
      <w:pPr>
        <w:rPr>
          <w:rFonts w:ascii="Arial" w:hAnsi="Arial"/>
          <w:b/>
          <w:kern w:val="28"/>
          <w:sz w:val="25"/>
          <w:szCs w:val="26"/>
        </w:rPr>
      </w:pPr>
      <w:bookmarkStart w:id="85" w:name="_Toc146471238"/>
      <w:r>
        <w:br w:type="page"/>
      </w:r>
    </w:p>
    <w:p w14:paraId="0D77713E" w14:textId="77777777" w:rsidR="00614DC4" w:rsidRDefault="00614DC4" w:rsidP="00614DC4">
      <w:pPr>
        <w:pStyle w:val="atitulo1"/>
        <w:rPr>
          <w:color w:val="auto"/>
        </w:rPr>
      </w:pPr>
      <w:bookmarkStart w:id="86" w:name="_Toc182464272"/>
      <w:r>
        <w:rPr>
          <w:color w:val="auto"/>
        </w:rPr>
        <w:lastRenderedPageBreak/>
        <w:t>Apéndice 3. Marco regulador</w:t>
      </w:r>
      <w:bookmarkEnd w:id="85"/>
      <w:bookmarkEnd w:id="86"/>
      <w:r>
        <w:rPr>
          <w:color w:val="auto"/>
        </w:rPr>
        <w:t xml:space="preserve"> </w:t>
      </w:r>
    </w:p>
    <w:p w14:paraId="3A400EF9" w14:textId="77777777" w:rsidR="00614DC4" w:rsidRDefault="00614DC4" w:rsidP="009604B1">
      <w:pPr>
        <w:pStyle w:val="texto"/>
        <w:spacing w:after="120"/>
        <w:jc w:val="both"/>
      </w:pPr>
      <w:r>
        <w:t>El marco regulador que resulta aplicable a la ACFN en 2022 está constituido fundamentalmente por:</w:t>
      </w:r>
    </w:p>
    <w:p w14:paraId="468B29D1" w14:textId="77777777" w:rsidR="007A72FA" w:rsidRDefault="007A72FA" w:rsidP="007A72FA">
      <w:pPr>
        <w:spacing w:before="240" w:after="120"/>
        <w:ind w:firstLine="284"/>
        <w:jc w:val="both"/>
        <w:rPr>
          <w:rFonts w:ascii="Arial" w:hAnsi="Arial"/>
          <w:i/>
          <w:iCs/>
          <w:color w:val="000000"/>
          <w:spacing w:val="10"/>
          <w:kern w:val="28"/>
          <w:sz w:val="25"/>
          <w:szCs w:val="26"/>
        </w:rPr>
      </w:pPr>
      <w:r w:rsidRPr="007A72FA">
        <w:rPr>
          <w:rFonts w:ascii="Arial" w:hAnsi="Arial"/>
          <w:i/>
          <w:iCs/>
          <w:color w:val="000000"/>
          <w:spacing w:val="10"/>
          <w:kern w:val="28"/>
          <w:sz w:val="25"/>
          <w:szCs w:val="26"/>
        </w:rPr>
        <w:t>Normativa europea</w:t>
      </w:r>
    </w:p>
    <w:p w14:paraId="63D01C14" w14:textId="77777777" w:rsidR="007A72FA" w:rsidRPr="003D09D7" w:rsidRDefault="007A72FA" w:rsidP="007A72FA">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Reglamento (UE) nº 549/2013 del Parlamento Europeo y del Consejo, de 21 de mayo de 2013, relativo al Sistema de Cuentas nacionales y regionales de la Unión Europea (SEC´2010).</w:t>
      </w:r>
    </w:p>
    <w:p w14:paraId="41D20D59" w14:textId="77777777" w:rsidR="007A72FA" w:rsidRPr="007A72FA" w:rsidRDefault="007A72FA" w:rsidP="007A72FA">
      <w:pPr>
        <w:spacing w:before="240" w:after="120"/>
        <w:ind w:firstLine="284"/>
        <w:jc w:val="both"/>
        <w:rPr>
          <w:rFonts w:ascii="Arial" w:hAnsi="Arial"/>
          <w:i/>
          <w:iCs/>
          <w:color w:val="000000"/>
          <w:spacing w:val="10"/>
          <w:kern w:val="28"/>
          <w:sz w:val="25"/>
          <w:szCs w:val="26"/>
        </w:rPr>
      </w:pPr>
      <w:r w:rsidRPr="007A72FA">
        <w:rPr>
          <w:rFonts w:ascii="Arial" w:hAnsi="Arial"/>
          <w:i/>
          <w:iCs/>
          <w:color w:val="000000"/>
          <w:spacing w:val="10"/>
          <w:kern w:val="28"/>
          <w:sz w:val="25"/>
          <w:szCs w:val="26"/>
        </w:rPr>
        <w:t xml:space="preserve">Normativa </w:t>
      </w:r>
      <w:r>
        <w:rPr>
          <w:rFonts w:ascii="Arial" w:hAnsi="Arial"/>
          <w:i/>
          <w:iCs/>
          <w:color w:val="000000"/>
          <w:spacing w:val="10"/>
          <w:kern w:val="28"/>
          <w:sz w:val="25"/>
          <w:szCs w:val="26"/>
        </w:rPr>
        <w:t>estatal</w:t>
      </w:r>
    </w:p>
    <w:p w14:paraId="3256E041"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Ley Orgánica 2/2012, de 27 de abril, de Estabilidad Presupuestaria y de Sostenibilidad Financiera.</w:t>
      </w:r>
    </w:p>
    <w:p w14:paraId="49E5FE0C"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Real Decreto-Ley 20/2012, de 13 de julio, de medidas para garantizar la estabilidad presupuestaria y de fomento de la competitividad.</w:t>
      </w:r>
    </w:p>
    <w:p w14:paraId="174FE36F"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Real Decreto-Ley 17/2014, de 26 de diciembre, de medidas de sostenibilidad financiera de las CCAA y EELL.</w:t>
      </w:r>
    </w:p>
    <w:p w14:paraId="6ED4E154"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 xml:space="preserve">Resolución de 9 de septiembre de 2015, de la Secretaría General de Coordinación Autonómica y Local, por la que se define el principio de prudencia financiera de las CCAA de las operaciones financieras que tengan por objeto activos financieros o la concesión de avales, </w:t>
      </w:r>
      <w:proofErr w:type="spellStart"/>
      <w:r w:rsidRPr="003D09D7">
        <w:rPr>
          <w:rFonts w:cs="Arial"/>
          <w:lang w:val="es-ES_tradnl" w:eastAsia="en-US"/>
        </w:rPr>
        <w:t>reavales</w:t>
      </w:r>
      <w:proofErr w:type="spellEnd"/>
      <w:r w:rsidRPr="003D09D7">
        <w:rPr>
          <w:rFonts w:cs="Arial"/>
          <w:lang w:val="es-ES_tradnl" w:eastAsia="en-US"/>
        </w:rPr>
        <w:t xml:space="preserve"> u otra clase de garantías públicas o medidas de apoyo extrapresupuestario.</w:t>
      </w:r>
    </w:p>
    <w:p w14:paraId="77D542B5"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Resolución de 4 de julio de 2017, de la Secretaría General del Tesoro y Política Financiera, por la que se define el principio de prudencia financiera aplicable a las operaciones de endeudamiento y derivados de las comunidades autónomas y entidades locales.</w:t>
      </w:r>
    </w:p>
    <w:p w14:paraId="4B6D08DF" w14:textId="77777777" w:rsidR="00614DC4"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Resolución de 5 de diciembre de 2017, de la Dirección General del Tesoro, por la que se actualiza el anexo 1 incluido en la Resolución de 4 de julio de 2017, por la que se define el principio de prudencia financiera aplicable a las operaciones de endeudamiento y derivados de las comunidades autónomas y entidades locales.</w:t>
      </w:r>
    </w:p>
    <w:p w14:paraId="30FA3B3D" w14:textId="77777777" w:rsidR="007A72FA" w:rsidRPr="007A72FA" w:rsidRDefault="007A72FA" w:rsidP="007A72FA">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Orden EHA/1037/2010, de 13 de abril, por la que se aprueba el Plan General de Contabilidad Pública.</w:t>
      </w:r>
    </w:p>
    <w:p w14:paraId="0ABF600A" w14:textId="77777777" w:rsidR="007A72FA" w:rsidRPr="003D09D7" w:rsidRDefault="007A72FA" w:rsidP="007A72FA">
      <w:pPr>
        <w:spacing w:before="240" w:after="120"/>
        <w:ind w:firstLine="284"/>
        <w:jc w:val="both"/>
        <w:rPr>
          <w:rFonts w:cs="Arial"/>
          <w:lang w:val="es-ES_tradnl" w:eastAsia="en-US"/>
        </w:rPr>
      </w:pPr>
      <w:r w:rsidRPr="007A72FA">
        <w:rPr>
          <w:rFonts w:ascii="Arial" w:hAnsi="Arial"/>
          <w:i/>
          <w:iCs/>
          <w:color w:val="000000"/>
          <w:spacing w:val="10"/>
          <w:kern w:val="28"/>
          <w:sz w:val="25"/>
          <w:szCs w:val="26"/>
        </w:rPr>
        <w:t xml:space="preserve">Normativa </w:t>
      </w:r>
      <w:r>
        <w:rPr>
          <w:rFonts w:ascii="Arial" w:hAnsi="Arial"/>
          <w:i/>
          <w:iCs/>
          <w:color w:val="000000"/>
          <w:spacing w:val="10"/>
          <w:kern w:val="28"/>
          <w:sz w:val="25"/>
          <w:szCs w:val="26"/>
        </w:rPr>
        <w:t xml:space="preserve">foral </w:t>
      </w:r>
    </w:p>
    <w:p w14:paraId="6AD4210B" w14:textId="77777777" w:rsidR="00007AB8" w:rsidRPr="003D09D7" w:rsidRDefault="00007AB8"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Ley Orgánica 13/1982, de 10 de agosto, de Reintegración y Amejoramiento del Régimen Foral de Navarra.</w:t>
      </w:r>
    </w:p>
    <w:p w14:paraId="670492C9" w14:textId="77777777" w:rsidR="00007AB8" w:rsidRPr="003D09D7" w:rsidRDefault="00007AB8"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Ley 28/1990, de 26 de diciembre, de aprobación del Convenio Económico entre el Estado y la Comunidad Foral de Navarra.</w:t>
      </w:r>
    </w:p>
    <w:p w14:paraId="35802986" w14:textId="77777777" w:rsidR="00007AB8" w:rsidRPr="003D09D7" w:rsidRDefault="00007AB8"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lastRenderedPageBreak/>
        <w:t>Decreto Foral Legislativo 251/1993, de 30 de agosto, por el que se aprueba el Texto refundido del Estatuto de Personal al servicio de las Administraciones Públicas de Navarra, así como sus disposiciones de desarrollo.</w:t>
      </w:r>
    </w:p>
    <w:p w14:paraId="10C5C0DD"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Ley Foral 13/2000, de 14 de diciembre, General Tributaria.</w:t>
      </w:r>
    </w:p>
    <w:p w14:paraId="0D84A732"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Ley Foral 14/2004, de 3 de diciembre, del Gobierno de Navarra y de su Presidente.</w:t>
      </w:r>
    </w:p>
    <w:p w14:paraId="350ED287"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Ley Foral 11/2005, de 9 de noviembre, de subvenciones.</w:t>
      </w:r>
    </w:p>
    <w:p w14:paraId="14AF42B6"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Ley Foral 13/2007, de 4 de abril, de la Hacienda Pública de Navarra.</w:t>
      </w:r>
    </w:p>
    <w:p w14:paraId="229F0667"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Ley Foral 14/2007, de 4 de abril, del Patrimonio de Navarra.</w:t>
      </w:r>
    </w:p>
    <w:p w14:paraId="49C55F6E"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Ley Foral 2/2018, de 13 de abril, de contratos públicos.</w:t>
      </w:r>
    </w:p>
    <w:p w14:paraId="33EAD9C6"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Ley Foral 11/2019, de 11 de marzo, de la Administración de la Comunidad Foral de Navarra y del Sector Público Institucional Foral.</w:t>
      </w:r>
    </w:p>
    <w:p w14:paraId="53B16076" w14:textId="77777777" w:rsidR="00007AB8" w:rsidRPr="003D09D7" w:rsidRDefault="00007AB8"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Ley Foral 19/2022, de 1 de julio, de medidas para la realización de los procesos de estabilización derivados de la Ley 20/2021, de 28 de diciembre.</w:t>
      </w:r>
    </w:p>
    <w:p w14:paraId="56CE7F69" w14:textId="77777777" w:rsidR="003A3ED9" w:rsidRPr="003D09D7" w:rsidRDefault="003A3ED9"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Ley Foral 35/2022, de 28 de diciembre, de Presupuestos Generales de Navarra para el año 2023.</w:t>
      </w:r>
    </w:p>
    <w:p w14:paraId="4AFAB23D"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 xml:space="preserve">Orden Foral 944/2012, de 9 de noviembre, de la Consejera de Economía, Hacienda, </w:t>
      </w:r>
      <w:bookmarkStart w:id="87" w:name="OLE_LINK4"/>
      <w:bookmarkStart w:id="88" w:name="OLE_LINK3"/>
      <w:r w:rsidRPr="003D09D7">
        <w:rPr>
          <w:rFonts w:cs="Arial"/>
          <w:lang w:val="es-ES_tradnl" w:eastAsia="en-US"/>
        </w:rPr>
        <w:t>Industria y Empleo</w:t>
      </w:r>
      <w:bookmarkEnd w:id="87"/>
      <w:bookmarkEnd w:id="88"/>
      <w:r w:rsidRPr="003D09D7">
        <w:rPr>
          <w:rFonts w:cs="Arial"/>
          <w:lang w:val="es-ES_tradnl" w:eastAsia="en-US"/>
        </w:rPr>
        <w:t>, por la que se regula el funcionamiento del Registro de Facturas.</w:t>
      </w:r>
    </w:p>
    <w:p w14:paraId="0E94B8DD" w14:textId="77777777" w:rsidR="003A3ED9" w:rsidRPr="003D09D7" w:rsidRDefault="003A3ED9"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Orden foral 65/2023, de 2 de octubre, del consejero de Economía y Hacienda, por la que se aprueban las normas reguladoras del cierre y liquidación de los Presupuestos Generales de Navarra y de las Cuentas de Balance del ejercicio del año 2023 y la apertura del ejercicio 2024</w:t>
      </w:r>
    </w:p>
    <w:p w14:paraId="7A849C92"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br w:type="page"/>
      </w:r>
    </w:p>
    <w:p w14:paraId="4C778646" w14:textId="77777777" w:rsidR="00614DC4" w:rsidRDefault="00614DC4" w:rsidP="00614DC4">
      <w:pPr>
        <w:pStyle w:val="atitulo1"/>
      </w:pPr>
      <w:bookmarkStart w:id="89" w:name="_Toc146471239"/>
      <w:bookmarkStart w:id="90" w:name="_Toc182464273"/>
      <w:r>
        <w:lastRenderedPageBreak/>
        <w:t>Apéndice 4. Información adicional sobre las salvedades</w:t>
      </w:r>
      <w:bookmarkEnd w:id="89"/>
      <w:bookmarkEnd w:id="90"/>
    </w:p>
    <w:p w14:paraId="20670160" w14:textId="77777777" w:rsidR="0078729F" w:rsidRDefault="009A1928" w:rsidP="0078729F">
      <w:pPr>
        <w:pStyle w:val="atitulo2"/>
        <w:spacing w:before="240" w:after="120"/>
        <w:rPr>
          <w:bCs w:val="0"/>
          <w:iCs w:val="0"/>
          <w:color w:val="auto"/>
        </w:rPr>
      </w:pPr>
      <w:bookmarkStart w:id="91" w:name="_Toc146471240"/>
      <w:bookmarkStart w:id="92" w:name="_Toc182464274"/>
      <w:r>
        <w:rPr>
          <w:bCs w:val="0"/>
          <w:iCs w:val="0"/>
        </w:rPr>
        <w:t>4.1</w:t>
      </w:r>
      <w:r w:rsidR="0078729F">
        <w:rPr>
          <w:bCs w:val="0"/>
          <w:iCs w:val="0"/>
        </w:rPr>
        <w:t xml:space="preserve"> </w:t>
      </w:r>
      <w:bookmarkEnd w:id="91"/>
      <w:r w:rsidR="0078729F">
        <w:rPr>
          <w:bCs w:val="0"/>
          <w:iCs w:val="0"/>
          <w:color w:val="auto"/>
        </w:rPr>
        <w:t>Integración sistemas CAT-SAP</w:t>
      </w:r>
      <w:bookmarkEnd w:id="92"/>
      <w:r w:rsidR="0078729F">
        <w:rPr>
          <w:bCs w:val="0"/>
          <w:iCs w:val="0"/>
          <w:color w:val="auto"/>
        </w:rPr>
        <w:t xml:space="preserve"> </w:t>
      </w:r>
    </w:p>
    <w:p w14:paraId="2AAC8077" w14:textId="77777777" w:rsidR="0078729F" w:rsidRDefault="0078729F" w:rsidP="002D69C2">
      <w:pPr>
        <w:pStyle w:val="texto"/>
        <w:spacing w:after="120"/>
        <w:jc w:val="both"/>
        <w:rPr>
          <w:rFonts w:cs="Arial"/>
        </w:rPr>
      </w:pPr>
      <w:r>
        <w:rPr>
          <w:rFonts w:cs="Arial"/>
        </w:rPr>
        <w:t xml:space="preserve">A pesar de los esfuerzos realizados por el Departamento de Economía y Hacienda, siguen persistiendo los problemas derivados de la falta de información adecuada en CAT que sea útil para el adecuado reflejo contable en SAPGE21 de la recaudación neta, ya que no diferencia los cobros originados por derechos del ejercicio actual y de anteriores; además, estos datos de CAT no permiten especificar los importes de los cobros entre el principal, los recargos y los intereses. </w:t>
      </w:r>
    </w:p>
    <w:p w14:paraId="36C91EBC" w14:textId="77777777" w:rsidR="0078729F" w:rsidRDefault="0078729F" w:rsidP="002D69C2">
      <w:pPr>
        <w:pStyle w:val="texto"/>
        <w:spacing w:after="120"/>
        <w:jc w:val="both"/>
        <w:rPr>
          <w:rFonts w:cs="Arial"/>
        </w:rPr>
      </w:pPr>
      <w:r>
        <w:rPr>
          <w:rFonts w:cs="Arial"/>
        </w:rPr>
        <w:t xml:space="preserve">Por este motivo, con la información que proporciona CAT, el Servicio de Convenio Económico, Análisis Fiscales y Administración elabora un informe en el que indica el importe referido a cobros del ejercicio en curso sin diferenciar si proceden de derechos devengados en el año o en años anteriores. Esta cifra es la que utiliza la sección de Contabilidad de la ACFN para obtener la recaudación neta de cada impuesto reflejada en la liquidación del presupuesto. </w:t>
      </w:r>
    </w:p>
    <w:p w14:paraId="5CACF367" w14:textId="77777777" w:rsidR="0078729F" w:rsidRDefault="0078729F" w:rsidP="002D69C2">
      <w:pPr>
        <w:pStyle w:val="texto"/>
        <w:spacing w:after="120"/>
        <w:jc w:val="both"/>
      </w:pPr>
      <w:r>
        <w:rPr>
          <w:rFonts w:cs="Arial"/>
        </w:rPr>
        <w:t xml:space="preserve">Añadido a lo anterior, </w:t>
      </w:r>
      <w:r>
        <w:t>el sistema CAT tampoco proporciona la información suficiente que permita el reflejo contable adecuado de los impuestos en el balance de situación. Así, con los datos disponibles, no es posible realizar una distinción entre deudores de ejercicios corrientes y cerrados, ni es factible anular los derechos reconocidos correspondientes a los deudores a los que se concede aplazamiento de la deuda, contrariamente a los criterios establecidos en el PGCP vigente.</w:t>
      </w:r>
    </w:p>
    <w:p w14:paraId="72029FD7" w14:textId="77777777" w:rsidR="0078729F" w:rsidRPr="004F2AF3" w:rsidRDefault="0078729F" w:rsidP="002D69C2">
      <w:pPr>
        <w:pStyle w:val="texto"/>
        <w:spacing w:after="120"/>
        <w:jc w:val="both"/>
        <w:rPr>
          <w:rFonts w:cs="Arial"/>
        </w:rPr>
      </w:pPr>
      <w:r w:rsidRPr="004F2AF3">
        <w:rPr>
          <w:rFonts w:cs="Arial"/>
        </w:rPr>
        <w:t xml:space="preserve">Los deudores no se </w:t>
      </w:r>
      <w:r w:rsidRPr="002D69C2">
        <w:t>recogen</w:t>
      </w:r>
      <w:r w:rsidRPr="004F2AF3">
        <w:rPr>
          <w:rFonts w:cs="Arial"/>
        </w:rPr>
        <w:t xml:space="preserve"> en el balance conforme a la clasificación establecida en el PGCP, ni tampoco los intereses y recargos no devengados</w:t>
      </w:r>
    </w:p>
    <w:p w14:paraId="69BAEABF" w14:textId="77777777" w:rsidR="0078729F" w:rsidRDefault="00614DC4" w:rsidP="00286F49">
      <w:pPr>
        <w:pStyle w:val="atitulo2"/>
        <w:spacing w:before="240"/>
        <w:jc w:val="both"/>
        <w:rPr>
          <w:bCs w:val="0"/>
          <w:iCs w:val="0"/>
        </w:rPr>
      </w:pPr>
      <w:bookmarkStart w:id="93" w:name="_Toc146471241"/>
      <w:bookmarkStart w:id="94" w:name="_Toc182464275"/>
      <w:r>
        <w:rPr>
          <w:bCs w:val="0"/>
          <w:iCs w:val="0"/>
          <w:color w:val="auto"/>
        </w:rPr>
        <w:t>4.2</w:t>
      </w:r>
      <w:bookmarkEnd w:id="93"/>
      <w:r w:rsidR="0078729F">
        <w:rPr>
          <w:bCs w:val="0"/>
          <w:iCs w:val="0"/>
          <w:color w:val="auto"/>
        </w:rPr>
        <w:t xml:space="preserve"> </w:t>
      </w:r>
      <w:r w:rsidR="0078729F" w:rsidRPr="0078729F">
        <w:rPr>
          <w:bCs w:val="0"/>
          <w:iCs w:val="0"/>
        </w:rPr>
        <w:t>Prestación de servicios sin soporte contractual adecuado</w:t>
      </w:r>
      <w:bookmarkEnd w:id="94"/>
    </w:p>
    <w:p w14:paraId="42CC941A" w14:textId="77777777" w:rsidR="005A13EC" w:rsidRDefault="007A72FA" w:rsidP="002D69C2">
      <w:pPr>
        <w:pStyle w:val="texto"/>
        <w:spacing w:after="120"/>
        <w:jc w:val="both"/>
      </w:pPr>
      <w:r>
        <w:t>Los</w:t>
      </w:r>
      <w:r w:rsidR="0078729F">
        <w:t xml:space="preserve"> informe</w:t>
      </w:r>
      <w:r>
        <w:t>s</w:t>
      </w:r>
      <w:r w:rsidR="0078729F">
        <w:t xml:space="preserve"> de esta Cámara sobre las Cuentas Generales correspondiente a los ejercicios 2018 a 2022, incluía</w:t>
      </w:r>
      <w:r w:rsidR="005A13EC">
        <w:t>n</w:t>
      </w:r>
      <w:r w:rsidR="0078729F">
        <w:t xml:space="preserve"> una salvedad referida a la realización de gastos presupuestarios relacionados con prestaciones soportadas en contratos cuya vigencia había finalizado. </w:t>
      </w:r>
    </w:p>
    <w:p w14:paraId="3D5A86CE" w14:textId="77777777" w:rsidR="007A72FA" w:rsidRPr="00050929" w:rsidRDefault="00CA3BE1" w:rsidP="002D69C2">
      <w:pPr>
        <w:pStyle w:val="texto"/>
        <w:spacing w:after="120"/>
        <w:jc w:val="both"/>
      </w:pPr>
      <w:r>
        <w:t xml:space="preserve">No obstante, </w:t>
      </w:r>
      <w:r w:rsidR="007A72FA" w:rsidRPr="00050929">
        <w:t xml:space="preserve">indicamos que </w:t>
      </w:r>
      <w:r w:rsidR="00050929" w:rsidRPr="00050929">
        <w:t xml:space="preserve">el </w:t>
      </w:r>
      <w:r w:rsidR="005A13EC" w:rsidRPr="00050929">
        <w:t xml:space="preserve">artículo 45.3 de la Ley Foral 2/2018, </w:t>
      </w:r>
      <w:r w:rsidR="005A13EC" w:rsidRPr="00050929">
        <w:rPr>
          <w:rFonts w:cs="Arial"/>
          <w:lang w:val="es-ES_tradnl" w:eastAsia="en-US"/>
        </w:rPr>
        <w:t xml:space="preserve">de 13 de abril, de Contratos </w:t>
      </w:r>
      <w:r w:rsidR="005A13EC" w:rsidRPr="002D69C2">
        <w:t>Públicos</w:t>
      </w:r>
      <w:r w:rsidR="006F6089">
        <w:rPr>
          <w:rFonts w:cs="Arial"/>
          <w:lang w:val="es-ES_tradnl" w:eastAsia="en-US"/>
        </w:rPr>
        <w:t xml:space="preserve"> (en adelante LFCP)</w:t>
      </w:r>
      <w:r w:rsidR="00050929" w:rsidRPr="00050929">
        <w:rPr>
          <w:rFonts w:cs="Arial"/>
          <w:lang w:val="es-ES_tradnl" w:eastAsia="en-US"/>
        </w:rPr>
        <w:t>, en su redacción actual</w:t>
      </w:r>
      <w:r w:rsidR="00050929" w:rsidRPr="00050929">
        <w:rPr>
          <w:rStyle w:val="Refdenotaalpie"/>
          <w:rFonts w:cs="Arial"/>
          <w:lang w:val="es-ES_tradnl" w:eastAsia="en-US"/>
        </w:rPr>
        <w:footnoteReference w:id="12"/>
      </w:r>
      <w:r w:rsidR="00050929" w:rsidRPr="00050929">
        <w:rPr>
          <w:rFonts w:cs="Arial"/>
          <w:lang w:val="es-ES_tradnl" w:eastAsia="en-US"/>
        </w:rPr>
        <w:t xml:space="preserve"> modificó el régimen jurídico de aplicación a la duración de los contratos en el sentido de establecer, al vencimiento de los contratos y concurriendo determinadas circunstancias una prórroga de máximo nueve meses</w:t>
      </w:r>
      <w:r>
        <w:rPr>
          <w:rFonts w:cs="Arial"/>
          <w:lang w:val="es-ES_tradnl" w:eastAsia="en-US"/>
        </w:rPr>
        <w:t>.</w:t>
      </w:r>
    </w:p>
    <w:p w14:paraId="54F2731D" w14:textId="77777777" w:rsidR="00050929" w:rsidRDefault="00050929" w:rsidP="002D69C2">
      <w:pPr>
        <w:pStyle w:val="texto"/>
        <w:spacing w:after="120"/>
        <w:jc w:val="both"/>
      </w:pPr>
      <w:r>
        <w:t xml:space="preserve">Hemos llevado a cabo un seguimiento de esta situación con la información proporcionada por los </w:t>
      </w:r>
      <w:r w:rsidRPr="002D69C2">
        <w:rPr>
          <w:rFonts w:cs="Arial"/>
          <w:lang w:val="es-ES_tradnl" w:eastAsia="en-US"/>
        </w:rPr>
        <w:t>departamentos</w:t>
      </w:r>
      <w:r>
        <w:t xml:space="preserve"> a la Dirección General de Intervención del Gobierno de Navarra.</w:t>
      </w:r>
    </w:p>
    <w:p w14:paraId="7436F70C" w14:textId="77777777" w:rsidR="0078729F" w:rsidRDefault="0078729F" w:rsidP="00695412">
      <w:pPr>
        <w:pStyle w:val="texto"/>
        <w:spacing w:after="240"/>
        <w:jc w:val="both"/>
      </w:pPr>
      <w:r>
        <w:lastRenderedPageBreak/>
        <w:t xml:space="preserve">En concreto, y según dicha información, los datos relacionados con las prestaciones abonadas </w:t>
      </w:r>
      <w:r w:rsidR="00355073">
        <w:t xml:space="preserve">sin </w:t>
      </w:r>
      <w:r w:rsidR="00355073" w:rsidRPr="002D69C2">
        <w:rPr>
          <w:rFonts w:cs="Arial"/>
          <w:lang w:val="es-ES_tradnl" w:eastAsia="en-US"/>
        </w:rPr>
        <w:t>soporte</w:t>
      </w:r>
      <w:r w:rsidR="00355073">
        <w:t xml:space="preserve"> contractual adecuado </w:t>
      </w:r>
      <w:r>
        <w:t>durante 2023, y desde el fin del contrato correspondiente hasta 31 de diciembre de 2023, son los siguientes</w:t>
      </w:r>
      <w:r>
        <w:rPr>
          <w:rStyle w:val="Refdenotaalpie"/>
        </w:rPr>
        <w:footnoteReference w:id="13"/>
      </w:r>
      <w:r>
        <w:t>:</w:t>
      </w:r>
    </w:p>
    <w:tbl>
      <w:tblPr>
        <w:tblW w:w="8789" w:type="dxa"/>
        <w:jc w:val="center"/>
        <w:tblCellMar>
          <w:left w:w="70" w:type="dxa"/>
          <w:right w:w="70" w:type="dxa"/>
        </w:tblCellMar>
        <w:tblLook w:val="04A0" w:firstRow="1" w:lastRow="0" w:firstColumn="1" w:lastColumn="0" w:noHBand="0" w:noVBand="1"/>
      </w:tblPr>
      <w:tblGrid>
        <w:gridCol w:w="3828"/>
        <w:gridCol w:w="1207"/>
        <w:gridCol w:w="1717"/>
        <w:gridCol w:w="761"/>
        <w:gridCol w:w="1276"/>
      </w:tblGrid>
      <w:tr w:rsidR="00355073" w:rsidRPr="0003329D" w14:paraId="0B1A7EBF" w14:textId="77777777" w:rsidTr="00D01D3B">
        <w:trPr>
          <w:trHeight w:val="255"/>
          <w:jc w:val="center"/>
        </w:trPr>
        <w:tc>
          <w:tcPr>
            <w:tcW w:w="3828" w:type="dxa"/>
            <w:tcBorders>
              <w:top w:val="single" w:sz="4" w:space="0" w:color="auto"/>
              <w:left w:val="nil"/>
              <w:bottom w:val="single" w:sz="4" w:space="0" w:color="auto"/>
              <w:right w:val="nil"/>
            </w:tcBorders>
            <w:shd w:val="clear" w:color="auto" w:fill="8DB3E2"/>
            <w:noWrap/>
            <w:vAlign w:val="center"/>
            <w:hideMark/>
          </w:tcPr>
          <w:p w14:paraId="7BB08D8D" w14:textId="77777777" w:rsidR="0078729F" w:rsidRPr="00273FAC" w:rsidRDefault="0078729F" w:rsidP="005E65C2">
            <w:pPr>
              <w:pStyle w:val="cuadroCabe"/>
              <w:rPr>
                <w:sz w:val="16"/>
                <w:szCs w:val="16"/>
              </w:rPr>
            </w:pPr>
            <w:r w:rsidRPr="00273FAC">
              <w:rPr>
                <w:sz w:val="16"/>
                <w:szCs w:val="16"/>
              </w:rPr>
              <w:t>Departamento</w:t>
            </w:r>
          </w:p>
        </w:tc>
        <w:tc>
          <w:tcPr>
            <w:tcW w:w="1207" w:type="dxa"/>
            <w:tcBorders>
              <w:top w:val="single" w:sz="4" w:space="0" w:color="auto"/>
              <w:left w:val="nil"/>
              <w:bottom w:val="single" w:sz="4" w:space="0" w:color="auto"/>
              <w:right w:val="nil"/>
            </w:tcBorders>
            <w:shd w:val="clear" w:color="auto" w:fill="8DB3E2"/>
            <w:noWrap/>
            <w:vAlign w:val="center"/>
            <w:hideMark/>
          </w:tcPr>
          <w:p w14:paraId="3F3366B7" w14:textId="77777777" w:rsidR="00355073" w:rsidRPr="00273FAC" w:rsidRDefault="0078729F" w:rsidP="004104C5">
            <w:pPr>
              <w:pStyle w:val="cuadroCabe"/>
              <w:jc w:val="right"/>
              <w:rPr>
                <w:sz w:val="16"/>
                <w:szCs w:val="16"/>
              </w:rPr>
            </w:pPr>
            <w:r w:rsidRPr="00273FAC">
              <w:rPr>
                <w:sz w:val="16"/>
                <w:szCs w:val="16"/>
              </w:rPr>
              <w:t>Gasto</w:t>
            </w:r>
          </w:p>
          <w:p w14:paraId="31F84423" w14:textId="77777777" w:rsidR="0078729F" w:rsidRPr="00273FAC" w:rsidRDefault="0078729F" w:rsidP="004104C5">
            <w:pPr>
              <w:pStyle w:val="cuadroCabe"/>
              <w:jc w:val="right"/>
              <w:rPr>
                <w:sz w:val="16"/>
                <w:szCs w:val="16"/>
              </w:rPr>
            </w:pPr>
            <w:r w:rsidRPr="00273FAC">
              <w:rPr>
                <w:sz w:val="16"/>
                <w:szCs w:val="16"/>
              </w:rPr>
              <w:t xml:space="preserve"> abonado</w:t>
            </w:r>
          </w:p>
          <w:p w14:paraId="1C5ABB66" w14:textId="77777777" w:rsidR="0078729F" w:rsidRPr="00273FAC" w:rsidRDefault="0078729F" w:rsidP="004104C5">
            <w:pPr>
              <w:pStyle w:val="cuadroCabe"/>
              <w:jc w:val="right"/>
              <w:rPr>
                <w:sz w:val="16"/>
                <w:szCs w:val="16"/>
              </w:rPr>
            </w:pPr>
            <w:r w:rsidRPr="00273FAC">
              <w:rPr>
                <w:sz w:val="16"/>
                <w:szCs w:val="16"/>
              </w:rPr>
              <w:t>en 2023</w:t>
            </w:r>
          </w:p>
        </w:tc>
        <w:tc>
          <w:tcPr>
            <w:tcW w:w="1717" w:type="dxa"/>
            <w:tcBorders>
              <w:top w:val="single" w:sz="4" w:space="0" w:color="auto"/>
              <w:left w:val="nil"/>
              <w:bottom w:val="single" w:sz="4" w:space="0" w:color="auto"/>
              <w:right w:val="nil"/>
            </w:tcBorders>
            <w:shd w:val="clear" w:color="auto" w:fill="8DB3E2"/>
            <w:vAlign w:val="center"/>
            <w:hideMark/>
          </w:tcPr>
          <w:p w14:paraId="5FD3F2DF" w14:textId="77777777" w:rsidR="004104C5" w:rsidRPr="00273FAC" w:rsidRDefault="0078729F" w:rsidP="004104C5">
            <w:pPr>
              <w:pStyle w:val="cuadroCabe"/>
              <w:jc w:val="right"/>
              <w:rPr>
                <w:sz w:val="16"/>
                <w:szCs w:val="16"/>
              </w:rPr>
            </w:pPr>
            <w:r w:rsidRPr="00273FAC">
              <w:rPr>
                <w:sz w:val="16"/>
                <w:szCs w:val="16"/>
              </w:rPr>
              <w:t xml:space="preserve">Gasto acumulado </w:t>
            </w:r>
          </w:p>
          <w:p w14:paraId="61194567" w14:textId="77777777" w:rsidR="0078729F" w:rsidRPr="00273FAC" w:rsidRDefault="0078729F" w:rsidP="004104C5">
            <w:pPr>
              <w:pStyle w:val="cuadroCabe"/>
              <w:jc w:val="right"/>
              <w:rPr>
                <w:sz w:val="16"/>
                <w:szCs w:val="16"/>
              </w:rPr>
            </w:pPr>
            <w:r w:rsidRPr="00273FAC">
              <w:rPr>
                <w:sz w:val="16"/>
                <w:szCs w:val="16"/>
              </w:rPr>
              <w:t>desde fin contrato hasta 31/12/2023</w:t>
            </w:r>
          </w:p>
        </w:tc>
        <w:tc>
          <w:tcPr>
            <w:tcW w:w="761" w:type="dxa"/>
            <w:tcBorders>
              <w:top w:val="single" w:sz="4" w:space="0" w:color="auto"/>
              <w:left w:val="nil"/>
              <w:bottom w:val="single" w:sz="4" w:space="0" w:color="auto"/>
              <w:right w:val="nil"/>
            </w:tcBorders>
            <w:shd w:val="clear" w:color="auto" w:fill="8DB3E2"/>
            <w:noWrap/>
            <w:vAlign w:val="center"/>
            <w:hideMark/>
          </w:tcPr>
          <w:p w14:paraId="21886BF1" w14:textId="77777777" w:rsidR="0078729F" w:rsidRPr="00FE489F" w:rsidRDefault="0078729F" w:rsidP="008A2E63">
            <w:pPr>
              <w:pStyle w:val="cuadroCabe"/>
              <w:jc w:val="right"/>
              <w:rPr>
                <w:sz w:val="16"/>
                <w:szCs w:val="16"/>
              </w:rPr>
            </w:pPr>
            <w:r w:rsidRPr="00FE489F">
              <w:rPr>
                <w:sz w:val="16"/>
                <w:szCs w:val="16"/>
              </w:rPr>
              <w:t>Nº</w:t>
            </w:r>
          </w:p>
          <w:p w14:paraId="09A1C922" w14:textId="77777777" w:rsidR="0078729F" w:rsidRPr="00BA61EA" w:rsidRDefault="0078729F" w:rsidP="008A2E63">
            <w:pPr>
              <w:pStyle w:val="cuadroCabe"/>
              <w:jc w:val="right"/>
              <w:rPr>
                <w:sz w:val="16"/>
                <w:szCs w:val="16"/>
              </w:rPr>
            </w:pPr>
            <w:r w:rsidRPr="00FE489F">
              <w:rPr>
                <w:sz w:val="16"/>
                <w:szCs w:val="16"/>
              </w:rPr>
              <w:t>contratos</w:t>
            </w:r>
          </w:p>
        </w:tc>
        <w:tc>
          <w:tcPr>
            <w:tcW w:w="1276" w:type="dxa"/>
            <w:tcBorders>
              <w:top w:val="single" w:sz="4" w:space="0" w:color="auto"/>
              <w:left w:val="nil"/>
              <w:bottom w:val="single" w:sz="4" w:space="0" w:color="auto"/>
              <w:right w:val="nil"/>
            </w:tcBorders>
            <w:shd w:val="clear" w:color="auto" w:fill="8DB3E2"/>
            <w:vAlign w:val="center"/>
            <w:hideMark/>
          </w:tcPr>
          <w:p w14:paraId="1EADC2E5" w14:textId="77777777" w:rsidR="0078729F" w:rsidRPr="00273FAC" w:rsidRDefault="0078729F" w:rsidP="00273FAC">
            <w:pPr>
              <w:pStyle w:val="cuadroCabe"/>
              <w:jc w:val="right"/>
              <w:rPr>
                <w:sz w:val="16"/>
                <w:szCs w:val="16"/>
              </w:rPr>
            </w:pPr>
            <w:r w:rsidRPr="00273FAC">
              <w:rPr>
                <w:sz w:val="16"/>
                <w:szCs w:val="16"/>
              </w:rPr>
              <w:t>Fecha mínima inicio gasto sin</w:t>
            </w:r>
            <w:r w:rsidR="00273FAC">
              <w:rPr>
                <w:sz w:val="16"/>
                <w:szCs w:val="16"/>
              </w:rPr>
              <w:t xml:space="preserve"> </w:t>
            </w:r>
            <w:r w:rsidRPr="00273FAC">
              <w:rPr>
                <w:sz w:val="16"/>
                <w:szCs w:val="16"/>
              </w:rPr>
              <w:t>soporte contractual</w:t>
            </w:r>
          </w:p>
        </w:tc>
      </w:tr>
      <w:tr w:rsidR="00355073" w:rsidRPr="00CC7636" w14:paraId="56401719" w14:textId="77777777" w:rsidTr="00D01D3B">
        <w:trPr>
          <w:trHeight w:val="198"/>
          <w:jc w:val="center"/>
        </w:trPr>
        <w:tc>
          <w:tcPr>
            <w:tcW w:w="3828" w:type="dxa"/>
            <w:tcBorders>
              <w:top w:val="single" w:sz="4" w:space="0" w:color="auto"/>
              <w:left w:val="nil"/>
              <w:bottom w:val="single" w:sz="2" w:space="0" w:color="auto"/>
              <w:right w:val="nil"/>
            </w:tcBorders>
            <w:shd w:val="clear" w:color="auto" w:fill="auto"/>
            <w:noWrap/>
            <w:vAlign w:val="bottom"/>
          </w:tcPr>
          <w:p w14:paraId="127D17AB" w14:textId="77777777" w:rsidR="00355073" w:rsidRPr="00355073" w:rsidRDefault="00355073" w:rsidP="00921D24">
            <w:pPr>
              <w:pStyle w:val="cuatexto"/>
            </w:pPr>
            <w:r w:rsidRPr="00355073">
              <w:t>Salud</w:t>
            </w:r>
          </w:p>
        </w:tc>
        <w:tc>
          <w:tcPr>
            <w:tcW w:w="1207" w:type="dxa"/>
            <w:tcBorders>
              <w:top w:val="single" w:sz="4" w:space="0" w:color="auto"/>
              <w:left w:val="nil"/>
              <w:bottom w:val="single" w:sz="2" w:space="0" w:color="auto"/>
              <w:right w:val="nil"/>
            </w:tcBorders>
            <w:shd w:val="clear" w:color="auto" w:fill="auto"/>
            <w:noWrap/>
            <w:vAlign w:val="center"/>
          </w:tcPr>
          <w:p w14:paraId="6401AA06" w14:textId="77777777" w:rsidR="00355073" w:rsidRPr="00355073" w:rsidRDefault="00355073" w:rsidP="0003329D">
            <w:pPr>
              <w:pStyle w:val="cuatexto"/>
              <w:jc w:val="right"/>
            </w:pPr>
            <w:r w:rsidRPr="00355073">
              <w:t>83.367.993</w:t>
            </w:r>
          </w:p>
        </w:tc>
        <w:tc>
          <w:tcPr>
            <w:tcW w:w="1717" w:type="dxa"/>
            <w:tcBorders>
              <w:top w:val="single" w:sz="4" w:space="0" w:color="auto"/>
              <w:left w:val="nil"/>
              <w:bottom w:val="single" w:sz="2" w:space="0" w:color="auto"/>
              <w:right w:val="nil"/>
            </w:tcBorders>
            <w:shd w:val="clear" w:color="auto" w:fill="auto"/>
            <w:vAlign w:val="center"/>
          </w:tcPr>
          <w:p w14:paraId="2EE49D25" w14:textId="77777777" w:rsidR="00355073" w:rsidRPr="00355073" w:rsidRDefault="00355073" w:rsidP="0003329D">
            <w:pPr>
              <w:pStyle w:val="cuatexto"/>
              <w:jc w:val="right"/>
            </w:pPr>
            <w:r w:rsidRPr="00355073">
              <w:t>398.305.525</w:t>
            </w:r>
          </w:p>
        </w:tc>
        <w:tc>
          <w:tcPr>
            <w:tcW w:w="761" w:type="dxa"/>
            <w:tcBorders>
              <w:top w:val="single" w:sz="4" w:space="0" w:color="auto"/>
              <w:left w:val="nil"/>
              <w:bottom w:val="single" w:sz="2" w:space="0" w:color="auto"/>
              <w:right w:val="nil"/>
            </w:tcBorders>
            <w:shd w:val="clear" w:color="auto" w:fill="auto"/>
            <w:noWrap/>
            <w:vAlign w:val="center"/>
          </w:tcPr>
          <w:p w14:paraId="136D5CAD" w14:textId="77777777" w:rsidR="00355073" w:rsidRPr="00BA61EA" w:rsidRDefault="00355073" w:rsidP="0003329D">
            <w:pPr>
              <w:pStyle w:val="cuatexto"/>
              <w:jc w:val="right"/>
            </w:pPr>
            <w:r w:rsidRPr="00BA61EA">
              <w:t>60</w:t>
            </w:r>
          </w:p>
        </w:tc>
        <w:tc>
          <w:tcPr>
            <w:tcW w:w="1276" w:type="dxa"/>
            <w:tcBorders>
              <w:top w:val="single" w:sz="4" w:space="0" w:color="auto"/>
              <w:left w:val="nil"/>
              <w:bottom w:val="single" w:sz="2" w:space="0" w:color="auto"/>
              <w:right w:val="nil"/>
            </w:tcBorders>
            <w:shd w:val="clear" w:color="auto" w:fill="auto"/>
            <w:vAlign w:val="center"/>
          </w:tcPr>
          <w:p w14:paraId="65891038" w14:textId="77777777" w:rsidR="00355073" w:rsidRPr="00355073" w:rsidRDefault="00355073" w:rsidP="0003329D">
            <w:pPr>
              <w:pStyle w:val="cuatexto"/>
              <w:jc w:val="right"/>
            </w:pPr>
            <w:r w:rsidRPr="00355073">
              <w:t>01/01/2017</w:t>
            </w:r>
          </w:p>
        </w:tc>
      </w:tr>
      <w:tr w:rsidR="00355073" w:rsidRPr="00CC7636" w14:paraId="2CB0ACF5" w14:textId="77777777" w:rsidTr="00D01D3B">
        <w:trPr>
          <w:trHeight w:val="198"/>
          <w:jc w:val="center"/>
        </w:trPr>
        <w:tc>
          <w:tcPr>
            <w:tcW w:w="3828" w:type="dxa"/>
            <w:tcBorders>
              <w:top w:val="single" w:sz="2" w:space="0" w:color="auto"/>
              <w:left w:val="nil"/>
              <w:bottom w:val="single" w:sz="2" w:space="0" w:color="auto"/>
              <w:right w:val="nil"/>
            </w:tcBorders>
            <w:shd w:val="clear" w:color="auto" w:fill="auto"/>
            <w:noWrap/>
            <w:vAlign w:val="bottom"/>
          </w:tcPr>
          <w:p w14:paraId="73C3035A" w14:textId="77777777" w:rsidR="00355073" w:rsidRPr="00355073" w:rsidRDefault="00355073" w:rsidP="004104C5">
            <w:pPr>
              <w:pStyle w:val="cuatexto"/>
            </w:pPr>
            <w:r w:rsidRPr="00355073">
              <w:t>Universidad, I</w:t>
            </w:r>
            <w:r w:rsidR="00D57750">
              <w:t xml:space="preserve">nvestigación </w:t>
            </w:r>
            <w:r w:rsidR="00AC6A84">
              <w:t xml:space="preserve">y Tecnologías D. </w:t>
            </w:r>
          </w:p>
        </w:tc>
        <w:tc>
          <w:tcPr>
            <w:tcW w:w="1207" w:type="dxa"/>
            <w:tcBorders>
              <w:top w:val="single" w:sz="2" w:space="0" w:color="auto"/>
              <w:left w:val="nil"/>
              <w:bottom w:val="single" w:sz="2" w:space="0" w:color="auto"/>
              <w:right w:val="nil"/>
            </w:tcBorders>
            <w:shd w:val="clear" w:color="auto" w:fill="auto"/>
            <w:noWrap/>
            <w:vAlign w:val="center"/>
          </w:tcPr>
          <w:p w14:paraId="1B649BC5" w14:textId="77777777" w:rsidR="00355073" w:rsidRPr="00355073" w:rsidRDefault="00355073" w:rsidP="0003329D">
            <w:pPr>
              <w:pStyle w:val="cuatexto"/>
              <w:jc w:val="right"/>
            </w:pPr>
            <w:r w:rsidRPr="00355073">
              <w:t>14.161.655</w:t>
            </w:r>
          </w:p>
        </w:tc>
        <w:tc>
          <w:tcPr>
            <w:tcW w:w="1717" w:type="dxa"/>
            <w:tcBorders>
              <w:top w:val="single" w:sz="2" w:space="0" w:color="auto"/>
              <w:left w:val="nil"/>
              <w:bottom w:val="single" w:sz="2" w:space="0" w:color="auto"/>
              <w:right w:val="nil"/>
            </w:tcBorders>
            <w:shd w:val="clear" w:color="auto" w:fill="auto"/>
            <w:vAlign w:val="center"/>
          </w:tcPr>
          <w:p w14:paraId="7DB882A5" w14:textId="77777777" w:rsidR="00355073" w:rsidRPr="00355073" w:rsidRDefault="00355073" w:rsidP="0003329D">
            <w:pPr>
              <w:pStyle w:val="cuatexto"/>
              <w:jc w:val="right"/>
            </w:pPr>
            <w:r w:rsidRPr="00355073">
              <w:t>33.984.236</w:t>
            </w:r>
          </w:p>
        </w:tc>
        <w:tc>
          <w:tcPr>
            <w:tcW w:w="761" w:type="dxa"/>
            <w:tcBorders>
              <w:top w:val="single" w:sz="2" w:space="0" w:color="auto"/>
              <w:left w:val="nil"/>
              <w:bottom w:val="single" w:sz="2" w:space="0" w:color="auto"/>
              <w:right w:val="nil"/>
            </w:tcBorders>
            <w:shd w:val="clear" w:color="auto" w:fill="auto"/>
            <w:noWrap/>
            <w:vAlign w:val="center"/>
          </w:tcPr>
          <w:p w14:paraId="2A78E8FB" w14:textId="77777777" w:rsidR="00355073" w:rsidRPr="00BA61EA" w:rsidRDefault="00355073" w:rsidP="0003329D">
            <w:pPr>
              <w:pStyle w:val="cuatexto"/>
              <w:jc w:val="right"/>
            </w:pPr>
            <w:r w:rsidRPr="00BA61EA">
              <w:t>13</w:t>
            </w:r>
          </w:p>
        </w:tc>
        <w:tc>
          <w:tcPr>
            <w:tcW w:w="1276" w:type="dxa"/>
            <w:tcBorders>
              <w:top w:val="single" w:sz="2" w:space="0" w:color="auto"/>
              <w:left w:val="nil"/>
              <w:bottom w:val="single" w:sz="2" w:space="0" w:color="auto"/>
              <w:right w:val="nil"/>
            </w:tcBorders>
            <w:shd w:val="clear" w:color="auto" w:fill="auto"/>
            <w:vAlign w:val="center"/>
          </w:tcPr>
          <w:p w14:paraId="7B8EB488" w14:textId="77777777" w:rsidR="00355073" w:rsidRPr="00355073" w:rsidRDefault="00355073" w:rsidP="0003329D">
            <w:pPr>
              <w:pStyle w:val="cuatexto"/>
              <w:jc w:val="right"/>
            </w:pPr>
            <w:r w:rsidRPr="00355073">
              <w:t>01/01/2021</w:t>
            </w:r>
          </w:p>
        </w:tc>
      </w:tr>
      <w:tr w:rsidR="00355073" w:rsidRPr="00CC7636" w14:paraId="06D2A77B" w14:textId="77777777" w:rsidTr="00D01D3B">
        <w:trPr>
          <w:trHeight w:val="198"/>
          <w:jc w:val="center"/>
        </w:trPr>
        <w:tc>
          <w:tcPr>
            <w:tcW w:w="3828" w:type="dxa"/>
            <w:tcBorders>
              <w:top w:val="single" w:sz="2" w:space="0" w:color="auto"/>
              <w:left w:val="nil"/>
              <w:bottom w:val="single" w:sz="2" w:space="0" w:color="auto"/>
              <w:right w:val="nil"/>
            </w:tcBorders>
            <w:shd w:val="clear" w:color="auto" w:fill="auto"/>
            <w:noWrap/>
            <w:vAlign w:val="bottom"/>
          </w:tcPr>
          <w:p w14:paraId="10E80E0C" w14:textId="77777777" w:rsidR="00355073" w:rsidRPr="00355073" w:rsidRDefault="00355073" w:rsidP="00AC6A84">
            <w:pPr>
              <w:pStyle w:val="cuatexto"/>
            </w:pPr>
            <w:r w:rsidRPr="00355073">
              <w:t>Derechos Sociales, E</w:t>
            </w:r>
            <w:r w:rsidR="00AC6A84">
              <w:t>conomía Social y Empleo</w:t>
            </w:r>
          </w:p>
        </w:tc>
        <w:tc>
          <w:tcPr>
            <w:tcW w:w="1207" w:type="dxa"/>
            <w:tcBorders>
              <w:top w:val="single" w:sz="2" w:space="0" w:color="auto"/>
              <w:left w:val="nil"/>
              <w:bottom w:val="single" w:sz="2" w:space="0" w:color="auto"/>
              <w:right w:val="nil"/>
            </w:tcBorders>
            <w:shd w:val="clear" w:color="auto" w:fill="auto"/>
            <w:noWrap/>
            <w:vAlign w:val="center"/>
          </w:tcPr>
          <w:p w14:paraId="316F8A13" w14:textId="77777777" w:rsidR="00355073" w:rsidRPr="00355073" w:rsidRDefault="00355073" w:rsidP="0003329D">
            <w:pPr>
              <w:pStyle w:val="cuatexto"/>
              <w:jc w:val="right"/>
            </w:pPr>
            <w:r w:rsidRPr="00355073">
              <w:t>13.044.102</w:t>
            </w:r>
          </w:p>
        </w:tc>
        <w:tc>
          <w:tcPr>
            <w:tcW w:w="1717" w:type="dxa"/>
            <w:tcBorders>
              <w:top w:val="single" w:sz="2" w:space="0" w:color="auto"/>
              <w:left w:val="nil"/>
              <w:bottom w:val="single" w:sz="2" w:space="0" w:color="auto"/>
              <w:right w:val="nil"/>
            </w:tcBorders>
            <w:shd w:val="clear" w:color="auto" w:fill="auto"/>
            <w:vAlign w:val="center"/>
          </w:tcPr>
          <w:p w14:paraId="1F10B8B8" w14:textId="77777777" w:rsidR="00355073" w:rsidRPr="00355073" w:rsidRDefault="00355073" w:rsidP="0003329D">
            <w:pPr>
              <w:pStyle w:val="cuatexto"/>
              <w:jc w:val="right"/>
            </w:pPr>
            <w:r w:rsidRPr="00355073">
              <w:t>57.219.128</w:t>
            </w:r>
          </w:p>
        </w:tc>
        <w:tc>
          <w:tcPr>
            <w:tcW w:w="761" w:type="dxa"/>
            <w:tcBorders>
              <w:top w:val="single" w:sz="2" w:space="0" w:color="auto"/>
              <w:left w:val="nil"/>
              <w:bottom w:val="single" w:sz="2" w:space="0" w:color="auto"/>
              <w:right w:val="nil"/>
            </w:tcBorders>
            <w:shd w:val="clear" w:color="auto" w:fill="auto"/>
            <w:noWrap/>
            <w:vAlign w:val="center"/>
          </w:tcPr>
          <w:p w14:paraId="5F8B3F10" w14:textId="77777777" w:rsidR="00355073" w:rsidRPr="00BA61EA" w:rsidRDefault="00355073" w:rsidP="0003329D">
            <w:pPr>
              <w:pStyle w:val="cuatexto"/>
              <w:jc w:val="right"/>
            </w:pPr>
            <w:r w:rsidRPr="00BA61EA">
              <w:t>41</w:t>
            </w:r>
          </w:p>
        </w:tc>
        <w:tc>
          <w:tcPr>
            <w:tcW w:w="1276" w:type="dxa"/>
            <w:tcBorders>
              <w:top w:val="single" w:sz="2" w:space="0" w:color="auto"/>
              <w:left w:val="nil"/>
              <w:bottom w:val="single" w:sz="2" w:space="0" w:color="auto"/>
              <w:right w:val="nil"/>
            </w:tcBorders>
            <w:shd w:val="clear" w:color="auto" w:fill="auto"/>
            <w:vAlign w:val="center"/>
          </w:tcPr>
          <w:p w14:paraId="7BFF28F1" w14:textId="77777777" w:rsidR="00355073" w:rsidRPr="00355073" w:rsidRDefault="00355073" w:rsidP="0003329D">
            <w:pPr>
              <w:pStyle w:val="cuatexto"/>
              <w:jc w:val="right"/>
            </w:pPr>
            <w:r w:rsidRPr="00355073">
              <w:t>14/02/2021</w:t>
            </w:r>
          </w:p>
        </w:tc>
      </w:tr>
      <w:tr w:rsidR="00355073" w:rsidRPr="00CC7636" w14:paraId="0600D176" w14:textId="77777777" w:rsidTr="00D01D3B">
        <w:trPr>
          <w:trHeight w:val="198"/>
          <w:jc w:val="center"/>
        </w:trPr>
        <w:tc>
          <w:tcPr>
            <w:tcW w:w="3828" w:type="dxa"/>
            <w:tcBorders>
              <w:top w:val="single" w:sz="2" w:space="0" w:color="auto"/>
              <w:left w:val="nil"/>
              <w:bottom w:val="single" w:sz="2" w:space="0" w:color="auto"/>
              <w:right w:val="nil"/>
            </w:tcBorders>
            <w:shd w:val="clear" w:color="auto" w:fill="auto"/>
            <w:noWrap/>
            <w:vAlign w:val="bottom"/>
          </w:tcPr>
          <w:p w14:paraId="5A6FCBF6" w14:textId="77777777" w:rsidR="00355073" w:rsidRPr="00355073" w:rsidRDefault="00355073" w:rsidP="00921D24">
            <w:pPr>
              <w:pStyle w:val="cuatexto"/>
            </w:pPr>
            <w:r w:rsidRPr="00355073">
              <w:t xml:space="preserve">Cohesión </w:t>
            </w:r>
            <w:r w:rsidR="00672904">
              <w:t>T</w:t>
            </w:r>
            <w:r w:rsidRPr="00355073">
              <w:t>erritorial</w:t>
            </w:r>
          </w:p>
        </w:tc>
        <w:tc>
          <w:tcPr>
            <w:tcW w:w="1207" w:type="dxa"/>
            <w:tcBorders>
              <w:top w:val="single" w:sz="2" w:space="0" w:color="auto"/>
              <w:left w:val="nil"/>
              <w:bottom w:val="single" w:sz="2" w:space="0" w:color="auto"/>
              <w:right w:val="nil"/>
            </w:tcBorders>
            <w:shd w:val="clear" w:color="auto" w:fill="auto"/>
            <w:noWrap/>
            <w:vAlign w:val="center"/>
          </w:tcPr>
          <w:p w14:paraId="0DF071A4" w14:textId="77777777" w:rsidR="00355073" w:rsidRPr="00355073" w:rsidRDefault="00355073" w:rsidP="0003329D">
            <w:pPr>
              <w:pStyle w:val="cuatexto"/>
              <w:jc w:val="right"/>
            </w:pPr>
            <w:r w:rsidRPr="00355073">
              <w:t>4.545.052</w:t>
            </w:r>
          </w:p>
        </w:tc>
        <w:tc>
          <w:tcPr>
            <w:tcW w:w="1717" w:type="dxa"/>
            <w:tcBorders>
              <w:top w:val="single" w:sz="2" w:space="0" w:color="auto"/>
              <w:left w:val="nil"/>
              <w:bottom w:val="single" w:sz="2" w:space="0" w:color="auto"/>
              <w:right w:val="nil"/>
            </w:tcBorders>
            <w:shd w:val="clear" w:color="auto" w:fill="auto"/>
            <w:vAlign w:val="center"/>
          </w:tcPr>
          <w:p w14:paraId="5C4448D0" w14:textId="77777777" w:rsidR="00355073" w:rsidRPr="00355073" w:rsidRDefault="00355073" w:rsidP="0003329D">
            <w:pPr>
              <w:pStyle w:val="cuatexto"/>
              <w:jc w:val="right"/>
            </w:pPr>
            <w:r w:rsidRPr="00355073">
              <w:t>22.326.013</w:t>
            </w:r>
          </w:p>
        </w:tc>
        <w:tc>
          <w:tcPr>
            <w:tcW w:w="761" w:type="dxa"/>
            <w:tcBorders>
              <w:top w:val="single" w:sz="2" w:space="0" w:color="auto"/>
              <w:left w:val="nil"/>
              <w:bottom w:val="single" w:sz="2" w:space="0" w:color="auto"/>
              <w:right w:val="nil"/>
            </w:tcBorders>
            <w:shd w:val="clear" w:color="auto" w:fill="auto"/>
            <w:noWrap/>
            <w:vAlign w:val="center"/>
          </w:tcPr>
          <w:p w14:paraId="42AA4228" w14:textId="77777777" w:rsidR="00355073" w:rsidRPr="00BA61EA" w:rsidRDefault="00355073" w:rsidP="0003329D">
            <w:pPr>
              <w:pStyle w:val="cuatexto"/>
              <w:jc w:val="right"/>
            </w:pPr>
            <w:r w:rsidRPr="00BA61EA">
              <w:t>42</w:t>
            </w:r>
          </w:p>
        </w:tc>
        <w:tc>
          <w:tcPr>
            <w:tcW w:w="1276" w:type="dxa"/>
            <w:tcBorders>
              <w:top w:val="single" w:sz="2" w:space="0" w:color="auto"/>
              <w:left w:val="nil"/>
              <w:bottom w:val="single" w:sz="2" w:space="0" w:color="auto"/>
              <w:right w:val="nil"/>
            </w:tcBorders>
            <w:shd w:val="clear" w:color="auto" w:fill="auto"/>
            <w:vAlign w:val="center"/>
          </w:tcPr>
          <w:p w14:paraId="18B8D645" w14:textId="77777777" w:rsidR="00355073" w:rsidRPr="00355073" w:rsidRDefault="00355073" w:rsidP="0003329D">
            <w:pPr>
              <w:pStyle w:val="cuatexto"/>
              <w:jc w:val="right"/>
            </w:pPr>
            <w:r w:rsidRPr="00355073">
              <w:t>01/01/2014</w:t>
            </w:r>
          </w:p>
        </w:tc>
      </w:tr>
      <w:tr w:rsidR="00355073" w:rsidRPr="00CC7636" w14:paraId="0FB3E034" w14:textId="77777777" w:rsidTr="00D01D3B">
        <w:trPr>
          <w:trHeight w:val="198"/>
          <w:jc w:val="center"/>
        </w:trPr>
        <w:tc>
          <w:tcPr>
            <w:tcW w:w="3828" w:type="dxa"/>
            <w:tcBorders>
              <w:top w:val="single" w:sz="2" w:space="0" w:color="auto"/>
              <w:left w:val="nil"/>
              <w:bottom w:val="single" w:sz="2" w:space="0" w:color="auto"/>
              <w:right w:val="nil"/>
            </w:tcBorders>
            <w:shd w:val="clear" w:color="auto" w:fill="auto"/>
            <w:noWrap/>
            <w:vAlign w:val="bottom"/>
          </w:tcPr>
          <w:p w14:paraId="68705EC7" w14:textId="77777777" w:rsidR="00355073" w:rsidRPr="00355073" w:rsidRDefault="00355073" w:rsidP="00921D24">
            <w:pPr>
              <w:pStyle w:val="cuatexto"/>
            </w:pPr>
            <w:r w:rsidRPr="00355073">
              <w:t>Economía y Hacienda</w:t>
            </w:r>
          </w:p>
        </w:tc>
        <w:tc>
          <w:tcPr>
            <w:tcW w:w="1207" w:type="dxa"/>
            <w:tcBorders>
              <w:top w:val="single" w:sz="2" w:space="0" w:color="auto"/>
              <w:left w:val="nil"/>
              <w:bottom w:val="single" w:sz="2" w:space="0" w:color="auto"/>
              <w:right w:val="nil"/>
            </w:tcBorders>
            <w:shd w:val="clear" w:color="auto" w:fill="auto"/>
            <w:noWrap/>
            <w:vAlign w:val="center"/>
          </w:tcPr>
          <w:p w14:paraId="39F0DA00" w14:textId="77777777" w:rsidR="00355073" w:rsidRPr="00355073" w:rsidRDefault="00355073" w:rsidP="0003329D">
            <w:pPr>
              <w:pStyle w:val="cuatexto"/>
              <w:jc w:val="right"/>
            </w:pPr>
            <w:r w:rsidRPr="00355073">
              <w:t>3.360.134</w:t>
            </w:r>
          </w:p>
        </w:tc>
        <w:tc>
          <w:tcPr>
            <w:tcW w:w="1717" w:type="dxa"/>
            <w:tcBorders>
              <w:top w:val="single" w:sz="2" w:space="0" w:color="auto"/>
              <w:left w:val="nil"/>
              <w:bottom w:val="single" w:sz="2" w:space="0" w:color="auto"/>
              <w:right w:val="nil"/>
            </w:tcBorders>
            <w:shd w:val="clear" w:color="auto" w:fill="auto"/>
            <w:vAlign w:val="center"/>
          </w:tcPr>
          <w:p w14:paraId="67E80671" w14:textId="77777777" w:rsidR="00355073" w:rsidRPr="00355073" w:rsidRDefault="00355073" w:rsidP="0003329D">
            <w:pPr>
              <w:pStyle w:val="cuatexto"/>
              <w:jc w:val="right"/>
            </w:pPr>
            <w:r w:rsidRPr="00355073">
              <w:t>4.064.016</w:t>
            </w:r>
          </w:p>
        </w:tc>
        <w:tc>
          <w:tcPr>
            <w:tcW w:w="761" w:type="dxa"/>
            <w:tcBorders>
              <w:top w:val="single" w:sz="2" w:space="0" w:color="auto"/>
              <w:left w:val="nil"/>
              <w:bottom w:val="single" w:sz="2" w:space="0" w:color="auto"/>
              <w:right w:val="nil"/>
            </w:tcBorders>
            <w:shd w:val="clear" w:color="auto" w:fill="auto"/>
            <w:noWrap/>
            <w:vAlign w:val="center"/>
          </w:tcPr>
          <w:p w14:paraId="4B4C1217" w14:textId="77777777" w:rsidR="00355073" w:rsidRPr="00BA61EA" w:rsidRDefault="00355073" w:rsidP="0003329D">
            <w:pPr>
              <w:pStyle w:val="cuatexto"/>
              <w:jc w:val="right"/>
            </w:pPr>
            <w:r w:rsidRPr="00BA61EA">
              <w:t>2</w:t>
            </w:r>
          </w:p>
        </w:tc>
        <w:tc>
          <w:tcPr>
            <w:tcW w:w="1276" w:type="dxa"/>
            <w:tcBorders>
              <w:top w:val="single" w:sz="2" w:space="0" w:color="auto"/>
              <w:left w:val="nil"/>
              <w:bottom w:val="single" w:sz="2" w:space="0" w:color="auto"/>
              <w:right w:val="nil"/>
            </w:tcBorders>
            <w:shd w:val="clear" w:color="auto" w:fill="auto"/>
            <w:vAlign w:val="center"/>
          </w:tcPr>
          <w:p w14:paraId="405ECB8E" w14:textId="77777777" w:rsidR="00355073" w:rsidRPr="00355073" w:rsidRDefault="00355073" w:rsidP="0003329D">
            <w:pPr>
              <w:pStyle w:val="cuatexto"/>
              <w:jc w:val="right"/>
            </w:pPr>
            <w:r w:rsidRPr="00355073">
              <w:t>01/01/2023</w:t>
            </w:r>
          </w:p>
        </w:tc>
      </w:tr>
      <w:tr w:rsidR="00355073" w:rsidRPr="00CC7636" w14:paraId="1C903EDD" w14:textId="77777777" w:rsidTr="00D01D3B">
        <w:trPr>
          <w:trHeight w:val="198"/>
          <w:jc w:val="center"/>
        </w:trPr>
        <w:tc>
          <w:tcPr>
            <w:tcW w:w="3828" w:type="dxa"/>
            <w:tcBorders>
              <w:top w:val="single" w:sz="2" w:space="0" w:color="auto"/>
              <w:left w:val="nil"/>
              <w:bottom w:val="single" w:sz="2" w:space="0" w:color="auto"/>
              <w:right w:val="nil"/>
            </w:tcBorders>
            <w:shd w:val="clear" w:color="auto" w:fill="auto"/>
            <w:noWrap/>
            <w:vAlign w:val="bottom"/>
          </w:tcPr>
          <w:p w14:paraId="02ACE7A9" w14:textId="77777777" w:rsidR="00355073" w:rsidRPr="00355073" w:rsidRDefault="00355073" w:rsidP="00921D24">
            <w:pPr>
              <w:pStyle w:val="cuatexto"/>
            </w:pPr>
            <w:r w:rsidRPr="00355073">
              <w:t>Educación</w:t>
            </w:r>
          </w:p>
        </w:tc>
        <w:tc>
          <w:tcPr>
            <w:tcW w:w="1207" w:type="dxa"/>
            <w:tcBorders>
              <w:top w:val="single" w:sz="2" w:space="0" w:color="auto"/>
              <w:left w:val="nil"/>
              <w:bottom w:val="single" w:sz="2" w:space="0" w:color="auto"/>
              <w:right w:val="nil"/>
            </w:tcBorders>
            <w:shd w:val="clear" w:color="auto" w:fill="auto"/>
            <w:noWrap/>
            <w:vAlign w:val="center"/>
          </w:tcPr>
          <w:p w14:paraId="3E3FFDC9" w14:textId="77777777" w:rsidR="00355073" w:rsidRPr="00355073" w:rsidRDefault="00355073" w:rsidP="0003329D">
            <w:pPr>
              <w:pStyle w:val="cuatexto"/>
              <w:jc w:val="right"/>
            </w:pPr>
            <w:r w:rsidRPr="00355073">
              <w:t>1.931.014</w:t>
            </w:r>
          </w:p>
        </w:tc>
        <w:tc>
          <w:tcPr>
            <w:tcW w:w="1717" w:type="dxa"/>
            <w:tcBorders>
              <w:top w:val="single" w:sz="2" w:space="0" w:color="auto"/>
              <w:left w:val="nil"/>
              <w:bottom w:val="single" w:sz="2" w:space="0" w:color="auto"/>
              <w:right w:val="nil"/>
            </w:tcBorders>
            <w:shd w:val="clear" w:color="auto" w:fill="auto"/>
            <w:vAlign w:val="center"/>
          </w:tcPr>
          <w:p w14:paraId="37F7D520" w14:textId="77777777" w:rsidR="00355073" w:rsidRPr="00355073" w:rsidRDefault="00355073" w:rsidP="0003329D">
            <w:pPr>
              <w:pStyle w:val="cuatexto"/>
              <w:jc w:val="right"/>
            </w:pPr>
            <w:r w:rsidRPr="00355073">
              <w:t>5.765.779</w:t>
            </w:r>
          </w:p>
        </w:tc>
        <w:tc>
          <w:tcPr>
            <w:tcW w:w="761" w:type="dxa"/>
            <w:tcBorders>
              <w:top w:val="single" w:sz="2" w:space="0" w:color="auto"/>
              <w:left w:val="nil"/>
              <w:bottom w:val="single" w:sz="2" w:space="0" w:color="auto"/>
              <w:right w:val="nil"/>
            </w:tcBorders>
            <w:shd w:val="clear" w:color="auto" w:fill="auto"/>
            <w:noWrap/>
            <w:vAlign w:val="center"/>
          </w:tcPr>
          <w:p w14:paraId="39B7F395" w14:textId="77777777" w:rsidR="00355073" w:rsidRPr="00BA61EA" w:rsidRDefault="00355073" w:rsidP="0003329D">
            <w:pPr>
              <w:pStyle w:val="cuatexto"/>
              <w:jc w:val="right"/>
            </w:pPr>
            <w:r w:rsidRPr="00BA61EA">
              <w:t>9</w:t>
            </w:r>
          </w:p>
        </w:tc>
        <w:tc>
          <w:tcPr>
            <w:tcW w:w="1276" w:type="dxa"/>
            <w:tcBorders>
              <w:top w:val="single" w:sz="2" w:space="0" w:color="auto"/>
              <w:left w:val="nil"/>
              <w:bottom w:val="single" w:sz="2" w:space="0" w:color="auto"/>
              <w:right w:val="nil"/>
            </w:tcBorders>
            <w:shd w:val="clear" w:color="auto" w:fill="auto"/>
            <w:vAlign w:val="center"/>
          </w:tcPr>
          <w:p w14:paraId="6108757E" w14:textId="77777777" w:rsidR="00355073" w:rsidRPr="00355073" w:rsidRDefault="00355073" w:rsidP="0003329D">
            <w:pPr>
              <w:pStyle w:val="cuatexto"/>
              <w:jc w:val="right"/>
            </w:pPr>
            <w:r w:rsidRPr="00355073">
              <w:t>01/01/2022</w:t>
            </w:r>
          </w:p>
        </w:tc>
      </w:tr>
      <w:tr w:rsidR="00355073" w:rsidRPr="00CC7636" w14:paraId="09B4DBFF" w14:textId="77777777" w:rsidTr="00D01D3B">
        <w:trPr>
          <w:trHeight w:val="198"/>
          <w:jc w:val="center"/>
        </w:trPr>
        <w:tc>
          <w:tcPr>
            <w:tcW w:w="3828" w:type="dxa"/>
            <w:tcBorders>
              <w:top w:val="single" w:sz="2" w:space="0" w:color="auto"/>
              <w:left w:val="nil"/>
              <w:bottom w:val="single" w:sz="2" w:space="0" w:color="auto"/>
              <w:right w:val="nil"/>
            </w:tcBorders>
            <w:shd w:val="clear" w:color="auto" w:fill="auto"/>
            <w:noWrap/>
            <w:vAlign w:val="bottom"/>
          </w:tcPr>
          <w:p w14:paraId="64C860D3" w14:textId="77777777" w:rsidR="00355073" w:rsidRPr="00355073" w:rsidRDefault="00355073" w:rsidP="00921D24">
            <w:pPr>
              <w:pStyle w:val="cuatexto"/>
            </w:pPr>
            <w:r w:rsidRPr="00355073">
              <w:t>Interior, Función Pública y Justicia</w:t>
            </w:r>
          </w:p>
        </w:tc>
        <w:tc>
          <w:tcPr>
            <w:tcW w:w="1207" w:type="dxa"/>
            <w:tcBorders>
              <w:top w:val="single" w:sz="2" w:space="0" w:color="auto"/>
              <w:left w:val="nil"/>
              <w:bottom w:val="single" w:sz="2" w:space="0" w:color="auto"/>
              <w:right w:val="nil"/>
            </w:tcBorders>
            <w:shd w:val="clear" w:color="auto" w:fill="auto"/>
            <w:noWrap/>
            <w:vAlign w:val="center"/>
          </w:tcPr>
          <w:p w14:paraId="763775DC" w14:textId="77777777" w:rsidR="00355073" w:rsidRPr="00355073" w:rsidRDefault="00355073" w:rsidP="0003329D">
            <w:pPr>
              <w:pStyle w:val="cuatexto"/>
              <w:jc w:val="right"/>
            </w:pPr>
            <w:r w:rsidRPr="00355073">
              <w:t>913.489</w:t>
            </w:r>
          </w:p>
        </w:tc>
        <w:tc>
          <w:tcPr>
            <w:tcW w:w="1717" w:type="dxa"/>
            <w:tcBorders>
              <w:top w:val="single" w:sz="2" w:space="0" w:color="auto"/>
              <w:left w:val="nil"/>
              <w:bottom w:val="single" w:sz="2" w:space="0" w:color="auto"/>
              <w:right w:val="nil"/>
            </w:tcBorders>
            <w:shd w:val="clear" w:color="auto" w:fill="auto"/>
            <w:vAlign w:val="center"/>
          </w:tcPr>
          <w:p w14:paraId="48B178C0" w14:textId="77777777" w:rsidR="00355073" w:rsidRPr="00355073" w:rsidRDefault="00355073" w:rsidP="0003329D">
            <w:pPr>
              <w:pStyle w:val="cuatexto"/>
              <w:jc w:val="right"/>
            </w:pPr>
            <w:r w:rsidRPr="00355073">
              <w:t>913.489</w:t>
            </w:r>
          </w:p>
        </w:tc>
        <w:tc>
          <w:tcPr>
            <w:tcW w:w="761" w:type="dxa"/>
            <w:tcBorders>
              <w:top w:val="single" w:sz="2" w:space="0" w:color="auto"/>
              <w:left w:val="nil"/>
              <w:bottom w:val="single" w:sz="2" w:space="0" w:color="auto"/>
              <w:right w:val="nil"/>
            </w:tcBorders>
            <w:shd w:val="clear" w:color="auto" w:fill="auto"/>
            <w:noWrap/>
            <w:vAlign w:val="center"/>
          </w:tcPr>
          <w:p w14:paraId="5B723318" w14:textId="77777777" w:rsidR="00355073" w:rsidRPr="00BA61EA" w:rsidRDefault="00355073" w:rsidP="0003329D">
            <w:pPr>
              <w:pStyle w:val="cuatexto"/>
              <w:jc w:val="right"/>
            </w:pPr>
            <w:r w:rsidRPr="00BA61EA">
              <w:t>4</w:t>
            </w:r>
          </w:p>
        </w:tc>
        <w:tc>
          <w:tcPr>
            <w:tcW w:w="1276" w:type="dxa"/>
            <w:tcBorders>
              <w:top w:val="single" w:sz="2" w:space="0" w:color="auto"/>
              <w:left w:val="nil"/>
              <w:bottom w:val="single" w:sz="2" w:space="0" w:color="auto"/>
              <w:right w:val="nil"/>
            </w:tcBorders>
            <w:shd w:val="clear" w:color="auto" w:fill="auto"/>
            <w:vAlign w:val="center"/>
          </w:tcPr>
          <w:p w14:paraId="471EF549" w14:textId="77777777" w:rsidR="00355073" w:rsidRPr="00355073" w:rsidRDefault="00355073" w:rsidP="0003329D">
            <w:pPr>
              <w:pStyle w:val="cuatexto"/>
              <w:jc w:val="right"/>
            </w:pPr>
            <w:r w:rsidRPr="00355073">
              <w:t>01/01/2023</w:t>
            </w:r>
          </w:p>
        </w:tc>
      </w:tr>
      <w:tr w:rsidR="00355073" w:rsidRPr="00CC7636" w14:paraId="39CC96B9" w14:textId="77777777" w:rsidTr="00D01D3B">
        <w:trPr>
          <w:trHeight w:val="198"/>
          <w:jc w:val="center"/>
        </w:trPr>
        <w:tc>
          <w:tcPr>
            <w:tcW w:w="3828" w:type="dxa"/>
            <w:tcBorders>
              <w:top w:val="single" w:sz="2" w:space="0" w:color="auto"/>
              <w:left w:val="nil"/>
              <w:bottom w:val="single" w:sz="2" w:space="0" w:color="auto"/>
              <w:right w:val="nil"/>
            </w:tcBorders>
            <w:shd w:val="clear" w:color="auto" w:fill="auto"/>
            <w:noWrap/>
            <w:vAlign w:val="bottom"/>
          </w:tcPr>
          <w:p w14:paraId="7A687D61" w14:textId="77777777" w:rsidR="00355073" w:rsidRPr="00355073" w:rsidRDefault="00355073" w:rsidP="00921D24">
            <w:pPr>
              <w:pStyle w:val="cuatexto"/>
            </w:pPr>
            <w:r>
              <w:t>P</w:t>
            </w:r>
            <w:r w:rsidR="00672904">
              <w:t>residencia e I</w:t>
            </w:r>
            <w:r w:rsidRPr="00355073">
              <w:t>gualdad</w:t>
            </w:r>
          </w:p>
        </w:tc>
        <w:tc>
          <w:tcPr>
            <w:tcW w:w="1207" w:type="dxa"/>
            <w:tcBorders>
              <w:top w:val="single" w:sz="2" w:space="0" w:color="auto"/>
              <w:left w:val="nil"/>
              <w:bottom w:val="single" w:sz="2" w:space="0" w:color="auto"/>
              <w:right w:val="nil"/>
            </w:tcBorders>
            <w:shd w:val="clear" w:color="auto" w:fill="auto"/>
            <w:noWrap/>
            <w:vAlign w:val="center"/>
          </w:tcPr>
          <w:p w14:paraId="159EF7D7" w14:textId="77777777" w:rsidR="00355073" w:rsidRPr="00355073" w:rsidRDefault="00355073" w:rsidP="0003329D">
            <w:pPr>
              <w:pStyle w:val="cuatexto"/>
              <w:jc w:val="right"/>
            </w:pPr>
            <w:r w:rsidRPr="00355073">
              <w:t>901.319</w:t>
            </w:r>
          </w:p>
        </w:tc>
        <w:tc>
          <w:tcPr>
            <w:tcW w:w="1717" w:type="dxa"/>
            <w:tcBorders>
              <w:top w:val="single" w:sz="2" w:space="0" w:color="auto"/>
              <w:left w:val="nil"/>
              <w:bottom w:val="single" w:sz="2" w:space="0" w:color="auto"/>
              <w:right w:val="nil"/>
            </w:tcBorders>
            <w:shd w:val="clear" w:color="auto" w:fill="auto"/>
            <w:vAlign w:val="center"/>
          </w:tcPr>
          <w:p w14:paraId="0E96A17D" w14:textId="77777777" w:rsidR="00355073" w:rsidRPr="00355073" w:rsidRDefault="00355073" w:rsidP="0003329D">
            <w:pPr>
              <w:pStyle w:val="cuatexto"/>
              <w:jc w:val="right"/>
            </w:pPr>
            <w:r w:rsidRPr="00355073">
              <w:t>901.319</w:t>
            </w:r>
          </w:p>
        </w:tc>
        <w:tc>
          <w:tcPr>
            <w:tcW w:w="761" w:type="dxa"/>
            <w:tcBorders>
              <w:top w:val="single" w:sz="2" w:space="0" w:color="auto"/>
              <w:left w:val="nil"/>
              <w:bottom w:val="single" w:sz="2" w:space="0" w:color="auto"/>
              <w:right w:val="nil"/>
            </w:tcBorders>
            <w:shd w:val="clear" w:color="auto" w:fill="auto"/>
            <w:noWrap/>
            <w:vAlign w:val="center"/>
          </w:tcPr>
          <w:p w14:paraId="43BDFC98" w14:textId="77777777" w:rsidR="00355073" w:rsidRPr="00BA61EA" w:rsidRDefault="00355073" w:rsidP="0003329D">
            <w:pPr>
              <w:pStyle w:val="cuatexto"/>
              <w:jc w:val="right"/>
            </w:pPr>
            <w:r w:rsidRPr="00BA61EA">
              <w:t>4</w:t>
            </w:r>
          </w:p>
        </w:tc>
        <w:tc>
          <w:tcPr>
            <w:tcW w:w="1276" w:type="dxa"/>
            <w:tcBorders>
              <w:top w:val="single" w:sz="2" w:space="0" w:color="auto"/>
              <w:left w:val="nil"/>
              <w:bottom w:val="single" w:sz="2" w:space="0" w:color="auto"/>
              <w:right w:val="nil"/>
            </w:tcBorders>
            <w:shd w:val="clear" w:color="auto" w:fill="auto"/>
            <w:vAlign w:val="center"/>
          </w:tcPr>
          <w:p w14:paraId="6A90384B" w14:textId="77777777" w:rsidR="00355073" w:rsidRPr="00355073" w:rsidRDefault="00355073" w:rsidP="0003329D">
            <w:pPr>
              <w:pStyle w:val="cuatexto"/>
              <w:jc w:val="right"/>
            </w:pPr>
            <w:r w:rsidRPr="00355073">
              <w:t>01/01/2023</w:t>
            </w:r>
          </w:p>
        </w:tc>
      </w:tr>
      <w:tr w:rsidR="00355073" w:rsidRPr="00CC7636" w14:paraId="05F37383" w14:textId="77777777" w:rsidTr="00D01D3B">
        <w:trPr>
          <w:trHeight w:val="198"/>
          <w:jc w:val="center"/>
        </w:trPr>
        <w:tc>
          <w:tcPr>
            <w:tcW w:w="3828" w:type="dxa"/>
            <w:tcBorders>
              <w:top w:val="single" w:sz="2" w:space="0" w:color="auto"/>
              <w:left w:val="nil"/>
              <w:bottom w:val="single" w:sz="2" w:space="0" w:color="auto"/>
              <w:right w:val="nil"/>
            </w:tcBorders>
            <w:shd w:val="clear" w:color="auto" w:fill="auto"/>
            <w:noWrap/>
            <w:vAlign w:val="bottom"/>
          </w:tcPr>
          <w:p w14:paraId="78BF0C3F" w14:textId="77777777" w:rsidR="00355073" w:rsidRPr="00355073" w:rsidRDefault="00672904" w:rsidP="00921D24">
            <w:pPr>
              <w:pStyle w:val="cuatexto"/>
            </w:pPr>
            <w:r>
              <w:t>Vivienda, Juventud y Políticas Migratorias</w:t>
            </w:r>
          </w:p>
        </w:tc>
        <w:tc>
          <w:tcPr>
            <w:tcW w:w="1207" w:type="dxa"/>
            <w:tcBorders>
              <w:top w:val="single" w:sz="2" w:space="0" w:color="auto"/>
              <w:left w:val="nil"/>
              <w:bottom w:val="single" w:sz="2" w:space="0" w:color="auto"/>
              <w:right w:val="nil"/>
            </w:tcBorders>
            <w:shd w:val="clear" w:color="auto" w:fill="auto"/>
            <w:noWrap/>
            <w:vAlign w:val="center"/>
          </w:tcPr>
          <w:p w14:paraId="5445D34F" w14:textId="77777777" w:rsidR="00355073" w:rsidRPr="00355073" w:rsidRDefault="00355073" w:rsidP="0003329D">
            <w:pPr>
              <w:pStyle w:val="cuatexto"/>
              <w:jc w:val="right"/>
            </w:pPr>
            <w:r w:rsidRPr="00355073">
              <w:t>476.834</w:t>
            </w:r>
          </w:p>
        </w:tc>
        <w:tc>
          <w:tcPr>
            <w:tcW w:w="1717" w:type="dxa"/>
            <w:tcBorders>
              <w:top w:val="single" w:sz="2" w:space="0" w:color="auto"/>
              <w:left w:val="nil"/>
              <w:bottom w:val="single" w:sz="2" w:space="0" w:color="auto"/>
              <w:right w:val="nil"/>
            </w:tcBorders>
            <w:shd w:val="clear" w:color="auto" w:fill="auto"/>
            <w:vAlign w:val="center"/>
          </w:tcPr>
          <w:p w14:paraId="15C85272" w14:textId="77777777" w:rsidR="00355073" w:rsidRPr="00355073" w:rsidRDefault="00355073" w:rsidP="0003329D">
            <w:pPr>
              <w:pStyle w:val="cuatexto"/>
              <w:jc w:val="right"/>
            </w:pPr>
            <w:r w:rsidRPr="00355073">
              <w:t>885.112</w:t>
            </w:r>
          </w:p>
        </w:tc>
        <w:tc>
          <w:tcPr>
            <w:tcW w:w="761" w:type="dxa"/>
            <w:tcBorders>
              <w:top w:val="single" w:sz="2" w:space="0" w:color="auto"/>
              <w:left w:val="nil"/>
              <w:bottom w:val="single" w:sz="2" w:space="0" w:color="auto"/>
              <w:right w:val="nil"/>
            </w:tcBorders>
            <w:shd w:val="clear" w:color="auto" w:fill="auto"/>
            <w:noWrap/>
            <w:vAlign w:val="center"/>
          </w:tcPr>
          <w:p w14:paraId="410FA399" w14:textId="77777777" w:rsidR="00355073" w:rsidRPr="00BA61EA" w:rsidRDefault="00355073" w:rsidP="0003329D">
            <w:pPr>
              <w:pStyle w:val="cuatexto"/>
              <w:jc w:val="right"/>
            </w:pPr>
            <w:r w:rsidRPr="00BA61EA">
              <w:t>2</w:t>
            </w:r>
          </w:p>
        </w:tc>
        <w:tc>
          <w:tcPr>
            <w:tcW w:w="1276" w:type="dxa"/>
            <w:tcBorders>
              <w:top w:val="single" w:sz="2" w:space="0" w:color="auto"/>
              <w:left w:val="nil"/>
              <w:bottom w:val="single" w:sz="2" w:space="0" w:color="auto"/>
              <w:right w:val="nil"/>
            </w:tcBorders>
            <w:shd w:val="clear" w:color="auto" w:fill="auto"/>
            <w:vAlign w:val="center"/>
          </w:tcPr>
          <w:p w14:paraId="100409AA" w14:textId="77777777" w:rsidR="00355073" w:rsidRPr="00355073" w:rsidRDefault="00355073" w:rsidP="0003329D">
            <w:pPr>
              <w:pStyle w:val="cuatexto"/>
              <w:jc w:val="right"/>
            </w:pPr>
            <w:r w:rsidRPr="00355073">
              <w:t>15/02/2021</w:t>
            </w:r>
          </w:p>
        </w:tc>
      </w:tr>
      <w:tr w:rsidR="00355073" w:rsidRPr="00CC7636" w14:paraId="513D1C9F" w14:textId="77777777" w:rsidTr="00D01D3B">
        <w:trPr>
          <w:trHeight w:val="198"/>
          <w:jc w:val="center"/>
        </w:trPr>
        <w:tc>
          <w:tcPr>
            <w:tcW w:w="3828" w:type="dxa"/>
            <w:tcBorders>
              <w:top w:val="single" w:sz="2" w:space="0" w:color="auto"/>
              <w:left w:val="nil"/>
              <w:bottom w:val="single" w:sz="4" w:space="0" w:color="auto"/>
              <w:right w:val="nil"/>
            </w:tcBorders>
            <w:shd w:val="clear" w:color="auto" w:fill="auto"/>
            <w:noWrap/>
            <w:vAlign w:val="bottom"/>
          </w:tcPr>
          <w:p w14:paraId="67A31745" w14:textId="77777777" w:rsidR="00355073" w:rsidRPr="00355073" w:rsidRDefault="00355073" w:rsidP="00921D24">
            <w:pPr>
              <w:pStyle w:val="cuatexto"/>
            </w:pPr>
            <w:r w:rsidRPr="00355073">
              <w:t xml:space="preserve">Cultura, </w:t>
            </w:r>
            <w:r w:rsidR="00672904">
              <w:t>Deporte y T</w:t>
            </w:r>
            <w:r w:rsidRPr="00355073">
              <w:t>urismo</w:t>
            </w:r>
          </w:p>
        </w:tc>
        <w:tc>
          <w:tcPr>
            <w:tcW w:w="1207" w:type="dxa"/>
            <w:tcBorders>
              <w:top w:val="single" w:sz="2" w:space="0" w:color="auto"/>
              <w:left w:val="nil"/>
              <w:bottom w:val="single" w:sz="4" w:space="0" w:color="auto"/>
              <w:right w:val="nil"/>
            </w:tcBorders>
            <w:shd w:val="clear" w:color="auto" w:fill="auto"/>
            <w:noWrap/>
            <w:vAlign w:val="center"/>
          </w:tcPr>
          <w:p w14:paraId="76C0921F" w14:textId="77777777" w:rsidR="00355073" w:rsidRPr="00355073" w:rsidRDefault="00355073" w:rsidP="0003329D">
            <w:pPr>
              <w:pStyle w:val="cuatexto"/>
              <w:jc w:val="right"/>
            </w:pPr>
            <w:r w:rsidRPr="00355073">
              <w:t>467.725</w:t>
            </w:r>
          </w:p>
        </w:tc>
        <w:tc>
          <w:tcPr>
            <w:tcW w:w="1717" w:type="dxa"/>
            <w:tcBorders>
              <w:top w:val="single" w:sz="2" w:space="0" w:color="auto"/>
              <w:left w:val="nil"/>
              <w:bottom w:val="single" w:sz="4" w:space="0" w:color="auto"/>
              <w:right w:val="nil"/>
            </w:tcBorders>
            <w:shd w:val="clear" w:color="auto" w:fill="auto"/>
            <w:vAlign w:val="center"/>
          </w:tcPr>
          <w:p w14:paraId="54B2AA38" w14:textId="77777777" w:rsidR="00355073" w:rsidRPr="00355073" w:rsidRDefault="00355073" w:rsidP="0003329D">
            <w:pPr>
              <w:pStyle w:val="cuatexto"/>
              <w:jc w:val="right"/>
            </w:pPr>
            <w:r w:rsidRPr="00355073">
              <w:t>471.627</w:t>
            </w:r>
          </w:p>
        </w:tc>
        <w:tc>
          <w:tcPr>
            <w:tcW w:w="761" w:type="dxa"/>
            <w:tcBorders>
              <w:top w:val="single" w:sz="2" w:space="0" w:color="auto"/>
              <w:left w:val="nil"/>
              <w:bottom w:val="single" w:sz="4" w:space="0" w:color="auto"/>
              <w:right w:val="nil"/>
            </w:tcBorders>
            <w:shd w:val="clear" w:color="auto" w:fill="auto"/>
            <w:noWrap/>
            <w:vAlign w:val="center"/>
          </w:tcPr>
          <w:p w14:paraId="65390307" w14:textId="77777777" w:rsidR="00355073" w:rsidRPr="00BA61EA" w:rsidRDefault="00355073" w:rsidP="0003329D">
            <w:pPr>
              <w:pStyle w:val="cuatexto"/>
              <w:jc w:val="right"/>
            </w:pPr>
            <w:r w:rsidRPr="00BA61EA">
              <w:t>7</w:t>
            </w:r>
          </w:p>
        </w:tc>
        <w:tc>
          <w:tcPr>
            <w:tcW w:w="1276" w:type="dxa"/>
            <w:tcBorders>
              <w:top w:val="single" w:sz="2" w:space="0" w:color="auto"/>
              <w:left w:val="nil"/>
              <w:bottom w:val="single" w:sz="4" w:space="0" w:color="auto"/>
              <w:right w:val="nil"/>
            </w:tcBorders>
            <w:shd w:val="clear" w:color="auto" w:fill="auto"/>
            <w:vAlign w:val="center"/>
          </w:tcPr>
          <w:p w14:paraId="573617D5" w14:textId="77777777" w:rsidR="00355073" w:rsidRPr="00355073" w:rsidRDefault="00355073" w:rsidP="0003329D">
            <w:pPr>
              <w:pStyle w:val="cuatexto"/>
              <w:jc w:val="right"/>
            </w:pPr>
            <w:r w:rsidRPr="00355073">
              <w:t>01/12/2022</w:t>
            </w:r>
          </w:p>
        </w:tc>
      </w:tr>
      <w:tr w:rsidR="00355073" w:rsidRPr="00E906A4" w14:paraId="0E2CA64E" w14:textId="77777777" w:rsidTr="009604B1">
        <w:trPr>
          <w:trHeight w:val="255"/>
          <w:jc w:val="center"/>
        </w:trPr>
        <w:tc>
          <w:tcPr>
            <w:tcW w:w="3828" w:type="dxa"/>
            <w:tcBorders>
              <w:top w:val="single" w:sz="4" w:space="0" w:color="auto"/>
              <w:left w:val="nil"/>
              <w:bottom w:val="single" w:sz="4" w:space="0" w:color="auto"/>
              <w:right w:val="nil"/>
            </w:tcBorders>
            <w:shd w:val="clear" w:color="auto" w:fill="8DB3E2"/>
            <w:vAlign w:val="center"/>
            <w:hideMark/>
          </w:tcPr>
          <w:p w14:paraId="307FDC39" w14:textId="77777777" w:rsidR="0078729F" w:rsidRPr="00E906A4" w:rsidRDefault="0078729F" w:rsidP="0003329D">
            <w:pPr>
              <w:pStyle w:val="cuadroCabe"/>
              <w:rPr>
                <w:szCs w:val="18"/>
              </w:rPr>
            </w:pPr>
            <w:r w:rsidRPr="00E906A4">
              <w:rPr>
                <w:szCs w:val="18"/>
              </w:rPr>
              <w:t>Total</w:t>
            </w:r>
          </w:p>
        </w:tc>
        <w:tc>
          <w:tcPr>
            <w:tcW w:w="1207" w:type="dxa"/>
            <w:tcBorders>
              <w:top w:val="single" w:sz="4" w:space="0" w:color="auto"/>
              <w:left w:val="nil"/>
              <w:bottom w:val="single" w:sz="4" w:space="0" w:color="auto"/>
              <w:right w:val="nil"/>
            </w:tcBorders>
            <w:shd w:val="clear" w:color="auto" w:fill="8DB3E2"/>
            <w:noWrap/>
            <w:vAlign w:val="center"/>
          </w:tcPr>
          <w:p w14:paraId="34305617" w14:textId="77777777" w:rsidR="0078729F" w:rsidRPr="00E906A4" w:rsidRDefault="00355073" w:rsidP="0003329D">
            <w:pPr>
              <w:pStyle w:val="cuadroCabe"/>
              <w:jc w:val="right"/>
              <w:rPr>
                <w:szCs w:val="18"/>
              </w:rPr>
            </w:pPr>
            <w:r w:rsidRPr="00E906A4">
              <w:rPr>
                <w:szCs w:val="18"/>
              </w:rPr>
              <w:t>123.169.316</w:t>
            </w:r>
          </w:p>
        </w:tc>
        <w:tc>
          <w:tcPr>
            <w:tcW w:w="1717" w:type="dxa"/>
            <w:tcBorders>
              <w:top w:val="single" w:sz="4" w:space="0" w:color="auto"/>
              <w:left w:val="nil"/>
              <w:bottom w:val="single" w:sz="4" w:space="0" w:color="auto"/>
              <w:right w:val="nil"/>
            </w:tcBorders>
            <w:shd w:val="clear" w:color="auto" w:fill="8DB3E2"/>
            <w:vAlign w:val="center"/>
          </w:tcPr>
          <w:p w14:paraId="3D6392F6" w14:textId="77777777" w:rsidR="0078729F" w:rsidRPr="00E906A4" w:rsidRDefault="00355073" w:rsidP="0003329D">
            <w:pPr>
              <w:pStyle w:val="cuadroCabe"/>
              <w:jc w:val="right"/>
              <w:rPr>
                <w:szCs w:val="18"/>
              </w:rPr>
            </w:pPr>
            <w:r w:rsidRPr="00E906A4">
              <w:rPr>
                <w:szCs w:val="18"/>
              </w:rPr>
              <w:t>524.836.244</w:t>
            </w:r>
          </w:p>
        </w:tc>
        <w:tc>
          <w:tcPr>
            <w:tcW w:w="761" w:type="dxa"/>
            <w:tcBorders>
              <w:top w:val="single" w:sz="4" w:space="0" w:color="auto"/>
              <w:left w:val="nil"/>
              <w:bottom w:val="single" w:sz="4" w:space="0" w:color="auto"/>
              <w:right w:val="nil"/>
            </w:tcBorders>
            <w:shd w:val="clear" w:color="auto" w:fill="8DB3E2"/>
            <w:noWrap/>
            <w:vAlign w:val="center"/>
          </w:tcPr>
          <w:p w14:paraId="3009C2B5" w14:textId="77777777" w:rsidR="0078729F" w:rsidRPr="00BA61EA" w:rsidRDefault="00355073" w:rsidP="0003329D">
            <w:pPr>
              <w:pStyle w:val="cuadroCabe"/>
              <w:jc w:val="right"/>
              <w:rPr>
                <w:szCs w:val="18"/>
              </w:rPr>
            </w:pPr>
            <w:r w:rsidRPr="00BA61EA">
              <w:rPr>
                <w:szCs w:val="18"/>
              </w:rPr>
              <w:t>184</w:t>
            </w:r>
          </w:p>
        </w:tc>
        <w:tc>
          <w:tcPr>
            <w:tcW w:w="1276" w:type="dxa"/>
            <w:tcBorders>
              <w:top w:val="single" w:sz="4" w:space="0" w:color="auto"/>
              <w:left w:val="nil"/>
              <w:bottom w:val="single" w:sz="4" w:space="0" w:color="auto"/>
              <w:right w:val="nil"/>
            </w:tcBorders>
            <w:shd w:val="clear" w:color="auto" w:fill="8DB3E2"/>
            <w:vAlign w:val="center"/>
          </w:tcPr>
          <w:p w14:paraId="017F5D58" w14:textId="77777777" w:rsidR="0078729F" w:rsidRPr="00E906A4" w:rsidRDefault="0078729F" w:rsidP="0003329D">
            <w:pPr>
              <w:pStyle w:val="cuadroCabe"/>
              <w:jc w:val="right"/>
              <w:rPr>
                <w:szCs w:val="18"/>
              </w:rPr>
            </w:pPr>
          </w:p>
        </w:tc>
      </w:tr>
    </w:tbl>
    <w:p w14:paraId="61F4ADB1" w14:textId="77777777" w:rsidR="0078729F" w:rsidRDefault="0078729F" w:rsidP="00053346">
      <w:pPr>
        <w:pStyle w:val="texto"/>
        <w:spacing w:before="240" w:after="120"/>
        <w:jc w:val="both"/>
      </w:pPr>
      <w:r>
        <w:t>Como se observa, el gasto acumulado desde el fin del contrato de 1</w:t>
      </w:r>
      <w:r w:rsidR="00355073">
        <w:t>84</w:t>
      </w:r>
      <w:r>
        <w:t xml:space="preserve"> prestaciones, que se </w:t>
      </w:r>
      <w:r w:rsidRPr="002D69C2">
        <w:rPr>
          <w:rFonts w:cs="Arial"/>
          <w:lang w:val="es-ES_tradnl" w:eastAsia="en-US"/>
        </w:rPr>
        <w:t>encuentran</w:t>
      </w:r>
      <w:r>
        <w:t xml:space="preserve"> en </w:t>
      </w:r>
      <w:r w:rsidR="00355073">
        <w:t xml:space="preserve">esta </w:t>
      </w:r>
      <w:r>
        <w:t>situación, hasta el 31 de diciembre de 202</w:t>
      </w:r>
      <w:r w:rsidR="00355073">
        <w:t>3</w:t>
      </w:r>
      <w:r>
        <w:t xml:space="preserve">, asciende a </w:t>
      </w:r>
      <w:r w:rsidR="00355073">
        <w:t>524,8</w:t>
      </w:r>
      <w:r w:rsidR="00AC6A84">
        <w:t>4</w:t>
      </w:r>
      <w:r>
        <w:t xml:space="preserve"> millones de los cuales se abonaron en 202</w:t>
      </w:r>
      <w:r w:rsidR="00355073">
        <w:t xml:space="preserve">3, facturas por </w:t>
      </w:r>
      <w:r>
        <w:t>1</w:t>
      </w:r>
      <w:r w:rsidR="00355073">
        <w:t>23,1</w:t>
      </w:r>
      <w:r w:rsidR="00AC6A84">
        <w:t>7</w:t>
      </w:r>
      <w:r w:rsidR="00355073">
        <w:t xml:space="preserve"> </w:t>
      </w:r>
      <w:r>
        <w:t xml:space="preserve">millones. </w:t>
      </w:r>
    </w:p>
    <w:p w14:paraId="02B83CDA" w14:textId="77777777" w:rsidR="0078729F" w:rsidRDefault="0078729F" w:rsidP="002D69C2">
      <w:pPr>
        <w:pStyle w:val="texto"/>
        <w:spacing w:after="120"/>
        <w:jc w:val="both"/>
      </w:pPr>
      <w:r w:rsidRPr="00301326">
        <w:t xml:space="preserve">Las causas que provocan que se produzca este abono para prestaciones cuya vigencia de contrato ha </w:t>
      </w:r>
      <w:r w:rsidRPr="002D69C2">
        <w:rPr>
          <w:rFonts w:cs="Arial"/>
          <w:lang w:val="es-ES_tradnl" w:eastAsia="en-US"/>
        </w:rPr>
        <w:t>finalizado</w:t>
      </w:r>
      <w:r w:rsidRPr="00301326">
        <w:t xml:space="preserve"> son diversas, y no varían respecto a las señaladas en nuestros informes sobre las Cuentas Generales de la ACFN de los ejercicios anteriores (retraso inicio expedientes, recursos interpuestos, etc.).</w:t>
      </w:r>
    </w:p>
    <w:p w14:paraId="71033562" w14:textId="77777777" w:rsidR="00A97A43" w:rsidRDefault="00A97A43" w:rsidP="002D69C2">
      <w:pPr>
        <w:pStyle w:val="texto"/>
        <w:spacing w:after="120"/>
        <w:jc w:val="both"/>
      </w:pPr>
      <w:r>
        <w:t>Las cifras recogidas en el cuadro anterior no contienen los datos referidos a algunos gastos del SNS-O de diversos suministros sanitarios y fármacos, que se están abonando a pesar de que la vigencia de sus contratos haya finalizado o se encuentran sin soporte contractual. El gasto de 2023 asociado a estos conceptos ascendió a 98,81 millones.</w:t>
      </w:r>
    </w:p>
    <w:p w14:paraId="2323E7AB" w14:textId="77777777" w:rsidR="0078729F" w:rsidRDefault="0078729F" w:rsidP="002D69C2">
      <w:pPr>
        <w:pStyle w:val="texto"/>
        <w:spacing w:after="120"/>
        <w:jc w:val="both"/>
      </w:pPr>
      <w:r>
        <w:t>El mayor gasto, tanto de 202</w:t>
      </w:r>
      <w:r w:rsidR="00301326">
        <w:t>3</w:t>
      </w:r>
      <w:r>
        <w:t xml:space="preserve"> como acumulado desde el fin del contrato en cuestión, corresponde</w:t>
      </w:r>
      <w:r w:rsidR="00301326">
        <w:t xml:space="preserve"> al</w:t>
      </w:r>
      <w:r w:rsidR="00AC6A84">
        <w:t xml:space="preserve"> Departamento de Salud con 83,37</w:t>
      </w:r>
      <w:r w:rsidR="00301326">
        <w:t xml:space="preserve"> y 398,30 </w:t>
      </w:r>
      <w:r>
        <w:t>millones resp</w:t>
      </w:r>
      <w:r w:rsidR="00301326">
        <w:t>ectivamente, para un total de 60</w:t>
      </w:r>
      <w:r>
        <w:t xml:space="preserve"> </w:t>
      </w:r>
      <w:r w:rsidR="00F44F0C">
        <w:t>contratos</w:t>
      </w:r>
      <w:r>
        <w:t xml:space="preserve">. </w:t>
      </w:r>
    </w:p>
    <w:p w14:paraId="337B474A" w14:textId="77777777" w:rsidR="0078729F" w:rsidRDefault="0078729F" w:rsidP="002D69C2">
      <w:pPr>
        <w:pStyle w:val="texto"/>
        <w:spacing w:after="120"/>
        <w:jc w:val="both"/>
      </w:pPr>
      <w:r>
        <w:t xml:space="preserve">Por otro lado, también es significativo el gasto en el Departamento de Universidad, Innovación y </w:t>
      </w:r>
      <w:r w:rsidRPr="002D69C2">
        <w:rPr>
          <w:rFonts w:cs="Arial"/>
          <w:lang w:val="es-ES_tradnl" w:eastAsia="en-US"/>
        </w:rPr>
        <w:t>Transfo</w:t>
      </w:r>
      <w:r w:rsidR="001A5AAB" w:rsidRPr="002D69C2">
        <w:rPr>
          <w:rFonts w:cs="Arial"/>
          <w:lang w:val="es-ES_tradnl" w:eastAsia="en-US"/>
        </w:rPr>
        <w:t>rmación</w:t>
      </w:r>
      <w:r w:rsidR="001A5AAB">
        <w:t xml:space="preserve"> Digital, así como en el Departamento de Derechos Sociales, Economía y Empleo, en los que, en 2023</w:t>
      </w:r>
      <w:r>
        <w:t xml:space="preserve">, </w:t>
      </w:r>
      <w:r w:rsidR="001A5AAB">
        <w:t xml:space="preserve">el gasto </w:t>
      </w:r>
      <w:r>
        <w:t>ascendió a</w:t>
      </w:r>
      <w:r w:rsidR="001A5AAB">
        <w:t xml:space="preserve"> 14,16 y 13</w:t>
      </w:r>
      <w:r>
        <w:t>,</w:t>
      </w:r>
      <w:r w:rsidR="001A5AAB">
        <w:t>04</w:t>
      </w:r>
      <w:r>
        <w:t xml:space="preserve"> millones respectivamente.  </w:t>
      </w:r>
    </w:p>
    <w:p w14:paraId="1B6AB641" w14:textId="77777777" w:rsidR="00A97A43" w:rsidRDefault="00A97A43" w:rsidP="002D69C2">
      <w:pPr>
        <w:pStyle w:val="texto"/>
        <w:spacing w:after="120"/>
        <w:jc w:val="both"/>
        <w:rPr>
          <w:rFonts w:ascii="Arial" w:hAnsi="Arial"/>
          <w:b/>
          <w:kern w:val="28"/>
          <w:sz w:val="25"/>
          <w:szCs w:val="26"/>
        </w:rPr>
      </w:pPr>
      <w:r>
        <w:lastRenderedPageBreak/>
        <w:t xml:space="preserve">Teniendo en cuenta </w:t>
      </w:r>
      <w:r w:rsidRPr="002D69C2">
        <w:rPr>
          <w:rFonts w:cs="Arial"/>
          <w:lang w:val="es-ES_tradnl" w:eastAsia="en-US"/>
        </w:rPr>
        <w:t>todo</w:t>
      </w:r>
      <w:r>
        <w:t xml:space="preserve"> lo anterior, y considerando que son datos proporcionados por los departamentos, sin que hayamos analizado si pudieran existir más gastos que se encuentren en esta situación, el gasto presupuestario que se abonó en 2023, a pesar de que la </w:t>
      </w:r>
      <w:r w:rsidRPr="002D69C2">
        <w:rPr>
          <w:rFonts w:cs="Arial"/>
          <w:lang w:val="es-ES_tradnl" w:eastAsia="en-US"/>
        </w:rPr>
        <w:t>vigencia</w:t>
      </w:r>
      <w:r>
        <w:t xml:space="preserve"> de sus contratos hubiera finalizado o de que no tuvieran soporte contractual</w:t>
      </w:r>
      <w:r w:rsidR="007A72FA">
        <w:t xml:space="preserve"> adecuado</w:t>
      </w:r>
      <w:r>
        <w:t>, asciende como mínimo a 221,98 millones (considerando el importe señalado en el cuadro más el indicado aparte para el SNS-O).</w:t>
      </w:r>
    </w:p>
    <w:p w14:paraId="67DEA351" w14:textId="77777777" w:rsidR="0078729F" w:rsidRDefault="0078729F" w:rsidP="00CC657A">
      <w:pPr>
        <w:pStyle w:val="texto"/>
        <w:spacing w:after="240"/>
        <w:jc w:val="both"/>
      </w:pPr>
      <w:r>
        <w:t xml:space="preserve">El cuadro siguiente muestra la evolución del gasto abonado en </w:t>
      </w:r>
      <w:r w:rsidR="001A5AAB">
        <w:t xml:space="preserve">esta </w:t>
      </w:r>
      <w:r>
        <w:t>situación y del número de contratos al que corresponde este importe para el periodo 202</w:t>
      </w:r>
      <w:r w:rsidR="00AC6A84">
        <w:t>2</w:t>
      </w:r>
      <w:r>
        <w:t>-202</w:t>
      </w:r>
      <w:r w:rsidR="00AC6A84">
        <w:t>3</w:t>
      </w:r>
      <w:r>
        <w:t>:</w:t>
      </w:r>
    </w:p>
    <w:tbl>
      <w:tblPr>
        <w:tblW w:w="4999" w:type="pct"/>
        <w:tblLayout w:type="fixed"/>
        <w:tblCellMar>
          <w:left w:w="70" w:type="dxa"/>
          <w:right w:w="70" w:type="dxa"/>
        </w:tblCellMar>
        <w:tblLook w:val="04A0" w:firstRow="1" w:lastRow="0" w:firstColumn="1" w:lastColumn="0" w:noHBand="0" w:noVBand="1"/>
      </w:tblPr>
      <w:tblGrid>
        <w:gridCol w:w="3547"/>
        <w:gridCol w:w="281"/>
        <w:gridCol w:w="1135"/>
        <w:gridCol w:w="1139"/>
        <w:gridCol w:w="991"/>
        <w:gridCol w:w="573"/>
        <w:gridCol w:w="559"/>
        <w:gridCol w:w="562"/>
      </w:tblGrid>
      <w:tr w:rsidR="0078729F" w:rsidRPr="002D69C2" w14:paraId="0C9C871C" w14:textId="77777777" w:rsidTr="00D01D3B">
        <w:trPr>
          <w:trHeight w:val="255"/>
        </w:trPr>
        <w:tc>
          <w:tcPr>
            <w:tcW w:w="2178" w:type="pct"/>
            <w:gridSpan w:val="2"/>
            <w:vMerge w:val="restart"/>
            <w:tcBorders>
              <w:top w:val="single" w:sz="4" w:space="0" w:color="auto"/>
              <w:left w:val="nil"/>
              <w:bottom w:val="single" w:sz="4" w:space="0" w:color="auto"/>
              <w:right w:val="nil"/>
            </w:tcBorders>
            <w:shd w:val="clear" w:color="auto" w:fill="8DB3E2"/>
            <w:noWrap/>
            <w:vAlign w:val="center"/>
            <w:hideMark/>
          </w:tcPr>
          <w:p w14:paraId="632C541C" w14:textId="77777777" w:rsidR="0078729F" w:rsidRPr="002D69C2" w:rsidRDefault="0078729F" w:rsidP="0003329D">
            <w:pPr>
              <w:pStyle w:val="cuadroCabe"/>
              <w:rPr>
                <w:szCs w:val="18"/>
              </w:rPr>
            </w:pPr>
            <w:r w:rsidRPr="002D69C2">
              <w:rPr>
                <w:szCs w:val="18"/>
              </w:rPr>
              <w:t>Departamento</w:t>
            </w:r>
          </w:p>
        </w:tc>
        <w:tc>
          <w:tcPr>
            <w:tcW w:w="1857" w:type="pct"/>
            <w:gridSpan w:val="3"/>
            <w:tcBorders>
              <w:top w:val="single" w:sz="4" w:space="0" w:color="auto"/>
              <w:left w:val="nil"/>
              <w:bottom w:val="single" w:sz="4" w:space="0" w:color="auto"/>
              <w:right w:val="single" w:sz="2" w:space="0" w:color="auto"/>
            </w:tcBorders>
            <w:shd w:val="clear" w:color="auto" w:fill="8DB3E2"/>
            <w:noWrap/>
            <w:vAlign w:val="center"/>
            <w:hideMark/>
          </w:tcPr>
          <w:p w14:paraId="36A38F6A" w14:textId="77777777" w:rsidR="0078729F" w:rsidRPr="002D69C2" w:rsidRDefault="0078729F" w:rsidP="00575C94">
            <w:pPr>
              <w:pStyle w:val="cuadroCabe"/>
              <w:jc w:val="center"/>
              <w:rPr>
                <w:szCs w:val="18"/>
              </w:rPr>
            </w:pPr>
            <w:r w:rsidRPr="002D69C2">
              <w:rPr>
                <w:szCs w:val="18"/>
              </w:rPr>
              <w:t>Gasto abonado</w:t>
            </w:r>
          </w:p>
        </w:tc>
        <w:tc>
          <w:tcPr>
            <w:tcW w:w="965" w:type="pct"/>
            <w:gridSpan w:val="3"/>
            <w:tcBorders>
              <w:top w:val="single" w:sz="4" w:space="0" w:color="auto"/>
              <w:left w:val="single" w:sz="2" w:space="0" w:color="auto"/>
              <w:bottom w:val="single" w:sz="4" w:space="0" w:color="auto"/>
              <w:right w:val="nil"/>
            </w:tcBorders>
            <w:shd w:val="clear" w:color="auto" w:fill="8DB3E2"/>
            <w:noWrap/>
            <w:vAlign w:val="center"/>
            <w:hideMark/>
          </w:tcPr>
          <w:p w14:paraId="3BC195CC" w14:textId="77777777" w:rsidR="0078729F" w:rsidRPr="00FE489F" w:rsidRDefault="0078729F" w:rsidP="00053346">
            <w:pPr>
              <w:pStyle w:val="cuadroCabe"/>
              <w:jc w:val="right"/>
              <w:rPr>
                <w:szCs w:val="18"/>
              </w:rPr>
            </w:pPr>
            <w:r w:rsidRPr="00FE489F">
              <w:rPr>
                <w:szCs w:val="18"/>
              </w:rPr>
              <w:t>Nº contratos</w:t>
            </w:r>
          </w:p>
        </w:tc>
      </w:tr>
      <w:tr w:rsidR="00E437CE" w:rsidRPr="002D69C2" w14:paraId="43985068" w14:textId="77777777" w:rsidTr="00D01D3B">
        <w:trPr>
          <w:trHeight w:val="516"/>
        </w:trPr>
        <w:tc>
          <w:tcPr>
            <w:tcW w:w="2178" w:type="pct"/>
            <w:gridSpan w:val="2"/>
            <w:vMerge/>
            <w:tcBorders>
              <w:top w:val="single" w:sz="4" w:space="0" w:color="auto"/>
              <w:left w:val="nil"/>
              <w:bottom w:val="single" w:sz="4" w:space="0" w:color="auto"/>
              <w:right w:val="nil"/>
            </w:tcBorders>
            <w:vAlign w:val="center"/>
            <w:hideMark/>
          </w:tcPr>
          <w:p w14:paraId="6BF7E209" w14:textId="77777777" w:rsidR="0078729F" w:rsidRPr="002D69C2" w:rsidRDefault="0078729F" w:rsidP="00672904">
            <w:pPr>
              <w:rPr>
                <w:rFonts w:ascii="Arial" w:hAnsi="Arial" w:cs="Arial"/>
                <w:sz w:val="18"/>
                <w:szCs w:val="18"/>
              </w:rPr>
            </w:pPr>
          </w:p>
        </w:tc>
        <w:tc>
          <w:tcPr>
            <w:tcW w:w="646" w:type="pct"/>
            <w:tcBorders>
              <w:top w:val="single" w:sz="4" w:space="0" w:color="auto"/>
              <w:left w:val="nil"/>
              <w:bottom w:val="single" w:sz="4" w:space="0" w:color="auto"/>
              <w:right w:val="nil"/>
            </w:tcBorders>
            <w:shd w:val="clear" w:color="auto" w:fill="8DB3E2"/>
            <w:noWrap/>
            <w:vAlign w:val="center"/>
            <w:hideMark/>
          </w:tcPr>
          <w:p w14:paraId="1FA75B33" w14:textId="77777777" w:rsidR="0078729F" w:rsidRPr="002D69C2" w:rsidRDefault="00074F4E" w:rsidP="00273FAC">
            <w:pPr>
              <w:jc w:val="right"/>
              <w:rPr>
                <w:rFonts w:ascii="Arial" w:hAnsi="Arial" w:cs="Arial"/>
                <w:sz w:val="18"/>
                <w:szCs w:val="18"/>
              </w:rPr>
            </w:pPr>
            <w:r w:rsidRPr="002D69C2">
              <w:rPr>
                <w:rFonts w:ascii="Arial" w:hAnsi="Arial" w:cs="Arial"/>
                <w:sz w:val="18"/>
                <w:szCs w:val="18"/>
              </w:rPr>
              <w:t>2023</w:t>
            </w:r>
          </w:p>
        </w:tc>
        <w:tc>
          <w:tcPr>
            <w:tcW w:w="648" w:type="pct"/>
            <w:tcBorders>
              <w:top w:val="single" w:sz="4" w:space="0" w:color="auto"/>
              <w:left w:val="nil"/>
              <w:bottom w:val="single" w:sz="4" w:space="0" w:color="auto"/>
              <w:right w:val="nil"/>
            </w:tcBorders>
            <w:shd w:val="clear" w:color="auto" w:fill="8DB3E2"/>
            <w:noWrap/>
            <w:vAlign w:val="center"/>
            <w:hideMark/>
          </w:tcPr>
          <w:p w14:paraId="7262649A" w14:textId="77777777" w:rsidR="0078729F" w:rsidRPr="002D69C2" w:rsidRDefault="0078729F" w:rsidP="00273FAC">
            <w:pPr>
              <w:jc w:val="right"/>
              <w:rPr>
                <w:rFonts w:ascii="Arial" w:hAnsi="Arial" w:cs="Arial"/>
                <w:sz w:val="18"/>
                <w:szCs w:val="18"/>
              </w:rPr>
            </w:pPr>
            <w:r w:rsidRPr="002D69C2">
              <w:rPr>
                <w:rFonts w:ascii="Arial" w:hAnsi="Arial" w:cs="Arial"/>
                <w:sz w:val="18"/>
                <w:szCs w:val="18"/>
              </w:rPr>
              <w:t>2</w:t>
            </w:r>
            <w:r w:rsidR="00074F4E" w:rsidRPr="002D69C2">
              <w:rPr>
                <w:rFonts w:ascii="Arial" w:hAnsi="Arial" w:cs="Arial"/>
                <w:sz w:val="18"/>
                <w:szCs w:val="18"/>
              </w:rPr>
              <w:t>022</w:t>
            </w:r>
          </w:p>
        </w:tc>
        <w:tc>
          <w:tcPr>
            <w:tcW w:w="564" w:type="pct"/>
            <w:tcBorders>
              <w:top w:val="single" w:sz="4" w:space="0" w:color="auto"/>
              <w:left w:val="nil"/>
              <w:bottom w:val="single" w:sz="4" w:space="0" w:color="auto"/>
              <w:right w:val="single" w:sz="2" w:space="0" w:color="auto"/>
            </w:tcBorders>
            <w:shd w:val="clear" w:color="auto" w:fill="8DB3E2"/>
            <w:vAlign w:val="center"/>
            <w:hideMark/>
          </w:tcPr>
          <w:p w14:paraId="43BA672C" w14:textId="77777777" w:rsidR="0078729F" w:rsidRPr="002D69C2" w:rsidRDefault="0078729F" w:rsidP="00FC6105">
            <w:pPr>
              <w:jc w:val="center"/>
              <w:rPr>
                <w:rFonts w:ascii="Arial" w:hAnsi="Arial" w:cs="Arial"/>
                <w:sz w:val="18"/>
                <w:szCs w:val="18"/>
              </w:rPr>
            </w:pPr>
            <w:r w:rsidRPr="002D69C2">
              <w:rPr>
                <w:rFonts w:ascii="Arial" w:hAnsi="Arial" w:cs="Arial"/>
                <w:sz w:val="18"/>
                <w:szCs w:val="18"/>
              </w:rPr>
              <w:t>% Var</w:t>
            </w:r>
            <w:r w:rsidR="00FC6105" w:rsidRPr="002D69C2">
              <w:rPr>
                <w:rFonts w:ascii="Arial" w:hAnsi="Arial" w:cs="Arial"/>
                <w:sz w:val="18"/>
                <w:szCs w:val="18"/>
              </w:rPr>
              <w:t xml:space="preserve"> </w:t>
            </w:r>
            <w:r w:rsidRPr="002D69C2">
              <w:rPr>
                <w:rFonts w:ascii="Arial" w:hAnsi="Arial" w:cs="Arial"/>
                <w:sz w:val="18"/>
                <w:szCs w:val="18"/>
              </w:rPr>
              <w:t>202</w:t>
            </w:r>
            <w:r w:rsidR="001A5AAB" w:rsidRPr="002D69C2">
              <w:rPr>
                <w:rFonts w:ascii="Arial" w:hAnsi="Arial" w:cs="Arial"/>
                <w:sz w:val="18"/>
                <w:szCs w:val="18"/>
              </w:rPr>
              <w:t>3</w:t>
            </w:r>
            <w:r w:rsidRPr="002D69C2">
              <w:rPr>
                <w:rFonts w:ascii="Arial" w:hAnsi="Arial" w:cs="Arial"/>
                <w:sz w:val="18"/>
                <w:szCs w:val="18"/>
              </w:rPr>
              <w:t>/202</w:t>
            </w:r>
            <w:r w:rsidR="001A5AAB" w:rsidRPr="002D69C2">
              <w:rPr>
                <w:rFonts w:ascii="Arial" w:hAnsi="Arial" w:cs="Arial"/>
                <w:sz w:val="18"/>
                <w:szCs w:val="18"/>
              </w:rPr>
              <w:t>2</w:t>
            </w:r>
          </w:p>
        </w:tc>
        <w:tc>
          <w:tcPr>
            <w:tcW w:w="326" w:type="pct"/>
            <w:tcBorders>
              <w:top w:val="single" w:sz="4" w:space="0" w:color="auto"/>
              <w:left w:val="single" w:sz="2" w:space="0" w:color="auto"/>
              <w:bottom w:val="single" w:sz="4" w:space="0" w:color="auto"/>
              <w:right w:val="nil"/>
            </w:tcBorders>
            <w:shd w:val="clear" w:color="auto" w:fill="8DB3E2"/>
            <w:noWrap/>
            <w:vAlign w:val="center"/>
            <w:hideMark/>
          </w:tcPr>
          <w:p w14:paraId="6114ED4E" w14:textId="77777777" w:rsidR="0078729F" w:rsidRPr="002D69C2" w:rsidRDefault="0078729F" w:rsidP="00FC6105">
            <w:pPr>
              <w:jc w:val="center"/>
              <w:rPr>
                <w:rFonts w:ascii="Arial" w:hAnsi="Arial" w:cs="Arial"/>
                <w:sz w:val="18"/>
                <w:szCs w:val="18"/>
              </w:rPr>
            </w:pPr>
            <w:r w:rsidRPr="002D69C2">
              <w:rPr>
                <w:rFonts w:ascii="Arial" w:hAnsi="Arial" w:cs="Arial"/>
                <w:sz w:val="18"/>
                <w:szCs w:val="18"/>
              </w:rPr>
              <w:t>202</w:t>
            </w:r>
            <w:r w:rsidR="00CE53A5" w:rsidRPr="002D69C2">
              <w:rPr>
                <w:rFonts w:ascii="Arial" w:hAnsi="Arial" w:cs="Arial"/>
                <w:sz w:val="18"/>
                <w:szCs w:val="18"/>
              </w:rPr>
              <w:t>3</w:t>
            </w:r>
          </w:p>
        </w:tc>
        <w:tc>
          <w:tcPr>
            <w:tcW w:w="318" w:type="pct"/>
            <w:tcBorders>
              <w:top w:val="single" w:sz="4" w:space="0" w:color="auto"/>
              <w:left w:val="nil"/>
              <w:bottom w:val="single" w:sz="4" w:space="0" w:color="auto"/>
              <w:right w:val="nil"/>
            </w:tcBorders>
            <w:shd w:val="clear" w:color="auto" w:fill="8DB3E2"/>
            <w:noWrap/>
            <w:vAlign w:val="center"/>
            <w:hideMark/>
          </w:tcPr>
          <w:p w14:paraId="7AE0BFDF" w14:textId="77777777" w:rsidR="0078729F" w:rsidRPr="002D69C2" w:rsidRDefault="0078729F" w:rsidP="00FC6105">
            <w:pPr>
              <w:jc w:val="center"/>
              <w:rPr>
                <w:rFonts w:ascii="Arial" w:hAnsi="Arial" w:cs="Arial"/>
                <w:sz w:val="18"/>
                <w:szCs w:val="18"/>
              </w:rPr>
            </w:pPr>
            <w:r w:rsidRPr="002D69C2">
              <w:rPr>
                <w:rFonts w:ascii="Arial" w:hAnsi="Arial" w:cs="Arial"/>
                <w:sz w:val="18"/>
                <w:szCs w:val="18"/>
              </w:rPr>
              <w:t>202</w:t>
            </w:r>
            <w:r w:rsidR="00CE53A5" w:rsidRPr="002D69C2">
              <w:rPr>
                <w:rFonts w:ascii="Arial" w:hAnsi="Arial" w:cs="Arial"/>
                <w:sz w:val="18"/>
                <w:szCs w:val="18"/>
              </w:rPr>
              <w:t>2</w:t>
            </w:r>
          </w:p>
        </w:tc>
        <w:tc>
          <w:tcPr>
            <w:tcW w:w="321" w:type="pct"/>
            <w:tcBorders>
              <w:top w:val="single" w:sz="4" w:space="0" w:color="auto"/>
              <w:left w:val="nil"/>
              <w:bottom w:val="single" w:sz="4" w:space="0" w:color="auto"/>
              <w:right w:val="nil"/>
            </w:tcBorders>
            <w:shd w:val="clear" w:color="auto" w:fill="8DB3E2"/>
            <w:vAlign w:val="center"/>
            <w:hideMark/>
          </w:tcPr>
          <w:p w14:paraId="1B2DB57E" w14:textId="77777777" w:rsidR="0078729F" w:rsidRPr="002D69C2" w:rsidRDefault="0078729F" w:rsidP="008A2E63">
            <w:pPr>
              <w:jc w:val="right"/>
              <w:rPr>
                <w:rFonts w:ascii="Arial" w:hAnsi="Arial" w:cs="Arial"/>
                <w:sz w:val="18"/>
                <w:szCs w:val="18"/>
              </w:rPr>
            </w:pPr>
            <w:r w:rsidRPr="002D69C2">
              <w:rPr>
                <w:rFonts w:ascii="Arial" w:hAnsi="Arial" w:cs="Arial"/>
                <w:sz w:val="18"/>
                <w:szCs w:val="18"/>
              </w:rPr>
              <w:t>% Var.</w:t>
            </w:r>
            <w:r w:rsidR="00FC6105" w:rsidRPr="002D69C2">
              <w:rPr>
                <w:rFonts w:ascii="Arial" w:hAnsi="Arial" w:cs="Arial"/>
                <w:sz w:val="18"/>
                <w:szCs w:val="18"/>
              </w:rPr>
              <w:t xml:space="preserve"> </w:t>
            </w:r>
          </w:p>
        </w:tc>
      </w:tr>
      <w:tr w:rsidR="00CE53A5" w14:paraId="4990FE72" w14:textId="77777777" w:rsidTr="002D69C2">
        <w:trPr>
          <w:trHeight w:val="198"/>
        </w:trPr>
        <w:tc>
          <w:tcPr>
            <w:tcW w:w="2178" w:type="pct"/>
            <w:gridSpan w:val="2"/>
            <w:tcBorders>
              <w:top w:val="single" w:sz="4" w:space="0" w:color="auto"/>
              <w:left w:val="nil"/>
              <w:bottom w:val="single" w:sz="4" w:space="0" w:color="auto"/>
            </w:tcBorders>
            <w:shd w:val="clear" w:color="auto" w:fill="auto"/>
            <w:noWrap/>
            <w:vAlign w:val="center"/>
          </w:tcPr>
          <w:p w14:paraId="45517102" w14:textId="77777777" w:rsidR="00CE53A5" w:rsidRPr="00CE53A5" w:rsidRDefault="00CE53A5" w:rsidP="0003329D">
            <w:pPr>
              <w:pStyle w:val="cuatexto"/>
            </w:pPr>
            <w:r w:rsidRPr="00CE53A5">
              <w:t>Salud</w:t>
            </w:r>
          </w:p>
        </w:tc>
        <w:tc>
          <w:tcPr>
            <w:tcW w:w="646" w:type="pct"/>
            <w:tcBorders>
              <w:top w:val="single" w:sz="4" w:space="0" w:color="auto"/>
              <w:bottom w:val="single" w:sz="4" w:space="0" w:color="auto"/>
            </w:tcBorders>
            <w:shd w:val="clear" w:color="auto" w:fill="auto"/>
            <w:noWrap/>
            <w:vAlign w:val="center"/>
          </w:tcPr>
          <w:p w14:paraId="606941A7" w14:textId="77777777" w:rsidR="00CE53A5" w:rsidRPr="00AC6A84" w:rsidRDefault="00CE53A5" w:rsidP="00FC6105">
            <w:pPr>
              <w:pStyle w:val="cuatexto"/>
              <w:jc w:val="right"/>
              <w:rPr>
                <w:sz w:val="16"/>
                <w:szCs w:val="16"/>
              </w:rPr>
            </w:pPr>
            <w:r w:rsidRPr="00AC6A84">
              <w:rPr>
                <w:sz w:val="16"/>
                <w:szCs w:val="16"/>
              </w:rPr>
              <w:t>83.367.993</w:t>
            </w:r>
          </w:p>
        </w:tc>
        <w:tc>
          <w:tcPr>
            <w:tcW w:w="648" w:type="pct"/>
            <w:tcBorders>
              <w:top w:val="single" w:sz="4" w:space="0" w:color="auto"/>
              <w:bottom w:val="single" w:sz="4" w:space="0" w:color="auto"/>
            </w:tcBorders>
            <w:shd w:val="clear" w:color="auto" w:fill="auto"/>
            <w:noWrap/>
            <w:vAlign w:val="center"/>
          </w:tcPr>
          <w:p w14:paraId="41087B09" w14:textId="77777777" w:rsidR="00CE53A5" w:rsidRPr="00AC6A84" w:rsidRDefault="00CE53A5" w:rsidP="00FC6105">
            <w:pPr>
              <w:pStyle w:val="cuatexto"/>
              <w:jc w:val="right"/>
              <w:rPr>
                <w:sz w:val="16"/>
                <w:szCs w:val="16"/>
              </w:rPr>
            </w:pPr>
            <w:r w:rsidRPr="00AC6A84">
              <w:rPr>
                <w:sz w:val="16"/>
                <w:szCs w:val="16"/>
              </w:rPr>
              <w:t>84.717.821</w:t>
            </w:r>
          </w:p>
        </w:tc>
        <w:tc>
          <w:tcPr>
            <w:tcW w:w="564" w:type="pct"/>
            <w:tcBorders>
              <w:top w:val="single" w:sz="4" w:space="0" w:color="auto"/>
              <w:bottom w:val="single" w:sz="4" w:space="0" w:color="auto"/>
              <w:right w:val="single" w:sz="2" w:space="0" w:color="auto"/>
            </w:tcBorders>
            <w:shd w:val="clear" w:color="auto" w:fill="auto"/>
            <w:noWrap/>
            <w:vAlign w:val="bottom"/>
          </w:tcPr>
          <w:p w14:paraId="7D64DA2A" w14:textId="77777777" w:rsidR="00CE53A5" w:rsidRPr="00AC6A84" w:rsidRDefault="00CE53A5" w:rsidP="00053346">
            <w:pPr>
              <w:pStyle w:val="cuatexto"/>
              <w:jc w:val="right"/>
              <w:rPr>
                <w:sz w:val="16"/>
                <w:szCs w:val="16"/>
              </w:rPr>
            </w:pPr>
            <w:r w:rsidRPr="00AC6A84">
              <w:rPr>
                <w:sz w:val="16"/>
                <w:szCs w:val="16"/>
              </w:rPr>
              <w:t>-2</w:t>
            </w:r>
          </w:p>
        </w:tc>
        <w:tc>
          <w:tcPr>
            <w:tcW w:w="326" w:type="pct"/>
            <w:tcBorders>
              <w:top w:val="single" w:sz="4" w:space="0" w:color="auto"/>
              <w:left w:val="single" w:sz="2" w:space="0" w:color="auto"/>
              <w:bottom w:val="single" w:sz="4" w:space="0" w:color="auto"/>
            </w:tcBorders>
            <w:shd w:val="clear" w:color="auto" w:fill="auto"/>
            <w:noWrap/>
            <w:vAlign w:val="center"/>
          </w:tcPr>
          <w:p w14:paraId="21126B8E" w14:textId="77777777" w:rsidR="00CE53A5" w:rsidRPr="00BA61EA" w:rsidRDefault="00CE53A5" w:rsidP="00FC6105">
            <w:pPr>
              <w:pStyle w:val="cuatexto"/>
              <w:jc w:val="right"/>
              <w:rPr>
                <w:sz w:val="16"/>
                <w:szCs w:val="16"/>
              </w:rPr>
            </w:pPr>
            <w:r w:rsidRPr="00BA61EA">
              <w:rPr>
                <w:sz w:val="16"/>
                <w:szCs w:val="16"/>
              </w:rPr>
              <w:t>60</w:t>
            </w:r>
          </w:p>
        </w:tc>
        <w:tc>
          <w:tcPr>
            <w:tcW w:w="318" w:type="pct"/>
            <w:tcBorders>
              <w:top w:val="single" w:sz="4" w:space="0" w:color="auto"/>
              <w:bottom w:val="single" w:sz="4" w:space="0" w:color="auto"/>
            </w:tcBorders>
            <w:shd w:val="clear" w:color="auto" w:fill="auto"/>
            <w:noWrap/>
            <w:vAlign w:val="center"/>
          </w:tcPr>
          <w:p w14:paraId="5AB4E872" w14:textId="77777777" w:rsidR="00CE53A5" w:rsidRPr="00BA61EA" w:rsidRDefault="00CE53A5" w:rsidP="00FC6105">
            <w:pPr>
              <w:pStyle w:val="cuatexto"/>
              <w:jc w:val="right"/>
              <w:rPr>
                <w:sz w:val="16"/>
                <w:szCs w:val="16"/>
              </w:rPr>
            </w:pPr>
            <w:r w:rsidRPr="00BA61EA">
              <w:rPr>
                <w:sz w:val="16"/>
                <w:szCs w:val="16"/>
              </w:rPr>
              <w:t>66</w:t>
            </w:r>
          </w:p>
        </w:tc>
        <w:tc>
          <w:tcPr>
            <w:tcW w:w="321" w:type="pct"/>
            <w:tcBorders>
              <w:top w:val="single" w:sz="4" w:space="0" w:color="auto"/>
              <w:bottom w:val="single" w:sz="4" w:space="0" w:color="auto"/>
              <w:right w:val="nil"/>
            </w:tcBorders>
            <w:shd w:val="clear" w:color="auto" w:fill="auto"/>
            <w:noWrap/>
            <w:vAlign w:val="center"/>
          </w:tcPr>
          <w:p w14:paraId="694650A7" w14:textId="77777777" w:rsidR="00CE53A5" w:rsidRPr="00BA61EA" w:rsidRDefault="00CE53A5" w:rsidP="00053346">
            <w:pPr>
              <w:pStyle w:val="cuatexto"/>
              <w:jc w:val="right"/>
              <w:rPr>
                <w:sz w:val="16"/>
                <w:szCs w:val="16"/>
              </w:rPr>
            </w:pPr>
            <w:r w:rsidRPr="00BA61EA">
              <w:rPr>
                <w:sz w:val="16"/>
                <w:szCs w:val="16"/>
              </w:rPr>
              <w:t>-9</w:t>
            </w:r>
          </w:p>
        </w:tc>
      </w:tr>
      <w:tr w:rsidR="00AC6A84" w14:paraId="0BD38C74" w14:textId="77777777" w:rsidTr="002D69C2">
        <w:trPr>
          <w:trHeight w:val="198"/>
        </w:trPr>
        <w:tc>
          <w:tcPr>
            <w:tcW w:w="2178" w:type="pct"/>
            <w:gridSpan w:val="2"/>
            <w:tcBorders>
              <w:top w:val="single" w:sz="4" w:space="0" w:color="auto"/>
              <w:left w:val="nil"/>
              <w:bottom w:val="single" w:sz="4" w:space="0" w:color="auto"/>
              <w:right w:val="nil"/>
            </w:tcBorders>
            <w:shd w:val="clear" w:color="auto" w:fill="auto"/>
            <w:noWrap/>
            <w:vAlign w:val="bottom"/>
          </w:tcPr>
          <w:p w14:paraId="5A7E24D8" w14:textId="77777777" w:rsidR="00AC6A84" w:rsidRPr="00355073" w:rsidRDefault="00AC6A84" w:rsidP="00AC6A84">
            <w:pPr>
              <w:pStyle w:val="cuatexto"/>
            </w:pPr>
            <w:r w:rsidRPr="00355073">
              <w:t>Universidad, I</w:t>
            </w:r>
            <w:r>
              <w:t xml:space="preserve">nvestigación y Tecnologías D. </w:t>
            </w:r>
          </w:p>
        </w:tc>
        <w:tc>
          <w:tcPr>
            <w:tcW w:w="646" w:type="pct"/>
            <w:tcBorders>
              <w:top w:val="single" w:sz="4" w:space="0" w:color="auto"/>
              <w:bottom w:val="single" w:sz="4" w:space="0" w:color="auto"/>
            </w:tcBorders>
            <w:shd w:val="clear" w:color="auto" w:fill="auto"/>
            <w:noWrap/>
            <w:vAlign w:val="center"/>
          </w:tcPr>
          <w:p w14:paraId="34584C9C" w14:textId="77777777" w:rsidR="00AC6A84" w:rsidRPr="00AC6A84" w:rsidRDefault="00AC6A84" w:rsidP="00AC6A84">
            <w:pPr>
              <w:pStyle w:val="cuatexto"/>
              <w:jc w:val="right"/>
              <w:rPr>
                <w:sz w:val="16"/>
                <w:szCs w:val="16"/>
              </w:rPr>
            </w:pPr>
            <w:r w:rsidRPr="00AC6A84">
              <w:rPr>
                <w:sz w:val="16"/>
                <w:szCs w:val="16"/>
              </w:rPr>
              <w:t>14.161.655</w:t>
            </w:r>
          </w:p>
        </w:tc>
        <w:tc>
          <w:tcPr>
            <w:tcW w:w="648" w:type="pct"/>
            <w:tcBorders>
              <w:top w:val="single" w:sz="4" w:space="0" w:color="auto"/>
              <w:bottom w:val="single" w:sz="4" w:space="0" w:color="auto"/>
            </w:tcBorders>
            <w:shd w:val="clear" w:color="auto" w:fill="auto"/>
            <w:noWrap/>
            <w:vAlign w:val="center"/>
          </w:tcPr>
          <w:p w14:paraId="3A7FC3DB" w14:textId="77777777" w:rsidR="00AC6A84" w:rsidRPr="00AC6A84" w:rsidRDefault="00AC6A84" w:rsidP="00AC6A84">
            <w:pPr>
              <w:pStyle w:val="cuatexto"/>
              <w:jc w:val="right"/>
              <w:rPr>
                <w:sz w:val="16"/>
                <w:szCs w:val="16"/>
              </w:rPr>
            </w:pPr>
            <w:r w:rsidRPr="00AC6A84">
              <w:rPr>
                <w:sz w:val="16"/>
                <w:szCs w:val="16"/>
              </w:rPr>
              <w:t>10.833.662</w:t>
            </w:r>
          </w:p>
        </w:tc>
        <w:tc>
          <w:tcPr>
            <w:tcW w:w="564" w:type="pct"/>
            <w:tcBorders>
              <w:top w:val="single" w:sz="4" w:space="0" w:color="auto"/>
              <w:bottom w:val="single" w:sz="4" w:space="0" w:color="auto"/>
              <w:right w:val="single" w:sz="2" w:space="0" w:color="auto"/>
            </w:tcBorders>
            <w:shd w:val="clear" w:color="auto" w:fill="auto"/>
            <w:noWrap/>
            <w:vAlign w:val="bottom"/>
          </w:tcPr>
          <w:p w14:paraId="52897177" w14:textId="77777777" w:rsidR="00AC6A84" w:rsidRPr="00AC6A84" w:rsidRDefault="00AC6A84" w:rsidP="00053346">
            <w:pPr>
              <w:pStyle w:val="cuatexto"/>
              <w:jc w:val="right"/>
              <w:rPr>
                <w:sz w:val="16"/>
                <w:szCs w:val="16"/>
              </w:rPr>
            </w:pPr>
            <w:r w:rsidRPr="00AC6A84">
              <w:rPr>
                <w:sz w:val="16"/>
                <w:szCs w:val="16"/>
              </w:rPr>
              <w:t>31</w:t>
            </w:r>
          </w:p>
        </w:tc>
        <w:tc>
          <w:tcPr>
            <w:tcW w:w="326" w:type="pct"/>
            <w:tcBorders>
              <w:top w:val="single" w:sz="4" w:space="0" w:color="auto"/>
              <w:left w:val="single" w:sz="2" w:space="0" w:color="auto"/>
              <w:bottom w:val="single" w:sz="4" w:space="0" w:color="auto"/>
            </w:tcBorders>
            <w:shd w:val="clear" w:color="auto" w:fill="auto"/>
            <w:noWrap/>
            <w:vAlign w:val="center"/>
          </w:tcPr>
          <w:p w14:paraId="7DD2B1F3" w14:textId="77777777" w:rsidR="00AC6A84" w:rsidRPr="00BA61EA" w:rsidRDefault="00AC6A84" w:rsidP="00AC6A84">
            <w:pPr>
              <w:pStyle w:val="cuatexto"/>
              <w:jc w:val="right"/>
              <w:rPr>
                <w:sz w:val="16"/>
                <w:szCs w:val="16"/>
              </w:rPr>
            </w:pPr>
            <w:r w:rsidRPr="00BA61EA">
              <w:rPr>
                <w:sz w:val="16"/>
                <w:szCs w:val="16"/>
              </w:rPr>
              <w:t>13</w:t>
            </w:r>
          </w:p>
        </w:tc>
        <w:tc>
          <w:tcPr>
            <w:tcW w:w="318" w:type="pct"/>
            <w:tcBorders>
              <w:top w:val="single" w:sz="4" w:space="0" w:color="auto"/>
              <w:bottom w:val="single" w:sz="4" w:space="0" w:color="auto"/>
            </w:tcBorders>
            <w:shd w:val="clear" w:color="auto" w:fill="auto"/>
            <w:noWrap/>
            <w:vAlign w:val="center"/>
          </w:tcPr>
          <w:p w14:paraId="1701C1AC" w14:textId="77777777" w:rsidR="00AC6A84" w:rsidRPr="00BA61EA" w:rsidRDefault="00AC6A84" w:rsidP="00AC6A84">
            <w:pPr>
              <w:pStyle w:val="cuatexto"/>
              <w:jc w:val="right"/>
              <w:rPr>
                <w:sz w:val="16"/>
                <w:szCs w:val="16"/>
              </w:rPr>
            </w:pPr>
            <w:r w:rsidRPr="00BA61EA">
              <w:rPr>
                <w:sz w:val="16"/>
                <w:szCs w:val="16"/>
              </w:rPr>
              <w:t>10</w:t>
            </w:r>
          </w:p>
        </w:tc>
        <w:tc>
          <w:tcPr>
            <w:tcW w:w="321" w:type="pct"/>
            <w:tcBorders>
              <w:top w:val="single" w:sz="4" w:space="0" w:color="auto"/>
              <w:bottom w:val="single" w:sz="4" w:space="0" w:color="auto"/>
              <w:right w:val="nil"/>
            </w:tcBorders>
            <w:shd w:val="clear" w:color="auto" w:fill="auto"/>
            <w:noWrap/>
            <w:vAlign w:val="center"/>
          </w:tcPr>
          <w:p w14:paraId="396FA9D8" w14:textId="77777777" w:rsidR="00AC6A84" w:rsidRPr="00BA61EA" w:rsidRDefault="00AC6A84" w:rsidP="00053346">
            <w:pPr>
              <w:pStyle w:val="cuatexto"/>
              <w:jc w:val="right"/>
              <w:rPr>
                <w:sz w:val="16"/>
                <w:szCs w:val="16"/>
              </w:rPr>
            </w:pPr>
            <w:r w:rsidRPr="00BA61EA">
              <w:rPr>
                <w:sz w:val="16"/>
                <w:szCs w:val="16"/>
              </w:rPr>
              <w:t>30</w:t>
            </w:r>
          </w:p>
        </w:tc>
      </w:tr>
      <w:tr w:rsidR="00AC6A84" w14:paraId="42AC6299" w14:textId="77777777" w:rsidTr="002D69C2">
        <w:trPr>
          <w:trHeight w:val="198"/>
        </w:trPr>
        <w:tc>
          <w:tcPr>
            <w:tcW w:w="2178" w:type="pct"/>
            <w:gridSpan w:val="2"/>
            <w:tcBorders>
              <w:top w:val="single" w:sz="4" w:space="0" w:color="auto"/>
              <w:left w:val="nil"/>
              <w:bottom w:val="single" w:sz="4" w:space="0" w:color="auto"/>
              <w:right w:val="nil"/>
            </w:tcBorders>
            <w:shd w:val="clear" w:color="auto" w:fill="auto"/>
            <w:noWrap/>
            <w:vAlign w:val="bottom"/>
          </w:tcPr>
          <w:p w14:paraId="4DBFEE78" w14:textId="77777777" w:rsidR="00AC6A84" w:rsidRPr="00355073" w:rsidRDefault="00AC6A84" w:rsidP="00AC6A84">
            <w:pPr>
              <w:pStyle w:val="cuatexto"/>
            </w:pPr>
            <w:r w:rsidRPr="00355073">
              <w:t>Derechos Sociales, E</w:t>
            </w:r>
            <w:r>
              <w:t>conomía Social y Empleo</w:t>
            </w:r>
          </w:p>
        </w:tc>
        <w:tc>
          <w:tcPr>
            <w:tcW w:w="646" w:type="pct"/>
            <w:tcBorders>
              <w:top w:val="single" w:sz="4" w:space="0" w:color="auto"/>
              <w:bottom w:val="single" w:sz="4" w:space="0" w:color="auto"/>
            </w:tcBorders>
            <w:shd w:val="clear" w:color="auto" w:fill="auto"/>
            <w:noWrap/>
            <w:vAlign w:val="center"/>
          </w:tcPr>
          <w:p w14:paraId="572C5180" w14:textId="77777777" w:rsidR="00AC6A84" w:rsidRPr="00AC6A84" w:rsidRDefault="00AC6A84" w:rsidP="00AC6A84">
            <w:pPr>
              <w:pStyle w:val="cuatexto"/>
              <w:jc w:val="right"/>
              <w:rPr>
                <w:sz w:val="16"/>
                <w:szCs w:val="16"/>
              </w:rPr>
            </w:pPr>
            <w:r w:rsidRPr="00AC6A84">
              <w:rPr>
                <w:sz w:val="16"/>
                <w:szCs w:val="16"/>
              </w:rPr>
              <w:t>13.044.102</w:t>
            </w:r>
          </w:p>
        </w:tc>
        <w:tc>
          <w:tcPr>
            <w:tcW w:w="648" w:type="pct"/>
            <w:tcBorders>
              <w:top w:val="single" w:sz="4" w:space="0" w:color="auto"/>
              <w:bottom w:val="single" w:sz="4" w:space="0" w:color="auto"/>
            </w:tcBorders>
            <w:shd w:val="clear" w:color="auto" w:fill="auto"/>
            <w:noWrap/>
            <w:vAlign w:val="center"/>
          </w:tcPr>
          <w:p w14:paraId="5A3F8885" w14:textId="77777777" w:rsidR="00AC6A84" w:rsidRPr="00AC6A84" w:rsidRDefault="00AC6A84" w:rsidP="00AC6A84">
            <w:pPr>
              <w:pStyle w:val="cuatexto"/>
              <w:jc w:val="right"/>
              <w:rPr>
                <w:sz w:val="16"/>
                <w:szCs w:val="16"/>
              </w:rPr>
            </w:pPr>
            <w:r w:rsidRPr="00AC6A84">
              <w:rPr>
                <w:sz w:val="16"/>
                <w:szCs w:val="16"/>
              </w:rPr>
              <w:t>41.744.845</w:t>
            </w:r>
          </w:p>
        </w:tc>
        <w:tc>
          <w:tcPr>
            <w:tcW w:w="564" w:type="pct"/>
            <w:tcBorders>
              <w:top w:val="single" w:sz="4" w:space="0" w:color="auto"/>
              <w:bottom w:val="single" w:sz="4" w:space="0" w:color="auto"/>
              <w:right w:val="single" w:sz="2" w:space="0" w:color="auto"/>
            </w:tcBorders>
            <w:shd w:val="clear" w:color="auto" w:fill="auto"/>
            <w:noWrap/>
            <w:vAlign w:val="bottom"/>
          </w:tcPr>
          <w:p w14:paraId="52653B2B" w14:textId="77777777" w:rsidR="00AC6A84" w:rsidRPr="00AC6A84" w:rsidRDefault="00AC6A84" w:rsidP="00053346">
            <w:pPr>
              <w:pStyle w:val="cuatexto"/>
              <w:jc w:val="right"/>
              <w:rPr>
                <w:sz w:val="16"/>
                <w:szCs w:val="16"/>
              </w:rPr>
            </w:pPr>
            <w:r w:rsidRPr="00AC6A84">
              <w:rPr>
                <w:sz w:val="16"/>
                <w:szCs w:val="16"/>
              </w:rPr>
              <w:t>-69</w:t>
            </w:r>
          </w:p>
        </w:tc>
        <w:tc>
          <w:tcPr>
            <w:tcW w:w="326" w:type="pct"/>
            <w:tcBorders>
              <w:top w:val="single" w:sz="4" w:space="0" w:color="auto"/>
              <w:left w:val="single" w:sz="2" w:space="0" w:color="auto"/>
              <w:bottom w:val="single" w:sz="4" w:space="0" w:color="auto"/>
            </w:tcBorders>
            <w:shd w:val="clear" w:color="auto" w:fill="auto"/>
            <w:noWrap/>
            <w:vAlign w:val="center"/>
          </w:tcPr>
          <w:p w14:paraId="109BCD32" w14:textId="77777777" w:rsidR="00AC6A84" w:rsidRPr="00BA61EA" w:rsidRDefault="00AC6A84" w:rsidP="00AC6A84">
            <w:pPr>
              <w:pStyle w:val="cuatexto"/>
              <w:jc w:val="right"/>
              <w:rPr>
                <w:sz w:val="16"/>
                <w:szCs w:val="16"/>
              </w:rPr>
            </w:pPr>
            <w:r w:rsidRPr="00BA61EA">
              <w:rPr>
                <w:sz w:val="16"/>
                <w:szCs w:val="16"/>
              </w:rPr>
              <w:t>41</w:t>
            </w:r>
          </w:p>
        </w:tc>
        <w:tc>
          <w:tcPr>
            <w:tcW w:w="318" w:type="pct"/>
            <w:tcBorders>
              <w:top w:val="single" w:sz="4" w:space="0" w:color="auto"/>
              <w:bottom w:val="single" w:sz="4" w:space="0" w:color="auto"/>
            </w:tcBorders>
            <w:shd w:val="clear" w:color="auto" w:fill="auto"/>
            <w:noWrap/>
            <w:vAlign w:val="center"/>
          </w:tcPr>
          <w:p w14:paraId="441BB235" w14:textId="77777777" w:rsidR="00AC6A84" w:rsidRPr="00BA61EA" w:rsidRDefault="00AC6A84" w:rsidP="00AC6A84">
            <w:pPr>
              <w:pStyle w:val="cuatexto"/>
              <w:jc w:val="right"/>
              <w:rPr>
                <w:sz w:val="16"/>
                <w:szCs w:val="16"/>
              </w:rPr>
            </w:pPr>
            <w:r w:rsidRPr="00BA61EA">
              <w:rPr>
                <w:sz w:val="16"/>
                <w:szCs w:val="16"/>
              </w:rPr>
              <w:t>37</w:t>
            </w:r>
          </w:p>
        </w:tc>
        <w:tc>
          <w:tcPr>
            <w:tcW w:w="321" w:type="pct"/>
            <w:tcBorders>
              <w:top w:val="single" w:sz="4" w:space="0" w:color="auto"/>
              <w:bottom w:val="single" w:sz="4" w:space="0" w:color="auto"/>
              <w:right w:val="nil"/>
            </w:tcBorders>
            <w:shd w:val="clear" w:color="auto" w:fill="auto"/>
            <w:noWrap/>
            <w:vAlign w:val="center"/>
          </w:tcPr>
          <w:p w14:paraId="75907A2F" w14:textId="77777777" w:rsidR="00AC6A84" w:rsidRPr="00BA61EA" w:rsidRDefault="00AC6A84" w:rsidP="00053346">
            <w:pPr>
              <w:pStyle w:val="cuatexto"/>
              <w:jc w:val="right"/>
              <w:rPr>
                <w:sz w:val="16"/>
                <w:szCs w:val="16"/>
              </w:rPr>
            </w:pPr>
            <w:r w:rsidRPr="00BA61EA">
              <w:rPr>
                <w:sz w:val="16"/>
                <w:szCs w:val="16"/>
              </w:rPr>
              <w:t>11</w:t>
            </w:r>
          </w:p>
        </w:tc>
      </w:tr>
      <w:tr w:rsidR="00CE53A5" w14:paraId="22535ABE" w14:textId="77777777" w:rsidTr="002D69C2">
        <w:trPr>
          <w:trHeight w:val="198"/>
        </w:trPr>
        <w:tc>
          <w:tcPr>
            <w:tcW w:w="2178" w:type="pct"/>
            <w:gridSpan w:val="2"/>
            <w:tcBorders>
              <w:top w:val="single" w:sz="4" w:space="0" w:color="auto"/>
              <w:left w:val="nil"/>
              <w:bottom w:val="single" w:sz="4" w:space="0" w:color="auto"/>
            </w:tcBorders>
            <w:shd w:val="clear" w:color="auto" w:fill="auto"/>
            <w:noWrap/>
            <w:vAlign w:val="center"/>
          </w:tcPr>
          <w:p w14:paraId="6A4F556E" w14:textId="77777777" w:rsidR="00CE53A5" w:rsidRPr="00CE53A5" w:rsidRDefault="00CE53A5" w:rsidP="0003329D">
            <w:pPr>
              <w:pStyle w:val="cuatexto"/>
            </w:pPr>
            <w:r w:rsidRPr="00CE53A5">
              <w:t>Cohesión Territorial</w:t>
            </w:r>
          </w:p>
        </w:tc>
        <w:tc>
          <w:tcPr>
            <w:tcW w:w="646" w:type="pct"/>
            <w:tcBorders>
              <w:top w:val="single" w:sz="4" w:space="0" w:color="auto"/>
              <w:bottom w:val="single" w:sz="4" w:space="0" w:color="auto"/>
            </w:tcBorders>
            <w:shd w:val="clear" w:color="auto" w:fill="auto"/>
            <w:noWrap/>
            <w:vAlign w:val="center"/>
          </w:tcPr>
          <w:p w14:paraId="008D529A" w14:textId="77777777" w:rsidR="00CE53A5" w:rsidRPr="00AC6A84" w:rsidRDefault="00CE53A5" w:rsidP="00FC6105">
            <w:pPr>
              <w:pStyle w:val="cuatexto"/>
              <w:jc w:val="right"/>
              <w:rPr>
                <w:sz w:val="16"/>
                <w:szCs w:val="16"/>
              </w:rPr>
            </w:pPr>
            <w:r w:rsidRPr="00AC6A84">
              <w:rPr>
                <w:sz w:val="16"/>
                <w:szCs w:val="16"/>
              </w:rPr>
              <w:t>4.545.052</w:t>
            </w:r>
          </w:p>
        </w:tc>
        <w:tc>
          <w:tcPr>
            <w:tcW w:w="648" w:type="pct"/>
            <w:tcBorders>
              <w:top w:val="single" w:sz="4" w:space="0" w:color="auto"/>
              <w:bottom w:val="single" w:sz="4" w:space="0" w:color="auto"/>
            </w:tcBorders>
            <w:shd w:val="clear" w:color="auto" w:fill="auto"/>
            <w:noWrap/>
            <w:vAlign w:val="center"/>
          </w:tcPr>
          <w:p w14:paraId="48A6982A" w14:textId="77777777" w:rsidR="00CE53A5" w:rsidRPr="00AC6A84" w:rsidRDefault="00CE53A5" w:rsidP="00FC6105">
            <w:pPr>
              <w:pStyle w:val="cuatexto"/>
              <w:jc w:val="right"/>
              <w:rPr>
                <w:sz w:val="16"/>
                <w:szCs w:val="16"/>
              </w:rPr>
            </w:pPr>
            <w:r w:rsidRPr="00AC6A84">
              <w:rPr>
                <w:sz w:val="16"/>
                <w:szCs w:val="16"/>
              </w:rPr>
              <w:t>2.734.617</w:t>
            </w:r>
          </w:p>
        </w:tc>
        <w:tc>
          <w:tcPr>
            <w:tcW w:w="564" w:type="pct"/>
            <w:tcBorders>
              <w:top w:val="single" w:sz="4" w:space="0" w:color="auto"/>
              <w:bottom w:val="single" w:sz="4" w:space="0" w:color="auto"/>
              <w:right w:val="single" w:sz="2" w:space="0" w:color="auto"/>
            </w:tcBorders>
            <w:shd w:val="clear" w:color="auto" w:fill="auto"/>
            <w:noWrap/>
            <w:vAlign w:val="bottom"/>
          </w:tcPr>
          <w:p w14:paraId="3A286245" w14:textId="77777777" w:rsidR="00CE53A5" w:rsidRPr="00AC6A84" w:rsidRDefault="00CE53A5" w:rsidP="00053346">
            <w:pPr>
              <w:pStyle w:val="cuatexto"/>
              <w:jc w:val="right"/>
              <w:rPr>
                <w:sz w:val="16"/>
                <w:szCs w:val="16"/>
              </w:rPr>
            </w:pPr>
            <w:r w:rsidRPr="00AC6A84">
              <w:rPr>
                <w:sz w:val="16"/>
                <w:szCs w:val="16"/>
              </w:rPr>
              <w:t>66</w:t>
            </w:r>
          </w:p>
        </w:tc>
        <w:tc>
          <w:tcPr>
            <w:tcW w:w="326" w:type="pct"/>
            <w:tcBorders>
              <w:top w:val="single" w:sz="4" w:space="0" w:color="auto"/>
              <w:left w:val="single" w:sz="2" w:space="0" w:color="auto"/>
              <w:bottom w:val="single" w:sz="4" w:space="0" w:color="auto"/>
            </w:tcBorders>
            <w:shd w:val="clear" w:color="auto" w:fill="auto"/>
            <w:noWrap/>
            <w:vAlign w:val="center"/>
          </w:tcPr>
          <w:p w14:paraId="3A4EBC4C" w14:textId="77777777" w:rsidR="00CE53A5" w:rsidRPr="00BA61EA" w:rsidRDefault="00CE53A5" w:rsidP="00FC6105">
            <w:pPr>
              <w:pStyle w:val="cuatexto"/>
              <w:jc w:val="right"/>
              <w:rPr>
                <w:sz w:val="16"/>
                <w:szCs w:val="16"/>
              </w:rPr>
            </w:pPr>
            <w:r w:rsidRPr="00BA61EA">
              <w:rPr>
                <w:sz w:val="16"/>
                <w:szCs w:val="16"/>
              </w:rPr>
              <w:t>42</w:t>
            </w:r>
          </w:p>
        </w:tc>
        <w:tc>
          <w:tcPr>
            <w:tcW w:w="318" w:type="pct"/>
            <w:tcBorders>
              <w:top w:val="single" w:sz="4" w:space="0" w:color="auto"/>
              <w:bottom w:val="single" w:sz="4" w:space="0" w:color="auto"/>
            </w:tcBorders>
            <w:shd w:val="clear" w:color="auto" w:fill="auto"/>
            <w:noWrap/>
            <w:vAlign w:val="center"/>
          </w:tcPr>
          <w:p w14:paraId="799A712B" w14:textId="77777777" w:rsidR="00CE53A5" w:rsidRPr="00BA61EA" w:rsidRDefault="00CE53A5" w:rsidP="00FC6105">
            <w:pPr>
              <w:pStyle w:val="cuatexto"/>
              <w:jc w:val="right"/>
              <w:rPr>
                <w:sz w:val="16"/>
                <w:szCs w:val="16"/>
              </w:rPr>
            </w:pPr>
            <w:r w:rsidRPr="00BA61EA">
              <w:rPr>
                <w:sz w:val="16"/>
                <w:szCs w:val="16"/>
              </w:rPr>
              <w:t>37</w:t>
            </w:r>
          </w:p>
        </w:tc>
        <w:tc>
          <w:tcPr>
            <w:tcW w:w="321" w:type="pct"/>
            <w:tcBorders>
              <w:top w:val="single" w:sz="4" w:space="0" w:color="auto"/>
              <w:bottom w:val="single" w:sz="4" w:space="0" w:color="auto"/>
              <w:right w:val="nil"/>
            </w:tcBorders>
            <w:shd w:val="clear" w:color="auto" w:fill="auto"/>
            <w:noWrap/>
            <w:vAlign w:val="center"/>
          </w:tcPr>
          <w:p w14:paraId="34F47C5A" w14:textId="77777777" w:rsidR="00CE53A5" w:rsidRPr="00BA61EA" w:rsidRDefault="00CE53A5" w:rsidP="00053346">
            <w:pPr>
              <w:pStyle w:val="cuatexto"/>
              <w:jc w:val="right"/>
              <w:rPr>
                <w:sz w:val="16"/>
                <w:szCs w:val="16"/>
              </w:rPr>
            </w:pPr>
            <w:r w:rsidRPr="00BA61EA">
              <w:rPr>
                <w:sz w:val="16"/>
                <w:szCs w:val="16"/>
              </w:rPr>
              <w:t>14</w:t>
            </w:r>
          </w:p>
        </w:tc>
      </w:tr>
      <w:tr w:rsidR="00CE53A5" w14:paraId="092FA669" w14:textId="77777777" w:rsidTr="002D69C2">
        <w:trPr>
          <w:trHeight w:val="77"/>
        </w:trPr>
        <w:tc>
          <w:tcPr>
            <w:tcW w:w="2178" w:type="pct"/>
            <w:gridSpan w:val="2"/>
            <w:tcBorders>
              <w:top w:val="single" w:sz="4" w:space="0" w:color="auto"/>
              <w:left w:val="nil"/>
              <w:bottom w:val="single" w:sz="4" w:space="0" w:color="auto"/>
            </w:tcBorders>
            <w:shd w:val="clear" w:color="auto" w:fill="auto"/>
            <w:noWrap/>
            <w:vAlign w:val="center"/>
          </w:tcPr>
          <w:p w14:paraId="72CD00E3" w14:textId="77777777" w:rsidR="00CE53A5" w:rsidRPr="00CE53A5" w:rsidRDefault="00CE53A5" w:rsidP="0003329D">
            <w:pPr>
              <w:pStyle w:val="cuatexto"/>
            </w:pPr>
            <w:r w:rsidRPr="00CE53A5">
              <w:t>Economía y Hacienda</w:t>
            </w:r>
          </w:p>
        </w:tc>
        <w:tc>
          <w:tcPr>
            <w:tcW w:w="646" w:type="pct"/>
            <w:tcBorders>
              <w:top w:val="single" w:sz="4" w:space="0" w:color="auto"/>
              <w:bottom w:val="single" w:sz="4" w:space="0" w:color="auto"/>
            </w:tcBorders>
            <w:shd w:val="clear" w:color="auto" w:fill="auto"/>
            <w:noWrap/>
            <w:vAlign w:val="center"/>
          </w:tcPr>
          <w:p w14:paraId="3DA80AD0" w14:textId="77777777" w:rsidR="00CE53A5" w:rsidRPr="00AC6A84" w:rsidRDefault="00CE53A5" w:rsidP="00FC6105">
            <w:pPr>
              <w:pStyle w:val="cuatexto"/>
              <w:jc w:val="right"/>
              <w:rPr>
                <w:sz w:val="16"/>
                <w:szCs w:val="16"/>
              </w:rPr>
            </w:pPr>
            <w:r w:rsidRPr="00AC6A84">
              <w:rPr>
                <w:sz w:val="16"/>
                <w:szCs w:val="16"/>
              </w:rPr>
              <w:t>3.360.134</w:t>
            </w:r>
          </w:p>
        </w:tc>
        <w:tc>
          <w:tcPr>
            <w:tcW w:w="648" w:type="pct"/>
            <w:tcBorders>
              <w:top w:val="single" w:sz="4" w:space="0" w:color="auto"/>
              <w:bottom w:val="single" w:sz="4" w:space="0" w:color="auto"/>
            </w:tcBorders>
            <w:shd w:val="clear" w:color="auto" w:fill="auto"/>
            <w:noWrap/>
            <w:vAlign w:val="center"/>
          </w:tcPr>
          <w:p w14:paraId="72B39B43" w14:textId="77777777" w:rsidR="00CE53A5" w:rsidRPr="00AC6A84" w:rsidRDefault="00CE53A5" w:rsidP="00FC6105">
            <w:pPr>
              <w:pStyle w:val="cuatexto"/>
              <w:jc w:val="right"/>
              <w:rPr>
                <w:sz w:val="16"/>
                <w:szCs w:val="16"/>
              </w:rPr>
            </w:pPr>
            <w:r w:rsidRPr="00AC6A84">
              <w:rPr>
                <w:sz w:val="16"/>
                <w:szCs w:val="16"/>
              </w:rPr>
              <w:t>-</w:t>
            </w:r>
          </w:p>
        </w:tc>
        <w:tc>
          <w:tcPr>
            <w:tcW w:w="564" w:type="pct"/>
            <w:tcBorders>
              <w:top w:val="single" w:sz="4" w:space="0" w:color="auto"/>
              <w:bottom w:val="single" w:sz="4" w:space="0" w:color="auto"/>
              <w:right w:val="single" w:sz="2" w:space="0" w:color="auto"/>
            </w:tcBorders>
            <w:shd w:val="clear" w:color="auto" w:fill="auto"/>
            <w:noWrap/>
            <w:vAlign w:val="bottom"/>
          </w:tcPr>
          <w:p w14:paraId="6F58410A" w14:textId="77777777" w:rsidR="00CE53A5" w:rsidRPr="00AC6A84" w:rsidRDefault="00CE53A5" w:rsidP="00FC6105">
            <w:pPr>
              <w:pStyle w:val="cuatexto"/>
              <w:jc w:val="right"/>
              <w:rPr>
                <w:sz w:val="16"/>
                <w:szCs w:val="16"/>
              </w:rPr>
            </w:pPr>
            <w:r w:rsidRPr="00AC6A84">
              <w:rPr>
                <w:sz w:val="16"/>
                <w:szCs w:val="16"/>
              </w:rPr>
              <w:t> </w:t>
            </w:r>
          </w:p>
        </w:tc>
        <w:tc>
          <w:tcPr>
            <w:tcW w:w="326" w:type="pct"/>
            <w:tcBorders>
              <w:top w:val="single" w:sz="4" w:space="0" w:color="auto"/>
              <w:left w:val="single" w:sz="2" w:space="0" w:color="auto"/>
              <w:bottom w:val="single" w:sz="4" w:space="0" w:color="auto"/>
            </w:tcBorders>
            <w:shd w:val="clear" w:color="auto" w:fill="auto"/>
            <w:noWrap/>
            <w:vAlign w:val="center"/>
          </w:tcPr>
          <w:p w14:paraId="27C40576" w14:textId="77777777" w:rsidR="00CE53A5" w:rsidRPr="00BA61EA" w:rsidRDefault="00CE53A5" w:rsidP="00FC6105">
            <w:pPr>
              <w:pStyle w:val="cuatexto"/>
              <w:jc w:val="right"/>
              <w:rPr>
                <w:sz w:val="16"/>
                <w:szCs w:val="16"/>
              </w:rPr>
            </w:pPr>
            <w:r w:rsidRPr="00BA61EA">
              <w:rPr>
                <w:sz w:val="16"/>
                <w:szCs w:val="16"/>
              </w:rPr>
              <w:t>2</w:t>
            </w:r>
          </w:p>
        </w:tc>
        <w:tc>
          <w:tcPr>
            <w:tcW w:w="318" w:type="pct"/>
            <w:tcBorders>
              <w:top w:val="single" w:sz="4" w:space="0" w:color="auto"/>
              <w:bottom w:val="single" w:sz="4" w:space="0" w:color="auto"/>
            </w:tcBorders>
            <w:shd w:val="clear" w:color="auto" w:fill="auto"/>
            <w:noWrap/>
            <w:vAlign w:val="bottom"/>
          </w:tcPr>
          <w:p w14:paraId="261237D7" w14:textId="77777777" w:rsidR="00CE53A5" w:rsidRPr="00BA61EA" w:rsidRDefault="00CE53A5" w:rsidP="00FC6105">
            <w:pPr>
              <w:pStyle w:val="cuatexto"/>
              <w:jc w:val="right"/>
              <w:rPr>
                <w:sz w:val="16"/>
                <w:szCs w:val="16"/>
              </w:rPr>
            </w:pPr>
            <w:r w:rsidRPr="00BA61EA">
              <w:rPr>
                <w:sz w:val="16"/>
                <w:szCs w:val="16"/>
              </w:rPr>
              <w:t>-</w:t>
            </w:r>
          </w:p>
        </w:tc>
        <w:tc>
          <w:tcPr>
            <w:tcW w:w="321" w:type="pct"/>
            <w:tcBorders>
              <w:top w:val="single" w:sz="4" w:space="0" w:color="auto"/>
              <w:bottom w:val="single" w:sz="4" w:space="0" w:color="auto"/>
              <w:right w:val="nil"/>
            </w:tcBorders>
            <w:shd w:val="clear" w:color="auto" w:fill="auto"/>
            <w:noWrap/>
            <w:vAlign w:val="center"/>
          </w:tcPr>
          <w:p w14:paraId="23F500E2" w14:textId="77777777" w:rsidR="00CE53A5" w:rsidRPr="00BA61EA" w:rsidRDefault="00CE53A5" w:rsidP="00FC6105">
            <w:pPr>
              <w:pStyle w:val="cuatexto"/>
              <w:jc w:val="right"/>
              <w:rPr>
                <w:sz w:val="16"/>
                <w:szCs w:val="16"/>
              </w:rPr>
            </w:pPr>
            <w:r w:rsidRPr="00BA61EA">
              <w:rPr>
                <w:sz w:val="16"/>
                <w:szCs w:val="16"/>
              </w:rPr>
              <w:t> </w:t>
            </w:r>
          </w:p>
        </w:tc>
      </w:tr>
      <w:tr w:rsidR="00CE53A5" w14:paraId="62644CE8" w14:textId="77777777" w:rsidTr="002D69C2">
        <w:trPr>
          <w:trHeight w:val="198"/>
        </w:trPr>
        <w:tc>
          <w:tcPr>
            <w:tcW w:w="2178" w:type="pct"/>
            <w:gridSpan w:val="2"/>
            <w:tcBorders>
              <w:top w:val="single" w:sz="4" w:space="0" w:color="auto"/>
              <w:left w:val="nil"/>
              <w:bottom w:val="single" w:sz="4" w:space="0" w:color="auto"/>
            </w:tcBorders>
            <w:shd w:val="clear" w:color="auto" w:fill="auto"/>
            <w:noWrap/>
            <w:vAlign w:val="center"/>
          </w:tcPr>
          <w:p w14:paraId="040FC87D" w14:textId="77777777" w:rsidR="00CE53A5" w:rsidRPr="00CE53A5" w:rsidRDefault="00CE53A5" w:rsidP="0003329D">
            <w:pPr>
              <w:pStyle w:val="cuatexto"/>
            </w:pPr>
            <w:r w:rsidRPr="00CE53A5">
              <w:t>Educación</w:t>
            </w:r>
          </w:p>
        </w:tc>
        <w:tc>
          <w:tcPr>
            <w:tcW w:w="646" w:type="pct"/>
            <w:tcBorders>
              <w:top w:val="single" w:sz="4" w:space="0" w:color="auto"/>
              <w:bottom w:val="single" w:sz="4" w:space="0" w:color="auto"/>
            </w:tcBorders>
            <w:shd w:val="clear" w:color="auto" w:fill="auto"/>
            <w:noWrap/>
            <w:vAlign w:val="center"/>
          </w:tcPr>
          <w:p w14:paraId="6C8B1BAE" w14:textId="77777777" w:rsidR="00CE53A5" w:rsidRPr="00AC6A84" w:rsidRDefault="00CE53A5" w:rsidP="00FC6105">
            <w:pPr>
              <w:pStyle w:val="cuatexto"/>
              <w:jc w:val="right"/>
              <w:rPr>
                <w:sz w:val="16"/>
                <w:szCs w:val="16"/>
              </w:rPr>
            </w:pPr>
            <w:r w:rsidRPr="00AC6A84">
              <w:rPr>
                <w:sz w:val="16"/>
                <w:szCs w:val="16"/>
              </w:rPr>
              <w:t>1.931.014</w:t>
            </w:r>
          </w:p>
        </w:tc>
        <w:tc>
          <w:tcPr>
            <w:tcW w:w="648" w:type="pct"/>
            <w:tcBorders>
              <w:top w:val="single" w:sz="4" w:space="0" w:color="auto"/>
              <w:bottom w:val="single" w:sz="4" w:space="0" w:color="auto"/>
            </w:tcBorders>
            <w:shd w:val="clear" w:color="auto" w:fill="auto"/>
            <w:noWrap/>
            <w:vAlign w:val="center"/>
          </w:tcPr>
          <w:p w14:paraId="2FB1CBDC" w14:textId="77777777" w:rsidR="00CE53A5" w:rsidRPr="00AC6A84" w:rsidRDefault="00CE53A5" w:rsidP="00FC6105">
            <w:pPr>
              <w:pStyle w:val="cuatexto"/>
              <w:jc w:val="right"/>
              <w:rPr>
                <w:sz w:val="16"/>
                <w:szCs w:val="16"/>
              </w:rPr>
            </w:pPr>
            <w:r w:rsidRPr="00AC6A84">
              <w:rPr>
                <w:sz w:val="16"/>
                <w:szCs w:val="16"/>
              </w:rPr>
              <w:t>12.561.722</w:t>
            </w:r>
          </w:p>
        </w:tc>
        <w:tc>
          <w:tcPr>
            <w:tcW w:w="564" w:type="pct"/>
            <w:tcBorders>
              <w:top w:val="single" w:sz="4" w:space="0" w:color="auto"/>
              <w:bottom w:val="single" w:sz="4" w:space="0" w:color="auto"/>
              <w:right w:val="single" w:sz="2" w:space="0" w:color="auto"/>
            </w:tcBorders>
            <w:shd w:val="clear" w:color="auto" w:fill="auto"/>
            <w:noWrap/>
            <w:vAlign w:val="bottom"/>
          </w:tcPr>
          <w:p w14:paraId="52E69541" w14:textId="77777777" w:rsidR="00CE53A5" w:rsidRPr="00AC6A84" w:rsidRDefault="00CE53A5" w:rsidP="00053346">
            <w:pPr>
              <w:pStyle w:val="cuatexto"/>
              <w:jc w:val="right"/>
              <w:rPr>
                <w:sz w:val="16"/>
                <w:szCs w:val="16"/>
              </w:rPr>
            </w:pPr>
            <w:r w:rsidRPr="00AC6A84">
              <w:rPr>
                <w:sz w:val="16"/>
                <w:szCs w:val="16"/>
              </w:rPr>
              <w:t>-85</w:t>
            </w:r>
          </w:p>
        </w:tc>
        <w:tc>
          <w:tcPr>
            <w:tcW w:w="326" w:type="pct"/>
            <w:tcBorders>
              <w:top w:val="single" w:sz="4" w:space="0" w:color="auto"/>
              <w:left w:val="single" w:sz="2" w:space="0" w:color="auto"/>
              <w:bottom w:val="single" w:sz="4" w:space="0" w:color="auto"/>
            </w:tcBorders>
            <w:shd w:val="clear" w:color="auto" w:fill="auto"/>
            <w:noWrap/>
            <w:vAlign w:val="center"/>
          </w:tcPr>
          <w:p w14:paraId="72F8D2C0" w14:textId="77777777" w:rsidR="00CE53A5" w:rsidRPr="00BA61EA" w:rsidRDefault="00CE53A5" w:rsidP="00FC6105">
            <w:pPr>
              <w:pStyle w:val="cuatexto"/>
              <w:jc w:val="right"/>
              <w:rPr>
                <w:sz w:val="16"/>
                <w:szCs w:val="16"/>
              </w:rPr>
            </w:pPr>
            <w:r w:rsidRPr="00BA61EA">
              <w:rPr>
                <w:sz w:val="16"/>
                <w:szCs w:val="16"/>
              </w:rPr>
              <w:t>9</w:t>
            </w:r>
          </w:p>
        </w:tc>
        <w:tc>
          <w:tcPr>
            <w:tcW w:w="318" w:type="pct"/>
            <w:tcBorders>
              <w:top w:val="single" w:sz="4" w:space="0" w:color="auto"/>
              <w:bottom w:val="single" w:sz="4" w:space="0" w:color="auto"/>
            </w:tcBorders>
            <w:shd w:val="clear" w:color="auto" w:fill="auto"/>
            <w:noWrap/>
            <w:vAlign w:val="center"/>
          </w:tcPr>
          <w:p w14:paraId="4EB9FE6B" w14:textId="77777777" w:rsidR="00CE53A5" w:rsidRPr="00BA61EA" w:rsidRDefault="00CE53A5" w:rsidP="00FC6105">
            <w:pPr>
              <w:pStyle w:val="cuatexto"/>
              <w:jc w:val="right"/>
              <w:rPr>
                <w:sz w:val="16"/>
                <w:szCs w:val="16"/>
              </w:rPr>
            </w:pPr>
            <w:r w:rsidRPr="00BA61EA">
              <w:rPr>
                <w:sz w:val="16"/>
                <w:szCs w:val="16"/>
              </w:rPr>
              <w:t>9</w:t>
            </w:r>
          </w:p>
        </w:tc>
        <w:tc>
          <w:tcPr>
            <w:tcW w:w="321" w:type="pct"/>
            <w:tcBorders>
              <w:top w:val="single" w:sz="4" w:space="0" w:color="auto"/>
              <w:bottom w:val="single" w:sz="4" w:space="0" w:color="auto"/>
              <w:right w:val="nil"/>
            </w:tcBorders>
            <w:shd w:val="clear" w:color="auto" w:fill="auto"/>
            <w:noWrap/>
            <w:vAlign w:val="center"/>
          </w:tcPr>
          <w:p w14:paraId="506233A6" w14:textId="77777777" w:rsidR="00CE53A5" w:rsidRPr="00BA61EA" w:rsidRDefault="00CE53A5" w:rsidP="00053346">
            <w:pPr>
              <w:pStyle w:val="cuatexto"/>
              <w:jc w:val="right"/>
              <w:rPr>
                <w:sz w:val="16"/>
                <w:szCs w:val="16"/>
              </w:rPr>
            </w:pPr>
            <w:r w:rsidRPr="00BA61EA">
              <w:rPr>
                <w:sz w:val="16"/>
                <w:szCs w:val="16"/>
              </w:rPr>
              <w:t>0</w:t>
            </w:r>
          </w:p>
        </w:tc>
      </w:tr>
      <w:tr w:rsidR="00CE53A5" w14:paraId="77E4E2F3" w14:textId="77777777" w:rsidTr="002D69C2">
        <w:trPr>
          <w:trHeight w:val="219"/>
        </w:trPr>
        <w:tc>
          <w:tcPr>
            <w:tcW w:w="2178" w:type="pct"/>
            <w:gridSpan w:val="2"/>
            <w:tcBorders>
              <w:top w:val="single" w:sz="4" w:space="0" w:color="auto"/>
              <w:left w:val="nil"/>
              <w:bottom w:val="single" w:sz="4" w:space="0" w:color="auto"/>
            </w:tcBorders>
            <w:shd w:val="clear" w:color="auto" w:fill="auto"/>
            <w:noWrap/>
            <w:vAlign w:val="center"/>
          </w:tcPr>
          <w:p w14:paraId="3CE745CF" w14:textId="77777777" w:rsidR="00CE53A5" w:rsidRPr="00CE53A5" w:rsidRDefault="00CE53A5" w:rsidP="0003329D">
            <w:pPr>
              <w:pStyle w:val="cuatexto"/>
            </w:pPr>
            <w:r w:rsidRPr="00CE53A5">
              <w:t>Interior, Función Pública y Justicia</w:t>
            </w:r>
          </w:p>
        </w:tc>
        <w:tc>
          <w:tcPr>
            <w:tcW w:w="646" w:type="pct"/>
            <w:tcBorders>
              <w:top w:val="single" w:sz="4" w:space="0" w:color="auto"/>
              <w:bottom w:val="single" w:sz="4" w:space="0" w:color="auto"/>
            </w:tcBorders>
            <w:shd w:val="clear" w:color="auto" w:fill="auto"/>
            <w:noWrap/>
            <w:vAlign w:val="center"/>
          </w:tcPr>
          <w:p w14:paraId="0F6DF4C3" w14:textId="77777777" w:rsidR="00CE53A5" w:rsidRPr="00AC6A84" w:rsidRDefault="00CE53A5" w:rsidP="00FC6105">
            <w:pPr>
              <w:pStyle w:val="cuatexto"/>
              <w:jc w:val="right"/>
              <w:rPr>
                <w:sz w:val="16"/>
                <w:szCs w:val="16"/>
              </w:rPr>
            </w:pPr>
            <w:r w:rsidRPr="00AC6A84">
              <w:rPr>
                <w:sz w:val="16"/>
                <w:szCs w:val="16"/>
              </w:rPr>
              <w:t>913.489</w:t>
            </w:r>
          </w:p>
        </w:tc>
        <w:tc>
          <w:tcPr>
            <w:tcW w:w="648" w:type="pct"/>
            <w:tcBorders>
              <w:top w:val="single" w:sz="4" w:space="0" w:color="auto"/>
              <w:bottom w:val="single" w:sz="4" w:space="0" w:color="auto"/>
            </w:tcBorders>
            <w:shd w:val="clear" w:color="auto" w:fill="auto"/>
            <w:noWrap/>
            <w:vAlign w:val="center"/>
          </w:tcPr>
          <w:p w14:paraId="08539929" w14:textId="77777777" w:rsidR="00CE53A5" w:rsidRPr="00AC6A84" w:rsidRDefault="00CE53A5" w:rsidP="00FC6105">
            <w:pPr>
              <w:pStyle w:val="cuatexto"/>
              <w:jc w:val="right"/>
              <w:rPr>
                <w:sz w:val="16"/>
                <w:szCs w:val="16"/>
              </w:rPr>
            </w:pPr>
            <w:r w:rsidRPr="00AC6A84">
              <w:rPr>
                <w:sz w:val="16"/>
                <w:szCs w:val="16"/>
              </w:rPr>
              <w:t>-</w:t>
            </w:r>
          </w:p>
        </w:tc>
        <w:tc>
          <w:tcPr>
            <w:tcW w:w="564" w:type="pct"/>
            <w:tcBorders>
              <w:top w:val="single" w:sz="4" w:space="0" w:color="auto"/>
              <w:bottom w:val="single" w:sz="4" w:space="0" w:color="auto"/>
              <w:right w:val="single" w:sz="2" w:space="0" w:color="auto"/>
            </w:tcBorders>
            <w:shd w:val="clear" w:color="auto" w:fill="auto"/>
            <w:noWrap/>
            <w:vAlign w:val="bottom"/>
          </w:tcPr>
          <w:p w14:paraId="0A2775D7" w14:textId="77777777" w:rsidR="00CE53A5" w:rsidRPr="00AC6A84" w:rsidRDefault="00CE53A5" w:rsidP="00FC6105">
            <w:pPr>
              <w:pStyle w:val="cuatexto"/>
              <w:jc w:val="right"/>
              <w:rPr>
                <w:sz w:val="16"/>
                <w:szCs w:val="16"/>
              </w:rPr>
            </w:pPr>
            <w:r w:rsidRPr="00AC6A84">
              <w:rPr>
                <w:sz w:val="16"/>
                <w:szCs w:val="16"/>
              </w:rPr>
              <w:t> </w:t>
            </w:r>
          </w:p>
        </w:tc>
        <w:tc>
          <w:tcPr>
            <w:tcW w:w="326" w:type="pct"/>
            <w:tcBorders>
              <w:top w:val="single" w:sz="4" w:space="0" w:color="auto"/>
              <w:left w:val="single" w:sz="2" w:space="0" w:color="auto"/>
              <w:bottom w:val="single" w:sz="4" w:space="0" w:color="auto"/>
            </w:tcBorders>
            <w:shd w:val="clear" w:color="auto" w:fill="auto"/>
            <w:noWrap/>
            <w:vAlign w:val="center"/>
          </w:tcPr>
          <w:p w14:paraId="26E07892" w14:textId="77777777" w:rsidR="00CE53A5" w:rsidRPr="00BA61EA" w:rsidRDefault="00CE53A5" w:rsidP="00FC6105">
            <w:pPr>
              <w:pStyle w:val="cuatexto"/>
              <w:jc w:val="right"/>
              <w:rPr>
                <w:sz w:val="16"/>
                <w:szCs w:val="16"/>
              </w:rPr>
            </w:pPr>
            <w:r w:rsidRPr="00BA61EA">
              <w:rPr>
                <w:sz w:val="16"/>
                <w:szCs w:val="16"/>
              </w:rPr>
              <w:t>4</w:t>
            </w:r>
          </w:p>
        </w:tc>
        <w:tc>
          <w:tcPr>
            <w:tcW w:w="318" w:type="pct"/>
            <w:tcBorders>
              <w:top w:val="single" w:sz="4" w:space="0" w:color="auto"/>
              <w:bottom w:val="single" w:sz="4" w:space="0" w:color="auto"/>
            </w:tcBorders>
            <w:shd w:val="clear" w:color="auto" w:fill="auto"/>
            <w:noWrap/>
            <w:vAlign w:val="bottom"/>
          </w:tcPr>
          <w:p w14:paraId="0C7E4D1D" w14:textId="77777777" w:rsidR="00CE53A5" w:rsidRPr="00BA61EA" w:rsidRDefault="00CE53A5" w:rsidP="00FC6105">
            <w:pPr>
              <w:pStyle w:val="cuatexto"/>
              <w:jc w:val="right"/>
              <w:rPr>
                <w:sz w:val="16"/>
                <w:szCs w:val="16"/>
              </w:rPr>
            </w:pPr>
            <w:r w:rsidRPr="00BA61EA">
              <w:rPr>
                <w:sz w:val="16"/>
                <w:szCs w:val="16"/>
              </w:rPr>
              <w:t>-</w:t>
            </w:r>
          </w:p>
        </w:tc>
        <w:tc>
          <w:tcPr>
            <w:tcW w:w="321" w:type="pct"/>
            <w:tcBorders>
              <w:top w:val="single" w:sz="4" w:space="0" w:color="auto"/>
              <w:bottom w:val="single" w:sz="4" w:space="0" w:color="auto"/>
              <w:right w:val="nil"/>
            </w:tcBorders>
            <w:shd w:val="clear" w:color="auto" w:fill="auto"/>
            <w:noWrap/>
            <w:vAlign w:val="center"/>
          </w:tcPr>
          <w:p w14:paraId="6460FD5E" w14:textId="77777777" w:rsidR="00CE53A5" w:rsidRPr="00BA61EA" w:rsidRDefault="00CE53A5" w:rsidP="00FC6105">
            <w:pPr>
              <w:pStyle w:val="cuatexto"/>
              <w:jc w:val="right"/>
              <w:rPr>
                <w:sz w:val="16"/>
                <w:szCs w:val="16"/>
              </w:rPr>
            </w:pPr>
            <w:r w:rsidRPr="00BA61EA">
              <w:rPr>
                <w:sz w:val="16"/>
                <w:szCs w:val="16"/>
              </w:rPr>
              <w:t> </w:t>
            </w:r>
          </w:p>
        </w:tc>
      </w:tr>
      <w:tr w:rsidR="00CE53A5" w14:paraId="2259D6CE" w14:textId="77777777" w:rsidTr="002D69C2">
        <w:trPr>
          <w:trHeight w:val="198"/>
        </w:trPr>
        <w:tc>
          <w:tcPr>
            <w:tcW w:w="2178" w:type="pct"/>
            <w:gridSpan w:val="2"/>
            <w:tcBorders>
              <w:top w:val="single" w:sz="4" w:space="0" w:color="auto"/>
              <w:left w:val="nil"/>
              <w:bottom w:val="single" w:sz="4" w:space="0" w:color="auto"/>
            </w:tcBorders>
            <w:shd w:val="clear" w:color="auto" w:fill="auto"/>
            <w:noWrap/>
            <w:vAlign w:val="center"/>
          </w:tcPr>
          <w:p w14:paraId="22E38262" w14:textId="77777777" w:rsidR="00CE53A5" w:rsidRPr="00CE53A5" w:rsidRDefault="00CE53A5" w:rsidP="0003329D">
            <w:pPr>
              <w:pStyle w:val="cuatexto"/>
            </w:pPr>
            <w:r w:rsidRPr="00CE53A5">
              <w:t>Presidencia e Igualdad</w:t>
            </w:r>
          </w:p>
        </w:tc>
        <w:tc>
          <w:tcPr>
            <w:tcW w:w="646" w:type="pct"/>
            <w:tcBorders>
              <w:top w:val="single" w:sz="4" w:space="0" w:color="auto"/>
              <w:bottom w:val="single" w:sz="4" w:space="0" w:color="auto"/>
            </w:tcBorders>
            <w:shd w:val="clear" w:color="auto" w:fill="auto"/>
            <w:noWrap/>
            <w:vAlign w:val="center"/>
          </w:tcPr>
          <w:p w14:paraId="0D0DB80E" w14:textId="77777777" w:rsidR="00CE53A5" w:rsidRPr="00AC6A84" w:rsidRDefault="00CE53A5" w:rsidP="00FC6105">
            <w:pPr>
              <w:pStyle w:val="cuatexto"/>
              <w:jc w:val="right"/>
              <w:rPr>
                <w:sz w:val="16"/>
                <w:szCs w:val="16"/>
              </w:rPr>
            </w:pPr>
            <w:r w:rsidRPr="00AC6A84">
              <w:rPr>
                <w:sz w:val="16"/>
                <w:szCs w:val="16"/>
              </w:rPr>
              <w:t>901.319</w:t>
            </w:r>
          </w:p>
        </w:tc>
        <w:tc>
          <w:tcPr>
            <w:tcW w:w="648" w:type="pct"/>
            <w:tcBorders>
              <w:top w:val="single" w:sz="4" w:space="0" w:color="auto"/>
              <w:bottom w:val="single" w:sz="4" w:space="0" w:color="auto"/>
            </w:tcBorders>
            <w:shd w:val="clear" w:color="auto" w:fill="auto"/>
            <w:noWrap/>
            <w:vAlign w:val="center"/>
          </w:tcPr>
          <w:p w14:paraId="625AAB61" w14:textId="77777777" w:rsidR="00CE53A5" w:rsidRPr="00AC6A84" w:rsidRDefault="00CE53A5" w:rsidP="00FC6105">
            <w:pPr>
              <w:pStyle w:val="cuatexto"/>
              <w:jc w:val="right"/>
              <w:rPr>
                <w:sz w:val="16"/>
                <w:szCs w:val="16"/>
              </w:rPr>
            </w:pPr>
            <w:r w:rsidRPr="00AC6A84">
              <w:rPr>
                <w:sz w:val="16"/>
                <w:szCs w:val="16"/>
              </w:rPr>
              <w:t>1.001.561</w:t>
            </w:r>
          </w:p>
        </w:tc>
        <w:tc>
          <w:tcPr>
            <w:tcW w:w="564" w:type="pct"/>
            <w:tcBorders>
              <w:top w:val="single" w:sz="4" w:space="0" w:color="auto"/>
              <w:bottom w:val="single" w:sz="4" w:space="0" w:color="auto"/>
              <w:right w:val="single" w:sz="2" w:space="0" w:color="auto"/>
            </w:tcBorders>
            <w:shd w:val="clear" w:color="auto" w:fill="auto"/>
            <w:noWrap/>
            <w:vAlign w:val="bottom"/>
          </w:tcPr>
          <w:p w14:paraId="4B6D8E37" w14:textId="77777777" w:rsidR="00CE53A5" w:rsidRPr="00AC6A84" w:rsidRDefault="00CE53A5" w:rsidP="00053346">
            <w:pPr>
              <w:pStyle w:val="cuatexto"/>
              <w:jc w:val="right"/>
              <w:rPr>
                <w:sz w:val="16"/>
                <w:szCs w:val="16"/>
              </w:rPr>
            </w:pPr>
            <w:r w:rsidRPr="00AC6A84">
              <w:rPr>
                <w:sz w:val="16"/>
                <w:szCs w:val="16"/>
              </w:rPr>
              <w:t>-10</w:t>
            </w:r>
          </w:p>
        </w:tc>
        <w:tc>
          <w:tcPr>
            <w:tcW w:w="326" w:type="pct"/>
            <w:tcBorders>
              <w:top w:val="single" w:sz="4" w:space="0" w:color="auto"/>
              <w:left w:val="single" w:sz="2" w:space="0" w:color="auto"/>
              <w:bottom w:val="single" w:sz="4" w:space="0" w:color="auto"/>
            </w:tcBorders>
            <w:shd w:val="clear" w:color="auto" w:fill="auto"/>
            <w:noWrap/>
            <w:vAlign w:val="center"/>
          </w:tcPr>
          <w:p w14:paraId="44F5B5FD" w14:textId="77777777" w:rsidR="00CE53A5" w:rsidRPr="00BA61EA" w:rsidRDefault="00CE53A5" w:rsidP="00FC6105">
            <w:pPr>
              <w:pStyle w:val="cuatexto"/>
              <w:jc w:val="right"/>
              <w:rPr>
                <w:sz w:val="16"/>
                <w:szCs w:val="16"/>
              </w:rPr>
            </w:pPr>
            <w:r w:rsidRPr="00BA61EA">
              <w:rPr>
                <w:sz w:val="16"/>
                <w:szCs w:val="16"/>
              </w:rPr>
              <w:t>4</w:t>
            </w:r>
          </w:p>
        </w:tc>
        <w:tc>
          <w:tcPr>
            <w:tcW w:w="318" w:type="pct"/>
            <w:tcBorders>
              <w:top w:val="single" w:sz="4" w:space="0" w:color="auto"/>
              <w:bottom w:val="single" w:sz="4" w:space="0" w:color="auto"/>
            </w:tcBorders>
            <w:shd w:val="clear" w:color="auto" w:fill="auto"/>
            <w:noWrap/>
            <w:vAlign w:val="center"/>
          </w:tcPr>
          <w:p w14:paraId="215374DE" w14:textId="77777777" w:rsidR="00CE53A5" w:rsidRPr="00BA61EA" w:rsidRDefault="00CE53A5" w:rsidP="00FC6105">
            <w:pPr>
              <w:pStyle w:val="cuatexto"/>
              <w:jc w:val="right"/>
              <w:rPr>
                <w:sz w:val="16"/>
                <w:szCs w:val="16"/>
              </w:rPr>
            </w:pPr>
            <w:r w:rsidRPr="00BA61EA">
              <w:rPr>
                <w:sz w:val="16"/>
                <w:szCs w:val="16"/>
              </w:rPr>
              <w:t>5</w:t>
            </w:r>
          </w:p>
        </w:tc>
        <w:tc>
          <w:tcPr>
            <w:tcW w:w="321" w:type="pct"/>
            <w:tcBorders>
              <w:top w:val="single" w:sz="4" w:space="0" w:color="auto"/>
              <w:bottom w:val="single" w:sz="4" w:space="0" w:color="auto"/>
              <w:right w:val="nil"/>
            </w:tcBorders>
            <w:shd w:val="clear" w:color="auto" w:fill="auto"/>
            <w:noWrap/>
            <w:vAlign w:val="center"/>
          </w:tcPr>
          <w:p w14:paraId="19B726D7" w14:textId="77777777" w:rsidR="00CE53A5" w:rsidRPr="00BA61EA" w:rsidRDefault="00CE53A5" w:rsidP="00053346">
            <w:pPr>
              <w:pStyle w:val="cuatexto"/>
              <w:jc w:val="right"/>
              <w:rPr>
                <w:sz w:val="16"/>
                <w:szCs w:val="16"/>
              </w:rPr>
            </w:pPr>
            <w:r w:rsidRPr="00BA61EA">
              <w:rPr>
                <w:sz w:val="16"/>
                <w:szCs w:val="16"/>
              </w:rPr>
              <w:t>-20</w:t>
            </w:r>
          </w:p>
        </w:tc>
      </w:tr>
      <w:tr w:rsidR="00CE53A5" w14:paraId="32C78B31" w14:textId="77777777" w:rsidTr="002D69C2">
        <w:trPr>
          <w:trHeight w:val="198"/>
        </w:trPr>
        <w:tc>
          <w:tcPr>
            <w:tcW w:w="2178" w:type="pct"/>
            <w:gridSpan w:val="2"/>
            <w:tcBorders>
              <w:top w:val="single" w:sz="4" w:space="0" w:color="auto"/>
              <w:left w:val="nil"/>
              <w:bottom w:val="single" w:sz="4" w:space="0" w:color="auto"/>
            </w:tcBorders>
            <w:shd w:val="clear" w:color="auto" w:fill="auto"/>
            <w:noWrap/>
            <w:vAlign w:val="center"/>
          </w:tcPr>
          <w:p w14:paraId="6B92685C" w14:textId="77777777" w:rsidR="00CE53A5" w:rsidRPr="00CE53A5" w:rsidRDefault="00CE53A5" w:rsidP="0003329D">
            <w:pPr>
              <w:pStyle w:val="cuatexto"/>
            </w:pPr>
            <w:r w:rsidRPr="00CE53A5">
              <w:t>Vivienda, Juventud y Políticas Migratorias</w:t>
            </w:r>
          </w:p>
        </w:tc>
        <w:tc>
          <w:tcPr>
            <w:tcW w:w="646" w:type="pct"/>
            <w:tcBorders>
              <w:top w:val="single" w:sz="4" w:space="0" w:color="auto"/>
              <w:bottom w:val="single" w:sz="4" w:space="0" w:color="auto"/>
            </w:tcBorders>
            <w:shd w:val="clear" w:color="auto" w:fill="auto"/>
            <w:noWrap/>
            <w:vAlign w:val="center"/>
          </w:tcPr>
          <w:p w14:paraId="6ABA9538" w14:textId="77777777" w:rsidR="00CE53A5" w:rsidRPr="00AC6A84" w:rsidRDefault="00CE53A5" w:rsidP="00FC6105">
            <w:pPr>
              <w:pStyle w:val="cuatexto"/>
              <w:jc w:val="right"/>
              <w:rPr>
                <w:sz w:val="16"/>
                <w:szCs w:val="16"/>
              </w:rPr>
            </w:pPr>
            <w:r w:rsidRPr="00AC6A84">
              <w:rPr>
                <w:sz w:val="16"/>
                <w:szCs w:val="16"/>
              </w:rPr>
              <w:t>476.834</w:t>
            </w:r>
          </w:p>
        </w:tc>
        <w:tc>
          <w:tcPr>
            <w:tcW w:w="648" w:type="pct"/>
            <w:tcBorders>
              <w:top w:val="single" w:sz="4" w:space="0" w:color="auto"/>
              <w:bottom w:val="single" w:sz="4" w:space="0" w:color="auto"/>
            </w:tcBorders>
            <w:shd w:val="clear" w:color="auto" w:fill="auto"/>
            <w:noWrap/>
            <w:vAlign w:val="center"/>
          </w:tcPr>
          <w:p w14:paraId="12FB72AB" w14:textId="77777777" w:rsidR="00CE53A5" w:rsidRPr="00AC6A84" w:rsidRDefault="00CE53A5" w:rsidP="00FC6105">
            <w:pPr>
              <w:pStyle w:val="cuatexto"/>
              <w:jc w:val="right"/>
              <w:rPr>
                <w:sz w:val="16"/>
                <w:szCs w:val="16"/>
              </w:rPr>
            </w:pPr>
            <w:r w:rsidRPr="00AC6A84">
              <w:rPr>
                <w:sz w:val="16"/>
                <w:szCs w:val="16"/>
              </w:rPr>
              <w:t>342.794</w:t>
            </w:r>
          </w:p>
        </w:tc>
        <w:tc>
          <w:tcPr>
            <w:tcW w:w="564" w:type="pct"/>
            <w:tcBorders>
              <w:top w:val="single" w:sz="4" w:space="0" w:color="auto"/>
              <w:bottom w:val="single" w:sz="4" w:space="0" w:color="auto"/>
              <w:right w:val="single" w:sz="2" w:space="0" w:color="auto"/>
            </w:tcBorders>
            <w:shd w:val="clear" w:color="auto" w:fill="auto"/>
            <w:noWrap/>
            <w:vAlign w:val="bottom"/>
          </w:tcPr>
          <w:p w14:paraId="536ABE1F" w14:textId="77777777" w:rsidR="00CE53A5" w:rsidRPr="00AC6A84" w:rsidRDefault="00CE53A5" w:rsidP="00053346">
            <w:pPr>
              <w:pStyle w:val="cuatexto"/>
              <w:jc w:val="right"/>
              <w:rPr>
                <w:sz w:val="16"/>
                <w:szCs w:val="16"/>
              </w:rPr>
            </w:pPr>
            <w:r w:rsidRPr="00AC6A84">
              <w:rPr>
                <w:sz w:val="16"/>
                <w:szCs w:val="16"/>
              </w:rPr>
              <w:t>39</w:t>
            </w:r>
          </w:p>
        </w:tc>
        <w:tc>
          <w:tcPr>
            <w:tcW w:w="326" w:type="pct"/>
            <w:tcBorders>
              <w:top w:val="single" w:sz="4" w:space="0" w:color="auto"/>
              <w:left w:val="single" w:sz="2" w:space="0" w:color="auto"/>
              <w:bottom w:val="single" w:sz="4" w:space="0" w:color="auto"/>
            </w:tcBorders>
            <w:shd w:val="clear" w:color="auto" w:fill="auto"/>
            <w:noWrap/>
            <w:vAlign w:val="center"/>
          </w:tcPr>
          <w:p w14:paraId="410C8759" w14:textId="77777777" w:rsidR="00CE53A5" w:rsidRPr="00BA61EA" w:rsidRDefault="00CE53A5" w:rsidP="00FC6105">
            <w:pPr>
              <w:pStyle w:val="cuatexto"/>
              <w:jc w:val="right"/>
              <w:rPr>
                <w:sz w:val="16"/>
                <w:szCs w:val="16"/>
              </w:rPr>
            </w:pPr>
            <w:r w:rsidRPr="00BA61EA">
              <w:rPr>
                <w:sz w:val="16"/>
                <w:szCs w:val="16"/>
              </w:rPr>
              <w:t>2</w:t>
            </w:r>
          </w:p>
        </w:tc>
        <w:tc>
          <w:tcPr>
            <w:tcW w:w="318" w:type="pct"/>
            <w:tcBorders>
              <w:top w:val="single" w:sz="4" w:space="0" w:color="auto"/>
              <w:bottom w:val="single" w:sz="4" w:space="0" w:color="auto"/>
            </w:tcBorders>
            <w:shd w:val="clear" w:color="auto" w:fill="auto"/>
            <w:noWrap/>
            <w:vAlign w:val="center"/>
          </w:tcPr>
          <w:p w14:paraId="18B1443D" w14:textId="77777777" w:rsidR="00CE53A5" w:rsidRPr="00BA61EA" w:rsidRDefault="00CE53A5" w:rsidP="00FC6105">
            <w:pPr>
              <w:pStyle w:val="cuatexto"/>
              <w:jc w:val="right"/>
              <w:rPr>
                <w:sz w:val="16"/>
                <w:szCs w:val="16"/>
              </w:rPr>
            </w:pPr>
            <w:r w:rsidRPr="00BA61EA">
              <w:rPr>
                <w:sz w:val="16"/>
                <w:szCs w:val="16"/>
              </w:rPr>
              <w:t>3</w:t>
            </w:r>
          </w:p>
        </w:tc>
        <w:tc>
          <w:tcPr>
            <w:tcW w:w="321" w:type="pct"/>
            <w:tcBorders>
              <w:top w:val="single" w:sz="4" w:space="0" w:color="auto"/>
              <w:bottom w:val="single" w:sz="4" w:space="0" w:color="auto"/>
              <w:right w:val="nil"/>
            </w:tcBorders>
            <w:shd w:val="clear" w:color="auto" w:fill="auto"/>
            <w:noWrap/>
            <w:vAlign w:val="center"/>
          </w:tcPr>
          <w:p w14:paraId="6393A902" w14:textId="77777777" w:rsidR="00CE53A5" w:rsidRPr="00BA61EA" w:rsidRDefault="00CE53A5" w:rsidP="00053346">
            <w:pPr>
              <w:pStyle w:val="cuatexto"/>
              <w:jc w:val="right"/>
              <w:rPr>
                <w:sz w:val="16"/>
                <w:szCs w:val="16"/>
              </w:rPr>
            </w:pPr>
            <w:r w:rsidRPr="00BA61EA">
              <w:rPr>
                <w:sz w:val="16"/>
                <w:szCs w:val="16"/>
              </w:rPr>
              <w:t>-33</w:t>
            </w:r>
          </w:p>
        </w:tc>
      </w:tr>
      <w:tr w:rsidR="00CE53A5" w14:paraId="5C7D0608" w14:textId="77777777" w:rsidTr="00D01D3B">
        <w:trPr>
          <w:trHeight w:val="198"/>
        </w:trPr>
        <w:tc>
          <w:tcPr>
            <w:tcW w:w="2178" w:type="pct"/>
            <w:gridSpan w:val="2"/>
            <w:tcBorders>
              <w:top w:val="single" w:sz="4" w:space="0" w:color="auto"/>
              <w:left w:val="nil"/>
              <w:bottom w:val="single" w:sz="4" w:space="0" w:color="auto"/>
            </w:tcBorders>
            <w:shd w:val="clear" w:color="auto" w:fill="auto"/>
            <w:noWrap/>
            <w:vAlign w:val="center"/>
          </w:tcPr>
          <w:p w14:paraId="2C33ABFF" w14:textId="77777777" w:rsidR="00CE53A5" w:rsidRPr="00CE53A5" w:rsidRDefault="00CE53A5" w:rsidP="0003329D">
            <w:pPr>
              <w:pStyle w:val="cuatexto"/>
            </w:pPr>
            <w:r w:rsidRPr="00CE53A5">
              <w:t>Cultura, Deporte y Turismo</w:t>
            </w:r>
          </w:p>
        </w:tc>
        <w:tc>
          <w:tcPr>
            <w:tcW w:w="646" w:type="pct"/>
            <w:tcBorders>
              <w:top w:val="single" w:sz="4" w:space="0" w:color="auto"/>
              <w:bottom w:val="single" w:sz="4" w:space="0" w:color="auto"/>
            </w:tcBorders>
            <w:shd w:val="clear" w:color="auto" w:fill="auto"/>
            <w:noWrap/>
            <w:vAlign w:val="center"/>
          </w:tcPr>
          <w:p w14:paraId="555A1D44" w14:textId="77777777" w:rsidR="00CE53A5" w:rsidRPr="00AC6A84" w:rsidRDefault="00CE53A5" w:rsidP="00FC6105">
            <w:pPr>
              <w:pStyle w:val="cuatexto"/>
              <w:jc w:val="right"/>
              <w:rPr>
                <w:sz w:val="16"/>
                <w:szCs w:val="16"/>
              </w:rPr>
            </w:pPr>
            <w:r w:rsidRPr="00AC6A84">
              <w:rPr>
                <w:sz w:val="16"/>
                <w:szCs w:val="16"/>
              </w:rPr>
              <w:t>467.725</w:t>
            </w:r>
          </w:p>
        </w:tc>
        <w:tc>
          <w:tcPr>
            <w:tcW w:w="648" w:type="pct"/>
            <w:tcBorders>
              <w:top w:val="single" w:sz="4" w:space="0" w:color="auto"/>
              <w:bottom w:val="single" w:sz="4" w:space="0" w:color="auto"/>
            </w:tcBorders>
            <w:shd w:val="clear" w:color="auto" w:fill="auto"/>
            <w:noWrap/>
            <w:vAlign w:val="center"/>
          </w:tcPr>
          <w:p w14:paraId="7D21AC6A" w14:textId="77777777" w:rsidR="00CE53A5" w:rsidRPr="00AC6A84" w:rsidRDefault="00CE53A5" w:rsidP="00FC6105">
            <w:pPr>
              <w:pStyle w:val="cuatexto"/>
              <w:jc w:val="right"/>
              <w:rPr>
                <w:sz w:val="16"/>
                <w:szCs w:val="16"/>
              </w:rPr>
            </w:pPr>
            <w:r w:rsidRPr="00AC6A84">
              <w:rPr>
                <w:sz w:val="16"/>
                <w:szCs w:val="16"/>
              </w:rPr>
              <w:t>396.968</w:t>
            </w:r>
          </w:p>
        </w:tc>
        <w:tc>
          <w:tcPr>
            <w:tcW w:w="564" w:type="pct"/>
            <w:tcBorders>
              <w:top w:val="single" w:sz="4" w:space="0" w:color="auto"/>
              <w:bottom w:val="single" w:sz="4" w:space="0" w:color="auto"/>
              <w:right w:val="single" w:sz="2" w:space="0" w:color="auto"/>
            </w:tcBorders>
            <w:shd w:val="clear" w:color="auto" w:fill="auto"/>
            <w:noWrap/>
            <w:vAlign w:val="bottom"/>
          </w:tcPr>
          <w:p w14:paraId="0FE0623C" w14:textId="77777777" w:rsidR="00CE53A5" w:rsidRPr="00AC6A84" w:rsidRDefault="00CE53A5" w:rsidP="00053346">
            <w:pPr>
              <w:pStyle w:val="cuatexto"/>
              <w:jc w:val="right"/>
              <w:rPr>
                <w:sz w:val="16"/>
                <w:szCs w:val="16"/>
              </w:rPr>
            </w:pPr>
            <w:r w:rsidRPr="00AC6A84">
              <w:rPr>
                <w:sz w:val="16"/>
                <w:szCs w:val="16"/>
              </w:rPr>
              <w:t>18</w:t>
            </w:r>
          </w:p>
        </w:tc>
        <w:tc>
          <w:tcPr>
            <w:tcW w:w="326" w:type="pct"/>
            <w:tcBorders>
              <w:top w:val="single" w:sz="4" w:space="0" w:color="auto"/>
              <w:left w:val="single" w:sz="2" w:space="0" w:color="auto"/>
              <w:bottom w:val="single" w:sz="4" w:space="0" w:color="auto"/>
            </w:tcBorders>
            <w:shd w:val="clear" w:color="auto" w:fill="auto"/>
            <w:noWrap/>
            <w:vAlign w:val="center"/>
          </w:tcPr>
          <w:p w14:paraId="2E2557DD" w14:textId="77777777" w:rsidR="00CE53A5" w:rsidRPr="00BA61EA" w:rsidRDefault="00CE53A5" w:rsidP="00FC6105">
            <w:pPr>
              <w:pStyle w:val="cuatexto"/>
              <w:jc w:val="right"/>
              <w:rPr>
                <w:sz w:val="16"/>
                <w:szCs w:val="16"/>
              </w:rPr>
            </w:pPr>
            <w:r w:rsidRPr="00BA61EA">
              <w:rPr>
                <w:sz w:val="16"/>
                <w:szCs w:val="16"/>
              </w:rPr>
              <w:t>7</w:t>
            </w:r>
          </w:p>
        </w:tc>
        <w:tc>
          <w:tcPr>
            <w:tcW w:w="318" w:type="pct"/>
            <w:tcBorders>
              <w:top w:val="single" w:sz="4" w:space="0" w:color="auto"/>
              <w:bottom w:val="single" w:sz="4" w:space="0" w:color="auto"/>
            </w:tcBorders>
            <w:shd w:val="clear" w:color="auto" w:fill="auto"/>
            <w:noWrap/>
            <w:vAlign w:val="center"/>
          </w:tcPr>
          <w:p w14:paraId="69A8785F" w14:textId="77777777" w:rsidR="00CE53A5" w:rsidRPr="00BA61EA" w:rsidRDefault="00CE53A5" w:rsidP="00FC6105">
            <w:pPr>
              <w:pStyle w:val="cuatexto"/>
              <w:jc w:val="right"/>
              <w:rPr>
                <w:sz w:val="16"/>
                <w:szCs w:val="16"/>
              </w:rPr>
            </w:pPr>
            <w:r w:rsidRPr="00BA61EA">
              <w:rPr>
                <w:sz w:val="16"/>
                <w:szCs w:val="16"/>
              </w:rPr>
              <w:t>8</w:t>
            </w:r>
          </w:p>
        </w:tc>
        <w:tc>
          <w:tcPr>
            <w:tcW w:w="321" w:type="pct"/>
            <w:tcBorders>
              <w:top w:val="single" w:sz="4" w:space="0" w:color="auto"/>
              <w:bottom w:val="single" w:sz="4" w:space="0" w:color="auto"/>
              <w:right w:val="nil"/>
            </w:tcBorders>
            <w:shd w:val="clear" w:color="auto" w:fill="auto"/>
            <w:noWrap/>
            <w:vAlign w:val="center"/>
          </w:tcPr>
          <w:p w14:paraId="7F1ED276" w14:textId="77777777" w:rsidR="00CE53A5" w:rsidRPr="00BA61EA" w:rsidRDefault="00CE53A5" w:rsidP="00053346">
            <w:pPr>
              <w:pStyle w:val="cuatexto"/>
              <w:jc w:val="right"/>
              <w:rPr>
                <w:sz w:val="16"/>
                <w:szCs w:val="16"/>
              </w:rPr>
            </w:pPr>
            <w:r w:rsidRPr="00BA61EA">
              <w:rPr>
                <w:sz w:val="16"/>
                <w:szCs w:val="16"/>
              </w:rPr>
              <w:t>-13</w:t>
            </w:r>
          </w:p>
        </w:tc>
      </w:tr>
      <w:tr w:rsidR="00E437CE" w:rsidRPr="00E906A4" w14:paraId="4D74BB23" w14:textId="77777777" w:rsidTr="002D69C2">
        <w:trPr>
          <w:trHeight w:val="255"/>
        </w:trPr>
        <w:tc>
          <w:tcPr>
            <w:tcW w:w="2018" w:type="pct"/>
            <w:tcBorders>
              <w:top w:val="single" w:sz="4" w:space="0" w:color="auto"/>
              <w:left w:val="nil"/>
              <w:bottom w:val="single" w:sz="4" w:space="0" w:color="auto"/>
            </w:tcBorders>
            <w:shd w:val="clear" w:color="000000" w:fill="8DB3E2"/>
            <w:vAlign w:val="center"/>
          </w:tcPr>
          <w:p w14:paraId="435D42D6" w14:textId="77777777" w:rsidR="00CE53A5" w:rsidRPr="00E906A4" w:rsidRDefault="00CE53A5" w:rsidP="0003329D">
            <w:pPr>
              <w:pStyle w:val="cuadroCabe"/>
              <w:rPr>
                <w:rFonts w:cs="Arial"/>
                <w:sz w:val="16"/>
                <w:szCs w:val="16"/>
              </w:rPr>
            </w:pPr>
            <w:r w:rsidRPr="00E906A4">
              <w:rPr>
                <w:rFonts w:cs="Arial"/>
                <w:sz w:val="16"/>
                <w:szCs w:val="16"/>
              </w:rPr>
              <w:t>Total general</w:t>
            </w:r>
          </w:p>
        </w:tc>
        <w:tc>
          <w:tcPr>
            <w:tcW w:w="806" w:type="pct"/>
            <w:gridSpan w:val="2"/>
            <w:tcBorders>
              <w:top w:val="single" w:sz="4" w:space="0" w:color="auto"/>
              <w:bottom w:val="single" w:sz="4" w:space="0" w:color="auto"/>
            </w:tcBorders>
            <w:shd w:val="clear" w:color="000000" w:fill="8DB3E2"/>
            <w:noWrap/>
            <w:vAlign w:val="center"/>
          </w:tcPr>
          <w:p w14:paraId="6BD9F517" w14:textId="77777777" w:rsidR="00CE53A5" w:rsidRPr="00E906A4" w:rsidRDefault="00CE53A5" w:rsidP="00FC6105">
            <w:pPr>
              <w:pStyle w:val="cuadroCabe"/>
              <w:jc w:val="right"/>
              <w:rPr>
                <w:rFonts w:cs="Arial"/>
                <w:sz w:val="16"/>
                <w:szCs w:val="16"/>
              </w:rPr>
            </w:pPr>
            <w:r w:rsidRPr="00E906A4">
              <w:rPr>
                <w:rFonts w:cs="Arial"/>
                <w:sz w:val="16"/>
                <w:szCs w:val="16"/>
              </w:rPr>
              <w:t>123.169.316</w:t>
            </w:r>
          </w:p>
        </w:tc>
        <w:tc>
          <w:tcPr>
            <w:tcW w:w="648" w:type="pct"/>
            <w:tcBorders>
              <w:top w:val="single" w:sz="4" w:space="0" w:color="auto"/>
              <w:bottom w:val="single" w:sz="4" w:space="0" w:color="auto"/>
            </w:tcBorders>
            <w:shd w:val="clear" w:color="000000" w:fill="8DB3E2"/>
            <w:noWrap/>
            <w:vAlign w:val="center"/>
          </w:tcPr>
          <w:p w14:paraId="239C5C08" w14:textId="77777777" w:rsidR="00CE53A5" w:rsidRPr="00E906A4" w:rsidRDefault="00CE53A5" w:rsidP="00FC6105">
            <w:pPr>
              <w:pStyle w:val="cuadroCabe"/>
              <w:jc w:val="right"/>
              <w:rPr>
                <w:rFonts w:cs="Arial"/>
                <w:sz w:val="16"/>
                <w:szCs w:val="16"/>
              </w:rPr>
            </w:pPr>
            <w:r w:rsidRPr="00E906A4">
              <w:rPr>
                <w:rFonts w:cs="Arial"/>
                <w:sz w:val="16"/>
                <w:szCs w:val="16"/>
              </w:rPr>
              <w:t>154.333.989</w:t>
            </w:r>
          </w:p>
        </w:tc>
        <w:tc>
          <w:tcPr>
            <w:tcW w:w="564" w:type="pct"/>
            <w:tcBorders>
              <w:top w:val="single" w:sz="4" w:space="0" w:color="auto"/>
              <w:bottom w:val="single" w:sz="4" w:space="0" w:color="auto"/>
              <w:right w:val="single" w:sz="2" w:space="0" w:color="auto"/>
            </w:tcBorders>
            <w:shd w:val="clear" w:color="000000" w:fill="8DB3E2"/>
            <w:noWrap/>
            <w:vAlign w:val="center"/>
          </w:tcPr>
          <w:p w14:paraId="40836F4E" w14:textId="77777777" w:rsidR="00CE53A5" w:rsidRPr="00E906A4" w:rsidRDefault="00CE53A5" w:rsidP="00053346">
            <w:pPr>
              <w:pStyle w:val="cuadroCabe"/>
              <w:jc w:val="right"/>
              <w:rPr>
                <w:rFonts w:cs="Arial"/>
                <w:sz w:val="16"/>
                <w:szCs w:val="16"/>
              </w:rPr>
            </w:pPr>
            <w:r w:rsidRPr="00E906A4">
              <w:rPr>
                <w:rFonts w:cs="Arial"/>
                <w:sz w:val="16"/>
                <w:szCs w:val="16"/>
              </w:rPr>
              <w:t>-20</w:t>
            </w:r>
          </w:p>
        </w:tc>
        <w:tc>
          <w:tcPr>
            <w:tcW w:w="326" w:type="pct"/>
            <w:tcBorders>
              <w:top w:val="single" w:sz="4" w:space="0" w:color="auto"/>
              <w:left w:val="single" w:sz="2" w:space="0" w:color="auto"/>
              <w:bottom w:val="single" w:sz="4" w:space="0" w:color="auto"/>
            </w:tcBorders>
            <w:shd w:val="clear" w:color="000000" w:fill="8DB3E2"/>
            <w:noWrap/>
            <w:vAlign w:val="center"/>
          </w:tcPr>
          <w:p w14:paraId="0D51D95B" w14:textId="77777777" w:rsidR="00CE53A5" w:rsidRPr="00BA61EA" w:rsidRDefault="00CE53A5" w:rsidP="00FC6105">
            <w:pPr>
              <w:pStyle w:val="cuadroCabe"/>
              <w:jc w:val="right"/>
              <w:rPr>
                <w:rFonts w:cs="Arial"/>
                <w:sz w:val="16"/>
                <w:szCs w:val="16"/>
              </w:rPr>
            </w:pPr>
            <w:r w:rsidRPr="00BA61EA">
              <w:rPr>
                <w:rFonts w:cs="Arial"/>
                <w:sz w:val="16"/>
                <w:szCs w:val="16"/>
              </w:rPr>
              <w:t>184</w:t>
            </w:r>
          </w:p>
        </w:tc>
        <w:tc>
          <w:tcPr>
            <w:tcW w:w="318" w:type="pct"/>
            <w:tcBorders>
              <w:top w:val="single" w:sz="4" w:space="0" w:color="auto"/>
              <w:bottom w:val="single" w:sz="4" w:space="0" w:color="auto"/>
            </w:tcBorders>
            <w:shd w:val="clear" w:color="000000" w:fill="8DB3E2"/>
            <w:noWrap/>
            <w:vAlign w:val="center"/>
          </w:tcPr>
          <w:p w14:paraId="180C3F9E" w14:textId="77777777" w:rsidR="00CE53A5" w:rsidRPr="00BA61EA" w:rsidRDefault="00CE53A5" w:rsidP="00FC6105">
            <w:pPr>
              <w:pStyle w:val="cuadroCabe"/>
              <w:jc w:val="right"/>
              <w:rPr>
                <w:rFonts w:cs="Arial"/>
                <w:sz w:val="16"/>
                <w:szCs w:val="16"/>
              </w:rPr>
            </w:pPr>
            <w:r w:rsidRPr="00BA61EA">
              <w:rPr>
                <w:rFonts w:cs="Arial"/>
                <w:sz w:val="16"/>
                <w:szCs w:val="16"/>
              </w:rPr>
              <w:t>175</w:t>
            </w:r>
          </w:p>
        </w:tc>
        <w:tc>
          <w:tcPr>
            <w:tcW w:w="321" w:type="pct"/>
            <w:tcBorders>
              <w:top w:val="single" w:sz="4" w:space="0" w:color="auto"/>
              <w:bottom w:val="single" w:sz="4" w:space="0" w:color="auto"/>
              <w:right w:val="nil"/>
            </w:tcBorders>
            <w:shd w:val="clear" w:color="000000" w:fill="8DB3E2"/>
            <w:noWrap/>
            <w:vAlign w:val="center"/>
          </w:tcPr>
          <w:p w14:paraId="28F155C9" w14:textId="77777777" w:rsidR="00CE53A5" w:rsidRPr="00BA61EA" w:rsidRDefault="00CE53A5" w:rsidP="00053346">
            <w:pPr>
              <w:pStyle w:val="cuadroCabe"/>
              <w:jc w:val="right"/>
              <w:rPr>
                <w:rFonts w:cs="Arial"/>
                <w:sz w:val="16"/>
                <w:szCs w:val="16"/>
              </w:rPr>
            </w:pPr>
            <w:r w:rsidRPr="00BA61EA">
              <w:rPr>
                <w:rFonts w:cs="Arial"/>
                <w:sz w:val="16"/>
                <w:szCs w:val="16"/>
              </w:rPr>
              <w:t>5</w:t>
            </w:r>
          </w:p>
        </w:tc>
      </w:tr>
    </w:tbl>
    <w:p w14:paraId="123C139F" w14:textId="77777777" w:rsidR="0078729F" w:rsidRDefault="0078729F" w:rsidP="00D01D3B">
      <w:pPr>
        <w:pStyle w:val="texto"/>
        <w:spacing w:before="120" w:after="120"/>
        <w:jc w:val="both"/>
      </w:pPr>
      <w:r>
        <w:t xml:space="preserve">Del análisis del </w:t>
      </w:r>
      <w:r w:rsidRPr="002D69C2">
        <w:rPr>
          <w:rFonts w:cs="Arial"/>
          <w:lang w:val="es-ES_tradnl" w:eastAsia="en-US"/>
        </w:rPr>
        <w:t>cuadro</w:t>
      </w:r>
      <w:r>
        <w:t xml:space="preserve"> anterior señalamos los siguientes aspectos:</w:t>
      </w:r>
    </w:p>
    <w:p w14:paraId="25C96F70" w14:textId="77777777" w:rsidR="0078729F" w:rsidRPr="003D09D7" w:rsidRDefault="00E437CE"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El gasto total abonado (123,16</w:t>
      </w:r>
      <w:r w:rsidR="0078729F" w:rsidRPr="003D09D7">
        <w:rPr>
          <w:rFonts w:cs="Arial"/>
          <w:lang w:val="es-ES_tradnl" w:eastAsia="en-US"/>
        </w:rPr>
        <w:t xml:space="preserve"> millones) en 202</w:t>
      </w:r>
      <w:r w:rsidRPr="003D09D7">
        <w:rPr>
          <w:rFonts w:cs="Arial"/>
          <w:lang w:val="es-ES_tradnl" w:eastAsia="en-US"/>
        </w:rPr>
        <w:t>3</w:t>
      </w:r>
      <w:r w:rsidR="0078729F" w:rsidRPr="003D09D7">
        <w:rPr>
          <w:rFonts w:cs="Arial"/>
          <w:lang w:val="es-ES_tradnl" w:eastAsia="en-US"/>
        </w:rPr>
        <w:t xml:space="preserve"> ha </w:t>
      </w:r>
      <w:r w:rsidRPr="003D09D7">
        <w:rPr>
          <w:rFonts w:cs="Arial"/>
          <w:lang w:val="es-ES_tradnl" w:eastAsia="en-US"/>
        </w:rPr>
        <w:t xml:space="preserve">disminuido </w:t>
      </w:r>
      <w:r w:rsidR="0078729F" w:rsidRPr="003D09D7">
        <w:rPr>
          <w:rFonts w:cs="Arial"/>
          <w:lang w:val="es-ES_tradnl" w:eastAsia="en-US"/>
        </w:rPr>
        <w:t>un 2</w:t>
      </w:r>
      <w:r w:rsidRPr="003D09D7">
        <w:rPr>
          <w:rFonts w:cs="Arial"/>
          <w:lang w:val="es-ES_tradnl" w:eastAsia="en-US"/>
        </w:rPr>
        <w:t>0</w:t>
      </w:r>
      <w:r w:rsidR="0078729F" w:rsidRPr="003D09D7">
        <w:rPr>
          <w:rFonts w:cs="Arial"/>
          <w:lang w:val="es-ES_tradnl" w:eastAsia="en-US"/>
        </w:rPr>
        <w:t xml:space="preserve"> </w:t>
      </w:r>
      <w:r w:rsidRPr="003D09D7">
        <w:rPr>
          <w:rFonts w:cs="Arial"/>
          <w:lang w:val="es-ES_tradnl" w:eastAsia="en-US"/>
        </w:rPr>
        <w:t xml:space="preserve">por ciento (31,16 </w:t>
      </w:r>
      <w:r w:rsidR="0078729F" w:rsidRPr="003D09D7">
        <w:rPr>
          <w:rFonts w:cs="Arial"/>
          <w:lang w:val="es-ES_tradnl" w:eastAsia="en-US"/>
        </w:rPr>
        <w:t>millones) respecto a 202</w:t>
      </w:r>
      <w:r w:rsidRPr="003D09D7">
        <w:rPr>
          <w:rFonts w:cs="Arial"/>
          <w:lang w:val="es-ES_tradnl" w:eastAsia="en-US"/>
        </w:rPr>
        <w:t>2</w:t>
      </w:r>
      <w:r w:rsidR="004D3BC6" w:rsidRPr="003D09D7">
        <w:rPr>
          <w:rFonts w:cs="Arial"/>
          <w:lang w:val="es-ES_tradnl" w:eastAsia="en-US"/>
        </w:rPr>
        <w:t xml:space="preserve">, siendo los departamentos de Derechos Sociales, Economía </w:t>
      </w:r>
      <w:r w:rsidR="001633BF">
        <w:rPr>
          <w:rFonts w:cs="Arial"/>
          <w:lang w:val="es-ES_tradnl" w:eastAsia="en-US"/>
        </w:rPr>
        <w:t xml:space="preserve">Social </w:t>
      </w:r>
      <w:r w:rsidR="004D3BC6" w:rsidRPr="003D09D7">
        <w:rPr>
          <w:rFonts w:cs="Arial"/>
          <w:lang w:val="es-ES_tradnl" w:eastAsia="en-US"/>
        </w:rPr>
        <w:t xml:space="preserve">y Empleo, junto con el de Educación, los que han disminuido notablemente el gasto en esta situación. </w:t>
      </w:r>
    </w:p>
    <w:p w14:paraId="3BC4E9C3" w14:textId="77777777" w:rsidR="006B7B40" w:rsidRPr="00FE489F" w:rsidRDefault="006B7B40"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FE489F">
        <w:rPr>
          <w:rFonts w:cs="Arial"/>
          <w:lang w:val="es-ES_tradnl" w:eastAsia="en-US"/>
        </w:rPr>
        <w:t>El número total de prestaciones retribuidas bajo este supuesto crece ligeramente un cinco por ciento en 2023 respecto a 2022 (184 prestaciones frente a 175).</w:t>
      </w:r>
    </w:p>
    <w:p w14:paraId="0C48C206" w14:textId="77777777" w:rsidR="004D3BC6" w:rsidRPr="003D09D7" w:rsidRDefault="00702E3B" w:rsidP="00E906A4">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240"/>
        <w:ind w:left="0" w:firstLine="289"/>
        <w:jc w:val="both"/>
        <w:rPr>
          <w:rFonts w:cs="Arial"/>
          <w:lang w:val="es-ES_tradnl" w:eastAsia="en-US"/>
        </w:rPr>
      </w:pPr>
      <w:r>
        <w:rPr>
          <w:rFonts w:cs="Arial"/>
          <w:lang w:val="es-ES_tradnl" w:eastAsia="en-US"/>
        </w:rPr>
        <w:t>La evolución de estos gastos en el periodo 2018</w:t>
      </w:r>
      <w:r>
        <w:rPr>
          <w:rStyle w:val="Refdenotaalpie"/>
          <w:rFonts w:cs="Arial"/>
          <w:lang w:val="es-ES_tradnl" w:eastAsia="en-US"/>
        </w:rPr>
        <w:footnoteReference w:id="14"/>
      </w:r>
      <w:r>
        <w:rPr>
          <w:rFonts w:cs="Arial"/>
          <w:lang w:val="es-ES_tradnl" w:eastAsia="en-US"/>
        </w:rPr>
        <w:t xml:space="preserve">-2025, se re refleja en el cuadro y gráfico siguiente: </w:t>
      </w:r>
      <w:r w:rsidR="006B7B40" w:rsidRPr="003D09D7">
        <w:rPr>
          <w:rFonts w:cs="Arial"/>
          <w:lang w:val="es-ES_tradnl" w:eastAsia="en-US"/>
        </w:rPr>
        <w:t xml:space="preserve"> </w:t>
      </w:r>
    </w:p>
    <w:tbl>
      <w:tblPr>
        <w:tblW w:w="8931" w:type="dxa"/>
        <w:jc w:val="center"/>
        <w:tblLayout w:type="fixed"/>
        <w:tblCellMar>
          <w:left w:w="70" w:type="dxa"/>
          <w:right w:w="70" w:type="dxa"/>
        </w:tblCellMar>
        <w:tblLook w:val="04A0" w:firstRow="1" w:lastRow="0" w:firstColumn="1" w:lastColumn="0" w:noHBand="0" w:noVBand="1"/>
      </w:tblPr>
      <w:tblGrid>
        <w:gridCol w:w="1701"/>
        <w:gridCol w:w="851"/>
        <w:gridCol w:w="850"/>
        <w:gridCol w:w="851"/>
        <w:gridCol w:w="850"/>
        <w:gridCol w:w="851"/>
        <w:gridCol w:w="850"/>
        <w:gridCol w:w="1134"/>
        <w:gridCol w:w="993"/>
      </w:tblGrid>
      <w:tr w:rsidR="00932076" w:rsidRPr="004D3BC6" w14:paraId="5338B2BE" w14:textId="77777777" w:rsidTr="008A2E63">
        <w:trPr>
          <w:trHeight w:val="259"/>
          <w:jc w:val="center"/>
        </w:trPr>
        <w:tc>
          <w:tcPr>
            <w:tcW w:w="1701" w:type="dxa"/>
            <w:tcBorders>
              <w:top w:val="single" w:sz="4" w:space="0" w:color="auto"/>
              <w:left w:val="nil"/>
              <w:bottom w:val="single" w:sz="4" w:space="0" w:color="auto"/>
              <w:right w:val="nil"/>
            </w:tcBorders>
            <w:shd w:val="clear" w:color="000000" w:fill="8DB3E2"/>
            <w:vAlign w:val="center"/>
            <w:hideMark/>
          </w:tcPr>
          <w:p w14:paraId="5E480E09" w14:textId="77777777" w:rsidR="00932076" w:rsidRPr="004D3BC6" w:rsidRDefault="00514C5F" w:rsidP="0003329D">
            <w:pPr>
              <w:pStyle w:val="cuadroCabe"/>
            </w:pPr>
            <w:r>
              <w:t>Gasto</w:t>
            </w:r>
          </w:p>
        </w:tc>
        <w:tc>
          <w:tcPr>
            <w:tcW w:w="851" w:type="dxa"/>
            <w:tcBorders>
              <w:top w:val="single" w:sz="4" w:space="0" w:color="auto"/>
              <w:left w:val="nil"/>
              <w:bottom w:val="single" w:sz="4" w:space="0" w:color="auto"/>
              <w:right w:val="nil"/>
            </w:tcBorders>
            <w:shd w:val="clear" w:color="000000" w:fill="8DB3E2"/>
            <w:vAlign w:val="center"/>
            <w:hideMark/>
          </w:tcPr>
          <w:p w14:paraId="0D4F4F68" w14:textId="77777777" w:rsidR="00AC6A84" w:rsidRDefault="00AC6A84" w:rsidP="00622DBB">
            <w:pPr>
              <w:pStyle w:val="cuadroCabe"/>
              <w:tabs>
                <w:tab w:val="clear" w:pos="6237"/>
              </w:tabs>
              <w:jc w:val="right"/>
            </w:pPr>
            <w:r>
              <w:t>ORN</w:t>
            </w:r>
          </w:p>
          <w:p w14:paraId="36A5FDFB" w14:textId="77777777" w:rsidR="00932076" w:rsidRPr="004D3BC6" w:rsidRDefault="00932076" w:rsidP="00622DBB">
            <w:pPr>
              <w:pStyle w:val="cuadroCabe"/>
              <w:tabs>
                <w:tab w:val="clear" w:pos="6237"/>
              </w:tabs>
              <w:jc w:val="right"/>
            </w:pPr>
            <w:r w:rsidRPr="004D3BC6">
              <w:t>2018</w:t>
            </w:r>
          </w:p>
        </w:tc>
        <w:tc>
          <w:tcPr>
            <w:tcW w:w="850" w:type="dxa"/>
            <w:tcBorders>
              <w:top w:val="single" w:sz="4" w:space="0" w:color="auto"/>
              <w:left w:val="nil"/>
              <w:bottom w:val="single" w:sz="4" w:space="0" w:color="auto"/>
              <w:right w:val="nil"/>
            </w:tcBorders>
            <w:shd w:val="clear" w:color="000000" w:fill="8DB3E2"/>
            <w:vAlign w:val="center"/>
            <w:hideMark/>
          </w:tcPr>
          <w:p w14:paraId="190D5EAD" w14:textId="77777777" w:rsidR="00AC6A84" w:rsidRDefault="00AC6A84" w:rsidP="00622DBB">
            <w:pPr>
              <w:pStyle w:val="cuadroCabe"/>
              <w:tabs>
                <w:tab w:val="clear" w:pos="6237"/>
              </w:tabs>
              <w:jc w:val="right"/>
            </w:pPr>
            <w:r>
              <w:t>ORN</w:t>
            </w:r>
          </w:p>
          <w:p w14:paraId="30F5DA2E" w14:textId="77777777" w:rsidR="00932076" w:rsidRPr="004D3BC6" w:rsidRDefault="00932076" w:rsidP="00622DBB">
            <w:pPr>
              <w:pStyle w:val="cuadroCabe"/>
              <w:tabs>
                <w:tab w:val="clear" w:pos="6237"/>
              </w:tabs>
              <w:jc w:val="right"/>
            </w:pPr>
            <w:r w:rsidRPr="004D3BC6">
              <w:t>2019</w:t>
            </w:r>
          </w:p>
        </w:tc>
        <w:tc>
          <w:tcPr>
            <w:tcW w:w="851" w:type="dxa"/>
            <w:tcBorders>
              <w:top w:val="single" w:sz="4" w:space="0" w:color="auto"/>
              <w:left w:val="nil"/>
              <w:bottom w:val="single" w:sz="4" w:space="0" w:color="auto"/>
              <w:right w:val="nil"/>
            </w:tcBorders>
            <w:shd w:val="clear" w:color="000000" w:fill="8DB3E2"/>
            <w:vAlign w:val="center"/>
            <w:hideMark/>
          </w:tcPr>
          <w:p w14:paraId="62BFED8D" w14:textId="77777777" w:rsidR="00AC6A84" w:rsidRDefault="00AC6A84" w:rsidP="00622DBB">
            <w:pPr>
              <w:pStyle w:val="cuadroCabe"/>
              <w:tabs>
                <w:tab w:val="clear" w:pos="6237"/>
              </w:tabs>
              <w:jc w:val="right"/>
            </w:pPr>
            <w:r>
              <w:t>ORN</w:t>
            </w:r>
          </w:p>
          <w:p w14:paraId="78092810" w14:textId="77777777" w:rsidR="00932076" w:rsidRPr="004D3BC6" w:rsidRDefault="00932076" w:rsidP="00622DBB">
            <w:pPr>
              <w:pStyle w:val="cuadroCabe"/>
              <w:tabs>
                <w:tab w:val="clear" w:pos="6237"/>
              </w:tabs>
              <w:jc w:val="right"/>
            </w:pPr>
            <w:r w:rsidRPr="004D3BC6">
              <w:t>2020</w:t>
            </w:r>
          </w:p>
        </w:tc>
        <w:tc>
          <w:tcPr>
            <w:tcW w:w="850" w:type="dxa"/>
            <w:tcBorders>
              <w:top w:val="single" w:sz="4" w:space="0" w:color="auto"/>
              <w:left w:val="nil"/>
              <w:bottom w:val="single" w:sz="4" w:space="0" w:color="auto"/>
              <w:right w:val="nil"/>
            </w:tcBorders>
            <w:shd w:val="clear" w:color="000000" w:fill="8DB3E2"/>
            <w:vAlign w:val="center"/>
            <w:hideMark/>
          </w:tcPr>
          <w:p w14:paraId="1252F8F5" w14:textId="77777777" w:rsidR="00AC6A84" w:rsidRDefault="00AC6A84" w:rsidP="00622DBB">
            <w:pPr>
              <w:pStyle w:val="cuadroCabe"/>
              <w:tabs>
                <w:tab w:val="clear" w:pos="6237"/>
              </w:tabs>
              <w:jc w:val="right"/>
            </w:pPr>
            <w:r>
              <w:t>ORN</w:t>
            </w:r>
          </w:p>
          <w:p w14:paraId="14258E52" w14:textId="77777777" w:rsidR="00932076" w:rsidRPr="004D3BC6" w:rsidRDefault="00932076" w:rsidP="00622DBB">
            <w:pPr>
              <w:pStyle w:val="cuadroCabe"/>
              <w:tabs>
                <w:tab w:val="clear" w:pos="6237"/>
              </w:tabs>
              <w:jc w:val="right"/>
            </w:pPr>
            <w:r w:rsidRPr="004D3BC6">
              <w:t>2021</w:t>
            </w:r>
          </w:p>
        </w:tc>
        <w:tc>
          <w:tcPr>
            <w:tcW w:w="851" w:type="dxa"/>
            <w:tcBorders>
              <w:top w:val="single" w:sz="4" w:space="0" w:color="auto"/>
              <w:left w:val="nil"/>
              <w:bottom w:val="single" w:sz="4" w:space="0" w:color="auto"/>
              <w:right w:val="nil"/>
            </w:tcBorders>
            <w:shd w:val="clear" w:color="000000" w:fill="8DB3E2"/>
            <w:vAlign w:val="center"/>
            <w:hideMark/>
          </w:tcPr>
          <w:p w14:paraId="7FD1A5EB" w14:textId="77777777" w:rsidR="00AC6A84" w:rsidRDefault="00AC6A84" w:rsidP="00622DBB">
            <w:pPr>
              <w:pStyle w:val="cuadroCabe"/>
              <w:tabs>
                <w:tab w:val="clear" w:pos="6237"/>
              </w:tabs>
              <w:jc w:val="right"/>
            </w:pPr>
            <w:r>
              <w:t>ORN</w:t>
            </w:r>
          </w:p>
          <w:p w14:paraId="28D7292D" w14:textId="77777777" w:rsidR="00932076" w:rsidRPr="004D3BC6" w:rsidRDefault="00932076" w:rsidP="00622DBB">
            <w:pPr>
              <w:pStyle w:val="cuadroCabe"/>
              <w:tabs>
                <w:tab w:val="clear" w:pos="6237"/>
              </w:tabs>
              <w:jc w:val="right"/>
            </w:pPr>
            <w:r w:rsidRPr="004D3BC6">
              <w:t>2022</w:t>
            </w:r>
          </w:p>
        </w:tc>
        <w:tc>
          <w:tcPr>
            <w:tcW w:w="850" w:type="dxa"/>
            <w:tcBorders>
              <w:top w:val="single" w:sz="4" w:space="0" w:color="auto"/>
              <w:left w:val="nil"/>
              <w:bottom w:val="single" w:sz="4" w:space="0" w:color="auto"/>
              <w:right w:val="nil"/>
            </w:tcBorders>
            <w:shd w:val="clear" w:color="000000" w:fill="8DB3E2"/>
            <w:vAlign w:val="center"/>
          </w:tcPr>
          <w:p w14:paraId="6153601D" w14:textId="77777777" w:rsidR="00AC6A84" w:rsidRDefault="00AC6A84" w:rsidP="00622DBB">
            <w:pPr>
              <w:pStyle w:val="cuadroCabe"/>
              <w:tabs>
                <w:tab w:val="clear" w:pos="6237"/>
              </w:tabs>
              <w:jc w:val="right"/>
            </w:pPr>
            <w:r>
              <w:t>ORN</w:t>
            </w:r>
          </w:p>
          <w:p w14:paraId="569B1E49" w14:textId="77777777" w:rsidR="00932076" w:rsidRPr="004D3BC6" w:rsidRDefault="00932076" w:rsidP="00622DBB">
            <w:pPr>
              <w:pStyle w:val="cuadroCabe"/>
              <w:tabs>
                <w:tab w:val="clear" w:pos="6237"/>
              </w:tabs>
              <w:jc w:val="right"/>
            </w:pPr>
            <w:r w:rsidRPr="004D3BC6">
              <w:t>2023</w:t>
            </w:r>
          </w:p>
        </w:tc>
        <w:tc>
          <w:tcPr>
            <w:tcW w:w="1134" w:type="dxa"/>
            <w:tcBorders>
              <w:top w:val="single" w:sz="4" w:space="0" w:color="auto"/>
              <w:left w:val="nil"/>
              <w:bottom w:val="single" w:sz="4" w:space="0" w:color="auto"/>
              <w:right w:val="nil"/>
            </w:tcBorders>
            <w:shd w:val="clear" w:color="000000" w:fill="8DB3E2"/>
            <w:vAlign w:val="center"/>
            <w:hideMark/>
          </w:tcPr>
          <w:p w14:paraId="17E5C9FD" w14:textId="77777777" w:rsidR="00514C5F" w:rsidRDefault="00932076" w:rsidP="006728F8">
            <w:pPr>
              <w:pStyle w:val="cuadroCabe"/>
              <w:jc w:val="right"/>
            </w:pPr>
            <w:r>
              <w:t xml:space="preserve">% </w:t>
            </w:r>
          </w:p>
          <w:p w14:paraId="65829EDD" w14:textId="77777777" w:rsidR="00932076" w:rsidRPr="004D3BC6" w:rsidRDefault="00932076" w:rsidP="006728F8">
            <w:pPr>
              <w:pStyle w:val="cuadroCabe"/>
              <w:jc w:val="right"/>
            </w:pPr>
            <w:r>
              <w:t>variación</w:t>
            </w:r>
            <w:r w:rsidR="00AA1CAE">
              <w:t xml:space="preserve"> 2023/2018</w:t>
            </w:r>
          </w:p>
        </w:tc>
        <w:tc>
          <w:tcPr>
            <w:tcW w:w="993" w:type="dxa"/>
            <w:tcBorders>
              <w:top w:val="single" w:sz="4" w:space="0" w:color="auto"/>
              <w:left w:val="nil"/>
              <w:bottom w:val="single" w:sz="4" w:space="0" w:color="auto"/>
              <w:right w:val="nil"/>
            </w:tcBorders>
            <w:shd w:val="clear" w:color="000000" w:fill="8DB3E2"/>
            <w:vAlign w:val="center"/>
            <w:hideMark/>
          </w:tcPr>
          <w:p w14:paraId="5F1567B7" w14:textId="77777777" w:rsidR="00932076" w:rsidRPr="004D3BC6" w:rsidRDefault="006728F8" w:rsidP="00AA1CAE">
            <w:pPr>
              <w:pStyle w:val="cuadroCabe"/>
              <w:jc w:val="center"/>
            </w:pPr>
            <w:r>
              <w:t>Promedio</w:t>
            </w:r>
          </w:p>
        </w:tc>
      </w:tr>
      <w:tr w:rsidR="00932076" w:rsidRPr="004D3BC6" w14:paraId="1DC7664B" w14:textId="77777777" w:rsidTr="008A2E63">
        <w:trPr>
          <w:trHeight w:val="198"/>
          <w:jc w:val="center"/>
        </w:trPr>
        <w:tc>
          <w:tcPr>
            <w:tcW w:w="1701" w:type="dxa"/>
            <w:tcBorders>
              <w:top w:val="single" w:sz="4" w:space="0" w:color="auto"/>
              <w:left w:val="nil"/>
              <w:bottom w:val="single" w:sz="2" w:space="0" w:color="auto"/>
              <w:right w:val="nil"/>
            </w:tcBorders>
            <w:shd w:val="clear" w:color="auto" w:fill="auto"/>
            <w:noWrap/>
            <w:vAlign w:val="bottom"/>
            <w:hideMark/>
          </w:tcPr>
          <w:p w14:paraId="412E0601" w14:textId="77777777" w:rsidR="00932076" w:rsidRPr="004D3BC6" w:rsidRDefault="00AA1CAE" w:rsidP="00AA1CAE">
            <w:pPr>
              <w:pStyle w:val="cuatexto"/>
            </w:pPr>
            <w:r>
              <w:t>D</w:t>
            </w:r>
            <w:r w:rsidR="00475A53">
              <w:t>epartamentos</w:t>
            </w:r>
          </w:p>
        </w:tc>
        <w:tc>
          <w:tcPr>
            <w:tcW w:w="851" w:type="dxa"/>
            <w:tcBorders>
              <w:top w:val="single" w:sz="4" w:space="0" w:color="auto"/>
              <w:left w:val="nil"/>
              <w:bottom w:val="single" w:sz="2" w:space="0" w:color="auto"/>
              <w:right w:val="nil"/>
            </w:tcBorders>
            <w:shd w:val="clear" w:color="auto" w:fill="auto"/>
            <w:noWrap/>
            <w:vAlign w:val="bottom"/>
            <w:hideMark/>
          </w:tcPr>
          <w:p w14:paraId="1DA92C2F" w14:textId="77777777" w:rsidR="00932076" w:rsidRPr="004D3BC6" w:rsidRDefault="00932076" w:rsidP="002C1274">
            <w:pPr>
              <w:pStyle w:val="cuatexto"/>
              <w:jc w:val="right"/>
            </w:pPr>
            <w:r w:rsidRPr="004D3BC6">
              <w:t>89,65</w:t>
            </w:r>
          </w:p>
        </w:tc>
        <w:tc>
          <w:tcPr>
            <w:tcW w:w="850" w:type="dxa"/>
            <w:tcBorders>
              <w:top w:val="single" w:sz="4" w:space="0" w:color="auto"/>
              <w:left w:val="nil"/>
              <w:bottom w:val="single" w:sz="2" w:space="0" w:color="auto"/>
              <w:right w:val="nil"/>
            </w:tcBorders>
            <w:shd w:val="clear" w:color="auto" w:fill="auto"/>
            <w:noWrap/>
            <w:vAlign w:val="bottom"/>
            <w:hideMark/>
          </w:tcPr>
          <w:p w14:paraId="7E10B60D" w14:textId="77777777" w:rsidR="00932076" w:rsidRPr="004D3BC6" w:rsidRDefault="00932076" w:rsidP="002C1274">
            <w:pPr>
              <w:pStyle w:val="cuatexto"/>
              <w:jc w:val="right"/>
            </w:pPr>
            <w:r w:rsidRPr="004D3BC6">
              <w:t>92,08</w:t>
            </w:r>
          </w:p>
        </w:tc>
        <w:tc>
          <w:tcPr>
            <w:tcW w:w="851" w:type="dxa"/>
            <w:tcBorders>
              <w:top w:val="single" w:sz="4" w:space="0" w:color="auto"/>
              <w:left w:val="nil"/>
              <w:bottom w:val="single" w:sz="2" w:space="0" w:color="auto"/>
              <w:right w:val="nil"/>
            </w:tcBorders>
            <w:shd w:val="clear" w:color="auto" w:fill="auto"/>
            <w:noWrap/>
            <w:vAlign w:val="bottom"/>
            <w:hideMark/>
          </w:tcPr>
          <w:p w14:paraId="62250CA7" w14:textId="77777777" w:rsidR="00932076" w:rsidRPr="004D3BC6" w:rsidRDefault="00932076" w:rsidP="002C1274">
            <w:pPr>
              <w:pStyle w:val="cuatexto"/>
              <w:jc w:val="right"/>
            </w:pPr>
            <w:r w:rsidRPr="004D3BC6">
              <w:t>68,73</w:t>
            </w:r>
          </w:p>
        </w:tc>
        <w:tc>
          <w:tcPr>
            <w:tcW w:w="850" w:type="dxa"/>
            <w:tcBorders>
              <w:top w:val="single" w:sz="4" w:space="0" w:color="auto"/>
              <w:left w:val="nil"/>
              <w:bottom w:val="single" w:sz="2" w:space="0" w:color="auto"/>
              <w:right w:val="nil"/>
            </w:tcBorders>
            <w:shd w:val="clear" w:color="auto" w:fill="auto"/>
            <w:noWrap/>
            <w:vAlign w:val="bottom"/>
            <w:hideMark/>
          </w:tcPr>
          <w:p w14:paraId="42634D4B" w14:textId="77777777" w:rsidR="00932076" w:rsidRPr="004D3BC6" w:rsidRDefault="00932076" w:rsidP="002C1274">
            <w:pPr>
              <w:pStyle w:val="cuatexto"/>
              <w:jc w:val="right"/>
            </w:pPr>
            <w:r w:rsidRPr="004D3BC6">
              <w:t>120,70</w:t>
            </w:r>
          </w:p>
        </w:tc>
        <w:tc>
          <w:tcPr>
            <w:tcW w:w="851" w:type="dxa"/>
            <w:tcBorders>
              <w:top w:val="single" w:sz="4" w:space="0" w:color="auto"/>
              <w:left w:val="nil"/>
              <w:bottom w:val="single" w:sz="2" w:space="0" w:color="auto"/>
              <w:right w:val="nil"/>
            </w:tcBorders>
            <w:shd w:val="clear" w:color="auto" w:fill="auto"/>
            <w:noWrap/>
            <w:vAlign w:val="bottom"/>
            <w:hideMark/>
          </w:tcPr>
          <w:p w14:paraId="7698FBED" w14:textId="77777777" w:rsidR="00932076" w:rsidRPr="004D3BC6" w:rsidRDefault="00932076" w:rsidP="002C1274">
            <w:pPr>
              <w:pStyle w:val="cuatexto"/>
              <w:jc w:val="right"/>
            </w:pPr>
            <w:r w:rsidRPr="004D3BC6">
              <w:t>154,33</w:t>
            </w:r>
          </w:p>
        </w:tc>
        <w:tc>
          <w:tcPr>
            <w:tcW w:w="850" w:type="dxa"/>
            <w:tcBorders>
              <w:top w:val="single" w:sz="4" w:space="0" w:color="auto"/>
              <w:left w:val="nil"/>
              <w:bottom w:val="single" w:sz="2" w:space="0" w:color="auto"/>
              <w:right w:val="nil"/>
            </w:tcBorders>
            <w:vAlign w:val="bottom"/>
          </w:tcPr>
          <w:p w14:paraId="6605B073" w14:textId="77777777" w:rsidR="00932076" w:rsidRPr="004D3BC6" w:rsidRDefault="00932076" w:rsidP="002C1274">
            <w:pPr>
              <w:pStyle w:val="cuatexto"/>
              <w:jc w:val="right"/>
            </w:pPr>
            <w:r w:rsidRPr="004D3BC6">
              <w:t>123,17</w:t>
            </w:r>
          </w:p>
        </w:tc>
        <w:tc>
          <w:tcPr>
            <w:tcW w:w="1134" w:type="dxa"/>
            <w:tcBorders>
              <w:top w:val="single" w:sz="4" w:space="0" w:color="auto"/>
              <w:left w:val="nil"/>
              <w:bottom w:val="single" w:sz="2" w:space="0" w:color="auto"/>
              <w:right w:val="nil"/>
            </w:tcBorders>
            <w:shd w:val="clear" w:color="auto" w:fill="auto"/>
            <w:noWrap/>
            <w:vAlign w:val="bottom"/>
          </w:tcPr>
          <w:p w14:paraId="034F27A3" w14:textId="77777777" w:rsidR="00932076" w:rsidRPr="004D3BC6" w:rsidRDefault="00932076" w:rsidP="006728F8">
            <w:pPr>
              <w:pStyle w:val="cuatexto"/>
              <w:jc w:val="right"/>
            </w:pPr>
            <w:r>
              <w:t>37</w:t>
            </w:r>
          </w:p>
        </w:tc>
        <w:tc>
          <w:tcPr>
            <w:tcW w:w="993" w:type="dxa"/>
            <w:tcBorders>
              <w:top w:val="single" w:sz="4" w:space="0" w:color="auto"/>
              <w:left w:val="nil"/>
              <w:bottom w:val="single" w:sz="2" w:space="0" w:color="auto"/>
              <w:right w:val="nil"/>
            </w:tcBorders>
            <w:shd w:val="clear" w:color="auto" w:fill="auto"/>
            <w:noWrap/>
            <w:vAlign w:val="bottom"/>
            <w:hideMark/>
          </w:tcPr>
          <w:p w14:paraId="0EB0555C" w14:textId="77777777" w:rsidR="00932076" w:rsidRPr="004D3BC6" w:rsidRDefault="00932076" w:rsidP="002C1274">
            <w:pPr>
              <w:pStyle w:val="cuatexto"/>
              <w:jc w:val="right"/>
            </w:pPr>
            <w:r w:rsidRPr="004D3BC6">
              <w:t>108</w:t>
            </w:r>
          </w:p>
        </w:tc>
      </w:tr>
      <w:tr w:rsidR="00932076" w:rsidRPr="004D3BC6" w14:paraId="232746D0" w14:textId="77777777" w:rsidTr="006728F8">
        <w:trPr>
          <w:trHeight w:val="198"/>
          <w:jc w:val="center"/>
        </w:trPr>
        <w:tc>
          <w:tcPr>
            <w:tcW w:w="1701" w:type="dxa"/>
            <w:tcBorders>
              <w:top w:val="single" w:sz="2" w:space="0" w:color="auto"/>
              <w:left w:val="nil"/>
              <w:bottom w:val="single" w:sz="4" w:space="0" w:color="auto"/>
              <w:right w:val="nil"/>
            </w:tcBorders>
            <w:shd w:val="clear" w:color="auto" w:fill="auto"/>
            <w:noWrap/>
            <w:vAlign w:val="bottom"/>
            <w:hideMark/>
          </w:tcPr>
          <w:p w14:paraId="05AC1AC0" w14:textId="77777777" w:rsidR="00932076" w:rsidRPr="004D3BC6" w:rsidRDefault="00932076" w:rsidP="002C1274">
            <w:pPr>
              <w:pStyle w:val="cuatexto"/>
            </w:pPr>
            <w:r w:rsidRPr="004D3BC6">
              <w:t>SNS-O</w:t>
            </w:r>
          </w:p>
        </w:tc>
        <w:tc>
          <w:tcPr>
            <w:tcW w:w="851" w:type="dxa"/>
            <w:tcBorders>
              <w:top w:val="single" w:sz="2" w:space="0" w:color="auto"/>
              <w:left w:val="nil"/>
              <w:bottom w:val="single" w:sz="4" w:space="0" w:color="auto"/>
              <w:right w:val="nil"/>
            </w:tcBorders>
            <w:shd w:val="clear" w:color="auto" w:fill="auto"/>
            <w:noWrap/>
            <w:vAlign w:val="bottom"/>
            <w:hideMark/>
          </w:tcPr>
          <w:p w14:paraId="368AE083" w14:textId="77777777" w:rsidR="00932076" w:rsidRPr="004D3BC6" w:rsidRDefault="00932076" w:rsidP="002C1274">
            <w:pPr>
              <w:pStyle w:val="cuatexto"/>
              <w:jc w:val="right"/>
            </w:pPr>
            <w:r w:rsidRPr="004D3BC6">
              <w:t>103,81</w:t>
            </w:r>
          </w:p>
        </w:tc>
        <w:tc>
          <w:tcPr>
            <w:tcW w:w="850" w:type="dxa"/>
            <w:tcBorders>
              <w:top w:val="single" w:sz="2" w:space="0" w:color="auto"/>
              <w:left w:val="nil"/>
              <w:bottom w:val="single" w:sz="4" w:space="0" w:color="auto"/>
              <w:right w:val="nil"/>
            </w:tcBorders>
            <w:shd w:val="clear" w:color="auto" w:fill="auto"/>
            <w:noWrap/>
            <w:vAlign w:val="bottom"/>
            <w:hideMark/>
          </w:tcPr>
          <w:p w14:paraId="08D3D43D" w14:textId="77777777" w:rsidR="00932076" w:rsidRPr="004D3BC6" w:rsidRDefault="00932076" w:rsidP="002C1274">
            <w:pPr>
              <w:pStyle w:val="cuatexto"/>
              <w:jc w:val="right"/>
            </w:pPr>
            <w:r w:rsidRPr="004D3BC6">
              <w:t>116,69</w:t>
            </w:r>
          </w:p>
        </w:tc>
        <w:tc>
          <w:tcPr>
            <w:tcW w:w="851" w:type="dxa"/>
            <w:tcBorders>
              <w:top w:val="single" w:sz="2" w:space="0" w:color="auto"/>
              <w:left w:val="nil"/>
              <w:bottom w:val="single" w:sz="4" w:space="0" w:color="auto"/>
              <w:right w:val="nil"/>
            </w:tcBorders>
            <w:shd w:val="clear" w:color="auto" w:fill="auto"/>
            <w:noWrap/>
            <w:vAlign w:val="bottom"/>
            <w:hideMark/>
          </w:tcPr>
          <w:p w14:paraId="4181E90C" w14:textId="77777777" w:rsidR="00932076" w:rsidRPr="004D3BC6" w:rsidRDefault="00932076" w:rsidP="002C1274">
            <w:pPr>
              <w:pStyle w:val="cuatexto"/>
              <w:jc w:val="right"/>
            </w:pPr>
            <w:r w:rsidRPr="004D3BC6">
              <w:t>127,22</w:t>
            </w:r>
          </w:p>
        </w:tc>
        <w:tc>
          <w:tcPr>
            <w:tcW w:w="850" w:type="dxa"/>
            <w:tcBorders>
              <w:top w:val="single" w:sz="2" w:space="0" w:color="auto"/>
              <w:left w:val="nil"/>
              <w:bottom w:val="single" w:sz="4" w:space="0" w:color="auto"/>
              <w:right w:val="nil"/>
            </w:tcBorders>
            <w:shd w:val="clear" w:color="auto" w:fill="auto"/>
            <w:noWrap/>
            <w:vAlign w:val="bottom"/>
            <w:hideMark/>
          </w:tcPr>
          <w:p w14:paraId="2FD656BD" w14:textId="77777777" w:rsidR="00932076" w:rsidRPr="004D3BC6" w:rsidRDefault="00932076" w:rsidP="002C1274">
            <w:pPr>
              <w:pStyle w:val="cuatexto"/>
              <w:jc w:val="right"/>
            </w:pPr>
            <w:r w:rsidRPr="004D3BC6">
              <w:t>98,97</w:t>
            </w:r>
          </w:p>
        </w:tc>
        <w:tc>
          <w:tcPr>
            <w:tcW w:w="851" w:type="dxa"/>
            <w:tcBorders>
              <w:top w:val="single" w:sz="2" w:space="0" w:color="auto"/>
              <w:left w:val="nil"/>
              <w:bottom w:val="single" w:sz="4" w:space="0" w:color="auto"/>
              <w:right w:val="nil"/>
            </w:tcBorders>
            <w:shd w:val="clear" w:color="auto" w:fill="auto"/>
            <w:noWrap/>
            <w:vAlign w:val="bottom"/>
            <w:hideMark/>
          </w:tcPr>
          <w:p w14:paraId="4CCA6148" w14:textId="77777777" w:rsidR="00932076" w:rsidRPr="004D3BC6" w:rsidRDefault="00932076" w:rsidP="002C1274">
            <w:pPr>
              <w:pStyle w:val="cuatexto"/>
              <w:jc w:val="right"/>
            </w:pPr>
            <w:r w:rsidRPr="004D3BC6">
              <w:t>116,23</w:t>
            </w:r>
          </w:p>
        </w:tc>
        <w:tc>
          <w:tcPr>
            <w:tcW w:w="850" w:type="dxa"/>
            <w:tcBorders>
              <w:top w:val="single" w:sz="2" w:space="0" w:color="auto"/>
              <w:left w:val="nil"/>
              <w:bottom w:val="single" w:sz="4" w:space="0" w:color="auto"/>
              <w:right w:val="nil"/>
            </w:tcBorders>
            <w:vAlign w:val="bottom"/>
          </w:tcPr>
          <w:p w14:paraId="0B02F215" w14:textId="77777777" w:rsidR="00932076" w:rsidRPr="004D3BC6" w:rsidRDefault="00932076" w:rsidP="002C1274">
            <w:pPr>
              <w:pStyle w:val="cuatexto"/>
              <w:jc w:val="right"/>
            </w:pPr>
            <w:r w:rsidRPr="004D3BC6">
              <w:t>98,81</w:t>
            </w:r>
          </w:p>
        </w:tc>
        <w:tc>
          <w:tcPr>
            <w:tcW w:w="1134" w:type="dxa"/>
            <w:tcBorders>
              <w:top w:val="single" w:sz="2" w:space="0" w:color="auto"/>
              <w:left w:val="nil"/>
              <w:bottom w:val="single" w:sz="4" w:space="0" w:color="auto"/>
              <w:right w:val="nil"/>
            </w:tcBorders>
            <w:shd w:val="clear" w:color="auto" w:fill="auto"/>
            <w:noWrap/>
            <w:vAlign w:val="bottom"/>
          </w:tcPr>
          <w:p w14:paraId="0B0DCAD3" w14:textId="77777777" w:rsidR="00932076" w:rsidRPr="004D3BC6" w:rsidRDefault="00932076" w:rsidP="006728F8">
            <w:pPr>
              <w:pStyle w:val="cuatexto"/>
              <w:jc w:val="right"/>
            </w:pPr>
            <w:r>
              <w:t>-5</w:t>
            </w:r>
          </w:p>
        </w:tc>
        <w:tc>
          <w:tcPr>
            <w:tcW w:w="993" w:type="dxa"/>
            <w:tcBorders>
              <w:top w:val="single" w:sz="2" w:space="0" w:color="auto"/>
              <w:left w:val="nil"/>
              <w:bottom w:val="single" w:sz="4" w:space="0" w:color="auto"/>
              <w:right w:val="nil"/>
            </w:tcBorders>
            <w:shd w:val="clear" w:color="auto" w:fill="auto"/>
            <w:noWrap/>
            <w:vAlign w:val="bottom"/>
            <w:hideMark/>
          </w:tcPr>
          <w:p w14:paraId="2B2AC729" w14:textId="77777777" w:rsidR="00932076" w:rsidRPr="004D3BC6" w:rsidRDefault="00932076" w:rsidP="002C1274">
            <w:pPr>
              <w:pStyle w:val="cuatexto"/>
              <w:jc w:val="right"/>
            </w:pPr>
            <w:r w:rsidRPr="004D3BC6">
              <w:t>110</w:t>
            </w:r>
          </w:p>
        </w:tc>
      </w:tr>
      <w:tr w:rsidR="00932076" w:rsidRPr="004D3BC6" w14:paraId="458B6DB5" w14:textId="77777777" w:rsidTr="006728F8">
        <w:trPr>
          <w:trHeight w:val="255"/>
          <w:jc w:val="center"/>
        </w:trPr>
        <w:tc>
          <w:tcPr>
            <w:tcW w:w="1701" w:type="dxa"/>
            <w:tcBorders>
              <w:top w:val="single" w:sz="4" w:space="0" w:color="auto"/>
              <w:left w:val="nil"/>
              <w:bottom w:val="single" w:sz="4" w:space="0" w:color="auto"/>
              <w:right w:val="nil"/>
            </w:tcBorders>
            <w:shd w:val="clear" w:color="000000" w:fill="8DB3E2"/>
            <w:vAlign w:val="center"/>
            <w:hideMark/>
          </w:tcPr>
          <w:p w14:paraId="34D46803" w14:textId="77777777" w:rsidR="00932076" w:rsidRPr="004D3BC6" w:rsidRDefault="00932076" w:rsidP="0003329D">
            <w:pPr>
              <w:pStyle w:val="cuadroCabe"/>
            </w:pPr>
            <w:r w:rsidRPr="004D3BC6">
              <w:t>Total gasto</w:t>
            </w:r>
            <w:r w:rsidR="00514C5F">
              <w:t xml:space="preserve"> ACFN</w:t>
            </w:r>
          </w:p>
        </w:tc>
        <w:tc>
          <w:tcPr>
            <w:tcW w:w="851" w:type="dxa"/>
            <w:tcBorders>
              <w:top w:val="single" w:sz="4" w:space="0" w:color="auto"/>
              <w:left w:val="nil"/>
              <w:bottom w:val="single" w:sz="4" w:space="0" w:color="auto"/>
              <w:right w:val="nil"/>
            </w:tcBorders>
            <w:shd w:val="clear" w:color="000000" w:fill="8DB3E2"/>
            <w:vAlign w:val="center"/>
            <w:hideMark/>
          </w:tcPr>
          <w:p w14:paraId="53A71BBF" w14:textId="77777777" w:rsidR="00932076" w:rsidRPr="004D3BC6" w:rsidRDefault="00932076" w:rsidP="002C1274">
            <w:pPr>
              <w:pStyle w:val="cuadroCabe"/>
              <w:jc w:val="right"/>
            </w:pPr>
            <w:r w:rsidRPr="004D3BC6">
              <w:t>193,46</w:t>
            </w:r>
          </w:p>
        </w:tc>
        <w:tc>
          <w:tcPr>
            <w:tcW w:w="850" w:type="dxa"/>
            <w:tcBorders>
              <w:top w:val="single" w:sz="4" w:space="0" w:color="auto"/>
              <w:left w:val="nil"/>
              <w:bottom w:val="single" w:sz="4" w:space="0" w:color="auto"/>
              <w:right w:val="nil"/>
            </w:tcBorders>
            <w:shd w:val="clear" w:color="000000" w:fill="8DB3E2"/>
            <w:vAlign w:val="center"/>
            <w:hideMark/>
          </w:tcPr>
          <w:p w14:paraId="4CE0545D" w14:textId="77777777" w:rsidR="00932076" w:rsidRPr="004D3BC6" w:rsidRDefault="00932076" w:rsidP="002C1274">
            <w:pPr>
              <w:pStyle w:val="cuadroCabe"/>
              <w:jc w:val="right"/>
            </w:pPr>
            <w:r w:rsidRPr="004D3BC6">
              <w:t>208,77</w:t>
            </w:r>
          </w:p>
        </w:tc>
        <w:tc>
          <w:tcPr>
            <w:tcW w:w="851" w:type="dxa"/>
            <w:tcBorders>
              <w:top w:val="single" w:sz="4" w:space="0" w:color="auto"/>
              <w:left w:val="nil"/>
              <w:bottom w:val="single" w:sz="4" w:space="0" w:color="auto"/>
              <w:right w:val="nil"/>
            </w:tcBorders>
            <w:shd w:val="clear" w:color="000000" w:fill="8DB3E2"/>
            <w:vAlign w:val="center"/>
            <w:hideMark/>
          </w:tcPr>
          <w:p w14:paraId="551155CA" w14:textId="77777777" w:rsidR="00932076" w:rsidRPr="004D3BC6" w:rsidRDefault="00932076" w:rsidP="002C1274">
            <w:pPr>
              <w:pStyle w:val="cuadroCabe"/>
              <w:jc w:val="right"/>
            </w:pPr>
            <w:r w:rsidRPr="004D3BC6">
              <w:t>195,95</w:t>
            </w:r>
          </w:p>
        </w:tc>
        <w:tc>
          <w:tcPr>
            <w:tcW w:w="850" w:type="dxa"/>
            <w:tcBorders>
              <w:top w:val="single" w:sz="4" w:space="0" w:color="auto"/>
              <w:left w:val="nil"/>
              <w:bottom w:val="single" w:sz="4" w:space="0" w:color="auto"/>
              <w:right w:val="nil"/>
            </w:tcBorders>
            <w:shd w:val="clear" w:color="000000" w:fill="8DB3E2"/>
            <w:vAlign w:val="center"/>
            <w:hideMark/>
          </w:tcPr>
          <w:p w14:paraId="151516B4" w14:textId="77777777" w:rsidR="00932076" w:rsidRPr="004D3BC6" w:rsidRDefault="00932076" w:rsidP="002C1274">
            <w:pPr>
              <w:pStyle w:val="cuadroCabe"/>
              <w:jc w:val="right"/>
            </w:pPr>
            <w:r w:rsidRPr="004D3BC6">
              <w:t>219,67</w:t>
            </w:r>
          </w:p>
        </w:tc>
        <w:tc>
          <w:tcPr>
            <w:tcW w:w="851" w:type="dxa"/>
            <w:tcBorders>
              <w:top w:val="single" w:sz="4" w:space="0" w:color="auto"/>
              <w:left w:val="nil"/>
              <w:bottom w:val="single" w:sz="4" w:space="0" w:color="auto"/>
              <w:right w:val="nil"/>
            </w:tcBorders>
            <w:shd w:val="clear" w:color="000000" w:fill="8DB3E2"/>
            <w:vAlign w:val="center"/>
            <w:hideMark/>
          </w:tcPr>
          <w:p w14:paraId="6514B594" w14:textId="77777777" w:rsidR="00932076" w:rsidRPr="004D3BC6" w:rsidRDefault="00932076" w:rsidP="002C1274">
            <w:pPr>
              <w:pStyle w:val="cuadroCabe"/>
              <w:jc w:val="right"/>
            </w:pPr>
            <w:r w:rsidRPr="004D3BC6">
              <w:t>270,56</w:t>
            </w:r>
          </w:p>
        </w:tc>
        <w:tc>
          <w:tcPr>
            <w:tcW w:w="850" w:type="dxa"/>
            <w:tcBorders>
              <w:top w:val="single" w:sz="4" w:space="0" w:color="auto"/>
              <w:left w:val="nil"/>
              <w:bottom w:val="single" w:sz="4" w:space="0" w:color="auto"/>
              <w:right w:val="nil"/>
            </w:tcBorders>
            <w:shd w:val="clear" w:color="000000" w:fill="8DB3E2"/>
            <w:vAlign w:val="center"/>
          </w:tcPr>
          <w:p w14:paraId="6686E5D3" w14:textId="77777777" w:rsidR="00932076" w:rsidRPr="004D3BC6" w:rsidRDefault="00932076" w:rsidP="002C1274">
            <w:pPr>
              <w:pStyle w:val="cuadroCabe"/>
              <w:jc w:val="right"/>
            </w:pPr>
            <w:r w:rsidRPr="004D3BC6">
              <w:t>221,98</w:t>
            </w:r>
          </w:p>
        </w:tc>
        <w:tc>
          <w:tcPr>
            <w:tcW w:w="1134" w:type="dxa"/>
            <w:tcBorders>
              <w:top w:val="single" w:sz="4" w:space="0" w:color="auto"/>
              <w:left w:val="nil"/>
              <w:bottom w:val="single" w:sz="4" w:space="0" w:color="auto"/>
              <w:right w:val="nil"/>
            </w:tcBorders>
            <w:shd w:val="clear" w:color="000000" w:fill="8DB3E2"/>
            <w:vAlign w:val="center"/>
          </w:tcPr>
          <w:p w14:paraId="602BC18B" w14:textId="77777777" w:rsidR="00932076" w:rsidRPr="004D3BC6" w:rsidRDefault="00932076" w:rsidP="006728F8">
            <w:pPr>
              <w:pStyle w:val="cuadroCabe"/>
              <w:jc w:val="right"/>
            </w:pPr>
            <w:r>
              <w:t>15</w:t>
            </w:r>
          </w:p>
        </w:tc>
        <w:tc>
          <w:tcPr>
            <w:tcW w:w="993" w:type="dxa"/>
            <w:tcBorders>
              <w:top w:val="single" w:sz="4" w:space="0" w:color="auto"/>
              <w:left w:val="nil"/>
              <w:bottom w:val="single" w:sz="4" w:space="0" w:color="auto"/>
              <w:right w:val="nil"/>
            </w:tcBorders>
            <w:shd w:val="clear" w:color="000000" w:fill="8DB3E2"/>
            <w:vAlign w:val="center"/>
            <w:hideMark/>
          </w:tcPr>
          <w:p w14:paraId="09ACCEEF" w14:textId="77777777" w:rsidR="00932076" w:rsidRPr="004D3BC6" w:rsidRDefault="00932076" w:rsidP="002C1274">
            <w:pPr>
              <w:pStyle w:val="cuadroCabe"/>
              <w:jc w:val="right"/>
            </w:pPr>
            <w:r w:rsidRPr="004D3BC6">
              <w:t>218,40</w:t>
            </w:r>
          </w:p>
        </w:tc>
      </w:tr>
    </w:tbl>
    <w:p w14:paraId="10FC8C27" w14:textId="77777777" w:rsidR="004D3BC6" w:rsidRDefault="004D3BC6" w:rsidP="00A93D8E">
      <w:pPr>
        <w:pStyle w:val="texto"/>
        <w:tabs>
          <w:tab w:val="clear" w:pos="2835"/>
          <w:tab w:val="clear" w:pos="3969"/>
          <w:tab w:val="left" w:pos="480"/>
          <w:tab w:val="num" w:pos="600"/>
          <w:tab w:val="num" w:pos="720"/>
          <w:tab w:val="num" w:pos="1320"/>
          <w:tab w:val="num" w:pos="2062"/>
          <w:tab w:val="num" w:pos="4472"/>
        </w:tabs>
        <w:rPr>
          <w:rFonts w:cs="Arial"/>
        </w:rPr>
      </w:pPr>
    </w:p>
    <w:p w14:paraId="43996E03" w14:textId="77777777" w:rsidR="006B7B40" w:rsidRDefault="00514C5F" w:rsidP="00A93D8E">
      <w:pPr>
        <w:pStyle w:val="texto"/>
        <w:tabs>
          <w:tab w:val="clear" w:pos="2835"/>
          <w:tab w:val="clear" w:pos="3969"/>
          <w:tab w:val="left" w:pos="480"/>
          <w:tab w:val="num" w:pos="600"/>
          <w:tab w:val="num" w:pos="720"/>
          <w:tab w:val="num" w:pos="1320"/>
          <w:tab w:val="num" w:pos="2062"/>
          <w:tab w:val="num" w:pos="4472"/>
        </w:tabs>
        <w:rPr>
          <w:rFonts w:cs="Arial"/>
        </w:rPr>
      </w:pPr>
      <w:r>
        <w:rPr>
          <w:noProof/>
        </w:rPr>
        <w:drawing>
          <wp:inline distT="0" distB="0" distL="0" distR="0" wp14:anchorId="1CDB8057" wp14:editId="2BD74194">
            <wp:extent cx="5192304" cy="2743200"/>
            <wp:effectExtent l="0" t="0" r="8890" b="0"/>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1E4B9E" w14:textId="77777777" w:rsidR="00932076" w:rsidRDefault="00F44F0C" w:rsidP="00A40DB8">
      <w:pPr>
        <w:pStyle w:val="texto"/>
        <w:spacing w:before="240"/>
        <w:jc w:val="both"/>
        <w:rPr>
          <w:rFonts w:cs="Arial"/>
        </w:rPr>
      </w:pPr>
      <w:r w:rsidRPr="00C01060">
        <w:rPr>
          <w:rFonts w:cs="Arial"/>
          <w:b/>
        </w:rPr>
        <w:t>En definitiva</w:t>
      </w:r>
      <w:r w:rsidRPr="00C01060">
        <w:rPr>
          <w:rFonts w:cs="Arial"/>
        </w:rPr>
        <w:t>, s</w:t>
      </w:r>
      <w:r w:rsidR="00932076" w:rsidRPr="00C01060">
        <w:rPr>
          <w:rFonts w:cs="Arial"/>
        </w:rPr>
        <w:t xml:space="preserve">e observa que más allá de las </w:t>
      </w:r>
      <w:r w:rsidR="00514C5F">
        <w:rPr>
          <w:rFonts w:cs="Arial"/>
        </w:rPr>
        <w:t xml:space="preserve">oscilaciones </w:t>
      </w:r>
      <w:r w:rsidR="00932076" w:rsidRPr="00C01060">
        <w:rPr>
          <w:rFonts w:cs="Arial"/>
        </w:rPr>
        <w:t xml:space="preserve">anuales </w:t>
      </w:r>
      <w:r w:rsidR="00475A53" w:rsidRPr="00C01060">
        <w:rPr>
          <w:rFonts w:cs="Arial"/>
        </w:rPr>
        <w:t xml:space="preserve">en el periodo analizado, </w:t>
      </w:r>
      <w:r w:rsidR="00932076" w:rsidRPr="00C01060">
        <w:rPr>
          <w:rFonts w:cs="Arial"/>
        </w:rPr>
        <w:t xml:space="preserve">ha existido un incremento del gasto en esta situación del 15 por ciento para el conjunto de la ACFN. </w:t>
      </w:r>
      <w:r w:rsidRPr="00C01060">
        <w:rPr>
          <w:rFonts w:cs="Arial"/>
        </w:rPr>
        <w:t xml:space="preserve">Debe tenerse en cuenta que, en </w:t>
      </w:r>
      <w:r w:rsidR="00475A53" w:rsidRPr="00C01060">
        <w:rPr>
          <w:rFonts w:cs="Arial"/>
        </w:rPr>
        <w:t>este periodo, en cualquier caso</w:t>
      </w:r>
      <w:r w:rsidR="00775F30" w:rsidRPr="00C01060">
        <w:rPr>
          <w:rFonts w:cs="Arial"/>
        </w:rPr>
        <w:t>,</w:t>
      </w:r>
      <w:r w:rsidR="00475A53" w:rsidRPr="00C01060">
        <w:rPr>
          <w:rFonts w:cs="Arial"/>
        </w:rPr>
        <w:t xml:space="preserve"> </w:t>
      </w:r>
      <w:r w:rsidRPr="00C01060">
        <w:rPr>
          <w:rFonts w:cs="Arial"/>
        </w:rPr>
        <w:t>exi</w:t>
      </w:r>
      <w:r w:rsidR="00775F30" w:rsidRPr="00C01060">
        <w:rPr>
          <w:rFonts w:cs="Arial"/>
        </w:rPr>
        <w:t xml:space="preserve">ste un gasto </w:t>
      </w:r>
      <w:r w:rsidRPr="00C01060">
        <w:rPr>
          <w:rFonts w:cs="Arial"/>
        </w:rPr>
        <w:t xml:space="preserve">medio sin soporte contractual </w:t>
      </w:r>
      <w:r w:rsidR="00702E3B">
        <w:rPr>
          <w:rFonts w:cs="Arial"/>
        </w:rPr>
        <w:t xml:space="preserve">adecuado </w:t>
      </w:r>
      <w:r w:rsidRPr="00C01060">
        <w:rPr>
          <w:rFonts w:cs="Arial"/>
        </w:rPr>
        <w:t>de 2</w:t>
      </w:r>
      <w:r w:rsidR="00710C80" w:rsidRPr="00C01060">
        <w:rPr>
          <w:rFonts w:cs="Arial"/>
        </w:rPr>
        <w:t>1</w:t>
      </w:r>
      <w:r w:rsidR="001633BF">
        <w:rPr>
          <w:rFonts w:cs="Arial"/>
        </w:rPr>
        <w:t>8</w:t>
      </w:r>
      <w:r w:rsidR="00710C80" w:rsidRPr="00C01060">
        <w:rPr>
          <w:rFonts w:cs="Arial"/>
        </w:rPr>
        <w:t xml:space="preserve">,40 millones, al que debe darse solución de forma urgente. </w:t>
      </w:r>
    </w:p>
    <w:p w14:paraId="5547E721" w14:textId="77777777" w:rsidR="00514C5F" w:rsidRDefault="00514C5F" w:rsidP="00514C5F">
      <w:pPr>
        <w:pStyle w:val="atitulo2"/>
        <w:spacing w:before="240"/>
        <w:jc w:val="both"/>
        <w:rPr>
          <w:bCs w:val="0"/>
          <w:iCs w:val="0"/>
          <w:color w:val="auto"/>
        </w:rPr>
      </w:pPr>
      <w:bookmarkStart w:id="95" w:name="_Toc182464276"/>
      <w:r>
        <w:rPr>
          <w:bCs w:val="0"/>
          <w:iCs w:val="0"/>
          <w:color w:val="auto"/>
        </w:rPr>
        <w:t xml:space="preserve">4.3 Creación de las sociedades públicas </w:t>
      </w:r>
      <w:proofErr w:type="spellStart"/>
      <w:r>
        <w:rPr>
          <w:bCs w:val="0"/>
          <w:iCs w:val="0"/>
          <w:color w:val="auto"/>
        </w:rPr>
        <w:t>Bidean</w:t>
      </w:r>
      <w:proofErr w:type="spellEnd"/>
      <w:r>
        <w:rPr>
          <w:bCs w:val="0"/>
          <w:iCs w:val="0"/>
          <w:color w:val="auto"/>
        </w:rPr>
        <w:t xml:space="preserve"> y </w:t>
      </w:r>
      <w:proofErr w:type="spellStart"/>
      <w:r>
        <w:rPr>
          <w:bCs w:val="0"/>
          <w:iCs w:val="0"/>
          <w:color w:val="auto"/>
        </w:rPr>
        <w:t>Nafarbide</w:t>
      </w:r>
      <w:bookmarkEnd w:id="95"/>
      <w:proofErr w:type="spellEnd"/>
    </w:p>
    <w:p w14:paraId="427ACB35" w14:textId="77777777" w:rsidR="007C2AF4" w:rsidRPr="00685778" w:rsidRDefault="007C2AF4" w:rsidP="007C2AF4">
      <w:pPr>
        <w:pStyle w:val="texto"/>
        <w:numPr>
          <w:ilvl w:val="0"/>
          <w:numId w:val="6"/>
        </w:numPr>
        <w:tabs>
          <w:tab w:val="clear" w:pos="360"/>
          <w:tab w:val="num" w:pos="300"/>
          <w:tab w:val="left" w:pos="480"/>
          <w:tab w:val="num" w:pos="600"/>
        </w:tabs>
        <w:spacing w:before="120"/>
        <w:ind w:firstLine="289"/>
        <w:jc w:val="both"/>
        <w:rPr>
          <w:rFonts w:cs="Arial"/>
        </w:rPr>
      </w:pPr>
      <w:r w:rsidRPr="00685778">
        <w:rPr>
          <w:rFonts w:cs="Arial"/>
        </w:rPr>
        <w:t xml:space="preserve">En las autorizaciones del Gobierno de Navarra para la creación de las sociedades públicas </w:t>
      </w:r>
      <w:proofErr w:type="spellStart"/>
      <w:r w:rsidRPr="00685778">
        <w:rPr>
          <w:rFonts w:cs="Arial"/>
        </w:rPr>
        <w:t>Bidean</w:t>
      </w:r>
      <w:proofErr w:type="spellEnd"/>
      <w:r w:rsidRPr="00685778">
        <w:rPr>
          <w:rFonts w:cs="Arial"/>
        </w:rPr>
        <w:t xml:space="preserve"> y </w:t>
      </w:r>
      <w:proofErr w:type="spellStart"/>
      <w:r w:rsidRPr="00685778">
        <w:rPr>
          <w:rFonts w:cs="Arial"/>
        </w:rPr>
        <w:t>Nafarbide</w:t>
      </w:r>
      <w:proofErr w:type="spellEnd"/>
      <w:r w:rsidRPr="00685778">
        <w:rPr>
          <w:rFonts w:cs="Arial"/>
        </w:rPr>
        <w:t xml:space="preserve">, los informes de las unidades de gestión y control del Departamento de Economía y </w:t>
      </w:r>
      <w:proofErr w:type="gramStart"/>
      <w:r w:rsidRPr="00685778">
        <w:rPr>
          <w:rFonts w:cs="Arial"/>
        </w:rPr>
        <w:t>Hacienda,</w:t>
      </w:r>
      <w:proofErr w:type="gramEnd"/>
      <w:r w:rsidRPr="00685778">
        <w:rPr>
          <w:rFonts w:cs="Arial"/>
        </w:rPr>
        <w:t xml:space="preserve"> concluyen que el cumplimiento de los principios de eficacia y eficiencia, no ha quedado debidamente acreditado, sin que consten informes posteriores en otro sentido. </w:t>
      </w:r>
    </w:p>
    <w:p w14:paraId="7BD29182" w14:textId="77777777" w:rsidR="006C62E8" w:rsidRDefault="000D109B" w:rsidP="003C1F18">
      <w:pPr>
        <w:pStyle w:val="texto"/>
        <w:numPr>
          <w:ilvl w:val="0"/>
          <w:numId w:val="6"/>
        </w:numPr>
        <w:tabs>
          <w:tab w:val="clear" w:pos="360"/>
          <w:tab w:val="num" w:pos="300"/>
          <w:tab w:val="left" w:pos="480"/>
          <w:tab w:val="num" w:pos="600"/>
        </w:tabs>
        <w:spacing w:before="120"/>
        <w:ind w:firstLine="289"/>
        <w:jc w:val="both"/>
        <w:rPr>
          <w:rFonts w:cs="Arial"/>
        </w:rPr>
      </w:pPr>
      <w:r w:rsidRPr="006C62E8">
        <w:rPr>
          <w:rFonts w:cs="Arial"/>
        </w:rPr>
        <w:t xml:space="preserve">En </w:t>
      </w:r>
      <w:r w:rsidR="006C62E8" w:rsidRPr="006C62E8">
        <w:rPr>
          <w:rFonts w:cs="Arial"/>
        </w:rPr>
        <w:t xml:space="preserve">el periodo 2019 a 2023 </w:t>
      </w:r>
      <w:r w:rsidRPr="006C62E8">
        <w:rPr>
          <w:rFonts w:cs="Arial"/>
        </w:rPr>
        <w:t>s</w:t>
      </w:r>
      <w:r w:rsidR="006C62E8" w:rsidRPr="006C62E8">
        <w:rPr>
          <w:rFonts w:cs="Arial"/>
        </w:rPr>
        <w:t>e ha</w:t>
      </w:r>
      <w:r w:rsidR="00CA3BE1" w:rsidRPr="006C62E8">
        <w:rPr>
          <w:rFonts w:cs="Arial"/>
        </w:rPr>
        <w:t xml:space="preserve"> pasado de 16 sociedades públicas en 2015 a 19 sociedades en 2023 (un 19 por ciento de aumento) y las </w:t>
      </w:r>
      <w:r w:rsidRPr="006C62E8">
        <w:rPr>
          <w:rFonts w:cs="Arial"/>
        </w:rPr>
        <w:t xml:space="preserve">tres nuevas sociedades </w:t>
      </w:r>
      <w:r w:rsidR="006C62E8" w:rsidRPr="006C62E8">
        <w:rPr>
          <w:rFonts w:cs="Arial"/>
        </w:rPr>
        <w:t xml:space="preserve">han sido informadas de forma desfavorable y reiterada por las anteriormente citadas unidades. </w:t>
      </w:r>
    </w:p>
    <w:p w14:paraId="58251F96" w14:textId="77777777" w:rsidR="00CA3BE1" w:rsidRPr="006C62E8" w:rsidRDefault="00CA3BE1" w:rsidP="003C1F18">
      <w:pPr>
        <w:pStyle w:val="texto"/>
        <w:numPr>
          <w:ilvl w:val="0"/>
          <w:numId w:val="6"/>
        </w:numPr>
        <w:tabs>
          <w:tab w:val="clear" w:pos="360"/>
          <w:tab w:val="num" w:pos="300"/>
          <w:tab w:val="left" w:pos="480"/>
          <w:tab w:val="num" w:pos="600"/>
        </w:tabs>
        <w:spacing w:before="120"/>
        <w:ind w:firstLine="289"/>
        <w:jc w:val="both"/>
        <w:rPr>
          <w:rFonts w:cs="Arial"/>
        </w:rPr>
      </w:pPr>
      <w:r w:rsidRPr="006C62E8">
        <w:rPr>
          <w:rFonts w:cs="Arial"/>
        </w:rPr>
        <w:t>El Principio de eficiencia en la asignación y utilización de los recursos, aparte de ser un principio constitucional cuyo valor normativo es incuestionable, posteriormente es recogido y desarrollado expresamente en la normativa presupuestaria, financiera, estabilidad presupuestaria y sostenibilidad financiera, así como las que inciden en la propia organización y funcionamiento de la A</w:t>
      </w:r>
      <w:r w:rsidR="0097215A">
        <w:rPr>
          <w:rFonts w:cs="Arial"/>
        </w:rPr>
        <w:t>CFN</w:t>
      </w:r>
      <w:r w:rsidRPr="006C62E8">
        <w:rPr>
          <w:rFonts w:cs="Arial"/>
        </w:rPr>
        <w:t>.</w:t>
      </w:r>
    </w:p>
    <w:p w14:paraId="2339A4F8" w14:textId="77777777" w:rsidR="006C62E8" w:rsidRPr="00685778" w:rsidRDefault="00CA3BE1" w:rsidP="007C2AF4">
      <w:pPr>
        <w:pStyle w:val="texto"/>
        <w:numPr>
          <w:ilvl w:val="0"/>
          <w:numId w:val="6"/>
        </w:numPr>
        <w:tabs>
          <w:tab w:val="clear" w:pos="360"/>
          <w:tab w:val="num" w:pos="300"/>
          <w:tab w:val="left" w:pos="480"/>
          <w:tab w:val="num" w:pos="600"/>
        </w:tabs>
        <w:spacing w:before="120"/>
        <w:ind w:firstLine="289"/>
        <w:jc w:val="both"/>
        <w:rPr>
          <w:rFonts w:cs="Arial"/>
        </w:rPr>
      </w:pPr>
      <w:r w:rsidRPr="00685778">
        <w:rPr>
          <w:rFonts w:cs="Arial"/>
        </w:rPr>
        <w:t xml:space="preserve">No debe olvidarse que los principios legales de eficacia y eficiencia en la asignación de los recursos </w:t>
      </w:r>
      <w:proofErr w:type="gramStart"/>
      <w:r w:rsidRPr="00685778">
        <w:rPr>
          <w:rFonts w:cs="Arial"/>
        </w:rPr>
        <w:t>públicos,</w:t>
      </w:r>
      <w:proofErr w:type="gramEnd"/>
      <w:r w:rsidRPr="00685778">
        <w:rPr>
          <w:rFonts w:cs="Arial"/>
        </w:rPr>
        <w:t xml:space="preserve"> no puede</w:t>
      </w:r>
      <w:r w:rsidR="00C943B4" w:rsidRPr="00685778">
        <w:rPr>
          <w:rFonts w:cs="Arial"/>
        </w:rPr>
        <w:t>n</w:t>
      </w:r>
      <w:r w:rsidRPr="00685778">
        <w:rPr>
          <w:rFonts w:cs="Arial"/>
        </w:rPr>
        <w:t xml:space="preserve"> consistir en una mera declaración, sino que deben acreditarse</w:t>
      </w:r>
      <w:r w:rsidR="007C2AF4" w:rsidRPr="00685778">
        <w:rPr>
          <w:rFonts w:cs="Arial"/>
        </w:rPr>
        <w:t xml:space="preserve"> suficientemente</w:t>
      </w:r>
      <w:r w:rsidRPr="00685778">
        <w:rPr>
          <w:rFonts w:cs="Arial"/>
        </w:rPr>
        <w:t>, y son y deben ser principios legales irrenunciables y respetados</w:t>
      </w:r>
      <w:r w:rsidR="007C2AF4" w:rsidRPr="00685778">
        <w:rPr>
          <w:rFonts w:cs="Arial"/>
        </w:rPr>
        <w:t>.</w:t>
      </w:r>
    </w:p>
    <w:p w14:paraId="757A9203" w14:textId="77777777" w:rsidR="00514C5F" w:rsidRDefault="00514C5F" w:rsidP="00514C5F">
      <w:pPr>
        <w:pStyle w:val="atitulo2"/>
        <w:spacing w:before="240"/>
        <w:jc w:val="both"/>
        <w:rPr>
          <w:bCs w:val="0"/>
          <w:iCs w:val="0"/>
        </w:rPr>
      </w:pPr>
      <w:bookmarkStart w:id="96" w:name="_Toc182464277"/>
      <w:r>
        <w:rPr>
          <w:bCs w:val="0"/>
          <w:iCs w:val="0"/>
          <w:color w:val="auto"/>
        </w:rPr>
        <w:lastRenderedPageBreak/>
        <w:t>4.4 Contrato de obra “Duplicación del Túnel de Belate”</w:t>
      </w:r>
      <w:bookmarkEnd w:id="96"/>
    </w:p>
    <w:p w14:paraId="7A4067B6" w14:textId="77777777" w:rsidR="00FE489F" w:rsidRDefault="00FE489F" w:rsidP="00FE489F">
      <w:pPr>
        <w:pStyle w:val="texto"/>
        <w:tabs>
          <w:tab w:val="num" w:pos="600"/>
        </w:tabs>
        <w:spacing w:before="240"/>
        <w:jc w:val="both"/>
        <w:rPr>
          <w:spacing w:val="0"/>
          <w:szCs w:val="26"/>
        </w:rPr>
      </w:pPr>
      <w:r w:rsidRPr="008956FA">
        <w:rPr>
          <w:spacing w:val="0"/>
          <w:szCs w:val="26"/>
        </w:rPr>
        <w:t xml:space="preserve">La licitación del contrato </w:t>
      </w:r>
      <w:r>
        <w:rPr>
          <w:spacing w:val="0"/>
          <w:szCs w:val="26"/>
        </w:rPr>
        <w:t xml:space="preserve">de obra “Duplicación del Túnel de Belate”, </w:t>
      </w:r>
      <w:r w:rsidRPr="008956FA">
        <w:rPr>
          <w:spacing w:val="0"/>
          <w:szCs w:val="26"/>
        </w:rPr>
        <w:t>se llevó a cabo mediante el procedimiento de adjudicación abierto superior al umbral europeo, por un importe de licitación de 78,6 millones (IVA excluido) y como criterio de adjudicación se estableció el de mejor relación calidad-precio. Se presenta</w:t>
      </w:r>
      <w:r>
        <w:rPr>
          <w:spacing w:val="0"/>
          <w:szCs w:val="26"/>
        </w:rPr>
        <w:t xml:space="preserve">ron </w:t>
      </w:r>
      <w:r w:rsidRPr="008956FA">
        <w:rPr>
          <w:spacing w:val="0"/>
          <w:szCs w:val="26"/>
        </w:rPr>
        <w:t xml:space="preserve">un total de siete licitadores y se </w:t>
      </w:r>
      <w:r>
        <w:rPr>
          <w:spacing w:val="0"/>
          <w:szCs w:val="26"/>
        </w:rPr>
        <w:t xml:space="preserve">adjudicó </w:t>
      </w:r>
      <w:r w:rsidRPr="008956FA">
        <w:rPr>
          <w:spacing w:val="0"/>
          <w:szCs w:val="26"/>
        </w:rPr>
        <w:t>en 62,88 millones (IVA excluido), con una baja del 20 por ciento.</w:t>
      </w:r>
    </w:p>
    <w:p w14:paraId="13D79D3E" w14:textId="77777777" w:rsidR="00FE489F" w:rsidRPr="006A1971" w:rsidRDefault="00FE489F" w:rsidP="00FE489F">
      <w:pPr>
        <w:pStyle w:val="texto"/>
        <w:tabs>
          <w:tab w:val="num" w:pos="300"/>
          <w:tab w:val="num" w:pos="600"/>
        </w:tabs>
        <w:spacing w:before="240"/>
        <w:jc w:val="both"/>
        <w:rPr>
          <w:spacing w:val="0"/>
          <w:szCs w:val="26"/>
        </w:rPr>
      </w:pPr>
      <w:r>
        <w:rPr>
          <w:spacing w:val="0"/>
          <w:szCs w:val="26"/>
        </w:rPr>
        <w:t xml:space="preserve">Dada la relevancia </w:t>
      </w:r>
      <w:r w:rsidRPr="006A1971">
        <w:rPr>
          <w:spacing w:val="0"/>
          <w:szCs w:val="26"/>
        </w:rPr>
        <w:t xml:space="preserve">técnica y económica de esta obra, </w:t>
      </w:r>
      <w:r>
        <w:rPr>
          <w:spacing w:val="0"/>
          <w:szCs w:val="26"/>
        </w:rPr>
        <w:t xml:space="preserve">se expone a continuación, lo </w:t>
      </w:r>
      <w:r w:rsidRPr="006A1971">
        <w:rPr>
          <w:spacing w:val="0"/>
          <w:szCs w:val="26"/>
        </w:rPr>
        <w:t xml:space="preserve">siguiente: </w:t>
      </w:r>
    </w:p>
    <w:p w14:paraId="51B80B32" w14:textId="77777777" w:rsidR="00FE489F" w:rsidRDefault="00FE489F" w:rsidP="00FE489F">
      <w:pPr>
        <w:pStyle w:val="texto"/>
        <w:numPr>
          <w:ilvl w:val="0"/>
          <w:numId w:val="20"/>
        </w:numPr>
        <w:tabs>
          <w:tab w:val="num" w:pos="300"/>
          <w:tab w:val="left" w:pos="480"/>
          <w:tab w:val="num" w:pos="600"/>
        </w:tabs>
        <w:spacing w:before="120"/>
        <w:ind w:left="0" w:firstLine="289"/>
        <w:jc w:val="both"/>
      </w:pPr>
      <w:r>
        <w:t>Los criterios de valoración son elementos fundamentales en la adjudicación de los contratos y, consecuentemente, son elementos orientadores de la elaboración de la oferta (en cuanto se refiere a los licitadores) y elementos determinantes de la selección del adjudicatario (en cuanto se refiere al órgano de contratación).</w:t>
      </w:r>
    </w:p>
    <w:p w14:paraId="1C92556F" w14:textId="77777777" w:rsidR="00FE489F" w:rsidRDefault="00FE489F" w:rsidP="00FE489F">
      <w:pPr>
        <w:pStyle w:val="texto"/>
        <w:tabs>
          <w:tab w:val="left" w:pos="480"/>
        </w:tabs>
        <w:spacing w:before="120"/>
        <w:jc w:val="both"/>
      </w:pPr>
      <w:r w:rsidRPr="009B3A76">
        <w:t xml:space="preserve">Los criterios cualitativos de adjudicación </w:t>
      </w:r>
      <w:r>
        <w:t xml:space="preserve">del expediente </w:t>
      </w:r>
      <w:proofErr w:type="gramStart"/>
      <w:r>
        <w:t>revisado,</w:t>
      </w:r>
      <w:proofErr w:type="gramEnd"/>
      <w:r>
        <w:t xml:space="preserve"> </w:t>
      </w:r>
      <w:r w:rsidRPr="009B3A76">
        <w:t>tienen asignado en el pliego 50 puntos con dos conceptos diferenciados</w:t>
      </w:r>
      <w:r>
        <w:t>:</w:t>
      </w:r>
      <w:r w:rsidRPr="009B3A76">
        <w:t xml:space="preserve"> X1. Memoria técnica </w:t>
      </w:r>
      <w:r>
        <w:t xml:space="preserve">(40 puntos) y </w:t>
      </w:r>
      <w:r w:rsidRPr="009B3A76">
        <w:t>X2 Programa de Obra</w:t>
      </w:r>
      <w:r>
        <w:t xml:space="preserve"> (10 puntos)</w:t>
      </w:r>
      <w:r w:rsidRPr="009B3A76">
        <w:t xml:space="preserve">. </w:t>
      </w:r>
      <w:r>
        <w:t xml:space="preserve">El criterio </w:t>
      </w:r>
      <w:r w:rsidRPr="009B3A76">
        <w:t xml:space="preserve">memoria técnica se desagrega en cuatro </w:t>
      </w:r>
      <w:r>
        <w:t xml:space="preserve">apartados y a cada uno de ellos, se le otorga su respectiva puntuación máxima. </w:t>
      </w:r>
    </w:p>
    <w:p w14:paraId="34E435C1" w14:textId="77777777" w:rsidR="00FE489F" w:rsidRDefault="00FE489F" w:rsidP="00FE489F">
      <w:pPr>
        <w:pStyle w:val="texto"/>
        <w:tabs>
          <w:tab w:val="left" w:pos="480"/>
        </w:tabs>
        <w:spacing w:before="120"/>
        <w:jc w:val="both"/>
      </w:pPr>
      <w:r>
        <w:t xml:space="preserve">Los criterios de cada uno de los apartados anteriormente </w:t>
      </w:r>
      <w:proofErr w:type="gramStart"/>
      <w:r>
        <w:t>citados,</w:t>
      </w:r>
      <w:proofErr w:type="gramEnd"/>
      <w:r>
        <w:t xml:space="preserve"> debieran haber sido más desarrollados y desagregados técnicamente, así como la forma de asignar su puntuación, con el objeto de garantizar el principio de igualdad de trato y transparencia, dado que un insuficiente detalle de los mismos puede perjudicar el derecho de los licitadores a disponer de la información necesaria para interpretarlos de la misma forma. </w:t>
      </w:r>
    </w:p>
    <w:p w14:paraId="31EEE9F5" w14:textId="77777777" w:rsidR="00FE489F" w:rsidRPr="004459DB" w:rsidRDefault="00FE489F" w:rsidP="00FE489F">
      <w:pPr>
        <w:pStyle w:val="texto"/>
        <w:tabs>
          <w:tab w:val="left" w:pos="480"/>
        </w:tabs>
        <w:spacing w:before="120"/>
        <w:jc w:val="both"/>
      </w:pPr>
      <w:r>
        <w:t xml:space="preserve">Una adecuada concreción y ponderación de dichos criterios, asimismo facilita y permite homogeneizar la posterior valoración técnica de las ofertas recibidas por los miembros de la Mesa, dar mayor garantía de objetividad de </w:t>
      </w:r>
      <w:proofErr w:type="gramStart"/>
      <w:r>
        <w:t>la misma</w:t>
      </w:r>
      <w:proofErr w:type="gramEnd"/>
      <w:r>
        <w:t xml:space="preserve">, y facilitar la elaboración del informe justificativo de las puntuaciones asignadas. </w:t>
      </w:r>
    </w:p>
    <w:p w14:paraId="3592225D" w14:textId="77777777" w:rsidR="00FE489F" w:rsidRPr="00587D21" w:rsidRDefault="00FE489F" w:rsidP="00FE489F">
      <w:pPr>
        <w:pStyle w:val="texto"/>
        <w:numPr>
          <w:ilvl w:val="0"/>
          <w:numId w:val="20"/>
        </w:numPr>
        <w:tabs>
          <w:tab w:val="num" w:pos="300"/>
          <w:tab w:val="left" w:pos="480"/>
          <w:tab w:val="num" w:pos="600"/>
        </w:tabs>
        <w:spacing w:before="240"/>
        <w:ind w:left="0" w:firstLine="289"/>
        <w:jc w:val="both"/>
        <w:rPr>
          <w:spacing w:val="0"/>
          <w:szCs w:val="26"/>
        </w:rPr>
      </w:pPr>
      <w:r w:rsidRPr="00587D21">
        <w:rPr>
          <w:spacing w:val="0"/>
          <w:szCs w:val="26"/>
        </w:rPr>
        <w:t xml:space="preserve">En la valoración de los criterios cualitativos, cuatro miembros de la Mesa de </w:t>
      </w:r>
      <w:proofErr w:type="gramStart"/>
      <w:r w:rsidRPr="00587D21">
        <w:rPr>
          <w:spacing w:val="0"/>
          <w:szCs w:val="26"/>
        </w:rPr>
        <w:t>Contratación,</w:t>
      </w:r>
      <w:proofErr w:type="gramEnd"/>
      <w:r w:rsidRPr="00587D21">
        <w:rPr>
          <w:spacing w:val="0"/>
          <w:szCs w:val="26"/>
        </w:rPr>
        <w:t xml:space="preserve"> remitieron sus puntuaciones al presidente, y éste determinó la suya teniendo conocimiento de las asignadas por los demás.</w:t>
      </w:r>
    </w:p>
    <w:p w14:paraId="423D12C4" w14:textId="77777777" w:rsidR="00FE489F" w:rsidRDefault="00FE489F" w:rsidP="00FE489F">
      <w:pPr>
        <w:pStyle w:val="texto"/>
        <w:tabs>
          <w:tab w:val="num" w:pos="600"/>
        </w:tabs>
        <w:spacing w:before="240"/>
        <w:jc w:val="both"/>
        <w:rPr>
          <w:spacing w:val="0"/>
          <w:szCs w:val="26"/>
        </w:rPr>
      </w:pPr>
      <w:r w:rsidRPr="00707DC4">
        <w:rPr>
          <w:spacing w:val="0"/>
          <w:szCs w:val="26"/>
        </w:rPr>
        <w:t>Si bien la normativa no detalla el procedimiento que debe</w:t>
      </w:r>
      <w:r>
        <w:rPr>
          <w:spacing w:val="0"/>
          <w:szCs w:val="26"/>
        </w:rPr>
        <w:t>n</w:t>
      </w:r>
      <w:r w:rsidRPr="00707DC4">
        <w:rPr>
          <w:spacing w:val="0"/>
          <w:szCs w:val="26"/>
        </w:rPr>
        <w:t xml:space="preserve"> seguir la</w:t>
      </w:r>
      <w:r>
        <w:rPr>
          <w:spacing w:val="0"/>
          <w:szCs w:val="26"/>
        </w:rPr>
        <w:t>s</w:t>
      </w:r>
      <w:r w:rsidRPr="00707DC4">
        <w:rPr>
          <w:spacing w:val="0"/>
          <w:szCs w:val="26"/>
        </w:rPr>
        <w:t xml:space="preserve"> Mesa</w:t>
      </w:r>
      <w:r>
        <w:rPr>
          <w:spacing w:val="0"/>
          <w:szCs w:val="26"/>
        </w:rPr>
        <w:t xml:space="preserve">s de Contratación, </w:t>
      </w:r>
      <w:r w:rsidRPr="00707DC4">
        <w:rPr>
          <w:spacing w:val="0"/>
          <w:szCs w:val="26"/>
        </w:rPr>
        <w:t xml:space="preserve">para efectuar la valoración de las ofertas técnicas, esta Cámara </w:t>
      </w:r>
      <w:r w:rsidRPr="004A0203">
        <w:rPr>
          <w:spacing w:val="0"/>
          <w:szCs w:val="26"/>
        </w:rPr>
        <w:t xml:space="preserve">considera que debe establecerse un procedimiento en el que todos los intervinientes dispongan de la misma información que garantice la imparcialidad de las puntuaciones, </w:t>
      </w:r>
      <w:r>
        <w:rPr>
          <w:spacing w:val="0"/>
          <w:szCs w:val="26"/>
        </w:rPr>
        <w:t>y por lo tanto los principios de igualdad de trato y transparencia.</w:t>
      </w:r>
    </w:p>
    <w:p w14:paraId="3C05BFE5" w14:textId="77777777" w:rsidR="00CC657A" w:rsidRDefault="00CC657A" w:rsidP="00FE489F">
      <w:pPr>
        <w:pStyle w:val="texto"/>
        <w:tabs>
          <w:tab w:val="num" w:pos="600"/>
        </w:tabs>
        <w:spacing w:before="240"/>
        <w:jc w:val="both"/>
        <w:rPr>
          <w:spacing w:val="0"/>
          <w:szCs w:val="26"/>
        </w:rPr>
      </w:pPr>
    </w:p>
    <w:p w14:paraId="439F941A" w14:textId="77777777" w:rsidR="00FE489F" w:rsidRDefault="00FE489F" w:rsidP="00FE489F">
      <w:pPr>
        <w:pStyle w:val="texto"/>
        <w:numPr>
          <w:ilvl w:val="0"/>
          <w:numId w:val="20"/>
        </w:numPr>
        <w:tabs>
          <w:tab w:val="num" w:pos="300"/>
          <w:tab w:val="left" w:pos="480"/>
          <w:tab w:val="num" w:pos="600"/>
        </w:tabs>
        <w:spacing w:before="120"/>
        <w:ind w:left="0" w:firstLine="289"/>
        <w:jc w:val="both"/>
      </w:pPr>
      <w:r>
        <w:lastRenderedPageBreak/>
        <w:t>Entre la fecha de la fiscalización por la intervención delegada y la fecha de adjudicación por el órgano de contratación, h</w:t>
      </w:r>
      <w:r w:rsidRPr="004A0203">
        <w:t>emos observado que se han lle</w:t>
      </w:r>
      <w:r>
        <w:t xml:space="preserve">vado a cabo actuaciones posteriores a </w:t>
      </w:r>
      <w:r w:rsidRPr="004A0203">
        <w:t>la Mesa de C</w:t>
      </w:r>
      <w:r>
        <w:t xml:space="preserve">ontratación, que por su relevancia y trascendencia, debieran haber formado </w:t>
      </w:r>
      <w:r w:rsidR="003753B5">
        <w:t>parte</w:t>
      </w:r>
      <w:r w:rsidR="0097215A">
        <w:t>,</w:t>
      </w:r>
      <w:r w:rsidR="003753B5">
        <w:t xml:space="preserve"> </w:t>
      </w:r>
      <w:r>
        <w:t>de conformidad con</w:t>
      </w:r>
      <w:r w:rsidR="0097215A">
        <w:t xml:space="preserve"> el principio de transparencia, </w:t>
      </w:r>
      <w:r w:rsidR="003753B5">
        <w:t xml:space="preserve">del expediente inicialmente remitido a esta Cámara. </w:t>
      </w:r>
    </w:p>
    <w:p w14:paraId="5C01701A" w14:textId="77777777" w:rsidR="00C30EA6" w:rsidRPr="00FE489F" w:rsidRDefault="00FE489F" w:rsidP="00FE489F">
      <w:pPr>
        <w:pStyle w:val="texto"/>
        <w:numPr>
          <w:ilvl w:val="0"/>
          <w:numId w:val="20"/>
        </w:numPr>
        <w:tabs>
          <w:tab w:val="num" w:pos="300"/>
          <w:tab w:val="left" w:pos="480"/>
          <w:tab w:val="num" w:pos="600"/>
        </w:tabs>
        <w:spacing w:before="120"/>
        <w:ind w:left="0" w:firstLine="289"/>
        <w:jc w:val="both"/>
      </w:pPr>
      <w:r>
        <w:t xml:space="preserve">Se ha incumplido de forma significativa el plazo máximo para adjudicar el contrato según la normativa contractual, al haber sido superado en 80 días, el citado plazo.  </w:t>
      </w:r>
    </w:p>
    <w:p w14:paraId="3E367A4D" w14:textId="77777777" w:rsidR="005B02F2" w:rsidRDefault="005B02F2" w:rsidP="005B02F2">
      <w:pPr>
        <w:pStyle w:val="atitulo2"/>
        <w:spacing w:before="240"/>
        <w:jc w:val="both"/>
        <w:rPr>
          <w:bCs w:val="0"/>
          <w:iCs w:val="0"/>
        </w:rPr>
      </w:pPr>
    </w:p>
    <w:p w14:paraId="4AFEA22E" w14:textId="77777777" w:rsidR="005B02F2" w:rsidRDefault="005B02F2" w:rsidP="005B02F2">
      <w:pPr>
        <w:pStyle w:val="atitulo2"/>
        <w:spacing w:before="240"/>
        <w:jc w:val="both"/>
        <w:rPr>
          <w:bCs w:val="0"/>
          <w:iCs w:val="0"/>
        </w:rPr>
      </w:pPr>
    </w:p>
    <w:p w14:paraId="25A0A01F" w14:textId="77777777" w:rsidR="0078729F" w:rsidRDefault="0078729F" w:rsidP="00286F49">
      <w:pPr>
        <w:pStyle w:val="atitulo2"/>
        <w:spacing w:before="240" w:after="120"/>
        <w:jc w:val="both"/>
      </w:pPr>
    </w:p>
    <w:p w14:paraId="1E2B7DD6" w14:textId="77777777" w:rsidR="00614DC4" w:rsidRDefault="00614DC4" w:rsidP="00614DC4">
      <w:pPr>
        <w:pStyle w:val="texto"/>
      </w:pPr>
    </w:p>
    <w:p w14:paraId="0587338B" w14:textId="77777777" w:rsidR="00286F49" w:rsidRDefault="00286F49">
      <w:pPr>
        <w:rPr>
          <w:spacing w:val="6"/>
          <w:sz w:val="26"/>
        </w:rPr>
      </w:pPr>
      <w:r>
        <w:br w:type="page"/>
      </w:r>
    </w:p>
    <w:p w14:paraId="2ED102D6" w14:textId="77777777" w:rsidR="00614DC4" w:rsidRDefault="00614DC4" w:rsidP="00614DC4">
      <w:pPr>
        <w:pStyle w:val="atitulo1"/>
        <w:rPr>
          <w:color w:val="auto"/>
        </w:rPr>
      </w:pPr>
      <w:bookmarkStart w:id="97" w:name="_Toc146471242"/>
      <w:bookmarkStart w:id="98" w:name="_Toc182464278"/>
      <w:r>
        <w:rPr>
          <w:color w:val="auto"/>
        </w:rPr>
        <w:lastRenderedPageBreak/>
        <w:t>Apéndice 5. Observaciones y hallazgos adicionales de la fiscalización de regularidad</w:t>
      </w:r>
      <w:bookmarkEnd w:id="97"/>
      <w:bookmarkEnd w:id="98"/>
      <w:r>
        <w:rPr>
          <w:color w:val="auto"/>
        </w:rPr>
        <w:t xml:space="preserve"> </w:t>
      </w:r>
    </w:p>
    <w:p w14:paraId="23668D15" w14:textId="77777777" w:rsidR="00614DC4" w:rsidRDefault="00614DC4" w:rsidP="002D69C2">
      <w:pPr>
        <w:pStyle w:val="texto"/>
        <w:spacing w:after="120"/>
        <w:jc w:val="both"/>
      </w:pPr>
      <w:r>
        <w:t xml:space="preserve">A continuación, se incluyen observaciones y comentarios e información adicional que esta Cámara considera puede ser de interés para las personas destinatarias y usuarias del presente informe de fiscalización. </w:t>
      </w:r>
    </w:p>
    <w:p w14:paraId="303F2117" w14:textId="77777777" w:rsidR="00614DC4" w:rsidRDefault="00614DC4" w:rsidP="002D69C2">
      <w:pPr>
        <w:pStyle w:val="texto"/>
        <w:spacing w:after="120"/>
        <w:jc w:val="both"/>
      </w:pPr>
      <w:r>
        <w:t xml:space="preserve">Incluye, igualmente, </w:t>
      </w:r>
      <w:r>
        <w:rPr>
          <w:shd w:val="clear" w:color="auto" w:fill="FFFFFF" w:themeFill="background1"/>
        </w:rPr>
        <w:t>las recomendaciones que esta Cámara considera precisas para una</w:t>
      </w:r>
      <w:r w:rsidR="00442C60">
        <w:rPr>
          <w:shd w:val="clear" w:color="auto" w:fill="FFFFFF" w:themeFill="background1"/>
        </w:rPr>
        <w:t xml:space="preserve"> mejora de la gestión económico-</w:t>
      </w:r>
      <w:r>
        <w:rPr>
          <w:shd w:val="clear" w:color="auto" w:fill="FFFFFF" w:themeFill="background1"/>
        </w:rPr>
        <w:t>administrativa</w:t>
      </w:r>
      <w:r>
        <w:t xml:space="preserve"> de la ACFN, sus OOAA, sus sociedades y fundaciones públicas. </w:t>
      </w:r>
    </w:p>
    <w:p w14:paraId="00E54D9F" w14:textId="77777777" w:rsidR="00614DC4" w:rsidRDefault="00614DC4" w:rsidP="00286F49">
      <w:pPr>
        <w:pStyle w:val="atitulo2"/>
        <w:spacing w:before="240"/>
        <w:jc w:val="both"/>
        <w:rPr>
          <w:bCs w:val="0"/>
          <w:iCs w:val="0"/>
        </w:rPr>
      </w:pPr>
      <w:bookmarkStart w:id="99" w:name="_Toc52267367"/>
      <w:bookmarkStart w:id="100" w:name="_Toc146471243"/>
      <w:bookmarkStart w:id="101" w:name="_Toc182464279"/>
      <w:r>
        <w:rPr>
          <w:bCs w:val="0"/>
          <w:iCs w:val="0"/>
        </w:rPr>
        <w:t xml:space="preserve">5.1 Presupuestos generales de Navarra </w:t>
      </w:r>
      <w:bookmarkEnd w:id="74"/>
      <w:bookmarkEnd w:id="75"/>
      <w:bookmarkEnd w:id="76"/>
      <w:bookmarkEnd w:id="99"/>
      <w:r>
        <w:rPr>
          <w:bCs w:val="0"/>
          <w:iCs w:val="0"/>
        </w:rPr>
        <w:t>202</w:t>
      </w:r>
      <w:bookmarkEnd w:id="100"/>
      <w:r w:rsidR="001A379E">
        <w:rPr>
          <w:bCs w:val="0"/>
          <w:iCs w:val="0"/>
        </w:rPr>
        <w:t>3</w:t>
      </w:r>
      <w:bookmarkEnd w:id="101"/>
    </w:p>
    <w:p w14:paraId="77DF6D34" w14:textId="77777777" w:rsidR="00614DC4" w:rsidRPr="00007AB8" w:rsidRDefault="00614DC4" w:rsidP="002D69C2">
      <w:pPr>
        <w:pStyle w:val="texto"/>
        <w:spacing w:after="120"/>
        <w:jc w:val="both"/>
      </w:pPr>
      <w:r w:rsidRPr="00007AB8">
        <w:t>El 2</w:t>
      </w:r>
      <w:r w:rsidR="001A379E" w:rsidRPr="00007AB8">
        <w:t>8</w:t>
      </w:r>
      <w:r w:rsidRPr="00007AB8">
        <w:t xml:space="preserve"> de diciembre de 202</w:t>
      </w:r>
      <w:r w:rsidR="001A379E" w:rsidRPr="00007AB8">
        <w:t>2</w:t>
      </w:r>
      <w:r w:rsidRPr="00007AB8">
        <w:t xml:space="preserve">, se aprobó la Ley Foral </w:t>
      </w:r>
      <w:r w:rsidR="001A379E" w:rsidRPr="00007AB8">
        <w:t>35</w:t>
      </w:r>
      <w:r w:rsidRPr="00007AB8">
        <w:t>/202</w:t>
      </w:r>
      <w:r w:rsidR="001A379E" w:rsidRPr="00007AB8">
        <w:t>2</w:t>
      </w:r>
      <w:r w:rsidRPr="00007AB8">
        <w:t xml:space="preserve"> de Presupuestos Generales de Navarra para el año 202</w:t>
      </w:r>
      <w:r w:rsidR="001A379E" w:rsidRPr="00007AB8">
        <w:t>3</w:t>
      </w:r>
      <w:r w:rsidRPr="00007AB8">
        <w:t>, con un volumen tot</w:t>
      </w:r>
      <w:r w:rsidR="00AC6A84">
        <w:t>al de gastos de 5.749</w:t>
      </w:r>
      <w:r w:rsidR="00007AB8" w:rsidRPr="00007AB8">
        <w:t xml:space="preserve"> millones. A</w:t>
      </w:r>
      <w:r w:rsidRPr="00007AB8">
        <w:t xml:space="preserve"> efectos del cumplimiento de la </w:t>
      </w:r>
      <w:proofErr w:type="spellStart"/>
      <w:r w:rsidRPr="00007AB8">
        <w:t>L</w:t>
      </w:r>
      <w:r w:rsidR="00D77F97">
        <w:t>OEPySF</w:t>
      </w:r>
      <w:proofErr w:type="spellEnd"/>
      <w:r w:rsidRPr="00007AB8">
        <w:t xml:space="preserve">, el techo de gasto no financiero se estableció en </w:t>
      </w:r>
      <w:r w:rsidR="00007AB8" w:rsidRPr="00007AB8">
        <w:t>4.300</w:t>
      </w:r>
      <w:r w:rsidRPr="00007AB8">
        <w:t xml:space="preserve"> millones.</w:t>
      </w:r>
    </w:p>
    <w:p w14:paraId="516D56AE" w14:textId="77777777" w:rsidR="00614DC4" w:rsidRDefault="00614DC4" w:rsidP="002D69C2">
      <w:pPr>
        <w:pStyle w:val="texto"/>
        <w:spacing w:after="120"/>
        <w:jc w:val="both"/>
      </w:pPr>
      <w:r>
        <w:t>El presupuesto de 202</w:t>
      </w:r>
      <w:r w:rsidR="001A379E">
        <w:t>3</w:t>
      </w:r>
      <w:r>
        <w:t xml:space="preserve"> incluye, entre sus partidas de gastos, un Fondo de Contingencia, de acuerdo con las exigencias de la </w:t>
      </w:r>
      <w:proofErr w:type="spellStart"/>
      <w:r>
        <w:t>LOEPySF</w:t>
      </w:r>
      <w:proofErr w:type="spellEnd"/>
      <w:r>
        <w:t xml:space="preserve"> y de la L</w:t>
      </w:r>
      <w:r w:rsidR="00D77F97">
        <w:t>FHPN</w:t>
      </w:r>
      <w:r>
        <w:t xml:space="preserve">, dotado inicialmente con </w:t>
      </w:r>
      <w:r w:rsidR="001B2C16">
        <w:t>4,56</w:t>
      </w:r>
      <w:r w:rsidRPr="001A379E">
        <w:rPr>
          <w:color w:val="FF0000"/>
        </w:rPr>
        <w:t xml:space="preserve"> </w:t>
      </w:r>
      <w:r>
        <w:t xml:space="preserve">millones para hacer frente a necesidades inaplazables de carácter no discrecional que no hubieran podido preverse en los presupuestos. </w:t>
      </w:r>
    </w:p>
    <w:p w14:paraId="6AA34114" w14:textId="77777777" w:rsidR="00614DC4" w:rsidRDefault="00614DC4" w:rsidP="00273FAC">
      <w:pPr>
        <w:spacing w:before="240" w:after="120"/>
        <w:ind w:firstLine="284"/>
        <w:jc w:val="both"/>
        <w:rPr>
          <w:rFonts w:ascii="Arial" w:hAnsi="Arial"/>
          <w:i/>
          <w:iCs/>
          <w:color w:val="000000"/>
          <w:spacing w:val="10"/>
          <w:kern w:val="28"/>
          <w:sz w:val="25"/>
          <w:szCs w:val="26"/>
        </w:rPr>
      </w:pPr>
      <w:r>
        <w:rPr>
          <w:rFonts w:ascii="Arial" w:hAnsi="Arial"/>
          <w:i/>
          <w:iCs/>
          <w:color w:val="000000"/>
          <w:spacing w:val="10"/>
          <w:kern w:val="28"/>
          <w:sz w:val="25"/>
          <w:szCs w:val="26"/>
        </w:rPr>
        <w:t>Modificaciones presupuestarias</w:t>
      </w:r>
    </w:p>
    <w:p w14:paraId="14047D60" w14:textId="77777777" w:rsidR="00614DC4" w:rsidRDefault="00614DC4" w:rsidP="00273FAC">
      <w:pPr>
        <w:pStyle w:val="texto"/>
        <w:spacing w:after="120"/>
        <w:jc w:val="both"/>
      </w:pPr>
      <w:r>
        <w:t>Los créditos iniciales para gastos experimentan vía modificaciones un incremento neto del 12 por ciento (</w:t>
      </w:r>
      <w:r w:rsidR="001B2C16">
        <w:t xml:space="preserve">684,23 </w:t>
      </w:r>
      <w:r>
        <w:t>millones), alcanzando los créditos cons</w:t>
      </w:r>
      <w:r w:rsidR="001B2C16">
        <w:t xml:space="preserve">olidados un importe de 6.433,18 </w:t>
      </w:r>
      <w:r>
        <w:t xml:space="preserve">millones. </w:t>
      </w:r>
    </w:p>
    <w:p w14:paraId="0B4A8EF0" w14:textId="77777777" w:rsidR="00775F30" w:rsidRDefault="00614DC4" w:rsidP="00286F49">
      <w:pPr>
        <w:pStyle w:val="texto"/>
        <w:jc w:val="both"/>
      </w:pPr>
      <w:r>
        <w:t>Las modificaciones aprobadas en 202</w:t>
      </w:r>
      <w:r w:rsidR="001B2C16">
        <w:t>3</w:t>
      </w:r>
      <w:r>
        <w:t xml:space="preserve"> fueron las siguientes: </w:t>
      </w:r>
    </w:p>
    <w:tbl>
      <w:tblPr>
        <w:tblW w:w="5001" w:type="pct"/>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257"/>
        <w:gridCol w:w="21"/>
        <w:gridCol w:w="1967"/>
        <w:gridCol w:w="1700"/>
        <w:gridCol w:w="40"/>
        <w:gridCol w:w="1806"/>
      </w:tblGrid>
      <w:tr w:rsidR="00614DC4" w14:paraId="431C4FDD" w14:textId="77777777" w:rsidTr="00D01D3B">
        <w:trPr>
          <w:trHeight w:val="198"/>
          <w:jc w:val="center"/>
        </w:trPr>
        <w:tc>
          <w:tcPr>
            <w:tcW w:w="1852" w:type="pct"/>
            <w:tcBorders>
              <w:top w:val="nil"/>
              <w:left w:val="nil"/>
              <w:bottom w:val="single" w:sz="4" w:space="0" w:color="auto"/>
              <w:right w:val="nil"/>
            </w:tcBorders>
            <w:vAlign w:val="center"/>
          </w:tcPr>
          <w:p w14:paraId="465A5678" w14:textId="77777777" w:rsidR="00614DC4" w:rsidRDefault="00614DC4">
            <w:pPr>
              <w:ind w:left="50"/>
              <w:jc w:val="right"/>
              <w:rPr>
                <w:rFonts w:ascii="Arial Narrow" w:hAnsi="Arial Narrow" w:cs="Arial"/>
                <w:bCs/>
                <w:szCs w:val="18"/>
              </w:rPr>
            </w:pPr>
          </w:p>
        </w:tc>
        <w:tc>
          <w:tcPr>
            <w:tcW w:w="1131" w:type="pct"/>
            <w:gridSpan w:val="2"/>
            <w:tcBorders>
              <w:top w:val="nil"/>
              <w:left w:val="nil"/>
              <w:bottom w:val="single" w:sz="4" w:space="0" w:color="auto"/>
              <w:right w:val="nil"/>
            </w:tcBorders>
            <w:vAlign w:val="center"/>
          </w:tcPr>
          <w:p w14:paraId="12B405CD" w14:textId="77777777" w:rsidR="00614DC4" w:rsidRDefault="00614DC4">
            <w:pPr>
              <w:jc w:val="right"/>
              <w:rPr>
                <w:rFonts w:ascii="Arial Narrow" w:hAnsi="Arial Narrow" w:cs="Arial"/>
                <w:bCs/>
                <w:szCs w:val="18"/>
              </w:rPr>
            </w:pPr>
          </w:p>
        </w:tc>
        <w:tc>
          <w:tcPr>
            <w:tcW w:w="967" w:type="pct"/>
            <w:tcBorders>
              <w:top w:val="nil"/>
              <w:left w:val="nil"/>
              <w:bottom w:val="single" w:sz="4" w:space="0" w:color="auto"/>
              <w:right w:val="nil"/>
            </w:tcBorders>
            <w:vAlign w:val="center"/>
          </w:tcPr>
          <w:p w14:paraId="1F4F3289" w14:textId="77777777" w:rsidR="00614DC4" w:rsidRDefault="00614DC4">
            <w:pPr>
              <w:jc w:val="right"/>
              <w:rPr>
                <w:rFonts w:ascii="Arial Narrow" w:hAnsi="Arial Narrow" w:cs="Arial"/>
                <w:bCs/>
                <w:szCs w:val="18"/>
              </w:rPr>
            </w:pPr>
          </w:p>
        </w:tc>
        <w:tc>
          <w:tcPr>
            <w:tcW w:w="1050" w:type="pct"/>
            <w:gridSpan w:val="2"/>
            <w:tcBorders>
              <w:top w:val="nil"/>
              <w:left w:val="nil"/>
              <w:bottom w:val="single" w:sz="4" w:space="0" w:color="auto"/>
              <w:right w:val="nil"/>
            </w:tcBorders>
            <w:vAlign w:val="center"/>
            <w:hideMark/>
          </w:tcPr>
          <w:p w14:paraId="3C5279ED" w14:textId="77777777" w:rsidR="00614DC4" w:rsidRPr="00D01D3B" w:rsidRDefault="00614DC4">
            <w:pPr>
              <w:ind w:left="50" w:right="10"/>
              <w:jc w:val="right"/>
              <w:rPr>
                <w:rFonts w:ascii="Arial" w:hAnsi="Arial" w:cs="Arial"/>
                <w:bCs/>
                <w:sz w:val="17"/>
                <w:szCs w:val="17"/>
              </w:rPr>
            </w:pPr>
            <w:r w:rsidRPr="00D01D3B">
              <w:rPr>
                <w:rFonts w:ascii="Arial" w:hAnsi="Arial" w:cs="Arial"/>
                <w:bCs/>
                <w:sz w:val="17"/>
                <w:szCs w:val="17"/>
              </w:rPr>
              <w:t>(en miles)</w:t>
            </w:r>
          </w:p>
        </w:tc>
      </w:tr>
      <w:tr w:rsidR="00614DC4" w14:paraId="0764B6A8" w14:textId="77777777" w:rsidTr="00D01D3B">
        <w:trPr>
          <w:trHeight w:val="255"/>
          <w:jc w:val="center"/>
        </w:trPr>
        <w:tc>
          <w:tcPr>
            <w:tcW w:w="1864" w:type="pct"/>
            <w:gridSpan w:val="2"/>
            <w:tcBorders>
              <w:top w:val="single" w:sz="4" w:space="0" w:color="auto"/>
              <w:left w:val="nil"/>
              <w:bottom w:val="single" w:sz="4" w:space="0" w:color="auto"/>
              <w:right w:val="nil"/>
            </w:tcBorders>
            <w:shd w:val="clear" w:color="auto" w:fill="8DB3E2"/>
            <w:vAlign w:val="center"/>
            <w:hideMark/>
          </w:tcPr>
          <w:p w14:paraId="3030B82A" w14:textId="77777777" w:rsidR="00614DC4" w:rsidRPr="001B2C16" w:rsidRDefault="00614DC4" w:rsidP="000926B1">
            <w:pPr>
              <w:pStyle w:val="cuadroCabe"/>
            </w:pPr>
            <w:r w:rsidRPr="001B2C16">
              <w:t>Modificaciones presupuestarias</w:t>
            </w:r>
          </w:p>
        </w:tc>
        <w:tc>
          <w:tcPr>
            <w:tcW w:w="1119" w:type="pct"/>
            <w:tcBorders>
              <w:top w:val="single" w:sz="4" w:space="0" w:color="auto"/>
              <w:left w:val="nil"/>
              <w:bottom w:val="single" w:sz="4" w:space="0" w:color="auto"/>
              <w:right w:val="nil"/>
            </w:tcBorders>
            <w:shd w:val="clear" w:color="auto" w:fill="8DB3E2"/>
            <w:hideMark/>
          </w:tcPr>
          <w:p w14:paraId="5815E5CB" w14:textId="77777777" w:rsidR="00614DC4" w:rsidRPr="001B2C16" w:rsidRDefault="00614DC4" w:rsidP="00775F30">
            <w:pPr>
              <w:pStyle w:val="cuadroCabe"/>
              <w:jc w:val="right"/>
            </w:pPr>
            <w:r w:rsidRPr="001B2C16">
              <w:t>Financiadas con</w:t>
            </w:r>
          </w:p>
          <w:p w14:paraId="5B1D81F9" w14:textId="77777777" w:rsidR="00614DC4" w:rsidRPr="001B2C16" w:rsidRDefault="00614DC4" w:rsidP="00775F30">
            <w:pPr>
              <w:pStyle w:val="cuadroCabe"/>
              <w:jc w:val="right"/>
            </w:pPr>
            <w:r w:rsidRPr="001B2C16">
              <w:t>remanente tesorería</w:t>
            </w:r>
          </w:p>
        </w:tc>
        <w:tc>
          <w:tcPr>
            <w:tcW w:w="990" w:type="pct"/>
            <w:gridSpan w:val="2"/>
            <w:tcBorders>
              <w:top w:val="single" w:sz="4" w:space="0" w:color="auto"/>
              <w:left w:val="nil"/>
              <w:bottom w:val="single" w:sz="4" w:space="0" w:color="auto"/>
              <w:right w:val="nil"/>
            </w:tcBorders>
            <w:shd w:val="clear" w:color="auto" w:fill="8DB3E2"/>
            <w:vAlign w:val="center"/>
            <w:hideMark/>
          </w:tcPr>
          <w:p w14:paraId="16101682" w14:textId="77777777" w:rsidR="00614DC4" w:rsidRDefault="00614DC4" w:rsidP="00775F30">
            <w:pPr>
              <w:pStyle w:val="cuadroCabe"/>
              <w:jc w:val="right"/>
            </w:pPr>
            <w:r>
              <w:t xml:space="preserve">Financiadas con </w:t>
            </w:r>
          </w:p>
          <w:p w14:paraId="023C4608" w14:textId="77777777" w:rsidR="00614DC4" w:rsidRDefault="00614DC4" w:rsidP="00775F30">
            <w:pPr>
              <w:pStyle w:val="cuadroCabe"/>
              <w:jc w:val="right"/>
            </w:pPr>
            <w:r>
              <w:t>mayores ingresos</w:t>
            </w:r>
          </w:p>
        </w:tc>
        <w:tc>
          <w:tcPr>
            <w:tcW w:w="1027" w:type="pct"/>
            <w:tcBorders>
              <w:top w:val="single" w:sz="4" w:space="0" w:color="auto"/>
              <w:left w:val="nil"/>
              <w:bottom w:val="single" w:sz="4" w:space="0" w:color="auto"/>
              <w:right w:val="nil"/>
            </w:tcBorders>
            <w:shd w:val="clear" w:color="auto" w:fill="8DB3E2"/>
            <w:vAlign w:val="center"/>
            <w:hideMark/>
          </w:tcPr>
          <w:p w14:paraId="5D575B59" w14:textId="77777777" w:rsidR="00614DC4" w:rsidRDefault="00614DC4" w:rsidP="00775F30">
            <w:pPr>
              <w:pStyle w:val="cuadroCabe"/>
              <w:jc w:val="right"/>
            </w:pPr>
            <w:r>
              <w:t xml:space="preserve">Financiadas con </w:t>
            </w:r>
          </w:p>
          <w:p w14:paraId="7B58593F" w14:textId="77777777" w:rsidR="00614DC4" w:rsidRDefault="00614DC4" w:rsidP="00775F30">
            <w:pPr>
              <w:pStyle w:val="cuadroCabe"/>
              <w:jc w:val="right"/>
            </w:pPr>
            <w:proofErr w:type="spellStart"/>
            <w:r>
              <w:t>minor</w:t>
            </w:r>
            <w:proofErr w:type="spellEnd"/>
            <w:r>
              <w:t>. otros gastos</w:t>
            </w:r>
          </w:p>
        </w:tc>
      </w:tr>
      <w:tr w:rsidR="00775F30" w14:paraId="76193CF0" w14:textId="77777777" w:rsidTr="002D4347">
        <w:trPr>
          <w:trHeight w:val="198"/>
          <w:jc w:val="center"/>
        </w:trPr>
        <w:tc>
          <w:tcPr>
            <w:tcW w:w="1852" w:type="pct"/>
            <w:tcBorders>
              <w:top w:val="single" w:sz="4" w:space="0" w:color="auto"/>
              <w:left w:val="nil"/>
              <w:bottom w:val="single" w:sz="2" w:space="0" w:color="auto"/>
              <w:right w:val="nil"/>
            </w:tcBorders>
            <w:vAlign w:val="center"/>
            <w:hideMark/>
          </w:tcPr>
          <w:p w14:paraId="3DC00CBE" w14:textId="77777777" w:rsidR="00775F30" w:rsidRPr="00817E1D" w:rsidRDefault="00775F30" w:rsidP="00775F30">
            <w:pPr>
              <w:pStyle w:val="cuatexto"/>
            </w:pPr>
            <w:r w:rsidRPr="00817E1D">
              <w:t>Ampliaciones de crédito</w:t>
            </w:r>
          </w:p>
        </w:tc>
        <w:tc>
          <w:tcPr>
            <w:tcW w:w="1131" w:type="pct"/>
            <w:gridSpan w:val="2"/>
            <w:tcBorders>
              <w:top w:val="single" w:sz="4" w:space="0" w:color="auto"/>
              <w:left w:val="nil"/>
              <w:bottom w:val="single" w:sz="2" w:space="0" w:color="auto"/>
              <w:right w:val="nil"/>
            </w:tcBorders>
            <w:shd w:val="clear" w:color="auto" w:fill="auto"/>
            <w:vAlign w:val="bottom"/>
          </w:tcPr>
          <w:p w14:paraId="0BB5BA54" w14:textId="77777777" w:rsidR="00775F30" w:rsidRPr="003C5679" w:rsidRDefault="00775F30" w:rsidP="00775F30">
            <w:pPr>
              <w:jc w:val="right"/>
              <w:rPr>
                <w:rFonts w:ascii="Arial Narrow" w:hAnsi="Arial Narrow" w:cs="Calibri"/>
                <w:color w:val="000000"/>
                <w:sz w:val="18"/>
                <w:szCs w:val="18"/>
              </w:rPr>
            </w:pPr>
            <w:r w:rsidRPr="003C5679">
              <w:rPr>
                <w:rFonts w:ascii="Arial Narrow" w:hAnsi="Arial Narrow" w:cs="Calibri"/>
                <w:color w:val="000000"/>
                <w:sz w:val="18"/>
                <w:szCs w:val="18"/>
              </w:rPr>
              <w:t>42.408</w:t>
            </w:r>
          </w:p>
        </w:tc>
        <w:tc>
          <w:tcPr>
            <w:tcW w:w="967" w:type="pct"/>
            <w:tcBorders>
              <w:top w:val="single" w:sz="4" w:space="0" w:color="auto"/>
              <w:left w:val="nil"/>
              <w:bottom w:val="single" w:sz="2" w:space="0" w:color="auto"/>
              <w:right w:val="nil"/>
            </w:tcBorders>
            <w:shd w:val="clear" w:color="auto" w:fill="auto"/>
            <w:vAlign w:val="bottom"/>
          </w:tcPr>
          <w:p w14:paraId="55B9F22B" w14:textId="77777777" w:rsidR="00775F30" w:rsidRPr="003C5679" w:rsidRDefault="00775F30" w:rsidP="00775F30">
            <w:pPr>
              <w:jc w:val="right"/>
              <w:rPr>
                <w:rFonts w:ascii="Arial Narrow" w:hAnsi="Arial Narrow" w:cs="Calibri"/>
                <w:color w:val="000000"/>
                <w:sz w:val="18"/>
                <w:szCs w:val="18"/>
              </w:rPr>
            </w:pPr>
            <w:r w:rsidRPr="003C5679">
              <w:rPr>
                <w:rFonts w:ascii="Arial Narrow" w:hAnsi="Arial Narrow" w:cs="Calibri"/>
                <w:color w:val="000000"/>
                <w:sz w:val="18"/>
                <w:szCs w:val="18"/>
              </w:rPr>
              <w:t>327.023</w:t>
            </w:r>
          </w:p>
        </w:tc>
        <w:tc>
          <w:tcPr>
            <w:tcW w:w="1050" w:type="pct"/>
            <w:gridSpan w:val="2"/>
            <w:tcBorders>
              <w:top w:val="single" w:sz="4" w:space="0" w:color="auto"/>
              <w:left w:val="nil"/>
              <w:bottom w:val="single" w:sz="2" w:space="0" w:color="auto"/>
              <w:right w:val="nil"/>
            </w:tcBorders>
            <w:shd w:val="clear" w:color="auto" w:fill="auto"/>
            <w:vAlign w:val="bottom"/>
          </w:tcPr>
          <w:p w14:paraId="598C4AAA" w14:textId="77777777" w:rsidR="00775F30" w:rsidRPr="003C5679" w:rsidRDefault="00775F30" w:rsidP="00775F30">
            <w:pPr>
              <w:jc w:val="right"/>
              <w:rPr>
                <w:rFonts w:ascii="Arial Narrow" w:hAnsi="Arial Narrow" w:cs="Calibri"/>
                <w:color w:val="000000"/>
                <w:sz w:val="18"/>
                <w:szCs w:val="18"/>
              </w:rPr>
            </w:pPr>
            <w:r w:rsidRPr="003C5679">
              <w:rPr>
                <w:rFonts w:ascii="Arial Narrow" w:hAnsi="Arial Narrow" w:cs="Calibri"/>
                <w:color w:val="000000"/>
                <w:sz w:val="18"/>
                <w:szCs w:val="18"/>
              </w:rPr>
              <w:t>53.851</w:t>
            </w:r>
          </w:p>
        </w:tc>
      </w:tr>
      <w:tr w:rsidR="00775F30" w14:paraId="34328C8E" w14:textId="77777777" w:rsidTr="002D4347">
        <w:trPr>
          <w:trHeight w:val="198"/>
          <w:jc w:val="center"/>
        </w:trPr>
        <w:tc>
          <w:tcPr>
            <w:tcW w:w="1852" w:type="pct"/>
            <w:tcBorders>
              <w:top w:val="single" w:sz="2" w:space="0" w:color="auto"/>
              <w:left w:val="nil"/>
              <w:bottom w:val="single" w:sz="2" w:space="0" w:color="auto"/>
              <w:right w:val="nil"/>
            </w:tcBorders>
            <w:vAlign w:val="center"/>
            <w:hideMark/>
          </w:tcPr>
          <w:p w14:paraId="4143B395" w14:textId="77777777" w:rsidR="00775F30" w:rsidRPr="00817E1D" w:rsidRDefault="00775F30" w:rsidP="00775F30">
            <w:pPr>
              <w:pStyle w:val="cuatexto"/>
            </w:pPr>
            <w:r w:rsidRPr="00817E1D">
              <w:t>Generaciones de crédito</w:t>
            </w:r>
          </w:p>
        </w:tc>
        <w:tc>
          <w:tcPr>
            <w:tcW w:w="1131" w:type="pct"/>
            <w:gridSpan w:val="2"/>
            <w:tcBorders>
              <w:top w:val="single" w:sz="2" w:space="0" w:color="auto"/>
              <w:left w:val="nil"/>
              <w:bottom w:val="single" w:sz="2" w:space="0" w:color="auto"/>
              <w:right w:val="nil"/>
            </w:tcBorders>
            <w:shd w:val="clear" w:color="auto" w:fill="auto"/>
            <w:vAlign w:val="bottom"/>
          </w:tcPr>
          <w:p w14:paraId="5D4D2049" w14:textId="77777777" w:rsidR="00775F30" w:rsidRPr="003C5679" w:rsidRDefault="00775F30" w:rsidP="00775F30">
            <w:pPr>
              <w:jc w:val="right"/>
              <w:rPr>
                <w:rFonts w:ascii="Arial Narrow" w:hAnsi="Arial Narrow" w:cs="Calibri"/>
                <w:color w:val="000000"/>
                <w:sz w:val="18"/>
                <w:szCs w:val="18"/>
              </w:rPr>
            </w:pPr>
            <w:r w:rsidRPr="003C5679">
              <w:rPr>
                <w:rFonts w:ascii="Arial Narrow" w:hAnsi="Arial Narrow" w:cs="Calibri"/>
                <w:color w:val="000000"/>
                <w:sz w:val="18"/>
                <w:szCs w:val="18"/>
              </w:rPr>
              <w:t>65.656</w:t>
            </w:r>
          </w:p>
        </w:tc>
        <w:tc>
          <w:tcPr>
            <w:tcW w:w="967" w:type="pct"/>
            <w:tcBorders>
              <w:top w:val="single" w:sz="2" w:space="0" w:color="auto"/>
              <w:left w:val="nil"/>
              <w:bottom w:val="single" w:sz="2" w:space="0" w:color="auto"/>
              <w:right w:val="nil"/>
            </w:tcBorders>
            <w:shd w:val="clear" w:color="auto" w:fill="auto"/>
            <w:vAlign w:val="bottom"/>
          </w:tcPr>
          <w:p w14:paraId="72DC8375" w14:textId="77777777" w:rsidR="00775F30" w:rsidRPr="003C5679" w:rsidRDefault="00775F30" w:rsidP="00775F30">
            <w:pPr>
              <w:jc w:val="right"/>
              <w:rPr>
                <w:rFonts w:ascii="Arial Narrow" w:hAnsi="Arial Narrow" w:cs="Calibri"/>
                <w:color w:val="000000"/>
                <w:sz w:val="18"/>
                <w:szCs w:val="18"/>
              </w:rPr>
            </w:pPr>
            <w:r w:rsidRPr="003C5679">
              <w:rPr>
                <w:rFonts w:ascii="Arial Narrow" w:hAnsi="Arial Narrow" w:cs="Calibri"/>
                <w:color w:val="000000"/>
                <w:sz w:val="18"/>
                <w:szCs w:val="18"/>
              </w:rPr>
              <w:t>92.794</w:t>
            </w:r>
          </w:p>
        </w:tc>
        <w:tc>
          <w:tcPr>
            <w:tcW w:w="1050" w:type="pct"/>
            <w:gridSpan w:val="2"/>
            <w:tcBorders>
              <w:top w:val="single" w:sz="2" w:space="0" w:color="auto"/>
              <w:left w:val="nil"/>
              <w:bottom w:val="single" w:sz="2" w:space="0" w:color="auto"/>
              <w:right w:val="nil"/>
            </w:tcBorders>
            <w:shd w:val="clear" w:color="auto" w:fill="auto"/>
            <w:vAlign w:val="bottom"/>
          </w:tcPr>
          <w:p w14:paraId="10AC11C6" w14:textId="77777777" w:rsidR="00775F30" w:rsidRPr="003C5679" w:rsidRDefault="00775F30" w:rsidP="00775F30">
            <w:pPr>
              <w:jc w:val="right"/>
              <w:rPr>
                <w:rFonts w:ascii="Arial Narrow" w:hAnsi="Arial Narrow" w:cs="Calibri"/>
                <w:color w:val="000000"/>
                <w:sz w:val="18"/>
                <w:szCs w:val="18"/>
              </w:rPr>
            </w:pPr>
            <w:r w:rsidRPr="003C5679">
              <w:rPr>
                <w:rFonts w:ascii="Arial Narrow" w:hAnsi="Arial Narrow" w:cs="Calibri"/>
                <w:color w:val="000000"/>
                <w:sz w:val="18"/>
                <w:szCs w:val="18"/>
              </w:rPr>
              <w:t>0</w:t>
            </w:r>
          </w:p>
        </w:tc>
      </w:tr>
      <w:tr w:rsidR="00775F30" w14:paraId="36C0D72D" w14:textId="77777777" w:rsidTr="002D4347">
        <w:trPr>
          <w:trHeight w:val="198"/>
          <w:jc w:val="center"/>
        </w:trPr>
        <w:tc>
          <w:tcPr>
            <w:tcW w:w="1852" w:type="pct"/>
            <w:tcBorders>
              <w:top w:val="single" w:sz="2" w:space="0" w:color="auto"/>
              <w:left w:val="nil"/>
              <w:bottom w:val="single" w:sz="2" w:space="0" w:color="auto"/>
              <w:right w:val="nil"/>
            </w:tcBorders>
            <w:vAlign w:val="center"/>
            <w:hideMark/>
          </w:tcPr>
          <w:p w14:paraId="12470333" w14:textId="77777777" w:rsidR="00775F30" w:rsidRPr="00817E1D" w:rsidRDefault="00775F30" w:rsidP="00775F30">
            <w:pPr>
              <w:pStyle w:val="cuatexto"/>
            </w:pPr>
            <w:r w:rsidRPr="00817E1D">
              <w:t>Incorporaciones de crédito</w:t>
            </w:r>
          </w:p>
        </w:tc>
        <w:tc>
          <w:tcPr>
            <w:tcW w:w="1131" w:type="pct"/>
            <w:gridSpan w:val="2"/>
            <w:tcBorders>
              <w:top w:val="single" w:sz="2" w:space="0" w:color="auto"/>
              <w:left w:val="nil"/>
              <w:bottom w:val="single" w:sz="2" w:space="0" w:color="auto"/>
              <w:right w:val="nil"/>
            </w:tcBorders>
            <w:shd w:val="clear" w:color="auto" w:fill="auto"/>
            <w:vAlign w:val="bottom"/>
          </w:tcPr>
          <w:p w14:paraId="49526650" w14:textId="77777777" w:rsidR="00775F30" w:rsidRPr="003C5679" w:rsidRDefault="00775F30" w:rsidP="00775F30">
            <w:pPr>
              <w:jc w:val="right"/>
              <w:rPr>
                <w:rFonts w:ascii="Arial Narrow" w:hAnsi="Arial Narrow" w:cs="Calibri"/>
                <w:color w:val="000000"/>
                <w:sz w:val="18"/>
                <w:szCs w:val="18"/>
              </w:rPr>
            </w:pPr>
            <w:r w:rsidRPr="003C5679">
              <w:rPr>
                <w:rFonts w:ascii="Arial Narrow" w:hAnsi="Arial Narrow" w:cs="Calibri"/>
                <w:color w:val="000000"/>
                <w:sz w:val="18"/>
                <w:szCs w:val="18"/>
              </w:rPr>
              <w:t>122.761</w:t>
            </w:r>
          </w:p>
        </w:tc>
        <w:tc>
          <w:tcPr>
            <w:tcW w:w="967" w:type="pct"/>
            <w:tcBorders>
              <w:top w:val="single" w:sz="2" w:space="0" w:color="auto"/>
              <w:left w:val="nil"/>
              <w:bottom w:val="single" w:sz="2" w:space="0" w:color="auto"/>
              <w:right w:val="nil"/>
            </w:tcBorders>
            <w:shd w:val="clear" w:color="auto" w:fill="auto"/>
            <w:noWrap/>
            <w:vAlign w:val="bottom"/>
          </w:tcPr>
          <w:p w14:paraId="792BDA09" w14:textId="77777777" w:rsidR="00775F30" w:rsidRPr="003C5679" w:rsidRDefault="00775F30" w:rsidP="00775F30">
            <w:pPr>
              <w:jc w:val="right"/>
              <w:rPr>
                <w:rFonts w:ascii="Arial Narrow" w:hAnsi="Arial Narrow" w:cs="Calibri"/>
                <w:color w:val="000000"/>
                <w:sz w:val="18"/>
                <w:szCs w:val="18"/>
              </w:rPr>
            </w:pPr>
            <w:r w:rsidRPr="003C5679">
              <w:rPr>
                <w:rFonts w:ascii="Arial Narrow" w:hAnsi="Arial Narrow" w:cs="Calibri"/>
                <w:color w:val="000000"/>
                <w:sz w:val="18"/>
                <w:szCs w:val="18"/>
              </w:rPr>
              <w:t>0</w:t>
            </w:r>
          </w:p>
        </w:tc>
        <w:tc>
          <w:tcPr>
            <w:tcW w:w="1050" w:type="pct"/>
            <w:gridSpan w:val="2"/>
            <w:tcBorders>
              <w:top w:val="single" w:sz="2" w:space="0" w:color="auto"/>
              <w:left w:val="nil"/>
              <w:bottom w:val="single" w:sz="2" w:space="0" w:color="auto"/>
              <w:right w:val="nil"/>
            </w:tcBorders>
            <w:shd w:val="clear" w:color="auto" w:fill="auto"/>
            <w:noWrap/>
            <w:vAlign w:val="bottom"/>
          </w:tcPr>
          <w:p w14:paraId="22587658" w14:textId="77777777" w:rsidR="00775F30" w:rsidRPr="003C5679" w:rsidRDefault="00775F30" w:rsidP="00775F30">
            <w:pPr>
              <w:jc w:val="right"/>
              <w:rPr>
                <w:rFonts w:ascii="Arial Narrow" w:hAnsi="Arial Narrow" w:cs="Calibri"/>
                <w:color w:val="000000"/>
                <w:sz w:val="18"/>
                <w:szCs w:val="18"/>
              </w:rPr>
            </w:pPr>
            <w:r w:rsidRPr="003C5679">
              <w:rPr>
                <w:rFonts w:ascii="Arial Narrow" w:hAnsi="Arial Narrow" w:cs="Calibri"/>
                <w:color w:val="000000"/>
                <w:sz w:val="18"/>
                <w:szCs w:val="18"/>
              </w:rPr>
              <w:t>60</w:t>
            </w:r>
          </w:p>
        </w:tc>
      </w:tr>
      <w:tr w:rsidR="00775F30" w14:paraId="0D328E6A" w14:textId="77777777" w:rsidTr="002D4347">
        <w:trPr>
          <w:trHeight w:val="198"/>
          <w:jc w:val="center"/>
        </w:trPr>
        <w:tc>
          <w:tcPr>
            <w:tcW w:w="1852" w:type="pct"/>
            <w:tcBorders>
              <w:top w:val="single" w:sz="2" w:space="0" w:color="auto"/>
              <w:left w:val="nil"/>
              <w:bottom w:val="single" w:sz="2" w:space="0" w:color="auto"/>
              <w:right w:val="nil"/>
            </w:tcBorders>
            <w:vAlign w:val="center"/>
            <w:hideMark/>
          </w:tcPr>
          <w:p w14:paraId="1F0B9E95" w14:textId="77777777" w:rsidR="00775F30" w:rsidRPr="00817E1D" w:rsidRDefault="00775F30" w:rsidP="00775F30">
            <w:pPr>
              <w:pStyle w:val="cuatexto"/>
            </w:pPr>
            <w:r w:rsidRPr="00817E1D">
              <w:t>Suplementos de crédito</w:t>
            </w:r>
          </w:p>
        </w:tc>
        <w:tc>
          <w:tcPr>
            <w:tcW w:w="1131" w:type="pct"/>
            <w:gridSpan w:val="2"/>
            <w:tcBorders>
              <w:top w:val="single" w:sz="2" w:space="0" w:color="auto"/>
              <w:left w:val="nil"/>
              <w:bottom w:val="single" w:sz="2" w:space="0" w:color="auto"/>
              <w:right w:val="nil"/>
            </w:tcBorders>
            <w:shd w:val="clear" w:color="auto" w:fill="auto"/>
            <w:vAlign w:val="bottom"/>
          </w:tcPr>
          <w:p w14:paraId="1BCF8DAD" w14:textId="77777777" w:rsidR="00775F30" w:rsidRPr="003C5679" w:rsidRDefault="00775F30" w:rsidP="00775F30">
            <w:pPr>
              <w:jc w:val="right"/>
              <w:rPr>
                <w:rFonts w:ascii="Arial Narrow" w:hAnsi="Arial Narrow" w:cs="Calibri"/>
                <w:color w:val="000000"/>
                <w:sz w:val="18"/>
                <w:szCs w:val="18"/>
              </w:rPr>
            </w:pPr>
            <w:r w:rsidRPr="003C5679">
              <w:rPr>
                <w:rFonts w:ascii="Arial Narrow" w:hAnsi="Arial Narrow" w:cs="Calibri"/>
                <w:color w:val="000000"/>
                <w:sz w:val="18"/>
                <w:szCs w:val="18"/>
              </w:rPr>
              <w:t>23.995</w:t>
            </w:r>
          </w:p>
        </w:tc>
        <w:tc>
          <w:tcPr>
            <w:tcW w:w="967" w:type="pct"/>
            <w:tcBorders>
              <w:top w:val="single" w:sz="2" w:space="0" w:color="auto"/>
              <w:left w:val="nil"/>
              <w:bottom w:val="single" w:sz="2" w:space="0" w:color="auto"/>
              <w:right w:val="nil"/>
            </w:tcBorders>
            <w:shd w:val="clear" w:color="auto" w:fill="auto"/>
            <w:noWrap/>
            <w:vAlign w:val="bottom"/>
          </w:tcPr>
          <w:p w14:paraId="047AEDA2" w14:textId="77777777" w:rsidR="00775F30" w:rsidRPr="003C5679" w:rsidRDefault="00775F30" w:rsidP="00775F30">
            <w:pPr>
              <w:jc w:val="right"/>
              <w:rPr>
                <w:rFonts w:ascii="Arial Narrow" w:hAnsi="Arial Narrow" w:cs="Calibri"/>
                <w:color w:val="000000"/>
                <w:sz w:val="18"/>
                <w:szCs w:val="18"/>
              </w:rPr>
            </w:pPr>
            <w:r w:rsidRPr="003C5679">
              <w:rPr>
                <w:rFonts w:ascii="Arial Narrow" w:hAnsi="Arial Narrow" w:cs="Calibri"/>
                <w:color w:val="000000"/>
                <w:sz w:val="18"/>
                <w:szCs w:val="18"/>
              </w:rPr>
              <w:t>0</w:t>
            </w:r>
          </w:p>
        </w:tc>
        <w:tc>
          <w:tcPr>
            <w:tcW w:w="1050" w:type="pct"/>
            <w:gridSpan w:val="2"/>
            <w:tcBorders>
              <w:top w:val="single" w:sz="2" w:space="0" w:color="auto"/>
              <w:left w:val="nil"/>
              <w:bottom w:val="single" w:sz="2" w:space="0" w:color="auto"/>
              <w:right w:val="nil"/>
            </w:tcBorders>
            <w:shd w:val="clear" w:color="auto" w:fill="auto"/>
            <w:noWrap/>
            <w:vAlign w:val="bottom"/>
          </w:tcPr>
          <w:p w14:paraId="7AFB13C6" w14:textId="77777777" w:rsidR="00775F30" w:rsidRPr="003C5679" w:rsidRDefault="00775F30" w:rsidP="00775F30">
            <w:pPr>
              <w:jc w:val="right"/>
              <w:rPr>
                <w:rFonts w:ascii="Arial Narrow" w:hAnsi="Arial Narrow" w:cs="Calibri"/>
                <w:color w:val="000000"/>
                <w:sz w:val="18"/>
                <w:szCs w:val="18"/>
              </w:rPr>
            </w:pPr>
            <w:r w:rsidRPr="003C5679">
              <w:rPr>
                <w:rFonts w:ascii="Arial Narrow" w:hAnsi="Arial Narrow" w:cs="Calibri"/>
                <w:color w:val="000000"/>
                <w:sz w:val="18"/>
                <w:szCs w:val="18"/>
              </w:rPr>
              <w:t>1.317</w:t>
            </w:r>
          </w:p>
        </w:tc>
      </w:tr>
      <w:tr w:rsidR="00775F30" w:rsidRPr="000926B1" w14:paraId="0B2CAC61" w14:textId="77777777" w:rsidTr="00D01D3B">
        <w:trPr>
          <w:trHeight w:val="255"/>
          <w:jc w:val="center"/>
        </w:trPr>
        <w:tc>
          <w:tcPr>
            <w:tcW w:w="1852" w:type="pct"/>
            <w:tcBorders>
              <w:top w:val="single" w:sz="2" w:space="0" w:color="auto"/>
              <w:left w:val="nil"/>
              <w:bottom w:val="single" w:sz="4" w:space="0" w:color="auto"/>
              <w:right w:val="nil"/>
            </w:tcBorders>
            <w:vAlign w:val="center"/>
            <w:hideMark/>
          </w:tcPr>
          <w:p w14:paraId="678E392B" w14:textId="77777777" w:rsidR="00775F30" w:rsidRPr="000926B1" w:rsidRDefault="00775F30" w:rsidP="00775F30">
            <w:pPr>
              <w:pStyle w:val="cuatexto"/>
            </w:pPr>
            <w:r w:rsidRPr="000926B1">
              <w:t>Créditos extraordinarios</w:t>
            </w:r>
          </w:p>
        </w:tc>
        <w:tc>
          <w:tcPr>
            <w:tcW w:w="1131" w:type="pct"/>
            <w:gridSpan w:val="2"/>
            <w:tcBorders>
              <w:top w:val="single" w:sz="2" w:space="0" w:color="auto"/>
              <w:left w:val="nil"/>
              <w:bottom w:val="single" w:sz="4" w:space="0" w:color="auto"/>
              <w:right w:val="nil"/>
            </w:tcBorders>
            <w:shd w:val="clear" w:color="auto" w:fill="auto"/>
            <w:vAlign w:val="bottom"/>
          </w:tcPr>
          <w:p w14:paraId="56341D75" w14:textId="77777777" w:rsidR="00775F30" w:rsidRPr="003C5679" w:rsidRDefault="00775F30" w:rsidP="00775F30">
            <w:pPr>
              <w:jc w:val="right"/>
              <w:rPr>
                <w:rFonts w:ascii="Arial Narrow" w:hAnsi="Arial Narrow" w:cs="Calibri"/>
                <w:color w:val="000000"/>
                <w:sz w:val="18"/>
                <w:szCs w:val="18"/>
              </w:rPr>
            </w:pPr>
            <w:r w:rsidRPr="003C5679">
              <w:rPr>
                <w:rFonts w:ascii="Arial Narrow" w:hAnsi="Arial Narrow" w:cs="Calibri"/>
                <w:color w:val="000000"/>
                <w:sz w:val="18"/>
                <w:szCs w:val="18"/>
              </w:rPr>
              <w:t>8.000</w:t>
            </w:r>
          </w:p>
        </w:tc>
        <w:tc>
          <w:tcPr>
            <w:tcW w:w="967" w:type="pct"/>
            <w:tcBorders>
              <w:top w:val="single" w:sz="2" w:space="0" w:color="auto"/>
              <w:left w:val="nil"/>
              <w:bottom w:val="single" w:sz="4" w:space="0" w:color="auto"/>
              <w:right w:val="nil"/>
            </w:tcBorders>
            <w:shd w:val="clear" w:color="auto" w:fill="auto"/>
            <w:noWrap/>
            <w:vAlign w:val="bottom"/>
          </w:tcPr>
          <w:p w14:paraId="285AEE7E" w14:textId="77777777" w:rsidR="00775F30" w:rsidRPr="003C5679" w:rsidRDefault="00775F30" w:rsidP="00775F30">
            <w:pPr>
              <w:jc w:val="right"/>
              <w:rPr>
                <w:rFonts w:ascii="Arial Narrow" w:hAnsi="Arial Narrow" w:cs="Calibri"/>
                <w:color w:val="000000"/>
                <w:sz w:val="18"/>
                <w:szCs w:val="18"/>
              </w:rPr>
            </w:pPr>
            <w:r w:rsidRPr="003C5679">
              <w:rPr>
                <w:rFonts w:ascii="Arial Narrow" w:hAnsi="Arial Narrow" w:cs="Calibri"/>
                <w:color w:val="000000"/>
                <w:sz w:val="18"/>
                <w:szCs w:val="18"/>
              </w:rPr>
              <w:t>1.595</w:t>
            </w:r>
          </w:p>
        </w:tc>
        <w:tc>
          <w:tcPr>
            <w:tcW w:w="1050" w:type="pct"/>
            <w:gridSpan w:val="2"/>
            <w:tcBorders>
              <w:top w:val="single" w:sz="2" w:space="0" w:color="auto"/>
              <w:left w:val="nil"/>
              <w:bottom w:val="single" w:sz="4" w:space="0" w:color="auto"/>
              <w:right w:val="nil"/>
            </w:tcBorders>
            <w:shd w:val="clear" w:color="auto" w:fill="auto"/>
            <w:noWrap/>
            <w:vAlign w:val="bottom"/>
          </w:tcPr>
          <w:p w14:paraId="437C1B36" w14:textId="77777777" w:rsidR="00775F30" w:rsidRPr="003C5679" w:rsidRDefault="00775F30" w:rsidP="00775F30">
            <w:pPr>
              <w:jc w:val="right"/>
              <w:rPr>
                <w:rFonts w:ascii="Arial Narrow" w:hAnsi="Arial Narrow" w:cs="Calibri"/>
                <w:color w:val="000000"/>
                <w:sz w:val="18"/>
                <w:szCs w:val="18"/>
              </w:rPr>
            </w:pPr>
            <w:r w:rsidRPr="003C5679">
              <w:rPr>
                <w:rFonts w:ascii="Arial Narrow" w:hAnsi="Arial Narrow" w:cs="Calibri"/>
                <w:color w:val="000000"/>
                <w:sz w:val="18"/>
                <w:szCs w:val="18"/>
              </w:rPr>
              <w:t>1.790</w:t>
            </w:r>
          </w:p>
        </w:tc>
      </w:tr>
      <w:tr w:rsidR="003C5679" w14:paraId="4C980265" w14:textId="77777777" w:rsidTr="003C5679">
        <w:trPr>
          <w:trHeight w:val="255"/>
          <w:jc w:val="center"/>
        </w:trPr>
        <w:tc>
          <w:tcPr>
            <w:tcW w:w="1864" w:type="pct"/>
            <w:gridSpan w:val="2"/>
            <w:tcBorders>
              <w:top w:val="single" w:sz="4" w:space="0" w:color="auto"/>
              <w:left w:val="nil"/>
              <w:bottom w:val="single" w:sz="2" w:space="0" w:color="auto"/>
              <w:right w:val="nil"/>
            </w:tcBorders>
            <w:shd w:val="clear" w:color="auto" w:fill="8DB3E2"/>
            <w:vAlign w:val="center"/>
            <w:hideMark/>
          </w:tcPr>
          <w:p w14:paraId="4BDDBCD6" w14:textId="77777777" w:rsidR="003C5679" w:rsidRPr="001B2C16" w:rsidRDefault="003C5679" w:rsidP="002559B3">
            <w:pPr>
              <w:pStyle w:val="cuadroCabe"/>
            </w:pPr>
            <w:r>
              <w:t>Total</w:t>
            </w:r>
          </w:p>
        </w:tc>
        <w:tc>
          <w:tcPr>
            <w:tcW w:w="1119" w:type="pct"/>
            <w:tcBorders>
              <w:top w:val="single" w:sz="4" w:space="0" w:color="auto"/>
              <w:left w:val="nil"/>
              <w:bottom w:val="single" w:sz="2" w:space="0" w:color="auto"/>
              <w:right w:val="nil"/>
            </w:tcBorders>
            <w:shd w:val="clear" w:color="auto" w:fill="8DB3E2"/>
          </w:tcPr>
          <w:p w14:paraId="14A22F0B" w14:textId="77777777" w:rsidR="003C5679" w:rsidRPr="001B2C16" w:rsidRDefault="003C5679" w:rsidP="002559B3">
            <w:pPr>
              <w:pStyle w:val="cuadroCabe"/>
              <w:jc w:val="right"/>
            </w:pPr>
            <w:r>
              <w:t>262.819</w:t>
            </w:r>
          </w:p>
        </w:tc>
        <w:tc>
          <w:tcPr>
            <w:tcW w:w="990" w:type="pct"/>
            <w:gridSpan w:val="2"/>
            <w:tcBorders>
              <w:top w:val="single" w:sz="4" w:space="0" w:color="auto"/>
              <w:left w:val="nil"/>
              <w:bottom w:val="single" w:sz="2" w:space="0" w:color="auto"/>
              <w:right w:val="nil"/>
            </w:tcBorders>
            <w:shd w:val="clear" w:color="auto" w:fill="8DB3E2"/>
            <w:vAlign w:val="center"/>
          </w:tcPr>
          <w:p w14:paraId="2CF36F8C" w14:textId="77777777" w:rsidR="003C5679" w:rsidRDefault="003C5679" w:rsidP="002559B3">
            <w:pPr>
              <w:pStyle w:val="cuadroCabe"/>
              <w:jc w:val="right"/>
            </w:pPr>
            <w:r>
              <w:t>421.412</w:t>
            </w:r>
          </w:p>
        </w:tc>
        <w:tc>
          <w:tcPr>
            <w:tcW w:w="1027" w:type="pct"/>
            <w:tcBorders>
              <w:top w:val="single" w:sz="4" w:space="0" w:color="auto"/>
              <w:left w:val="nil"/>
              <w:bottom w:val="single" w:sz="2" w:space="0" w:color="auto"/>
              <w:right w:val="nil"/>
            </w:tcBorders>
            <w:shd w:val="clear" w:color="auto" w:fill="8DB3E2"/>
            <w:vAlign w:val="center"/>
          </w:tcPr>
          <w:p w14:paraId="120B0A54" w14:textId="77777777" w:rsidR="003C5679" w:rsidRDefault="003C5679" w:rsidP="002559B3">
            <w:pPr>
              <w:pStyle w:val="cuadroCabe"/>
              <w:jc w:val="right"/>
            </w:pPr>
            <w:r>
              <w:t>57.018</w:t>
            </w:r>
          </w:p>
        </w:tc>
      </w:tr>
    </w:tbl>
    <w:p w14:paraId="7EA0BA46" w14:textId="77777777" w:rsidR="00614DC4" w:rsidRDefault="00614DC4" w:rsidP="002D4347">
      <w:pPr>
        <w:pStyle w:val="texto"/>
        <w:spacing w:before="120" w:after="120"/>
        <w:jc w:val="both"/>
      </w:pPr>
      <w:r>
        <w:t xml:space="preserve">En el cuadro anterior no se incluyen las transferencias de créditos, </w:t>
      </w:r>
      <w:r w:rsidR="003C5679">
        <w:t xml:space="preserve">que ascendieron a un total </w:t>
      </w:r>
      <w:r w:rsidR="003C5679" w:rsidRPr="003B66E5">
        <w:t xml:space="preserve">de </w:t>
      </w:r>
      <w:r w:rsidR="003B66E5" w:rsidRPr="003B66E5">
        <w:t>30</w:t>
      </w:r>
      <w:r w:rsidRPr="003B66E5">
        <w:t xml:space="preserve"> millones, ya </w:t>
      </w:r>
      <w:r>
        <w:t xml:space="preserve">que estas operaciones no tienen efecto presupuestario sobre el importe total de créditos. </w:t>
      </w:r>
    </w:p>
    <w:p w14:paraId="77170A9C" w14:textId="77777777" w:rsidR="00614DC4" w:rsidRPr="00524FB9" w:rsidRDefault="00614DC4" w:rsidP="009604B1">
      <w:pPr>
        <w:pStyle w:val="texto"/>
        <w:spacing w:after="120"/>
        <w:jc w:val="both"/>
      </w:pPr>
      <w:r>
        <w:t xml:space="preserve">La Cámara de Comptos emitió, a solicitud del Parlamento y de acuerdo con la normativa vigente, informes de legalidad sobre las modificaciones presupuestarias del ejercicio cuya competencia corresponde a la consejera de Economía y Hacienda. La conclusión fue que las aprobó el órgano competente y se respetaron </w:t>
      </w:r>
      <w:r w:rsidRPr="00675A71">
        <w:lastRenderedPageBreak/>
        <w:t xml:space="preserve">las limitaciones legales establecidas en la normativa presupuestaria aprobada, entre ellas la pertinencia de las fuentes de financiación. El importe total de modificaciones, incluidas transferencias, informadas por esta Cámara ascendió a </w:t>
      </w:r>
      <w:r w:rsidR="003C5679" w:rsidRPr="00524FB9">
        <w:t>734,56</w:t>
      </w:r>
      <w:r w:rsidR="00675A71" w:rsidRPr="00524FB9">
        <w:t xml:space="preserve"> </w:t>
      </w:r>
      <w:r w:rsidRPr="00524FB9">
        <w:t>millones.</w:t>
      </w:r>
    </w:p>
    <w:p w14:paraId="49FEF430" w14:textId="77777777" w:rsidR="00614DC4" w:rsidRDefault="00614DC4" w:rsidP="002D69C2">
      <w:pPr>
        <w:pStyle w:val="texto"/>
        <w:spacing w:after="120"/>
        <w:jc w:val="both"/>
      </w:pPr>
      <w:r>
        <w:t>Por su parte, el Fondo de Contingencia previsto se utiliz</w:t>
      </w:r>
      <w:r w:rsidR="00D14B3A">
        <w:t>ó para financiar gastos por 1,28</w:t>
      </w:r>
      <w:r>
        <w:t xml:space="preserve"> millones</w:t>
      </w:r>
      <w:r w:rsidR="00D14B3A">
        <w:t xml:space="preserve"> (el 28 por ciento de su dotación inicial)</w:t>
      </w:r>
      <w:r w:rsidR="00702E3B">
        <w:t xml:space="preserve">. Destacamos que de los 1,28 millones anteriormente citados, se financiaron necesidades presupuestarias de 1,21 millones en pensiones no contributivas. </w:t>
      </w:r>
    </w:p>
    <w:p w14:paraId="54EAB678" w14:textId="77777777" w:rsidR="00614DC4" w:rsidRDefault="00614DC4" w:rsidP="002D69C2">
      <w:pPr>
        <w:pStyle w:val="texto"/>
        <w:spacing w:after="120"/>
        <w:jc w:val="both"/>
      </w:pPr>
      <w:r>
        <w:t>A 31 de diciembre de 202</w:t>
      </w:r>
      <w:r w:rsidR="00675A71">
        <w:t>3</w:t>
      </w:r>
      <w:r>
        <w:t xml:space="preserve"> no constan retenciones de no disponibilidad de créditos.</w:t>
      </w:r>
    </w:p>
    <w:p w14:paraId="4B66FC0D" w14:textId="77777777" w:rsidR="00614DC4" w:rsidRDefault="00614DC4" w:rsidP="00614DC4">
      <w:pPr>
        <w:spacing w:before="240" w:after="240"/>
        <w:ind w:firstLine="284"/>
        <w:rPr>
          <w:rFonts w:ascii="Arial" w:hAnsi="Arial"/>
          <w:i/>
          <w:iCs/>
          <w:color w:val="000000"/>
          <w:spacing w:val="10"/>
          <w:kern w:val="28"/>
          <w:sz w:val="25"/>
          <w:szCs w:val="26"/>
        </w:rPr>
      </w:pPr>
      <w:r>
        <w:rPr>
          <w:rFonts w:ascii="Arial" w:hAnsi="Arial"/>
          <w:i/>
          <w:iCs/>
          <w:color w:val="000000"/>
          <w:spacing w:val="10"/>
          <w:kern w:val="28"/>
          <w:sz w:val="25"/>
          <w:szCs w:val="26"/>
        </w:rPr>
        <w:t>Liquidación presupuestaria</w:t>
      </w:r>
    </w:p>
    <w:p w14:paraId="48E04C20" w14:textId="77777777" w:rsidR="00AE1547" w:rsidRPr="00D14B3A" w:rsidRDefault="00614DC4" w:rsidP="002D69C2">
      <w:pPr>
        <w:pStyle w:val="texto"/>
        <w:spacing w:after="120"/>
        <w:jc w:val="both"/>
      </w:pPr>
      <w:r w:rsidRPr="00D14B3A">
        <w:t>Las obligaciones reconocidas en 202</w:t>
      </w:r>
      <w:r w:rsidR="001A379E" w:rsidRPr="00D14B3A">
        <w:t>3</w:t>
      </w:r>
      <w:r w:rsidRPr="00D14B3A">
        <w:t xml:space="preserve"> han sido 5.</w:t>
      </w:r>
      <w:r w:rsidR="00D14B3A" w:rsidRPr="00D14B3A">
        <w:t xml:space="preserve">781,90 </w:t>
      </w:r>
      <w:r w:rsidRPr="00D14B3A">
        <w:t>millones, con un porcentaje de ejecución y pago del 9</w:t>
      </w:r>
      <w:r w:rsidR="00D14B3A" w:rsidRPr="00D14B3A">
        <w:t>0</w:t>
      </w:r>
      <w:r w:rsidRPr="00D14B3A">
        <w:t xml:space="preserve"> y 97 por ciento respectivamente. </w:t>
      </w:r>
    </w:p>
    <w:p w14:paraId="5FD53373" w14:textId="77777777" w:rsidR="00AE1547" w:rsidRPr="00D14B3A" w:rsidRDefault="00614DC4" w:rsidP="002D69C2">
      <w:pPr>
        <w:pStyle w:val="texto"/>
        <w:spacing w:after="120"/>
        <w:jc w:val="both"/>
      </w:pPr>
      <w:r w:rsidRPr="00D14B3A">
        <w:t>Los derechos reconocidos netos ascienden a 5</w:t>
      </w:r>
      <w:r w:rsidR="00D14B3A" w:rsidRPr="00D14B3A">
        <w:t>.925,48</w:t>
      </w:r>
      <w:r w:rsidRPr="00D14B3A">
        <w:t xml:space="preserve"> millones, con un grado </w:t>
      </w:r>
      <w:r w:rsidR="00D14B3A" w:rsidRPr="00D14B3A">
        <w:t>de cumplimiento y de cobro del 92 y del 98</w:t>
      </w:r>
      <w:r w:rsidRPr="00D14B3A">
        <w:t xml:space="preserve"> por ciento respectivamente.</w:t>
      </w:r>
    </w:p>
    <w:p w14:paraId="1123BC17" w14:textId="77777777" w:rsidR="00614DC4" w:rsidRDefault="00614DC4" w:rsidP="002D69C2">
      <w:pPr>
        <w:pStyle w:val="texto"/>
        <w:spacing w:after="120"/>
        <w:jc w:val="both"/>
      </w:pPr>
      <w:r>
        <w:t>Destacamos los siguientes aspectos:</w:t>
      </w:r>
    </w:p>
    <w:p w14:paraId="22F374C1"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240"/>
        <w:ind w:left="0" w:firstLine="289"/>
        <w:jc w:val="both"/>
        <w:rPr>
          <w:rFonts w:cs="Arial"/>
          <w:lang w:val="es-ES_tradnl" w:eastAsia="en-US"/>
        </w:rPr>
      </w:pPr>
      <w:r w:rsidRPr="003D09D7">
        <w:rPr>
          <w:rFonts w:cs="Arial"/>
          <w:lang w:val="es-ES_tradnl" w:eastAsia="en-US"/>
        </w:rPr>
        <w:t>Cada 100 euros gastados en 202</w:t>
      </w:r>
      <w:r w:rsidR="001A379E" w:rsidRPr="003D09D7">
        <w:rPr>
          <w:rFonts w:cs="Arial"/>
          <w:lang w:val="es-ES_tradnl" w:eastAsia="en-US"/>
        </w:rPr>
        <w:t>3</w:t>
      </w:r>
      <w:r w:rsidRPr="003D09D7">
        <w:rPr>
          <w:rFonts w:cs="Arial"/>
          <w:lang w:val="es-ES_tradnl" w:eastAsia="en-US"/>
        </w:rPr>
        <w:t xml:space="preserve"> se han destinado y financiado de la siguiente manera:</w:t>
      </w:r>
    </w:p>
    <w:tbl>
      <w:tblPr>
        <w:tblW w:w="8789" w:type="dxa"/>
        <w:jc w:val="center"/>
        <w:tblCellMar>
          <w:left w:w="70" w:type="dxa"/>
          <w:right w:w="70" w:type="dxa"/>
        </w:tblCellMar>
        <w:tblLook w:val="04A0" w:firstRow="1" w:lastRow="0" w:firstColumn="1" w:lastColumn="0" w:noHBand="0" w:noVBand="1"/>
      </w:tblPr>
      <w:tblGrid>
        <w:gridCol w:w="2500"/>
        <w:gridCol w:w="1044"/>
        <w:gridCol w:w="851"/>
        <w:gridCol w:w="2551"/>
        <w:gridCol w:w="994"/>
        <w:gridCol w:w="849"/>
      </w:tblGrid>
      <w:tr w:rsidR="00614DC4" w14:paraId="71F69F39" w14:textId="77777777" w:rsidTr="005D070A">
        <w:trPr>
          <w:trHeight w:val="255"/>
          <w:jc w:val="center"/>
        </w:trPr>
        <w:tc>
          <w:tcPr>
            <w:tcW w:w="2500" w:type="dxa"/>
            <w:tcBorders>
              <w:top w:val="single" w:sz="4" w:space="0" w:color="auto"/>
              <w:left w:val="nil"/>
              <w:bottom w:val="single" w:sz="4" w:space="0" w:color="auto"/>
              <w:right w:val="nil"/>
            </w:tcBorders>
            <w:shd w:val="clear" w:color="auto" w:fill="8DB3E2"/>
            <w:vAlign w:val="center"/>
            <w:hideMark/>
          </w:tcPr>
          <w:p w14:paraId="70D2E501" w14:textId="77777777" w:rsidR="00614DC4" w:rsidRDefault="00614DC4" w:rsidP="00E113CC">
            <w:pPr>
              <w:pStyle w:val="cuadroCabe"/>
            </w:pPr>
            <w:r>
              <w:t>Naturaleza del gasto</w:t>
            </w:r>
          </w:p>
        </w:tc>
        <w:tc>
          <w:tcPr>
            <w:tcW w:w="1044" w:type="dxa"/>
            <w:tcBorders>
              <w:top w:val="single" w:sz="4" w:space="0" w:color="auto"/>
              <w:left w:val="nil"/>
              <w:bottom w:val="single" w:sz="4" w:space="0" w:color="auto"/>
              <w:right w:val="nil"/>
            </w:tcBorders>
            <w:shd w:val="clear" w:color="auto" w:fill="8DB3E2"/>
            <w:vAlign w:val="center"/>
            <w:hideMark/>
          </w:tcPr>
          <w:p w14:paraId="65A84FD9" w14:textId="77777777" w:rsidR="00614DC4" w:rsidRDefault="00614DC4" w:rsidP="00131A5E">
            <w:pPr>
              <w:pStyle w:val="cuadroCabe"/>
              <w:jc w:val="right"/>
            </w:pPr>
            <w:r>
              <w:t>Importe 202</w:t>
            </w:r>
            <w:r w:rsidR="001A379E">
              <w:t>2</w:t>
            </w:r>
          </w:p>
        </w:tc>
        <w:tc>
          <w:tcPr>
            <w:tcW w:w="851" w:type="dxa"/>
            <w:tcBorders>
              <w:top w:val="single" w:sz="4" w:space="0" w:color="auto"/>
              <w:left w:val="nil"/>
              <w:bottom w:val="single" w:sz="4" w:space="0" w:color="auto"/>
              <w:right w:val="single" w:sz="2" w:space="0" w:color="auto"/>
            </w:tcBorders>
            <w:shd w:val="clear" w:color="auto" w:fill="8DB3E2"/>
            <w:vAlign w:val="center"/>
            <w:hideMark/>
          </w:tcPr>
          <w:p w14:paraId="050C14AC" w14:textId="77777777" w:rsidR="00614DC4" w:rsidRDefault="00614DC4" w:rsidP="00131A5E">
            <w:pPr>
              <w:pStyle w:val="cuadroCabe"/>
              <w:jc w:val="right"/>
            </w:pPr>
            <w:r>
              <w:t>Importe 202</w:t>
            </w:r>
            <w:r w:rsidR="001A379E">
              <w:t>3</w:t>
            </w:r>
          </w:p>
        </w:tc>
        <w:tc>
          <w:tcPr>
            <w:tcW w:w="2551" w:type="dxa"/>
            <w:tcBorders>
              <w:top w:val="single" w:sz="4" w:space="0" w:color="auto"/>
              <w:left w:val="single" w:sz="2" w:space="0" w:color="auto"/>
              <w:bottom w:val="single" w:sz="4" w:space="0" w:color="auto"/>
              <w:right w:val="nil"/>
            </w:tcBorders>
            <w:shd w:val="clear" w:color="auto" w:fill="8DB3E2"/>
            <w:vAlign w:val="center"/>
            <w:hideMark/>
          </w:tcPr>
          <w:p w14:paraId="3B81BFFC" w14:textId="77777777" w:rsidR="00477A59" w:rsidRDefault="00614DC4" w:rsidP="005D070A">
            <w:pPr>
              <w:pStyle w:val="cuadroCabe"/>
              <w:jc w:val="right"/>
            </w:pPr>
            <w:r>
              <w:t xml:space="preserve">Fuente de </w:t>
            </w:r>
          </w:p>
          <w:p w14:paraId="7BAEF48B" w14:textId="77777777" w:rsidR="00614DC4" w:rsidRDefault="00614DC4" w:rsidP="005D070A">
            <w:pPr>
              <w:pStyle w:val="cuadroCabe"/>
              <w:jc w:val="right"/>
            </w:pPr>
            <w:r>
              <w:t>financiación</w:t>
            </w:r>
          </w:p>
        </w:tc>
        <w:tc>
          <w:tcPr>
            <w:tcW w:w="994" w:type="dxa"/>
            <w:tcBorders>
              <w:top w:val="single" w:sz="4" w:space="0" w:color="auto"/>
              <w:left w:val="nil"/>
              <w:bottom w:val="single" w:sz="4" w:space="0" w:color="auto"/>
              <w:right w:val="nil"/>
            </w:tcBorders>
            <w:shd w:val="clear" w:color="auto" w:fill="8DB3E2"/>
            <w:vAlign w:val="center"/>
            <w:hideMark/>
          </w:tcPr>
          <w:p w14:paraId="01E87C13" w14:textId="77777777" w:rsidR="00477A59" w:rsidRDefault="00614DC4" w:rsidP="00131A5E">
            <w:pPr>
              <w:pStyle w:val="cuadroCabe"/>
              <w:jc w:val="right"/>
            </w:pPr>
            <w:r>
              <w:t xml:space="preserve">Importe </w:t>
            </w:r>
          </w:p>
          <w:p w14:paraId="4EEC96E1" w14:textId="77777777" w:rsidR="00614DC4" w:rsidRDefault="00614DC4" w:rsidP="00131A5E">
            <w:pPr>
              <w:pStyle w:val="cuadroCabe"/>
              <w:jc w:val="right"/>
            </w:pPr>
            <w:r>
              <w:t>202</w:t>
            </w:r>
            <w:r w:rsidR="001A379E">
              <w:t>2</w:t>
            </w:r>
          </w:p>
        </w:tc>
        <w:tc>
          <w:tcPr>
            <w:tcW w:w="849" w:type="dxa"/>
            <w:tcBorders>
              <w:top w:val="single" w:sz="4" w:space="0" w:color="auto"/>
              <w:left w:val="nil"/>
              <w:bottom w:val="single" w:sz="4" w:space="0" w:color="auto"/>
              <w:right w:val="nil"/>
            </w:tcBorders>
            <w:shd w:val="clear" w:color="auto" w:fill="8DB3E2"/>
            <w:vAlign w:val="center"/>
            <w:hideMark/>
          </w:tcPr>
          <w:p w14:paraId="6565157F" w14:textId="77777777" w:rsidR="00614DC4" w:rsidRDefault="00614DC4" w:rsidP="00131A5E">
            <w:pPr>
              <w:pStyle w:val="cuadroCabe"/>
              <w:jc w:val="right"/>
            </w:pPr>
            <w:r w:rsidRPr="00D14B3A">
              <w:t>Importe 202</w:t>
            </w:r>
            <w:r w:rsidR="001A379E" w:rsidRPr="00D14B3A">
              <w:t>3</w:t>
            </w:r>
          </w:p>
        </w:tc>
      </w:tr>
      <w:tr w:rsidR="001A379E" w14:paraId="1F0FFCD5" w14:textId="77777777" w:rsidTr="005D070A">
        <w:trPr>
          <w:trHeight w:val="198"/>
          <w:jc w:val="center"/>
        </w:trPr>
        <w:tc>
          <w:tcPr>
            <w:tcW w:w="2500" w:type="dxa"/>
            <w:tcBorders>
              <w:top w:val="single" w:sz="4" w:space="0" w:color="auto"/>
              <w:left w:val="nil"/>
              <w:bottom w:val="single" w:sz="2" w:space="0" w:color="auto"/>
              <w:right w:val="nil"/>
            </w:tcBorders>
            <w:vAlign w:val="center"/>
            <w:hideMark/>
          </w:tcPr>
          <w:p w14:paraId="1D4731BD" w14:textId="77777777" w:rsidR="001A379E" w:rsidRDefault="001A379E" w:rsidP="00EF5DD6">
            <w:pPr>
              <w:pStyle w:val="cuatexto"/>
            </w:pPr>
            <w:r>
              <w:t>Personal</w:t>
            </w:r>
          </w:p>
        </w:tc>
        <w:tc>
          <w:tcPr>
            <w:tcW w:w="1044" w:type="dxa"/>
            <w:tcBorders>
              <w:top w:val="single" w:sz="4" w:space="0" w:color="auto"/>
              <w:left w:val="nil"/>
              <w:bottom w:val="single" w:sz="2" w:space="0" w:color="auto"/>
            </w:tcBorders>
            <w:vAlign w:val="center"/>
          </w:tcPr>
          <w:p w14:paraId="4F4BE604" w14:textId="77777777" w:rsidR="001A379E" w:rsidRDefault="001A379E" w:rsidP="00EF5DD6">
            <w:pPr>
              <w:pStyle w:val="cuatexto"/>
              <w:jc w:val="right"/>
            </w:pPr>
            <w:r>
              <w:t>29</w:t>
            </w:r>
          </w:p>
        </w:tc>
        <w:tc>
          <w:tcPr>
            <w:tcW w:w="851" w:type="dxa"/>
            <w:tcBorders>
              <w:top w:val="single" w:sz="4" w:space="0" w:color="auto"/>
              <w:left w:val="nil"/>
              <w:bottom w:val="single" w:sz="2" w:space="0" w:color="auto"/>
              <w:right w:val="single" w:sz="2" w:space="0" w:color="auto"/>
            </w:tcBorders>
            <w:vAlign w:val="center"/>
          </w:tcPr>
          <w:p w14:paraId="2DC416CC" w14:textId="77777777" w:rsidR="001A379E" w:rsidRDefault="008E366D" w:rsidP="00EF5DD6">
            <w:pPr>
              <w:pStyle w:val="cuatexto"/>
              <w:jc w:val="right"/>
            </w:pPr>
            <w:r>
              <w:t>30</w:t>
            </w:r>
          </w:p>
        </w:tc>
        <w:tc>
          <w:tcPr>
            <w:tcW w:w="2551" w:type="dxa"/>
            <w:tcBorders>
              <w:top w:val="single" w:sz="4" w:space="0" w:color="auto"/>
              <w:left w:val="single" w:sz="2" w:space="0" w:color="auto"/>
              <w:bottom w:val="single" w:sz="2" w:space="0" w:color="auto"/>
              <w:right w:val="nil"/>
            </w:tcBorders>
            <w:vAlign w:val="center"/>
            <w:hideMark/>
          </w:tcPr>
          <w:p w14:paraId="56AB66CD" w14:textId="77777777" w:rsidR="001A379E" w:rsidRDefault="001A379E" w:rsidP="006728F8">
            <w:pPr>
              <w:pStyle w:val="cuatexto"/>
            </w:pPr>
            <w:r>
              <w:t>Ingresos tributarios</w:t>
            </w:r>
          </w:p>
        </w:tc>
        <w:tc>
          <w:tcPr>
            <w:tcW w:w="994" w:type="dxa"/>
            <w:tcBorders>
              <w:top w:val="single" w:sz="4" w:space="0" w:color="auto"/>
              <w:left w:val="nil"/>
              <w:bottom w:val="single" w:sz="2" w:space="0" w:color="auto"/>
              <w:right w:val="nil"/>
            </w:tcBorders>
            <w:vAlign w:val="center"/>
          </w:tcPr>
          <w:p w14:paraId="0893A662" w14:textId="77777777" w:rsidR="001A379E" w:rsidRDefault="001A379E" w:rsidP="00EF5DD6">
            <w:pPr>
              <w:pStyle w:val="cuatexto"/>
              <w:jc w:val="right"/>
            </w:pPr>
            <w:r>
              <w:rPr>
                <w:rFonts w:cs="Arial"/>
              </w:rPr>
              <w:t>83</w:t>
            </w:r>
          </w:p>
        </w:tc>
        <w:tc>
          <w:tcPr>
            <w:tcW w:w="849" w:type="dxa"/>
            <w:tcBorders>
              <w:top w:val="single" w:sz="4" w:space="0" w:color="auto"/>
              <w:left w:val="nil"/>
              <w:bottom w:val="single" w:sz="2" w:space="0" w:color="auto"/>
              <w:right w:val="nil"/>
            </w:tcBorders>
            <w:vAlign w:val="center"/>
          </w:tcPr>
          <w:p w14:paraId="2362C443" w14:textId="77777777" w:rsidR="001A379E" w:rsidRDefault="00D741DF" w:rsidP="00EF5DD6">
            <w:pPr>
              <w:pStyle w:val="cuatexto"/>
              <w:jc w:val="right"/>
            </w:pPr>
            <w:r w:rsidRPr="00D14B3A">
              <w:t>87</w:t>
            </w:r>
          </w:p>
        </w:tc>
      </w:tr>
      <w:tr w:rsidR="001A379E" w14:paraId="4D61AE1E" w14:textId="77777777" w:rsidTr="005D070A">
        <w:trPr>
          <w:trHeight w:val="198"/>
          <w:jc w:val="center"/>
        </w:trPr>
        <w:tc>
          <w:tcPr>
            <w:tcW w:w="2500" w:type="dxa"/>
            <w:tcBorders>
              <w:top w:val="single" w:sz="2" w:space="0" w:color="auto"/>
              <w:left w:val="nil"/>
              <w:bottom w:val="single" w:sz="2" w:space="0" w:color="auto"/>
              <w:right w:val="nil"/>
            </w:tcBorders>
            <w:vAlign w:val="center"/>
            <w:hideMark/>
          </w:tcPr>
          <w:p w14:paraId="43633D96" w14:textId="77777777" w:rsidR="001A379E" w:rsidRDefault="001A379E" w:rsidP="00EF5DD6">
            <w:pPr>
              <w:pStyle w:val="cuatexto"/>
            </w:pPr>
            <w:r>
              <w:t>Bienes corrientes y servicios</w:t>
            </w:r>
          </w:p>
        </w:tc>
        <w:tc>
          <w:tcPr>
            <w:tcW w:w="1044" w:type="dxa"/>
            <w:tcBorders>
              <w:top w:val="single" w:sz="2" w:space="0" w:color="auto"/>
              <w:left w:val="nil"/>
              <w:bottom w:val="single" w:sz="2" w:space="0" w:color="auto"/>
            </w:tcBorders>
            <w:vAlign w:val="center"/>
          </w:tcPr>
          <w:p w14:paraId="513E84E6" w14:textId="77777777" w:rsidR="001A379E" w:rsidRDefault="001A379E" w:rsidP="00EF5DD6">
            <w:pPr>
              <w:pStyle w:val="cuatexto"/>
              <w:jc w:val="right"/>
            </w:pPr>
            <w:r>
              <w:t>15</w:t>
            </w:r>
          </w:p>
        </w:tc>
        <w:tc>
          <w:tcPr>
            <w:tcW w:w="851" w:type="dxa"/>
            <w:tcBorders>
              <w:top w:val="single" w:sz="2" w:space="0" w:color="auto"/>
              <w:left w:val="nil"/>
              <w:bottom w:val="single" w:sz="2" w:space="0" w:color="auto"/>
              <w:right w:val="single" w:sz="2" w:space="0" w:color="auto"/>
            </w:tcBorders>
            <w:vAlign w:val="center"/>
          </w:tcPr>
          <w:p w14:paraId="667D4A7D" w14:textId="77777777" w:rsidR="001A379E" w:rsidRDefault="008E366D" w:rsidP="00EF5DD6">
            <w:pPr>
              <w:pStyle w:val="cuatexto"/>
              <w:jc w:val="right"/>
            </w:pPr>
            <w:r>
              <w:t>16</w:t>
            </w:r>
          </w:p>
        </w:tc>
        <w:tc>
          <w:tcPr>
            <w:tcW w:w="2551" w:type="dxa"/>
            <w:tcBorders>
              <w:top w:val="single" w:sz="2" w:space="0" w:color="auto"/>
              <w:left w:val="single" w:sz="2" w:space="0" w:color="auto"/>
              <w:bottom w:val="single" w:sz="2" w:space="0" w:color="auto"/>
              <w:right w:val="nil"/>
            </w:tcBorders>
            <w:vAlign w:val="center"/>
            <w:hideMark/>
          </w:tcPr>
          <w:p w14:paraId="6F9F7C91" w14:textId="77777777" w:rsidR="001A379E" w:rsidRDefault="001A379E" w:rsidP="006728F8">
            <w:pPr>
              <w:pStyle w:val="cuatexto"/>
            </w:pPr>
            <w:r>
              <w:t>Ingresos por transferencias</w:t>
            </w:r>
          </w:p>
        </w:tc>
        <w:tc>
          <w:tcPr>
            <w:tcW w:w="994" w:type="dxa"/>
            <w:tcBorders>
              <w:top w:val="single" w:sz="2" w:space="0" w:color="auto"/>
              <w:left w:val="nil"/>
              <w:bottom w:val="single" w:sz="2" w:space="0" w:color="auto"/>
              <w:right w:val="nil"/>
            </w:tcBorders>
            <w:vAlign w:val="center"/>
          </w:tcPr>
          <w:p w14:paraId="547ABABD" w14:textId="77777777" w:rsidR="001A379E" w:rsidRDefault="001A379E" w:rsidP="00EF5DD6">
            <w:pPr>
              <w:pStyle w:val="cuatexto"/>
              <w:jc w:val="right"/>
            </w:pPr>
            <w:r>
              <w:rPr>
                <w:rFonts w:cs="Arial"/>
              </w:rPr>
              <w:t>7</w:t>
            </w:r>
          </w:p>
        </w:tc>
        <w:tc>
          <w:tcPr>
            <w:tcW w:w="849" w:type="dxa"/>
            <w:tcBorders>
              <w:top w:val="single" w:sz="2" w:space="0" w:color="auto"/>
              <w:left w:val="nil"/>
              <w:bottom w:val="single" w:sz="2" w:space="0" w:color="auto"/>
              <w:right w:val="nil"/>
            </w:tcBorders>
            <w:vAlign w:val="center"/>
          </w:tcPr>
          <w:p w14:paraId="035ACC71" w14:textId="77777777" w:rsidR="001A379E" w:rsidRDefault="00D741DF" w:rsidP="00EF5DD6">
            <w:pPr>
              <w:pStyle w:val="cuatexto"/>
              <w:jc w:val="right"/>
            </w:pPr>
            <w:r>
              <w:t>9</w:t>
            </w:r>
          </w:p>
        </w:tc>
      </w:tr>
      <w:tr w:rsidR="001A379E" w14:paraId="08D78953" w14:textId="77777777" w:rsidTr="005D070A">
        <w:trPr>
          <w:trHeight w:val="198"/>
          <w:jc w:val="center"/>
        </w:trPr>
        <w:tc>
          <w:tcPr>
            <w:tcW w:w="2500" w:type="dxa"/>
            <w:tcBorders>
              <w:top w:val="single" w:sz="2" w:space="0" w:color="auto"/>
              <w:left w:val="nil"/>
              <w:bottom w:val="single" w:sz="2" w:space="0" w:color="auto"/>
              <w:right w:val="nil"/>
            </w:tcBorders>
            <w:vAlign w:val="center"/>
            <w:hideMark/>
          </w:tcPr>
          <w:p w14:paraId="37618F0A" w14:textId="77777777" w:rsidR="001A379E" w:rsidRDefault="001A379E" w:rsidP="00EF5DD6">
            <w:pPr>
              <w:pStyle w:val="cuatexto"/>
            </w:pPr>
            <w:r>
              <w:t>Gastos transferencias</w:t>
            </w:r>
          </w:p>
        </w:tc>
        <w:tc>
          <w:tcPr>
            <w:tcW w:w="1044" w:type="dxa"/>
            <w:tcBorders>
              <w:top w:val="single" w:sz="2" w:space="0" w:color="auto"/>
              <w:left w:val="nil"/>
              <w:bottom w:val="single" w:sz="2" w:space="0" w:color="auto"/>
            </w:tcBorders>
            <w:vAlign w:val="center"/>
          </w:tcPr>
          <w:p w14:paraId="34B939D1" w14:textId="77777777" w:rsidR="001A379E" w:rsidRDefault="001A379E" w:rsidP="00EF5DD6">
            <w:pPr>
              <w:pStyle w:val="cuatexto"/>
              <w:jc w:val="right"/>
            </w:pPr>
            <w:r>
              <w:t>45</w:t>
            </w:r>
          </w:p>
        </w:tc>
        <w:tc>
          <w:tcPr>
            <w:tcW w:w="851" w:type="dxa"/>
            <w:tcBorders>
              <w:top w:val="single" w:sz="2" w:space="0" w:color="auto"/>
              <w:left w:val="nil"/>
              <w:bottom w:val="single" w:sz="2" w:space="0" w:color="auto"/>
              <w:right w:val="single" w:sz="2" w:space="0" w:color="auto"/>
            </w:tcBorders>
            <w:vAlign w:val="center"/>
          </w:tcPr>
          <w:p w14:paraId="40EBCFD5" w14:textId="77777777" w:rsidR="001A379E" w:rsidRDefault="008E366D" w:rsidP="00EF5DD6">
            <w:pPr>
              <w:pStyle w:val="cuatexto"/>
              <w:jc w:val="right"/>
            </w:pPr>
            <w:r>
              <w:t>45</w:t>
            </w:r>
          </w:p>
        </w:tc>
        <w:tc>
          <w:tcPr>
            <w:tcW w:w="2551" w:type="dxa"/>
            <w:tcBorders>
              <w:top w:val="single" w:sz="2" w:space="0" w:color="auto"/>
              <w:left w:val="single" w:sz="2" w:space="0" w:color="auto"/>
              <w:bottom w:val="single" w:sz="2" w:space="0" w:color="auto"/>
              <w:right w:val="nil"/>
            </w:tcBorders>
            <w:vAlign w:val="center"/>
            <w:hideMark/>
          </w:tcPr>
          <w:p w14:paraId="3190EE1B" w14:textId="77777777" w:rsidR="001A379E" w:rsidRDefault="001A379E" w:rsidP="006728F8">
            <w:pPr>
              <w:pStyle w:val="cuatexto"/>
            </w:pPr>
            <w:r>
              <w:t>Ingresos patrimoniales y otros</w:t>
            </w:r>
          </w:p>
        </w:tc>
        <w:tc>
          <w:tcPr>
            <w:tcW w:w="994" w:type="dxa"/>
            <w:tcBorders>
              <w:top w:val="single" w:sz="2" w:space="0" w:color="auto"/>
              <w:left w:val="nil"/>
              <w:bottom w:val="single" w:sz="2" w:space="0" w:color="auto"/>
              <w:right w:val="nil"/>
            </w:tcBorders>
            <w:vAlign w:val="center"/>
          </w:tcPr>
          <w:p w14:paraId="200B3F7A" w14:textId="77777777" w:rsidR="001A379E" w:rsidRDefault="001A379E" w:rsidP="00EF5DD6">
            <w:pPr>
              <w:pStyle w:val="cuatexto"/>
              <w:jc w:val="right"/>
            </w:pPr>
            <w:r>
              <w:rPr>
                <w:rFonts w:cs="Arial"/>
              </w:rPr>
              <w:t>3</w:t>
            </w:r>
          </w:p>
        </w:tc>
        <w:tc>
          <w:tcPr>
            <w:tcW w:w="849" w:type="dxa"/>
            <w:tcBorders>
              <w:top w:val="single" w:sz="2" w:space="0" w:color="auto"/>
              <w:left w:val="nil"/>
              <w:bottom w:val="single" w:sz="2" w:space="0" w:color="auto"/>
              <w:right w:val="nil"/>
            </w:tcBorders>
            <w:vAlign w:val="center"/>
          </w:tcPr>
          <w:p w14:paraId="6A8EF19A" w14:textId="77777777" w:rsidR="001A379E" w:rsidRDefault="00D741DF" w:rsidP="00EF5DD6">
            <w:pPr>
              <w:pStyle w:val="cuatexto"/>
              <w:jc w:val="right"/>
            </w:pPr>
            <w:r>
              <w:t>3</w:t>
            </w:r>
          </w:p>
        </w:tc>
      </w:tr>
      <w:tr w:rsidR="001A379E" w14:paraId="7EC15C45" w14:textId="77777777" w:rsidTr="005D070A">
        <w:trPr>
          <w:trHeight w:val="198"/>
          <w:jc w:val="center"/>
        </w:trPr>
        <w:tc>
          <w:tcPr>
            <w:tcW w:w="2500" w:type="dxa"/>
            <w:tcBorders>
              <w:top w:val="single" w:sz="2" w:space="0" w:color="auto"/>
              <w:left w:val="nil"/>
              <w:bottom w:val="single" w:sz="2" w:space="0" w:color="auto"/>
              <w:right w:val="nil"/>
            </w:tcBorders>
            <w:vAlign w:val="center"/>
            <w:hideMark/>
          </w:tcPr>
          <w:p w14:paraId="4FBBE99A" w14:textId="77777777" w:rsidR="001A379E" w:rsidRDefault="001A379E" w:rsidP="00EF5DD6">
            <w:pPr>
              <w:pStyle w:val="cuatexto"/>
            </w:pPr>
            <w:r>
              <w:t>Inversiones reales</w:t>
            </w:r>
          </w:p>
        </w:tc>
        <w:tc>
          <w:tcPr>
            <w:tcW w:w="1044" w:type="dxa"/>
            <w:tcBorders>
              <w:top w:val="single" w:sz="2" w:space="0" w:color="auto"/>
              <w:left w:val="nil"/>
              <w:bottom w:val="single" w:sz="2" w:space="0" w:color="auto"/>
            </w:tcBorders>
            <w:vAlign w:val="center"/>
          </w:tcPr>
          <w:p w14:paraId="76FD987A" w14:textId="77777777" w:rsidR="001A379E" w:rsidRDefault="001A379E" w:rsidP="00EF5DD6">
            <w:pPr>
              <w:pStyle w:val="cuatexto"/>
              <w:jc w:val="right"/>
            </w:pPr>
            <w:r>
              <w:t>4</w:t>
            </w:r>
          </w:p>
        </w:tc>
        <w:tc>
          <w:tcPr>
            <w:tcW w:w="851" w:type="dxa"/>
            <w:tcBorders>
              <w:top w:val="single" w:sz="2" w:space="0" w:color="auto"/>
              <w:left w:val="nil"/>
              <w:bottom w:val="single" w:sz="2" w:space="0" w:color="auto"/>
              <w:right w:val="single" w:sz="2" w:space="0" w:color="auto"/>
            </w:tcBorders>
            <w:vAlign w:val="center"/>
          </w:tcPr>
          <w:p w14:paraId="79CF70DC" w14:textId="77777777" w:rsidR="001A379E" w:rsidRDefault="008E366D" w:rsidP="00EF5DD6">
            <w:pPr>
              <w:pStyle w:val="cuatexto"/>
              <w:jc w:val="right"/>
            </w:pPr>
            <w:r>
              <w:t>4</w:t>
            </w:r>
          </w:p>
        </w:tc>
        <w:tc>
          <w:tcPr>
            <w:tcW w:w="2551" w:type="dxa"/>
            <w:tcBorders>
              <w:top w:val="single" w:sz="2" w:space="0" w:color="auto"/>
              <w:left w:val="single" w:sz="2" w:space="0" w:color="auto"/>
              <w:bottom w:val="single" w:sz="2" w:space="0" w:color="auto"/>
              <w:right w:val="nil"/>
            </w:tcBorders>
            <w:vAlign w:val="center"/>
            <w:hideMark/>
          </w:tcPr>
          <w:p w14:paraId="2629A188" w14:textId="77777777" w:rsidR="001A379E" w:rsidRDefault="001A379E" w:rsidP="006728F8">
            <w:pPr>
              <w:pStyle w:val="cuatexto"/>
            </w:pPr>
            <w:r>
              <w:t>Endeudamiento</w:t>
            </w:r>
          </w:p>
        </w:tc>
        <w:tc>
          <w:tcPr>
            <w:tcW w:w="994" w:type="dxa"/>
            <w:tcBorders>
              <w:top w:val="single" w:sz="2" w:space="0" w:color="auto"/>
              <w:left w:val="nil"/>
              <w:bottom w:val="single" w:sz="2" w:space="0" w:color="auto"/>
              <w:right w:val="nil"/>
            </w:tcBorders>
            <w:vAlign w:val="center"/>
          </w:tcPr>
          <w:p w14:paraId="2626B0C1" w14:textId="77777777" w:rsidR="001A379E" w:rsidRDefault="001A379E" w:rsidP="00EF5DD6">
            <w:pPr>
              <w:pStyle w:val="cuatexto"/>
              <w:jc w:val="right"/>
            </w:pPr>
            <w:r>
              <w:rPr>
                <w:rFonts w:cs="Arial"/>
              </w:rPr>
              <w:t>7</w:t>
            </w:r>
          </w:p>
        </w:tc>
        <w:tc>
          <w:tcPr>
            <w:tcW w:w="849" w:type="dxa"/>
            <w:tcBorders>
              <w:top w:val="single" w:sz="2" w:space="0" w:color="auto"/>
              <w:left w:val="nil"/>
              <w:bottom w:val="single" w:sz="2" w:space="0" w:color="auto"/>
              <w:right w:val="nil"/>
            </w:tcBorders>
            <w:vAlign w:val="center"/>
          </w:tcPr>
          <w:p w14:paraId="3557A77E" w14:textId="77777777" w:rsidR="001A379E" w:rsidRDefault="00D741DF" w:rsidP="00EF5DD6">
            <w:pPr>
              <w:pStyle w:val="cuatexto"/>
              <w:jc w:val="right"/>
            </w:pPr>
            <w:r>
              <w:t>1</w:t>
            </w:r>
          </w:p>
        </w:tc>
      </w:tr>
      <w:tr w:rsidR="001A379E" w14:paraId="6B84D3E5" w14:textId="77777777" w:rsidTr="005D070A">
        <w:trPr>
          <w:trHeight w:val="198"/>
          <w:jc w:val="center"/>
        </w:trPr>
        <w:tc>
          <w:tcPr>
            <w:tcW w:w="2500" w:type="dxa"/>
            <w:tcBorders>
              <w:top w:val="single" w:sz="2" w:space="0" w:color="auto"/>
              <w:left w:val="nil"/>
              <w:bottom w:val="single" w:sz="2" w:space="0" w:color="auto"/>
              <w:right w:val="nil"/>
            </w:tcBorders>
            <w:vAlign w:val="center"/>
            <w:hideMark/>
          </w:tcPr>
          <w:p w14:paraId="5AFDB88D" w14:textId="77777777" w:rsidR="001A379E" w:rsidRDefault="001A379E" w:rsidP="00EF5DD6">
            <w:pPr>
              <w:pStyle w:val="cuatexto"/>
            </w:pPr>
            <w:r>
              <w:t xml:space="preserve">Carga financiera </w:t>
            </w:r>
          </w:p>
        </w:tc>
        <w:tc>
          <w:tcPr>
            <w:tcW w:w="1044" w:type="dxa"/>
            <w:tcBorders>
              <w:top w:val="single" w:sz="2" w:space="0" w:color="auto"/>
              <w:left w:val="nil"/>
              <w:bottom w:val="single" w:sz="2" w:space="0" w:color="auto"/>
            </w:tcBorders>
            <w:vAlign w:val="center"/>
          </w:tcPr>
          <w:p w14:paraId="529DF23B" w14:textId="77777777" w:rsidR="001A379E" w:rsidRDefault="001A379E" w:rsidP="00EF5DD6">
            <w:pPr>
              <w:pStyle w:val="cuatexto"/>
              <w:jc w:val="right"/>
            </w:pPr>
            <w:r>
              <w:t>8</w:t>
            </w:r>
          </w:p>
        </w:tc>
        <w:tc>
          <w:tcPr>
            <w:tcW w:w="851" w:type="dxa"/>
            <w:tcBorders>
              <w:top w:val="single" w:sz="2" w:space="0" w:color="auto"/>
              <w:left w:val="nil"/>
              <w:bottom w:val="single" w:sz="2" w:space="0" w:color="auto"/>
              <w:right w:val="single" w:sz="2" w:space="0" w:color="auto"/>
            </w:tcBorders>
            <w:vAlign w:val="center"/>
          </w:tcPr>
          <w:p w14:paraId="1062A8B0" w14:textId="77777777" w:rsidR="001A379E" w:rsidRDefault="008E366D" w:rsidP="00EF5DD6">
            <w:pPr>
              <w:pStyle w:val="cuatexto"/>
              <w:jc w:val="right"/>
            </w:pPr>
            <w:r>
              <w:t>5</w:t>
            </w:r>
          </w:p>
        </w:tc>
        <w:tc>
          <w:tcPr>
            <w:tcW w:w="2551" w:type="dxa"/>
            <w:tcBorders>
              <w:top w:val="single" w:sz="2" w:space="0" w:color="auto"/>
              <w:left w:val="single" w:sz="2" w:space="0" w:color="auto"/>
              <w:bottom w:val="single" w:sz="2" w:space="0" w:color="auto"/>
              <w:right w:val="nil"/>
            </w:tcBorders>
            <w:vAlign w:val="center"/>
            <w:hideMark/>
          </w:tcPr>
          <w:p w14:paraId="33EE26F4" w14:textId="77777777" w:rsidR="001A379E" w:rsidRDefault="001A379E" w:rsidP="005D070A">
            <w:pPr>
              <w:pStyle w:val="cuatexto"/>
              <w:jc w:val="right"/>
            </w:pPr>
            <w:r>
              <w:t> </w:t>
            </w:r>
          </w:p>
        </w:tc>
        <w:tc>
          <w:tcPr>
            <w:tcW w:w="994" w:type="dxa"/>
            <w:tcBorders>
              <w:top w:val="single" w:sz="2" w:space="0" w:color="auto"/>
              <w:left w:val="nil"/>
              <w:bottom w:val="single" w:sz="2" w:space="0" w:color="auto"/>
              <w:right w:val="nil"/>
            </w:tcBorders>
            <w:vAlign w:val="center"/>
          </w:tcPr>
          <w:p w14:paraId="52592F43" w14:textId="77777777" w:rsidR="001A379E" w:rsidRDefault="001A379E" w:rsidP="00EF5DD6">
            <w:pPr>
              <w:pStyle w:val="cuatexto"/>
              <w:jc w:val="right"/>
            </w:pPr>
            <w:r>
              <w:rPr>
                <w:rFonts w:cs="Arial"/>
              </w:rPr>
              <w:t> </w:t>
            </w:r>
          </w:p>
        </w:tc>
        <w:tc>
          <w:tcPr>
            <w:tcW w:w="849" w:type="dxa"/>
            <w:tcBorders>
              <w:top w:val="single" w:sz="2" w:space="0" w:color="auto"/>
              <w:left w:val="nil"/>
              <w:bottom w:val="single" w:sz="2" w:space="0" w:color="auto"/>
              <w:right w:val="nil"/>
            </w:tcBorders>
            <w:vAlign w:val="center"/>
          </w:tcPr>
          <w:p w14:paraId="42770843" w14:textId="77777777" w:rsidR="001A379E" w:rsidRDefault="001A379E" w:rsidP="00EF5DD6">
            <w:pPr>
              <w:pStyle w:val="cuatexto"/>
              <w:jc w:val="right"/>
            </w:pPr>
          </w:p>
        </w:tc>
      </w:tr>
      <w:tr w:rsidR="001A379E" w14:paraId="05D25F0F" w14:textId="77777777" w:rsidTr="005D070A">
        <w:trPr>
          <w:trHeight w:val="198"/>
          <w:jc w:val="center"/>
        </w:trPr>
        <w:tc>
          <w:tcPr>
            <w:tcW w:w="2500" w:type="dxa"/>
            <w:tcBorders>
              <w:top w:val="single" w:sz="2" w:space="0" w:color="auto"/>
              <w:left w:val="nil"/>
              <w:bottom w:val="single" w:sz="4" w:space="0" w:color="auto"/>
              <w:right w:val="nil"/>
            </w:tcBorders>
            <w:vAlign w:val="center"/>
            <w:hideMark/>
          </w:tcPr>
          <w:p w14:paraId="61C1E50F" w14:textId="77777777" w:rsidR="001A379E" w:rsidRDefault="001A379E" w:rsidP="00EF5DD6">
            <w:pPr>
              <w:pStyle w:val="cuatexto"/>
            </w:pPr>
            <w:r>
              <w:t>Activos financieros</w:t>
            </w:r>
          </w:p>
        </w:tc>
        <w:tc>
          <w:tcPr>
            <w:tcW w:w="1044" w:type="dxa"/>
            <w:tcBorders>
              <w:top w:val="single" w:sz="2" w:space="0" w:color="auto"/>
              <w:left w:val="nil"/>
              <w:bottom w:val="single" w:sz="4" w:space="0" w:color="auto"/>
            </w:tcBorders>
            <w:vAlign w:val="center"/>
          </w:tcPr>
          <w:p w14:paraId="667D6DCD" w14:textId="77777777" w:rsidR="001A379E" w:rsidRDefault="001A379E" w:rsidP="00EF5DD6">
            <w:pPr>
              <w:pStyle w:val="cuatexto"/>
              <w:jc w:val="right"/>
            </w:pPr>
            <w:r>
              <w:t>0</w:t>
            </w:r>
          </w:p>
        </w:tc>
        <w:tc>
          <w:tcPr>
            <w:tcW w:w="851" w:type="dxa"/>
            <w:tcBorders>
              <w:top w:val="single" w:sz="2" w:space="0" w:color="auto"/>
              <w:left w:val="nil"/>
              <w:bottom w:val="single" w:sz="4" w:space="0" w:color="auto"/>
              <w:right w:val="single" w:sz="2" w:space="0" w:color="auto"/>
            </w:tcBorders>
            <w:vAlign w:val="center"/>
          </w:tcPr>
          <w:p w14:paraId="74EA4D40" w14:textId="77777777" w:rsidR="001A379E" w:rsidRDefault="008E366D" w:rsidP="00EF5DD6">
            <w:pPr>
              <w:pStyle w:val="cuatexto"/>
              <w:jc w:val="right"/>
            </w:pPr>
            <w:r>
              <w:t>1</w:t>
            </w:r>
          </w:p>
        </w:tc>
        <w:tc>
          <w:tcPr>
            <w:tcW w:w="2551" w:type="dxa"/>
            <w:tcBorders>
              <w:top w:val="single" w:sz="2" w:space="0" w:color="auto"/>
              <w:left w:val="single" w:sz="2" w:space="0" w:color="auto"/>
              <w:bottom w:val="single" w:sz="4" w:space="0" w:color="auto"/>
              <w:right w:val="nil"/>
            </w:tcBorders>
            <w:vAlign w:val="center"/>
            <w:hideMark/>
          </w:tcPr>
          <w:p w14:paraId="5BA29326" w14:textId="77777777" w:rsidR="001A379E" w:rsidRDefault="001A379E" w:rsidP="005D070A">
            <w:pPr>
              <w:pStyle w:val="cuatexto"/>
              <w:jc w:val="right"/>
            </w:pPr>
            <w:r>
              <w:t> </w:t>
            </w:r>
          </w:p>
        </w:tc>
        <w:tc>
          <w:tcPr>
            <w:tcW w:w="994" w:type="dxa"/>
            <w:tcBorders>
              <w:top w:val="single" w:sz="2" w:space="0" w:color="auto"/>
              <w:left w:val="nil"/>
              <w:bottom w:val="single" w:sz="4" w:space="0" w:color="auto"/>
              <w:right w:val="nil"/>
            </w:tcBorders>
            <w:vAlign w:val="center"/>
          </w:tcPr>
          <w:p w14:paraId="06F3FF3C" w14:textId="77777777" w:rsidR="001A379E" w:rsidRDefault="001A379E" w:rsidP="00EF5DD6">
            <w:pPr>
              <w:pStyle w:val="cuatexto"/>
              <w:jc w:val="right"/>
            </w:pPr>
            <w:r>
              <w:rPr>
                <w:rFonts w:cs="Arial"/>
              </w:rPr>
              <w:t> </w:t>
            </w:r>
          </w:p>
        </w:tc>
        <w:tc>
          <w:tcPr>
            <w:tcW w:w="849" w:type="dxa"/>
            <w:tcBorders>
              <w:top w:val="single" w:sz="2" w:space="0" w:color="auto"/>
              <w:left w:val="nil"/>
              <w:bottom w:val="single" w:sz="4" w:space="0" w:color="auto"/>
              <w:right w:val="nil"/>
            </w:tcBorders>
            <w:vAlign w:val="center"/>
          </w:tcPr>
          <w:p w14:paraId="59935FE3" w14:textId="77777777" w:rsidR="001A379E" w:rsidRDefault="001A379E" w:rsidP="00EF5DD6">
            <w:pPr>
              <w:pStyle w:val="cuatexto"/>
              <w:jc w:val="right"/>
            </w:pPr>
          </w:p>
        </w:tc>
      </w:tr>
      <w:tr w:rsidR="001A379E" w14:paraId="23501EAF" w14:textId="77777777" w:rsidTr="005D070A">
        <w:trPr>
          <w:trHeight w:val="255"/>
          <w:jc w:val="center"/>
        </w:trPr>
        <w:tc>
          <w:tcPr>
            <w:tcW w:w="2500" w:type="dxa"/>
            <w:tcBorders>
              <w:top w:val="single" w:sz="4" w:space="0" w:color="auto"/>
              <w:left w:val="nil"/>
              <w:bottom w:val="single" w:sz="4" w:space="0" w:color="auto"/>
              <w:right w:val="nil"/>
            </w:tcBorders>
            <w:shd w:val="clear" w:color="auto" w:fill="8DB3E2"/>
            <w:vAlign w:val="center"/>
            <w:hideMark/>
          </w:tcPr>
          <w:p w14:paraId="729582E3" w14:textId="77777777" w:rsidR="001A379E" w:rsidRDefault="001A379E" w:rsidP="00E113CC">
            <w:pPr>
              <w:pStyle w:val="cuadroCabe"/>
            </w:pPr>
            <w:r>
              <w:t xml:space="preserve">Total </w:t>
            </w:r>
          </w:p>
        </w:tc>
        <w:tc>
          <w:tcPr>
            <w:tcW w:w="1044" w:type="dxa"/>
            <w:tcBorders>
              <w:top w:val="single" w:sz="4" w:space="0" w:color="auto"/>
              <w:left w:val="nil"/>
              <w:bottom w:val="single" w:sz="4" w:space="0" w:color="auto"/>
              <w:right w:val="single" w:sz="4" w:space="0" w:color="auto"/>
            </w:tcBorders>
            <w:shd w:val="clear" w:color="auto" w:fill="8DB3E2"/>
            <w:vAlign w:val="center"/>
          </w:tcPr>
          <w:p w14:paraId="6CCB2065" w14:textId="77777777" w:rsidR="001A379E" w:rsidRDefault="001A379E" w:rsidP="00EF5DD6">
            <w:pPr>
              <w:pStyle w:val="cuadroCabe"/>
              <w:jc w:val="right"/>
            </w:pPr>
            <w:r>
              <w:t>100</w:t>
            </w:r>
          </w:p>
        </w:tc>
        <w:tc>
          <w:tcPr>
            <w:tcW w:w="851" w:type="dxa"/>
            <w:tcBorders>
              <w:top w:val="single" w:sz="4" w:space="0" w:color="auto"/>
              <w:left w:val="nil"/>
              <w:bottom w:val="single" w:sz="4" w:space="0" w:color="auto"/>
              <w:right w:val="single" w:sz="2" w:space="0" w:color="auto"/>
            </w:tcBorders>
            <w:shd w:val="clear" w:color="auto" w:fill="8DB3E2"/>
            <w:vAlign w:val="center"/>
          </w:tcPr>
          <w:p w14:paraId="47A6AC1E" w14:textId="77777777" w:rsidR="001A379E" w:rsidRDefault="008E366D" w:rsidP="00EF5DD6">
            <w:pPr>
              <w:pStyle w:val="cuadroCabe"/>
              <w:jc w:val="right"/>
            </w:pPr>
            <w:r>
              <w:t>100</w:t>
            </w:r>
          </w:p>
        </w:tc>
        <w:tc>
          <w:tcPr>
            <w:tcW w:w="2551" w:type="dxa"/>
            <w:tcBorders>
              <w:top w:val="single" w:sz="4" w:space="0" w:color="auto"/>
              <w:left w:val="single" w:sz="2" w:space="0" w:color="auto"/>
              <w:bottom w:val="single" w:sz="4" w:space="0" w:color="auto"/>
              <w:right w:val="nil"/>
            </w:tcBorders>
            <w:shd w:val="clear" w:color="auto" w:fill="8DB3E2"/>
            <w:vAlign w:val="center"/>
          </w:tcPr>
          <w:p w14:paraId="6025C440" w14:textId="77777777" w:rsidR="001A379E" w:rsidRDefault="001A379E" w:rsidP="005D070A">
            <w:pPr>
              <w:pStyle w:val="cuadroCabe"/>
              <w:jc w:val="right"/>
            </w:pPr>
          </w:p>
        </w:tc>
        <w:tc>
          <w:tcPr>
            <w:tcW w:w="994" w:type="dxa"/>
            <w:tcBorders>
              <w:top w:val="single" w:sz="4" w:space="0" w:color="auto"/>
              <w:left w:val="nil"/>
              <w:bottom w:val="single" w:sz="4" w:space="0" w:color="auto"/>
              <w:right w:val="nil"/>
            </w:tcBorders>
            <w:shd w:val="clear" w:color="auto" w:fill="8DB3E2"/>
            <w:vAlign w:val="center"/>
          </w:tcPr>
          <w:p w14:paraId="23E6C4C9" w14:textId="77777777" w:rsidR="001A379E" w:rsidRDefault="001A379E" w:rsidP="00EF5DD6">
            <w:pPr>
              <w:pStyle w:val="cuadroCabe"/>
              <w:jc w:val="right"/>
            </w:pPr>
            <w:r>
              <w:t>100</w:t>
            </w:r>
          </w:p>
        </w:tc>
        <w:tc>
          <w:tcPr>
            <w:tcW w:w="849" w:type="dxa"/>
            <w:tcBorders>
              <w:top w:val="single" w:sz="4" w:space="0" w:color="auto"/>
              <w:left w:val="nil"/>
              <w:bottom w:val="single" w:sz="4" w:space="0" w:color="auto"/>
              <w:right w:val="nil"/>
            </w:tcBorders>
            <w:shd w:val="clear" w:color="auto" w:fill="8DB3E2"/>
            <w:vAlign w:val="center"/>
          </w:tcPr>
          <w:p w14:paraId="67181E52" w14:textId="77777777" w:rsidR="001A379E" w:rsidRDefault="00D14B3A" w:rsidP="00EF5DD6">
            <w:pPr>
              <w:pStyle w:val="cuadroCabe"/>
              <w:jc w:val="right"/>
            </w:pPr>
            <w:r>
              <w:t>100</w:t>
            </w:r>
          </w:p>
        </w:tc>
      </w:tr>
    </w:tbl>
    <w:p w14:paraId="53B5F2D2" w14:textId="77777777" w:rsidR="00614DC4" w:rsidRDefault="00614DC4" w:rsidP="002D69C2">
      <w:pPr>
        <w:pStyle w:val="texto"/>
        <w:spacing w:before="240" w:after="120"/>
        <w:jc w:val="both"/>
      </w:pPr>
      <w:r w:rsidRPr="00F62149">
        <w:t>Como se observa, en 202</w:t>
      </w:r>
      <w:r w:rsidR="001A379E" w:rsidRPr="00F62149">
        <w:t>3</w:t>
      </w:r>
      <w:r w:rsidRPr="00F62149">
        <w:t>, la estructura de gasto, en general, no prese</w:t>
      </w:r>
      <w:r w:rsidR="00F62149" w:rsidRPr="00F62149">
        <w:t xml:space="preserve">nta variaciones significativas. </w:t>
      </w:r>
    </w:p>
    <w:p w14:paraId="06313490" w14:textId="77777777" w:rsidR="00614173" w:rsidRDefault="00614DC4" w:rsidP="002D69C2">
      <w:pPr>
        <w:pStyle w:val="texto"/>
        <w:spacing w:after="120"/>
        <w:jc w:val="both"/>
      </w:pPr>
      <w:r w:rsidRPr="00F62149">
        <w:t xml:space="preserve">En la estructura de financiación las variaciones más significativas se corresponden con los ingresos </w:t>
      </w:r>
      <w:r w:rsidR="00F62149" w:rsidRPr="00F62149">
        <w:t xml:space="preserve">tributarios que aumentan en </w:t>
      </w:r>
      <w:r w:rsidRPr="00F62149">
        <w:t xml:space="preserve">cuatro puntos porcentuales, mientras que el endeudamiento </w:t>
      </w:r>
      <w:r w:rsidR="00F62149" w:rsidRPr="00F62149">
        <w:t>disminuye en seis puntos</w:t>
      </w:r>
      <w:r w:rsidRPr="00F62149">
        <w:t>.</w:t>
      </w:r>
    </w:p>
    <w:p w14:paraId="28BA3CB9" w14:textId="77777777" w:rsidR="00614173" w:rsidRDefault="00614173">
      <w:pPr>
        <w:rPr>
          <w:spacing w:val="6"/>
          <w:sz w:val="26"/>
        </w:rPr>
      </w:pPr>
      <w:r>
        <w:br w:type="page"/>
      </w:r>
    </w:p>
    <w:p w14:paraId="0BB858D5"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lastRenderedPageBreak/>
        <w:t>El gasto presupuestario de 202</w:t>
      </w:r>
      <w:r w:rsidR="001A379E" w:rsidRPr="003D09D7">
        <w:rPr>
          <w:rFonts w:cs="Arial"/>
          <w:lang w:val="es-ES_tradnl" w:eastAsia="en-US"/>
        </w:rPr>
        <w:t>3</w:t>
      </w:r>
      <w:r w:rsidRPr="003D09D7">
        <w:rPr>
          <w:rFonts w:cs="Arial"/>
          <w:lang w:val="es-ES_tradnl" w:eastAsia="en-US"/>
        </w:rPr>
        <w:t>, atendiendo a su finalidad o función, fue el siguiente:</w:t>
      </w:r>
    </w:p>
    <w:tbl>
      <w:tblPr>
        <w:tblW w:w="5083" w:type="pct"/>
        <w:jc w:val="center"/>
        <w:tblCellMar>
          <w:left w:w="70" w:type="dxa"/>
          <w:right w:w="70" w:type="dxa"/>
        </w:tblCellMar>
        <w:tblLook w:val="04A0" w:firstRow="1" w:lastRow="0" w:firstColumn="1" w:lastColumn="0" w:noHBand="0" w:noVBand="1"/>
      </w:tblPr>
      <w:tblGrid>
        <w:gridCol w:w="4534"/>
        <w:gridCol w:w="995"/>
        <w:gridCol w:w="1275"/>
        <w:gridCol w:w="1086"/>
        <w:gridCol w:w="1045"/>
      </w:tblGrid>
      <w:tr w:rsidR="00614DC4" w14:paraId="0CE2B460" w14:textId="77777777" w:rsidTr="005D070A">
        <w:trPr>
          <w:trHeight w:val="255"/>
          <w:jc w:val="center"/>
        </w:trPr>
        <w:tc>
          <w:tcPr>
            <w:tcW w:w="8935" w:type="dxa"/>
            <w:gridSpan w:val="5"/>
            <w:tcBorders>
              <w:bottom w:val="single" w:sz="4" w:space="0" w:color="auto"/>
            </w:tcBorders>
            <w:vAlign w:val="center"/>
            <w:hideMark/>
          </w:tcPr>
          <w:p w14:paraId="3A348BC4" w14:textId="77777777" w:rsidR="00614DC4" w:rsidRPr="005D070A" w:rsidRDefault="00614DC4">
            <w:pPr>
              <w:keepLines/>
              <w:tabs>
                <w:tab w:val="right" w:pos="2835"/>
                <w:tab w:val="right" w:pos="3969"/>
                <w:tab w:val="right" w:pos="5103"/>
                <w:tab w:val="right" w:pos="6237"/>
                <w:tab w:val="right" w:pos="7371"/>
              </w:tabs>
              <w:jc w:val="right"/>
              <w:rPr>
                <w:rFonts w:ascii="Arial Narrow" w:hAnsi="Arial Narrow" w:cs="Arial"/>
                <w:spacing w:val="6"/>
                <w:sz w:val="17"/>
                <w:szCs w:val="17"/>
              </w:rPr>
            </w:pPr>
            <w:r w:rsidRPr="005D070A">
              <w:rPr>
                <w:rFonts w:ascii="Arial Narrow" w:hAnsi="Arial Narrow" w:cs="Arial"/>
                <w:spacing w:val="6"/>
                <w:sz w:val="17"/>
                <w:szCs w:val="17"/>
              </w:rPr>
              <w:t>(en miles)</w:t>
            </w:r>
          </w:p>
        </w:tc>
      </w:tr>
      <w:tr w:rsidR="00477A59" w:rsidRPr="008E1ED9" w14:paraId="1CC276A0" w14:textId="77777777" w:rsidTr="008A2E63">
        <w:trPr>
          <w:trHeight w:val="255"/>
          <w:jc w:val="center"/>
        </w:trPr>
        <w:tc>
          <w:tcPr>
            <w:tcW w:w="4536" w:type="dxa"/>
            <w:tcBorders>
              <w:top w:val="single" w:sz="4" w:space="0" w:color="auto"/>
              <w:bottom w:val="single" w:sz="4" w:space="0" w:color="auto"/>
            </w:tcBorders>
            <w:shd w:val="clear" w:color="auto" w:fill="8DB3E2" w:themeFill="text2" w:themeFillTint="66"/>
            <w:vAlign w:val="center"/>
          </w:tcPr>
          <w:p w14:paraId="702E7601" w14:textId="77777777" w:rsidR="00477A59" w:rsidRPr="008E1ED9" w:rsidRDefault="00477A59" w:rsidP="00EF5DD6">
            <w:pPr>
              <w:pStyle w:val="cuadroCabe"/>
            </w:pPr>
            <w:r w:rsidRPr="008E1ED9">
              <w:t>Política de gasto</w:t>
            </w:r>
          </w:p>
        </w:tc>
        <w:tc>
          <w:tcPr>
            <w:tcW w:w="993" w:type="dxa"/>
            <w:tcBorders>
              <w:top w:val="single" w:sz="4" w:space="0" w:color="auto"/>
              <w:bottom w:val="single" w:sz="4" w:space="0" w:color="auto"/>
            </w:tcBorders>
            <w:shd w:val="clear" w:color="auto" w:fill="8DB3E2" w:themeFill="text2" w:themeFillTint="66"/>
            <w:vAlign w:val="center"/>
          </w:tcPr>
          <w:p w14:paraId="4171E7DE" w14:textId="77777777" w:rsidR="00AC6A84" w:rsidRDefault="00477A59" w:rsidP="006C42F2">
            <w:pPr>
              <w:pStyle w:val="cuadroCabe"/>
              <w:jc w:val="right"/>
              <w:rPr>
                <w:bCs/>
              </w:rPr>
            </w:pPr>
            <w:r w:rsidRPr="008E1ED9">
              <w:rPr>
                <w:bCs/>
              </w:rPr>
              <w:t>ORN</w:t>
            </w:r>
          </w:p>
          <w:p w14:paraId="49D911E1" w14:textId="77777777" w:rsidR="00477A59" w:rsidRPr="008E1ED9" w:rsidRDefault="00477A59" w:rsidP="006C42F2">
            <w:pPr>
              <w:pStyle w:val="cuadroCabe"/>
              <w:jc w:val="right"/>
              <w:rPr>
                <w:bCs/>
              </w:rPr>
            </w:pPr>
            <w:r w:rsidRPr="008E1ED9">
              <w:rPr>
                <w:bCs/>
              </w:rPr>
              <w:t xml:space="preserve"> 202</w:t>
            </w:r>
            <w:r w:rsidR="001A379E">
              <w:rPr>
                <w:bCs/>
              </w:rPr>
              <w:t>2</w:t>
            </w:r>
          </w:p>
        </w:tc>
        <w:tc>
          <w:tcPr>
            <w:tcW w:w="1275" w:type="dxa"/>
            <w:tcBorders>
              <w:top w:val="single" w:sz="4" w:space="0" w:color="auto"/>
              <w:bottom w:val="single" w:sz="4" w:space="0" w:color="auto"/>
            </w:tcBorders>
            <w:shd w:val="clear" w:color="auto" w:fill="8DB3E2" w:themeFill="text2" w:themeFillTint="66"/>
            <w:vAlign w:val="center"/>
          </w:tcPr>
          <w:p w14:paraId="278FC399" w14:textId="77777777" w:rsidR="006C42F2" w:rsidRDefault="00477A59" w:rsidP="006C42F2">
            <w:pPr>
              <w:pStyle w:val="cuadroCabe"/>
              <w:jc w:val="right"/>
              <w:rPr>
                <w:bCs/>
              </w:rPr>
            </w:pPr>
            <w:r w:rsidRPr="008E1ED9">
              <w:rPr>
                <w:bCs/>
              </w:rPr>
              <w:t xml:space="preserve">ORN </w:t>
            </w:r>
          </w:p>
          <w:p w14:paraId="514F9CC6" w14:textId="77777777" w:rsidR="00477A59" w:rsidRPr="008E1ED9" w:rsidRDefault="00477A59" w:rsidP="006C42F2">
            <w:pPr>
              <w:pStyle w:val="cuadroCabe"/>
              <w:jc w:val="right"/>
              <w:rPr>
                <w:bCs/>
              </w:rPr>
            </w:pPr>
            <w:r w:rsidRPr="008E1ED9">
              <w:rPr>
                <w:bCs/>
              </w:rPr>
              <w:t>202</w:t>
            </w:r>
            <w:r w:rsidR="001A379E">
              <w:rPr>
                <w:bCs/>
              </w:rPr>
              <w:t>3</w:t>
            </w:r>
          </w:p>
        </w:tc>
        <w:tc>
          <w:tcPr>
            <w:tcW w:w="1086" w:type="dxa"/>
            <w:tcBorders>
              <w:top w:val="single" w:sz="4" w:space="0" w:color="auto"/>
              <w:bottom w:val="single" w:sz="4" w:space="0" w:color="auto"/>
            </w:tcBorders>
            <w:shd w:val="clear" w:color="auto" w:fill="8DB3E2" w:themeFill="text2" w:themeFillTint="66"/>
            <w:vAlign w:val="center"/>
          </w:tcPr>
          <w:p w14:paraId="763E29C0" w14:textId="77777777" w:rsidR="00477A59" w:rsidRPr="008E1ED9" w:rsidRDefault="00477A59" w:rsidP="00413ADE">
            <w:pPr>
              <w:pStyle w:val="cuadroCabe"/>
              <w:jc w:val="right"/>
              <w:rPr>
                <w:bCs/>
              </w:rPr>
            </w:pPr>
            <w:r w:rsidRPr="008E1ED9">
              <w:rPr>
                <w:bCs/>
              </w:rPr>
              <w:t>% S/ORN</w:t>
            </w:r>
          </w:p>
          <w:p w14:paraId="49D49213" w14:textId="77777777" w:rsidR="00477A59" w:rsidRPr="008E1ED9" w:rsidRDefault="00477A59" w:rsidP="00413ADE">
            <w:pPr>
              <w:pStyle w:val="cuadroCabe"/>
              <w:jc w:val="right"/>
              <w:rPr>
                <w:bCs/>
              </w:rPr>
            </w:pPr>
            <w:r w:rsidRPr="008E1ED9">
              <w:rPr>
                <w:bCs/>
              </w:rPr>
              <w:t>Totales 202</w:t>
            </w:r>
            <w:r w:rsidR="001A379E">
              <w:rPr>
                <w:bCs/>
              </w:rPr>
              <w:t>3</w:t>
            </w:r>
          </w:p>
        </w:tc>
        <w:tc>
          <w:tcPr>
            <w:tcW w:w="1045" w:type="dxa"/>
            <w:tcBorders>
              <w:top w:val="single" w:sz="4" w:space="0" w:color="auto"/>
              <w:bottom w:val="single" w:sz="4" w:space="0" w:color="auto"/>
            </w:tcBorders>
            <w:shd w:val="clear" w:color="auto" w:fill="8DB3E2" w:themeFill="text2" w:themeFillTint="66"/>
            <w:vAlign w:val="center"/>
          </w:tcPr>
          <w:p w14:paraId="7AF4CF52" w14:textId="77777777" w:rsidR="00477A59" w:rsidRPr="008E1ED9" w:rsidRDefault="00477A59" w:rsidP="00413ADE">
            <w:pPr>
              <w:pStyle w:val="cuadroCabe"/>
              <w:jc w:val="right"/>
              <w:rPr>
                <w:bCs/>
              </w:rPr>
            </w:pPr>
            <w:r w:rsidRPr="008E1ED9">
              <w:rPr>
                <w:bCs/>
              </w:rPr>
              <w:t>% Variación 202</w:t>
            </w:r>
            <w:r w:rsidR="001A379E">
              <w:rPr>
                <w:bCs/>
              </w:rPr>
              <w:t>3</w:t>
            </w:r>
            <w:r w:rsidRPr="008E1ED9">
              <w:rPr>
                <w:bCs/>
              </w:rPr>
              <w:t>/202</w:t>
            </w:r>
            <w:r w:rsidR="001A379E">
              <w:rPr>
                <w:bCs/>
              </w:rPr>
              <w:t>2</w:t>
            </w:r>
          </w:p>
        </w:tc>
      </w:tr>
      <w:tr w:rsidR="00FF24A8" w:rsidRPr="00AC6A84" w14:paraId="11D6F625" w14:textId="77777777" w:rsidTr="005D070A">
        <w:trPr>
          <w:trHeight w:val="198"/>
          <w:jc w:val="center"/>
        </w:trPr>
        <w:tc>
          <w:tcPr>
            <w:tcW w:w="4536" w:type="dxa"/>
            <w:tcBorders>
              <w:top w:val="single" w:sz="4" w:space="0" w:color="auto"/>
              <w:bottom w:val="single" w:sz="2" w:space="0" w:color="auto"/>
            </w:tcBorders>
            <w:vAlign w:val="center"/>
            <w:hideMark/>
          </w:tcPr>
          <w:p w14:paraId="6B4D9916" w14:textId="77777777" w:rsidR="00FF24A8" w:rsidRPr="005D070A" w:rsidRDefault="00FF24A8" w:rsidP="00EF5DD6">
            <w:pPr>
              <w:pStyle w:val="cuatexto"/>
              <w:rPr>
                <w:b/>
                <w:szCs w:val="20"/>
              </w:rPr>
            </w:pPr>
            <w:r w:rsidRPr="005D070A">
              <w:rPr>
                <w:b/>
                <w:szCs w:val="20"/>
              </w:rPr>
              <w:t>Servicios públicos básicos</w:t>
            </w:r>
          </w:p>
        </w:tc>
        <w:tc>
          <w:tcPr>
            <w:tcW w:w="993" w:type="dxa"/>
            <w:tcBorders>
              <w:top w:val="single" w:sz="4" w:space="0" w:color="auto"/>
              <w:bottom w:val="single" w:sz="2" w:space="0" w:color="auto"/>
            </w:tcBorders>
            <w:vAlign w:val="bottom"/>
          </w:tcPr>
          <w:p w14:paraId="1AF6CD57" w14:textId="77777777" w:rsidR="00FF24A8" w:rsidRPr="005D070A" w:rsidRDefault="00FF24A8" w:rsidP="00EF5DD6">
            <w:pPr>
              <w:pStyle w:val="cuatexto"/>
              <w:jc w:val="right"/>
              <w:rPr>
                <w:b/>
                <w:bCs/>
                <w:szCs w:val="20"/>
              </w:rPr>
            </w:pPr>
            <w:r w:rsidRPr="005D070A">
              <w:rPr>
                <w:b/>
                <w:bCs/>
                <w:szCs w:val="20"/>
              </w:rPr>
              <w:t>167.613</w:t>
            </w:r>
          </w:p>
        </w:tc>
        <w:tc>
          <w:tcPr>
            <w:tcW w:w="1275" w:type="dxa"/>
            <w:tcBorders>
              <w:top w:val="single" w:sz="4" w:space="0" w:color="auto"/>
              <w:left w:val="nil"/>
              <w:bottom w:val="single" w:sz="2" w:space="0" w:color="auto"/>
              <w:right w:val="nil"/>
            </w:tcBorders>
            <w:shd w:val="clear" w:color="auto" w:fill="auto"/>
            <w:vAlign w:val="center"/>
          </w:tcPr>
          <w:p w14:paraId="09304F43" w14:textId="77777777" w:rsidR="00FF24A8" w:rsidRPr="005D070A" w:rsidRDefault="00FF24A8" w:rsidP="00EF5DD6">
            <w:pPr>
              <w:pStyle w:val="cuatexto"/>
              <w:jc w:val="right"/>
              <w:rPr>
                <w:rFonts w:cs="Calibri"/>
                <w:b/>
                <w:bCs/>
                <w:color w:val="000000"/>
                <w:szCs w:val="20"/>
              </w:rPr>
            </w:pPr>
            <w:r w:rsidRPr="005D070A">
              <w:rPr>
                <w:rFonts w:cs="Calibri"/>
                <w:b/>
                <w:bCs/>
                <w:color w:val="000000"/>
                <w:szCs w:val="20"/>
              </w:rPr>
              <w:t>192.340</w:t>
            </w:r>
          </w:p>
        </w:tc>
        <w:tc>
          <w:tcPr>
            <w:tcW w:w="1086" w:type="dxa"/>
            <w:tcBorders>
              <w:top w:val="single" w:sz="4" w:space="0" w:color="auto"/>
              <w:left w:val="nil"/>
              <w:bottom w:val="single" w:sz="2" w:space="0" w:color="auto"/>
              <w:right w:val="nil"/>
            </w:tcBorders>
            <w:shd w:val="clear" w:color="auto" w:fill="auto"/>
            <w:vAlign w:val="center"/>
          </w:tcPr>
          <w:p w14:paraId="1D5D69DA" w14:textId="77777777" w:rsidR="00FF24A8" w:rsidRPr="005D070A" w:rsidRDefault="00FF24A8" w:rsidP="00EF5DD6">
            <w:pPr>
              <w:pStyle w:val="cuatexto"/>
              <w:jc w:val="right"/>
              <w:rPr>
                <w:rFonts w:cs="Calibri"/>
                <w:b/>
                <w:bCs/>
                <w:szCs w:val="20"/>
              </w:rPr>
            </w:pPr>
            <w:r w:rsidRPr="005D070A">
              <w:rPr>
                <w:rFonts w:cs="Calibri"/>
                <w:b/>
                <w:bCs/>
                <w:szCs w:val="20"/>
              </w:rPr>
              <w:t>3</w:t>
            </w:r>
          </w:p>
        </w:tc>
        <w:tc>
          <w:tcPr>
            <w:tcW w:w="1045" w:type="dxa"/>
            <w:tcBorders>
              <w:top w:val="single" w:sz="4" w:space="0" w:color="auto"/>
              <w:left w:val="nil"/>
              <w:bottom w:val="single" w:sz="2" w:space="0" w:color="auto"/>
              <w:right w:val="nil"/>
            </w:tcBorders>
            <w:shd w:val="clear" w:color="auto" w:fill="auto"/>
            <w:vAlign w:val="center"/>
          </w:tcPr>
          <w:p w14:paraId="23B27FA1" w14:textId="77777777" w:rsidR="00FF24A8" w:rsidRPr="005D070A" w:rsidRDefault="00FF24A8" w:rsidP="00EF5DD6">
            <w:pPr>
              <w:pStyle w:val="cuatexto"/>
              <w:jc w:val="right"/>
              <w:rPr>
                <w:rFonts w:cs="Calibri"/>
                <w:b/>
                <w:bCs/>
                <w:szCs w:val="20"/>
              </w:rPr>
            </w:pPr>
            <w:r w:rsidRPr="005D070A">
              <w:rPr>
                <w:rFonts w:cs="Calibri"/>
                <w:b/>
                <w:bCs/>
                <w:szCs w:val="20"/>
              </w:rPr>
              <w:t>15</w:t>
            </w:r>
          </w:p>
        </w:tc>
      </w:tr>
      <w:tr w:rsidR="00FF24A8" w14:paraId="71813512" w14:textId="77777777" w:rsidTr="005D070A">
        <w:trPr>
          <w:trHeight w:val="198"/>
          <w:jc w:val="center"/>
        </w:trPr>
        <w:tc>
          <w:tcPr>
            <w:tcW w:w="4536" w:type="dxa"/>
            <w:tcBorders>
              <w:top w:val="single" w:sz="2" w:space="0" w:color="auto"/>
              <w:bottom w:val="single" w:sz="2" w:space="0" w:color="auto"/>
            </w:tcBorders>
            <w:vAlign w:val="center"/>
            <w:hideMark/>
          </w:tcPr>
          <w:p w14:paraId="7EAD94D2" w14:textId="77777777" w:rsidR="00FF24A8" w:rsidRPr="005D070A" w:rsidRDefault="00FF24A8" w:rsidP="00EF5DD6">
            <w:pPr>
              <w:pStyle w:val="cuatexto"/>
              <w:rPr>
                <w:szCs w:val="20"/>
              </w:rPr>
            </w:pPr>
            <w:r w:rsidRPr="005D070A">
              <w:rPr>
                <w:szCs w:val="20"/>
              </w:rPr>
              <w:t>Justicia</w:t>
            </w:r>
          </w:p>
        </w:tc>
        <w:tc>
          <w:tcPr>
            <w:tcW w:w="993" w:type="dxa"/>
            <w:tcBorders>
              <w:top w:val="single" w:sz="2" w:space="0" w:color="auto"/>
              <w:bottom w:val="single" w:sz="2" w:space="0" w:color="auto"/>
            </w:tcBorders>
            <w:vAlign w:val="bottom"/>
          </w:tcPr>
          <w:p w14:paraId="64334302" w14:textId="77777777" w:rsidR="00FF24A8" w:rsidRPr="005D070A" w:rsidRDefault="00FF24A8" w:rsidP="00EF5DD6">
            <w:pPr>
              <w:pStyle w:val="cuatexto"/>
              <w:jc w:val="right"/>
              <w:rPr>
                <w:bCs/>
                <w:szCs w:val="20"/>
              </w:rPr>
            </w:pPr>
            <w:r w:rsidRPr="005D070A">
              <w:rPr>
                <w:bCs/>
                <w:szCs w:val="20"/>
              </w:rPr>
              <w:t>36.308</w:t>
            </w:r>
          </w:p>
        </w:tc>
        <w:tc>
          <w:tcPr>
            <w:tcW w:w="1275" w:type="dxa"/>
            <w:tcBorders>
              <w:top w:val="single" w:sz="2" w:space="0" w:color="auto"/>
              <w:left w:val="nil"/>
              <w:bottom w:val="single" w:sz="2" w:space="0" w:color="auto"/>
              <w:right w:val="nil"/>
            </w:tcBorders>
            <w:shd w:val="clear" w:color="auto" w:fill="auto"/>
            <w:vAlign w:val="center"/>
          </w:tcPr>
          <w:p w14:paraId="1D9E9459" w14:textId="77777777" w:rsidR="00FF24A8" w:rsidRPr="005D070A" w:rsidRDefault="00FF24A8" w:rsidP="00EF5DD6">
            <w:pPr>
              <w:pStyle w:val="cuatexto"/>
              <w:jc w:val="right"/>
              <w:rPr>
                <w:rFonts w:cs="Calibri"/>
                <w:color w:val="000000"/>
                <w:szCs w:val="20"/>
              </w:rPr>
            </w:pPr>
            <w:r w:rsidRPr="005D070A">
              <w:rPr>
                <w:rFonts w:cs="Calibri"/>
                <w:color w:val="000000"/>
                <w:szCs w:val="20"/>
              </w:rPr>
              <w:t>38.624</w:t>
            </w:r>
          </w:p>
        </w:tc>
        <w:tc>
          <w:tcPr>
            <w:tcW w:w="1086" w:type="dxa"/>
            <w:tcBorders>
              <w:top w:val="single" w:sz="2" w:space="0" w:color="auto"/>
              <w:left w:val="nil"/>
              <w:bottom w:val="single" w:sz="2" w:space="0" w:color="auto"/>
              <w:right w:val="nil"/>
            </w:tcBorders>
            <w:shd w:val="clear" w:color="auto" w:fill="auto"/>
            <w:vAlign w:val="center"/>
          </w:tcPr>
          <w:p w14:paraId="67ADCE08" w14:textId="77777777" w:rsidR="00FF24A8" w:rsidRPr="005D070A" w:rsidRDefault="00FF24A8" w:rsidP="00EF5DD6">
            <w:pPr>
              <w:pStyle w:val="cuatexto"/>
              <w:jc w:val="right"/>
              <w:rPr>
                <w:rFonts w:cs="Calibri"/>
                <w:bCs/>
                <w:szCs w:val="20"/>
              </w:rPr>
            </w:pPr>
            <w:r w:rsidRPr="005D070A">
              <w:rPr>
                <w:rFonts w:cs="Calibri"/>
                <w:bCs/>
                <w:szCs w:val="20"/>
              </w:rPr>
              <w:t>1</w:t>
            </w:r>
          </w:p>
        </w:tc>
        <w:tc>
          <w:tcPr>
            <w:tcW w:w="1045" w:type="dxa"/>
            <w:tcBorders>
              <w:top w:val="single" w:sz="2" w:space="0" w:color="auto"/>
              <w:left w:val="nil"/>
              <w:bottom w:val="single" w:sz="2" w:space="0" w:color="auto"/>
              <w:right w:val="nil"/>
            </w:tcBorders>
            <w:shd w:val="clear" w:color="auto" w:fill="auto"/>
            <w:vAlign w:val="center"/>
          </w:tcPr>
          <w:p w14:paraId="11C5EF7C" w14:textId="77777777" w:rsidR="00FF24A8" w:rsidRPr="005D070A" w:rsidRDefault="00FF24A8" w:rsidP="00EF5DD6">
            <w:pPr>
              <w:pStyle w:val="cuatexto"/>
              <w:jc w:val="right"/>
              <w:rPr>
                <w:rFonts w:cs="Calibri"/>
                <w:bCs/>
                <w:szCs w:val="20"/>
              </w:rPr>
            </w:pPr>
            <w:r w:rsidRPr="005D070A">
              <w:rPr>
                <w:rFonts w:cs="Calibri"/>
                <w:bCs/>
                <w:szCs w:val="20"/>
              </w:rPr>
              <w:t>6</w:t>
            </w:r>
          </w:p>
        </w:tc>
      </w:tr>
      <w:tr w:rsidR="00FF24A8" w14:paraId="35AE645F" w14:textId="77777777" w:rsidTr="005D070A">
        <w:trPr>
          <w:trHeight w:val="198"/>
          <w:jc w:val="center"/>
        </w:trPr>
        <w:tc>
          <w:tcPr>
            <w:tcW w:w="4536" w:type="dxa"/>
            <w:tcBorders>
              <w:top w:val="single" w:sz="2" w:space="0" w:color="auto"/>
              <w:bottom w:val="single" w:sz="2" w:space="0" w:color="auto"/>
            </w:tcBorders>
            <w:vAlign w:val="center"/>
            <w:hideMark/>
          </w:tcPr>
          <w:p w14:paraId="04DDE941" w14:textId="77777777" w:rsidR="00FF24A8" w:rsidRPr="005D070A" w:rsidRDefault="00FF24A8" w:rsidP="00EF5DD6">
            <w:pPr>
              <w:pStyle w:val="cuatexto"/>
              <w:rPr>
                <w:szCs w:val="20"/>
              </w:rPr>
            </w:pPr>
            <w:r w:rsidRPr="005D070A">
              <w:rPr>
                <w:szCs w:val="20"/>
              </w:rPr>
              <w:t>Seguridad ciudadana e instituciones penitenciarias</w:t>
            </w:r>
          </w:p>
        </w:tc>
        <w:tc>
          <w:tcPr>
            <w:tcW w:w="993" w:type="dxa"/>
            <w:tcBorders>
              <w:top w:val="single" w:sz="2" w:space="0" w:color="auto"/>
              <w:bottom w:val="single" w:sz="2" w:space="0" w:color="auto"/>
            </w:tcBorders>
            <w:vAlign w:val="bottom"/>
          </w:tcPr>
          <w:p w14:paraId="504A23E0" w14:textId="77777777" w:rsidR="00FF24A8" w:rsidRPr="005D070A" w:rsidRDefault="00FF24A8" w:rsidP="00EF5DD6">
            <w:pPr>
              <w:pStyle w:val="cuatexto"/>
              <w:jc w:val="right"/>
              <w:rPr>
                <w:bCs/>
                <w:szCs w:val="20"/>
              </w:rPr>
            </w:pPr>
            <w:r w:rsidRPr="005D070A">
              <w:rPr>
                <w:bCs/>
                <w:szCs w:val="20"/>
              </w:rPr>
              <w:t>110.595</w:t>
            </w:r>
          </w:p>
        </w:tc>
        <w:tc>
          <w:tcPr>
            <w:tcW w:w="1275" w:type="dxa"/>
            <w:tcBorders>
              <w:top w:val="single" w:sz="2" w:space="0" w:color="auto"/>
              <w:left w:val="nil"/>
              <w:bottom w:val="single" w:sz="2" w:space="0" w:color="auto"/>
              <w:right w:val="nil"/>
            </w:tcBorders>
            <w:shd w:val="clear" w:color="auto" w:fill="auto"/>
            <w:vAlign w:val="center"/>
          </w:tcPr>
          <w:p w14:paraId="474F2A3B" w14:textId="77777777" w:rsidR="00FF24A8" w:rsidRPr="005D070A" w:rsidRDefault="00FF24A8" w:rsidP="00EF5DD6">
            <w:pPr>
              <w:pStyle w:val="cuatexto"/>
              <w:jc w:val="right"/>
              <w:rPr>
                <w:rFonts w:cs="Calibri"/>
                <w:color w:val="000000"/>
                <w:szCs w:val="20"/>
              </w:rPr>
            </w:pPr>
            <w:r w:rsidRPr="005D070A">
              <w:rPr>
                <w:rFonts w:cs="Calibri"/>
                <w:color w:val="000000"/>
                <w:szCs w:val="20"/>
              </w:rPr>
              <w:t>130.346</w:t>
            </w:r>
          </w:p>
        </w:tc>
        <w:tc>
          <w:tcPr>
            <w:tcW w:w="1086" w:type="dxa"/>
            <w:tcBorders>
              <w:top w:val="single" w:sz="2" w:space="0" w:color="auto"/>
              <w:left w:val="nil"/>
              <w:bottom w:val="single" w:sz="2" w:space="0" w:color="auto"/>
              <w:right w:val="nil"/>
            </w:tcBorders>
            <w:shd w:val="clear" w:color="auto" w:fill="auto"/>
            <w:vAlign w:val="center"/>
          </w:tcPr>
          <w:p w14:paraId="4313FBD1" w14:textId="77777777" w:rsidR="00FF24A8" w:rsidRPr="005D070A" w:rsidRDefault="00FF24A8" w:rsidP="00EF5DD6">
            <w:pPr>
              <w:pStyle w:val="cuatexto"/>
              <w:jc w:val="right"/>
              <w:rPr>
                <w:rFonts w:cs="Calibri"/>
                <w:bCs/>
                <w:szCs w:val="20"/>
              </w:rPr>
            </w:pPr>
            <w:r w:rsidRPr="005D070A">
              <w:rPr>
                <w:rFonts w:cs="Calibri"/>
                <w:bCs/>
                <w:szCs w:val="20"/>
              </w:rPr>
              <w:t>2</w:t>
            </w:r>
          </w:p>
        </w:tc>
        <w:tc>
          <w:tcPr>
            <w:tcW w:w="1045" w:type="dxa"/>
            <w:tcBorders>
              <w:top w:val="single" w:sz="2" w:space="0" w:color="auto"/>
              <w:left w:val="nil"/>
              <w:bottom w:val="single" w:sz="2" w:space="0" w:color="auto"/>
              <w:right w:val="nil"/>
            </w:tcBorders>
            <w:shd w:val="clear" w:color="auto" w:fill="auto"/>
            <w:vAlign w:val="center"/>
          </w:tcPr>
          <w:p w14:paraId="70B0475B" w14:textId="77777777" w:rsidR="00FF24A8" w:rsidRPr="005D070A" w:rsidRDefault="00FF24A8" w:rsidP="00EF5DD6">
            <w:pPr>
              <w:pStyle w:val="cuatexto"/>
              <w:jc w:val="right"/>
              <w:rPr>
                <w:rFonts w:cs="Calibri"/>
                <w:bCs/>
                <w:szCs w:val="20"/>
              </w:rPr>
            </w:pPr>
            <w:r w:rsidRPr="005D070A">
              <w:rPr>
                <w:rFonts w:cs="Calibri"/>
                <w:bCs/>
                <w:szCs w:val="20"/>
              </w:rPr>
              <w:t>18</w:t>
            </w:r>
          </w:p>
        </w:tc>
      </w:tr>
      <w:tr w:rsidR="00FF24A8" w14:paraId="16D375C1" w14:textId="77777777" w:rsidTr="008A2E63">
        <w:trPr>
          <w:trHeight w:val="198"/>
          <w:jc w:val="center"/>
        </w:trPr>
        <w:tc>
          <w:tcPr>
            <w:tcW w:w="4536" w:type="dxa"/>
            <w:tcBorders>
              <w:top w:val="single" w:sz="2" w:space="0" w:color="auto"/>
              <w:bottom w:val="single" w:sz="4" w:space="0" w:color="auto"/>
            </w:tcBorders>
            <w:vAlign w:val="center"/>
            <w:hideMark/>
          </w:tcPr>
          <w:p w14:paraId="7E4D6327" w14:textId="77777777" w:rsidR="00FF24A8" w:rsidRPr="005D070A" w:rsidRDefault="00FF24A8" w:rsidP="00EF5DD6">
            <w:pPr>
              <w:pStyle w:val="cuatexto"/>
              <w:rPr>
                <w:szCs w:val="20"/>
              </w:rPr>
            </w:pPr>
            <w:r w:rsidRPr="005D070A">
              <w:rPr>
                <w:szCs w:val="20"/>
              </w:rPr>
              <w:t>Política exterior</w:t>
            </w:r>
          </w:p>
        </w:tc>
        <w:tc>
          <w:tcPr>
            <w:tcW w:w="993" w:type="dxa"/>
            <w:tcBorders>
              <w:top w:val="single" w:sz="2" w:space="0" w:color="auto"/>
              <w:bottom w:val="single" w:sz="4" w:space="0" w:color="auto"/>
            </w:tcBorders>
            <w:vAlign w:val="bottom"/>
          </w:tcPr>
          <w:p w14:paraId="79E1DCC7" w14:textId="77777777" w:rsidR="00FF24A8" w:rsidRPr="005D070A" w:rsidRDefault="00FF24A8" w:rsidP="00EF5DD6">
            <w:pPr>
              <w:pStyle w:val="cuatexto"/>
              <w:jc w:val="right"/>
              <w:rPr>
                <w:bCs/>
                <w:szCs w:val="20"/>
              </w:rPr>
            </w:pPr>
            <w:r w:rsidRPr="005D070A">
              <w:rPr>
                <w:bCs/>
                <w:szCs w:val="20"/>
              </w:rPr>
              <w:t>20.711</w:t>
            </w:r>
          </w:p>
        </w:tc>
        <w:tc>
          <w:tcPr>
            <w:tcW w:w="1275" w:type="dxa"/>
            <w:tcBorders>
              <w:top w:val="single" w:sz="2" w:space="0" w:color="auto"/>
              <w:left w:val="nil"/>
              <w:bottom w:val="single" w:sz="4" w:space="0" w:color="auto"/>
              <w:right w:val="nil"/>
            </w:tcBorders>
            <w:shd w:val="clear" w:color="auto" w:fill="auto"/>
            <w:vAlign w:val="center"/>
          </w:tcPr>
          <w:p w14:paraId="68DFCA2F" w14:textId="77777777" w:rsidR="00FF24A8" w:rsidRPr="005D070A" w:rsidRDefault="00FF24A8" w:rsidP="00EF5DD6">
            <w:pPr>
              <w:pStyle w:val="cuatexto"/>
              <w:jc w:val="right"/>
              <w:rPr>
                <w:rFonts w:cs="Calibri"/>
                <w:color w:val="000000"/>
                <w:szCs w:val="20"/>
              </w:rPr>
            </w:pPr>
            <w:r w:rsidRPr="005D070A">
              <w:rPr>
                <w:rFonts w:cs="Calibri"/>
                <w:color w:val="000000"/>
                <w:szCs w:val="20"/>
              </w:rPr>
              <w:t>23.370</w:t>
            </w:r>
          </w:p>
        </w:tc>
        <w:tc>
          <w:tcPr>
            <w:tcW w:w="1086" w:type="dxa"/>
            <w:tcBorders>
              <w:top w:val="single" w:sz="2" w:space="0" w:color="auto"/>
              <w:left w:val="nil"/>
              <w:bottom w:val="single" w:sz="4" w:space="0" w:color="auto"/>
              <w:right w:val="nil"/>
            </w:tcBorders>
            <w:shd w:val="clear" w:color="auto" w:fill="auto"/>
            <w:vAlign w:val="center"/>
          </w:tcPr>
          <w:p w14:paraId="6C5C4BB5" w14:textId="77777777" w:rsidR="00FF24A8" w:rsidRPr="005D070A" w:rsidRDefault="00FF24A8" w:rsidP="00EF5DD6">
            <w:pPr>
              <w:pStyle w:val="cuatexto"/>
              <w:jc w:val="right"/>
              <w:rPr>
                <w:rFonts w:cs="Calibri"/>
                <w:bCs/>
                <w:szCs w:val="20"/>
              </w:rPr>
            </w:pPr>
            <w:r w:rsidRPr="005D070A">
              <w:rPr>
                <w:rFonts w:cs="Calibri"/>
                <w:bCs/>
                <w:szCs w:val="20"/>
              </w:rPr>
              <w:t>0</w:t>
            </w:r>
          </w:p>
        </w:tc>
        <w:tc>
          <w:tcPr>
            <w:tcW w:w="1045" w:type="dxa"/>
            <w:tcBorders>
              <w:top w:val="single" w:sz="2" w:space="0" w:color="auto"/>
              <w:left w:val="nil"/>
              <w:bottom w:val="single" w:sz="4" w:space="0" w:color="auto"/>
              <w:right w:val="nil"/>
            </w:tcBorders>
            <w:shd w:val="clear" w:color="auto" w:fill="auto"/>
            <w:vAlign w:val="center"/>
          </w:tcPr>
          <w:p w14:paraId="2BD14868" w14:textId="77777777" w:rsidR="00FF24A8" w:rsidRPr="005D070A" w:rsidRDefault="00FF24A8" w:rsidP="00EF5DD6">
            <w:pPr>
              <w:pStyle w:val="cuatexto"/>
              <w:jc w:val="right"/>
              <w:rPr>
                <w:rFonts w:cs="Calibri"/>
                <w:bCs/>
                <w:szCs w:val="20"/>
              </w:rPr>
            </w:pPr>
            <w:r w:rsidRPr="005D070A">
              <w:rPr>
                <w:rFonts w:cs="Calibri"/>
                <w:bCs/>
                <w:szCs w:val="20"/>
              </w:rPr>
              <w:t>13</w:t>
            </w:r>
          </w:p>
        </w:tc>
      </w:tr>
      <w:tr w:rsidR="00FF24A8" w:rsidRPr="00AC6A84" w14:paraId="7AA5C0F4" w14:textId="77777777" w:rsidTr="008A2E63">
        <w:trPr>
          <w:trHeight w:val="198"/>
          <w:jc w:val="center"/>
        </w:trPr>
        <w:tc>
          <w:tcPr>
            <w:tcW w:w="4536" w:type="dxa"/>
            <w:tcBorders>
              <w:top w:val="single" w:sz="4" w:space="0" w:color="auto"/>
              <w:bottom w:val="single" w:sz="4" w:space="0" w:color="auto"/>
            </w:tcBorders>
            <w:vAlign w:val="center"/>
            <w:hideMark/>
          </w:tcPr>
          <w:p w14:paraId="49593AE3" w14:textId="77777777" w:rsidR="00FF24A8" w:rsidRPr="005D070A" w:rsidRDefault="00FF24A8" w:rsidP="00EF5DD6">
            <w:pPr>
              <w:pStyle w:val="cuatexto"/>
              <w:rPr>
                <w:b/>
                <w:bCs/>
                <w:szCs w:val="20"/>
              </w:rPr>
            </w:pPr>
            <w:r w:rsidRPr="005D070A">
              <w:rPr>
                <w:b/>
                <w:bCs/>
                <w:szCs w:val="20"/>
              </w:rPr>
              <w:t>GASTO SOCIAL (A) + (B)</w:t>
            </w:r>
          </w:p>
        </w:tc>
        <w:tc>
          <w:tcPr>
            <w:tcW w:w="993" w:type="dxa"/>
            <w:tcBorders>
              <w:top w:val="single" w:sz="4" w:space="0" w:color="auto"/>
              <w:bottom w:val="single" w:sz="4" w:space="0" w:color="auto"/>
            </w:tcBorders>
            <w:vAlign w:val="bottom"/>
          </w:tcPr>
          <w:p w14:paraId="7F350521" w14:textId="77777777" w:rsidR="00FF24A8" w:rsidRPr="005D070A" w:rsidRDefault="00FF24A8" w:rsidP="00EF5DD6">
            <w:pPr>
              <w:pStyle w:val="cuatexto"/>
              <w:jc w:val="right"/>
              <w:rPr>
                <w:b/>
                <w:bCs/>
                <w:szCs w:val="20"/>
              </w:rPr>
            </w:pPr>
            <w:r w:rsidRPr="005D070A">
              <w:rPr>
                <w:b/>
                <w:bCs/>
                <w:szCs w:val="20"/>
              </w:rPr>
              <w:t>2.957.891</w:t>
            </w:r>
          </w:p>
        </w:tc>
        <w:tc>
          <w:tcPr>
            <w:tcW w:w="1275" w:type="dxa"/>
            <w:tcBorders>
              <w:top w:val="single" w:sz="4" w:space="0" w:color="auto"/>
              <w:left w:val="nil"/>
              <w:bottom w:val="single" w:sz="4" w:space="0" w:color="auto"/>
              <w:right w:val="nil"/>
            </w:tcBorders>
            <w:shd w:val="clear" w:color="auto" w:fill="auto"/>
            <w:vAlign w:val="center"/>
          </w:tcPr>
          <w:p w14:paraId="3012CE0E" w14:textId="77777777" w:rsidR="00FF24A8" w:rsidRPr="005D070A" w:rsidRDefault="00FF24A8" w:rsidP="00EF5DD6">
            <w:pPr>
              <w:pStyle w:val="cuatexto"/>
              <w:jc w:val="right"/>
              <w:rPr>
                <w:rFonts w:cs="Calibri"/>
                <w:b/>
                <w:bCs/>
                <w:color w:val="000000"/>
                <w:szCs w:val="20"/>
              </w:rPr>
            </w:pPr>
            <w:r w:rsidRPr="005D070A">
              <w:rPr>
                <w:rFonts w:cs="Calibri"/>
                <w:b/>
                <w:bCs/>
                <w:color w:val="000000"/>
                <w:szCs w:val="20"/>
              </w:rPr>
              <w:t>3.281.231</w:t>
            </w:r>
          </w:p>
        </w:tc>
        <w:tc>
          <w:tcPr>
            <w:tcW w:w="1086" w:type="dxa"/>
            <w:tcBorders>
              <w:top w:val="single" w:sz="4" w:space="0" w:color="auto"/>
              <w:left w:val="nil"/>
              <w:bottom w:val="single" w:sz="4" w:space="0" w:color="auto"/>
              <w:right w:val="nil"/>
            </w:tcBorders>
            <w:shd w:val="clear" w:color="auto" w:fill="auto"/>
            <w:vAlign w:val="center"/>
          </w:tcPr>
          <w:p w14:paraId="5C77CDB8" w14:textId="77777777" w:rsidR="00FF24A8" w:rsidRPr="005D070A" w:rsidRDefault="00FF24A8" w:rsidP="00EF5DD6">
            <w:pPr>
              <w:pStyle w:val="cuatexto"/>
              <w:jc w:val="right"/>
              <w:rPr>
                <w:rFonts w:cs="Calibri"/>
                <w:b/>
                <w:bCs/>
                <w:szCs w:val="20"/>
              </w:rPr>
            </w:pPr>
            <w:r w:rsidRPr="005D070A">
              <w:rPr>
                <w:rFonts w:cs="Calibri"/>
                <w:b/>
                <w:bCs/>
                <w:szCs w:val="20"/>
              </w:rPr>
              <w:t>57</w:t>
            </w:r>
          </w:p>
        </w:tc>
        <w:tc>
          <w:tcPr>
            <w:tcW w:w="1045" w:type="dxa"/>
            <w:tcBorders>
              <w:top w:val="single" w:sz="4" w:space="0" w:color="auto"/>
              <w:left w:val="nil"/>
              <w:bottom w:val="single" w:sz="4" w:space="0" w:color="auto"/>
              <w:right w:val="nil"/>
            </w:tcBorders>
            <w:shd w:val="clear" w:color="auto" w:fill="auto"/>
            <w:vAlign w:val="center"/>
          </w:tcPr>
          <w:p w14:paraId="7B1BF57D" w14:textId="77777777" w:rsidR="00FF24A8" w:rsidRPr="005D070A" w:rsidRDefault="00FF24A8" w:rsidP="00EF5DD6">
            <w:pPr>
              <w:pStyle w:val="cuatexto"/>
              <w:jc w:val="right"/>
              <w:rPr>
                <w:rFonts w:cs="Calibri"/>
                <w:b/>
                <w:bCs/>
                <w:szCs w:val="20"/>
              </w:rPr>
            </w:pPr>
            <w:r w:rsidRPr="005D070A">
              <w:rPr>
                <w:rFonts w:cs="Calibri"/>
                <w:b/>
                <w:bCs/>
                <w:szCs w:val="20"/>
              </w:rPr>
              <w:t>11</w:t>
            </w:r>
          </w:p>
        </w:tc>
      </w:tr>
      <w:tr w:rsidR="00FF24A8" w:rsidRPr="00AC6A84" w14:paraId="1A8DA6F7" w14:textId="77777777" w:rsidTr="008A2E63">
        <w:trPr>
          <w:trHeight w:val="198"/>
          <w:jc w:val="center"/>
        </w:trPr>
        <w:tc>
          <w:tcPr>
            <w:tcW w:w="4536" w:type="dxa"/>
            <w:tcBorders>
              <w:top w:val="single" w:sz="4" w:space="0" w:color="auto"/>
              <w:bottom w:val="single" w:sz="4" w:space="0" w:color="auto"/>
            </w:tcBorders>
            <w:vAlign w:val="center"/>
            <w:hideMark/>
          </w:tcPr>
          <w:p w14:paraId="43E85D48" w14:textId="77777777" w:rsidR="00FF24A8" w:rsidRPr="005D070A" w:rsidRDefault="00FF24A8" w:rsidP="00EF5DD6">
            <w:pPr>
              <w:pStyle w:val="cuatexto"/>
              <w:rPr>
                <w:b/>
                <w:szCs w:val="20"/>
              </w:rPr>
            </w:pPr>
            <w:r w:rsidRPr="005D070A">
              <w:rPr>
                <w:b/>
                <w:szCs w:val="20"/>
              </w:rPr>
              <w:t>(A) Actuaciones de protección y promoción social</w:t>
            </w:r>
          </w:p>
        </w:tc>
        <w:tc>
          <w:tcPr>
            <w:tcW w:w="993" w:type="dxa"/>
            <w:tcBorders>
              <w:top w:val="single" w:sz="4" w:space="0" w:color="auto"/>
              <w:bottom w:val="single" w:sz="4" w:space="0" w:color="auto"/>
            </w:tcBorders>
            <w:vAlign w:val="bottom"/>
          </w:tcPr>
          <w:p w14:paraId="444F6ABF" w14:textId="77777777" w:rsidR="00FF24A8" w:rsidRPr="005D070A" w:rsidRDefault="00FF24A8" w:rsidP="00EF5DD6">
            <w:pPr>
              <w:pStyle w:val="cuatexto"/>
              <w:jc w:val="right"/>
              <w:rPr>
                <w:b/>
                <w:bCs/>
                <w:szCs w:val="20"/>
              </w:rPr>
            </w:pPr>
            <w:r w:rsidRPr="005D070A">
              <w:rPr>
                <w:b/>
                <w:bCs/>
                <w:szCs w:val="20"/>
              </w:rPr>
              <w:t>708.102</w:t>
            </w:r>
          </w:p>
        </w:tc>
        <w:tc>
          <w:tcPr>
            <w:tcW w:w="1275" w:type="dxa"/>
            <w:tcBorders>
              <w:top w:val="single" w:sz="4" w:space="0" w:color="auto"/>
              <w:left w:val="nil"/>
              <w:bottom w:val="single" w:sz="4" w:space="0" w:color="auto"/>
              <w:right w:val="nil"/>
            </w:tcBorders>
            <w:shd w:val="clear" w:color="auto" w:fill="auto"/>
            <w:vAlign w:val="center"/>
          </w:tcPr>
          <w:p w14:paraId="35BF0830" w14:textId="77777777" w:rsidR="00FF24A8" w:rsidRPr="005D070A" w:rsidRDefault="00FF24A8" w:rsidP="00EF5DD6">
            <w:pPr>
              <w:pStyle w:val="cuatexto"/>
              <w:jc w:val="right"/>
              <w:rPr>
                <w:rFonts w:cs="Calibri"/>
                <w:b/>
                <w:bCs/>
                <w:color w:val="000000"/>
                <w:szCs w:val="20"/>
              </w:rPr>
            </w:pPr>
            <w:r w:rsidRPr="005D070A">
              <w:rPr>
                <w:rFonts w:cs="Calibri"/>
                <w:b/>
                <w:bCs/>
                <w:color w:val="000000"/>
                <w:szCs w:val="20"/>
              </w:rPr>
              <w:t>861.337</w:t>
            </w:r>
          </w:p>
        </w:tc>
        <w:tc>
          <w:tcPr>
            <w:tcW w:w="1086" w:type="dxa"/>
            <w:tcBorders>
              <w:top w:val="single" w:sz="4" w:space="0" w:color="auto"/>
              <w:left w:val="nil"/>
              <w:bottom w:val="single" w:sz="4" w:space="0" w:color="auto"/>
              <w:right w:val="nil"/>
            </w:tcBorders>
            <w:shd w:val="clear" w:color="auto" w:fill="auto"/>
            <w:vAlign w:val="center"/>
          </w:tcPr>
          <w:p w14:paraId="7CA9FB5E" w14:textId="77777777" w:rsidR="00FF24A8" w:rsidRPr="005D070A" w:rsidRDefault="00FF24A8" w:rsidP="00EF5DD6">
            <w:pPr>
              <w:pStyle w:val="cuatexto"/>
              <w:jc w:val="right"/>
              <w:rPr>
                <w:rFonts w:cs="Calibri"/>
                <w:b/>
                <w:bCs/>
                <w:szCs w:val="20"/>
              </w:rPr>
            </w:pPr>
            <w:r w:rsidRPr="005D070A">
              <w:rPr>
                <w:rFonts w:cs="Calibri"/>
                <w:b/>
                <w:bCs/>
                <w:szCs w:val="20"/>
              </w:rPr>
              <w:t>15</w:t>
            </w:r>
          </w:p>
        </w:tc>
        <w:tc>
          <w:tcPr>
            <w:tcW w:w="1045" w:type="dxa"/>
            <w:tcBorders>
              <w:top w:val="single" w:sz="4" w:space="0" w:color="auto"/>
              <w:left w:val="nil"/>
              <w:bottom w:val="single" w:sz="4" w:space="0" w:color="auto"/>
              <w:right w:val="nil"/>
            </w:tcBorders>
            <w:shd w:val="clear" w:color="auto" w:fill="auto"/>
            <w:vAlign w:val="center"/>
          </w:tcPr>
          <w:p w14:paraId="201D2E80" w14:textId="77777777" w:rsidR="00FF24A8" w:rsidRPr="005D070A" w:rsidRDefault="00FF24A8" w:rsidP="00EF5DD6">
            <w:pPr>
              <w:pStyle w:val="cuatexto"/>
              <w:jc w:val="right"/>
              <w:rPr>
                <w:rFonts w:cs="Calibri"/>
                <w:b/>
                <w:bCs/>
                <w:szCs w:val="20"/>
              </w:rPr>
            </w:pPr>
            <w:r w:rsidRPr="005D070A">
              <w:rPr>
                <w:rFonts w:cs="Calibri"/>
                <w:b/>
                <w:bCs/>
                <w:szCs w:val="20"/>
              </w:rPr>
              <w:t>22</w:t>
            </w:r>
          </w:p>
        </w:tc>
      </w:tr>
      <w:tr w:rsidR="00FF24A8" w14:paraId="243A1E8E" w14:textId="77777777" w:rsidTr="008A2E63">
        <w:trPr>
          <w:trHeight w:val="198"/>
          <w:jc w:val="center"/>
        </w:trPr>
        <w:tc>
          <w:tcPr>
            <w:tcW w:w="4536" w:type="dxa"/>
            <w:tcBorders>
              <w:top w:val="single" w:sz="4" w:space="0" w:color="auto"/>
              <w:bottom w:val="single" w:sz="2" w:space="0" w:color="auto"/>
            </w:tcBorders>
            <w:vAlign w:val="center"/>
            <w:hideMark/>
          </w:tcPr>
          <w:p w14:paraId="474B09A0" w14:textId="77777777" w:rsidR="00FF24A8" w:rsidRPr="005D070A" w:rsidRDefault="00FF24A8" w:rsidP="00EF5DD6">
            <w:pPr>
              <w:pStyle w:val="cuatexto"/>
              <w:rPr>
                <w:szCs w:val="20"/>
              </w:rPr>
            </w:pPr>
            <w:r w:rsidRPr="005D070A">
              <w:rPr>
                <w:szCs w:val="20"/>
              </w:rPr>
              <w:t>Pensiones</w:t>
            </w:r>
          </w:p>
        </w:tc>
        <w:tc>
          <w:tcPr>
            <w:tcW w:w="993" w:type="dxa"/>
            <w:tcBorders>
              <w:top w:val="single" w:sz="4" w:space="0" w:color="auto"/>
              <w:bottom w:val="single" w:sz="2" w:space="0" w:color="auto"/>
            </w:tcBorders>
            <w:vAlign w:val="bottom"/>
          </w:tcPr>
          <w:p w14:paraId="24BD2C4C" w14:textId="77777777" w:rsidR="00FF24A8" w:rsidRPr="005D070A" w:rsidRDefault="00FF24A8" w:rsidP="00EF5DD6">
            <w:pPr>
              <w:pStyle w:val="cuatexto"/>
              <w:jc w:val="right"/>
              <w:rPr>
                <w:bCs/>
                <w:szCs w:val="20"/>
              </w:rPr>
            </w:pPr>
            <w:r w:rsidRPr="005D070A">
              <w:rPr>
                <w:bCs/>
                <w:szCs w:val="20"/>
              </w:rPr>
              <w:t>128.042</w:t>
            </w:r>
          </w:p>
        </w:tc>
        <w:tc>
          <w:tcPr>
            <w:tcW w:w="1275" w:type="dxa"/>
            <w:tcBorders>
              <w:top w:val="single" w:sz="4" w:space="0" w:color="auto"/>
              <w:left w:val="nil"/>
              <w:bottom w:val="single" w:sz="2" w:space="0" w:color="auto"/>
              <w:right w:val="nil"/>
            </w:tcBorders>
            <w:shd w:val="clear" w:color="auto" w:fill="auto"/>
            <w:vAlign w:val="center"/>
          </w:tcPr>
          <w:p w14:paraId="08592C0A" w14:textId="77777777" w:rsidR="00FF24A8" w:rsidRPr="005D070A" w:rsidRDefault="00FF24A8" w:rsidP="00EF5DD6">
            <w:pPr>
              <w:pStyle w:val="cuatexto"/>
              <w:jc w:val="right"/>
              <w:rPr>
                <w:rFonts w:cs="Calibri"/>
                <w:color w:val="000000"/>
                <w:szCs w:val="20"/>
              </w:rPr>
            </w:pPr>
            <w:r w:rsidRPr="005D070A">
              <w:rPr>
                <w:rFonts w:cs="Calibri"/>
                <w:color w:val="000000"/>
                <w:szCs w:val="20"/>
              </w:rPr>
              <w:t>138.417</w:t>
            </w:r>
          </w:p>
        </w:tc>
        <w:tc>
          <w:tcPr>
            <w:tcW w:w="1086" w:type="dxa"/>
            <w:tcBorders>
              <w:top w:val="single" w:sz="4" w:space="0" w:color="auto"/>
              <w:left w:val="nil"/>
              <w:bottom w:val="single" w:sz="2" w:space="0" w:color="auto"/>
              <w:right w:val="nil"/>
            </w:tcBorders>
            <w:shd w:val="clear" w:color="auto" w:fill="auto"/>
            <w:vAlign w:val="center"/>
          </w:tcPr>
          <w:p w14:paraId="5FFB3999" w14:textId="77777777" w:rsidR="00FF24A8" w:rsidRPr="005D070A" w:rsidRDefault="00FF24A8" w:rsidP="00EF5DD6">
            <w:pPr>
              <w:pStyle w:val="cuatexto"/>
              <w:jc w:val="right"/>
              <w:rPr>
                <w:rFonts w:cs="Calibri"/>
                <w:bCs/>
                <w:szCs w:val="20"/>
              </w:rPr>
            </w:pPr>
            <w:r w:rsidRPr="005D070A">
              <w:rPr>
                <w:rFonts w:cs="Calibri"/>
                <w:bCs/>
                <w:szCs w:val="20"/>
              </w:rPr>
              <w:t>2</w:t>
            </w:r>
          </w:p>
        </w:tc>
        <w:tc>
          <w:tcPr>
            <w:tcW w:w="1045" w:type="dxa"/>
            <w:tcBorders>
              <w:top w:val="single" w:sz="4" w:space="0" w:color="auto"/>
              <w:left w:val="nil"/>
              <w:bottom w:val="single" w:sz="2" w:space="0" w:color="auto"/>
              <w:right w:val="nil"/>
            </w:tcBorders>
            <w:shd w:val="clear" w:color="auto" w:fill="auto"/>
            <w:vAlign w:val="center"/>
          </w:tcPr>
          <w:p w14:paraId="43DD84BD" w14:textId="77777777" w:rsidR="00FF24A8" w:rsidRPr="005D070A" w:rsidRDefault="00FF24A8" w:rsidP="00EF5DD6">
            <w:pPr>
              <w:pStyle w:val="cuatexto"/>
              <w:jc w:val="right"/>
              <w:rPr>
                <w:rFonts w:cs="Calibri"/>
                <w:bCs/>
                <w:szCs w:val="20"/>
              </w:rPr>
            </w:pPr>
            <w:r w:rsidRPr="005D070A">
              <w:rPr>
                <w:rFonts w:cs="Calibri"/>
                <w:bCs/>
                <w:szCs w:val="20"/>
              </w:rPr>
              <w:t>8</w:t>
            </w:r>
          </w:p>
        </w:tc>
      </w:tr>
      <w:tr w:rsidR="00FF24A8" w14:paraId="524CB0BB" w14:textId="77777777" w:rsidTr="005D070A">
        <w:trPr>
          <w:trHeight w:val="198"/>
          <w:jc w:val="center"/>
        </w:trPr>
        <w:tc>
          <w:tcPr>
            <w:tcW w:w="4536" w:type="dxa"/>
            <w:tcBorders>
              <w:top w:val="single" w:sz="2" w:space="0" w:color="auto"/>
              <w:bottom w:val="single" w:sz="2" w:space="0" w:color="auto"/>
            </w:tcBorders>
            <w:vAlign w:val="center"/>
            <w:hideMark/>
          </w:tcPr>
          <w:p w14:paraId="64B2E388" w14:textId="77777777" w:rsidR="00FF24A8" w:rsidRPr="005D070A" w:rsidRDefault="00FF24A8" w:rsidP="00EF5DD6">
            <w:pPr>
              <w:pStyle w:val="cuatexto"/>
              <w:rPr>
                <w:szCs w:val="20"/>
              </w:rPr>
            </w:pPr>
            <w:r w:rsidRPr="005D070A">
              <w:rPr>
                <w:szCs w:val="20"/>
              </w:rPr>
              <w:t>Otras prestaciones económicas</w:t>
            </w:r>
          </w:p>
        </w:tc>
        <w:tc>
          <w:tcPr>
            <w:tcW w:w="993" w:type="dxa"/>
            <w:tcBorders>
              <w:top w:val="single" w:sz="2" w:space="0" w:color="auto"/>
              <w:bottom w:val="single" w:sz="2" w:space="0" w:color="auto"/>
            </w:tcBorders>
            <w:vAlign w:val="bottom"/>
          </w:tcPr>
          <w:p w14:paraId="3DCFD038" w14:textId="77777777" w:rsidR="00FF24A8" w:rsidRPr="005D070A" w:rsidRDefault="00FF24A8" w:rsidP="00EF5DD6">
            <w:pPr>
              <w:pStyle w:val="cuatexto"/>
              <w:jc w:val="right"/>
              <w:rPr>
                <w:bCs/>
                <w:szCs w:val="20"/>
              </w:rPr>
            </w:pPr>
            <w:r w:rsidRPr="005D070A">
              <w:rPr>
                <w:bCs/>
                <w:szCs w:val="20"/>
              </w:rPr>
              <w:t>3.026</w:t>
            </w:r>
          </w:p>
        </w:tc>
        <w:tc>
          <w:tcPr>
            <w:tcW w:w="1275" w:type="dxa"/>
            <w:tcBorders>
              <w:top w:val="single" w:sz="2" w:space="0" w:color="auto"/>
              <w:left w:val="nil"/>
              <w:bottom w:val="single" w:sz="2" w:space="0" w:color="auto"/>
              <w:right w:val="nil"/>
            </w:tcBorders>
            <w:shd w:val="clear" w:color="auto" w:fill="auto"/>
            <w:vAlign w:val="center"/>
          </w:tcPr>
          <w:p w14:paraId="6873B8D3" w14:textId="77777777" w:rsidR="00FF24A8" w:rsidRPr="005D070A" w:rsidRDefault="00FF24A8" w:rsidP="00EF5DD6">
            <w:pPr>
              <w:pStyle w:val="cuatexto"/>
              <w:jc w:val="right"/>
              <w:rPr>
                <w:rFonts w:cs="Calibri"/>
                <w:color w:val="000000"/>
                <w:szCs w:val="20"/>
              </w:rPr>
            </w:pPr>
            <w:r w:rsidRPr="005D070A">
              <w:rPr>
                <w:rFonts w:cs="Calibri"/>
                <w:color w:val="000000"/>
                <w:szCs w:val="20"/>
              </w:rPr>
              <w:t>2.957</w:t>
            </w:r>
          </w:p>
        </w:tc>
        <w:tc>
          <w:tcPr>
            <w:tcW w:w="1086" w:type="dxa"/>
            <w:tcBorders>
              <w:top w:val="single" w:sz="2" w:space="0" w:color="auto"/>
              <w:left w:val="nil"/>
              <w:bottom w:val="single" w:sz="2" w:space="0" w:color="auto"/>
              <w:right w:val="nil"/>
            </w:tcBorders>
            <w:shd w:val="clear" w:color="auto" w:fill="auto"/>
            <w:vAlign w:val="center"/>
          </w:tcPr>
          <w:p w14:paraId="3A86779B" w14:textId="77777777" w:rsidR="00FF24A8" w:rsidRPr="005D070A" w:rsidRDefault="00FF24A8" w:rsidP="00EF5DD6">
            <w:pPr>
              <w:pStyle w:val="cuatexto"/>
              <w:jc w:val="right"/>
              <w:rPr>
                <w:rFonts w:cs="Calibri"/>
                <w:bCs/>
                <w:szCs w:val="20"/>
              </w:rPr>
            </w:pPr>
            <w:r w:rsidRPr="005D070A">
              <w:rPr>
                <w:rFonts w:cs="Calibri"/>
                <w:bCs/>
                <w:szCs w:val="20"/>
              </w:rPr>
              <w:t>0</w:t>
            </w:r>
          </w:p>
        </w:tc>
        <w:tc>
          <w:tcPr>
            <w:tcW w:w="1045" w:type="dxa"/>
            <w:tcBorders>
              <w:top w:val="single" w:sz="2" w:space="0" w:color="auto"/>
              <w:left w:val="nil"/>
              <w:bottom w:val="single" w:sz="2" w:space="0" w:color="auto"/>
              <w:right w:val="nil"/>
            </w:tcBorders>
            <w:shd w:val="clear" w:color="auto" w:fill="auto"/>
            <w:vAlign w:val="center"/>
          </w:tcPr>
          <w:p w14:paraId="53A73FF0" w14:textId="77777777" w:rsidR="00FF24A8" w:rsidRPr="005D070A" w:rsidRDefault="00FF24A8" w:rsidP="00EF5DD6">
            <w:pPr>
              <w:pStyle w:val="cuatexto"/>
              <w:jc w:val="right"/>
              <w:rPr>
                <w:rFonts w:cs="Calibri"/>
                <w:bCs/>
                <w:szCs w:val="20"/>
              </w:rPr>
            </w:pPr>
            <w:r w:rsidRPr="005D070A">
              <w:rPr>
                <w:rFonts w:cs="Calibri"/>
                <w:bCs/>
                <w:szCs w:val="20"/>
              </w:rPr>
              <w:t>-2</w:t>
            </w:r>
          </w:p>
        </w:tc>
      </w:tr>
      <w:tr w:rsidR="00FF24A8" w14:paraId="7BA85D22" w14:textId="77777777" w:rsidTr="005D070A">
        <w:trPr>
          <w:trHeight w:val="198"/>
          <w:jc w:val="center"/>
        </w:trPr>
        <w:tc>
          <w:tcPr>
            <w:tcW w:w="4536" w:type="dxa"/>
            <w:tcBorders>
              <w:top w:val="single" w:sz="2" w:space="0" w:color="auto"/>
              <w:bottom w:val="single" w:sz="2" w:space="0" w:color="auto"/>
            </w:tcBorders>
            <w:vAlign w:val="center"/>
            <w:hideMark/>
          </w:tcPr>
          <w:p w14:paraId="6324C7E7" w14:textId="77777777" w:rsidR="00FF24A8" w:rsidRPr="005D070A" w:rsidRDefault="00FF24A8" w:rsidP="00EF5DD6">
            <w:pPr>
              <w:pStyle w:val="cuatexto"/>
              <w:rPr>
                <w:szCs w:val="20"/>
              </w:rPr>
            </w:pPr>
            <w:proofErr w:type="gramStart"/>
            <w:r w:rsidRPr="005D070A">
              <w:rPr>
                <w:szCs w:val="20"/>
              </w:rPr>
              <w:t>Servicios sociales y promoción social</w:t>
            </w:r>
            <w:proofErr w:type="gramEnd"/>
          </w:p>
        </w:tc>
        <w:tc>
          <w:tcPr>
            <w:tcW w:w="993" w:type="dxa"/>
            <w:tcBorders>
              <w:top w:val="single" w:sz="2" w:space="0" w:color="auto"/>
              <w:bottom w:val="single" w:sz="2" w:space="0" w:color="auto"/>
            </w:tcBorders>
            <w:vAlign w:val="bottom"/>
          </w:tcPr>
          <w:p w14:paraId="1515DE2F" w14:textId="77777777" w:rsidR="00FF24A8" w:rsidRPr="005D070A" w:rsidRDefault="00FF24A8" w:rsidP="00EF5DD6">
            <w:pPr>
              <w:pStyle w:val="cuatexto"/>
              <w:jc w:val="right"/>
              <w:rPr>
                <w:bCs/>
                <w:szCs w:val="20"/>
              </w:rPr>
            </w:pPr>
            <w:r w:rsidRPr="005D070A">
              <w:rPr>
                <w:bCs/>
                <w:szCs w:val="20"/>
              </w:rPr>
              <w:t>423.806</w:t>
            </w:r>
          </w:p>
        </w:tc>
        <w:tc>
          <w:tcPr>
            <w:tcW w:w="1275" w:type="dxa"/>
            <w:tcBorders>
              <w:top w:val="single" w:sz="2" w:space="0" w:color="auto"/>
              <w:left w:val="nil"/>
              <w:bottom w:val="single" w:sz="2" w:space="0" w:color="auto"/>
              <w:right w:val="nil"/>
            </w:tcBorders>
            <w:shd w:val="clear" w:color="auto" w:fill="auto"/>
            <w:vAlign w:val="center"/>
          </w:tcPr>
          <w:p w14:paraId="02F96ED2" w14:textId="77777777" w:rsidR="00FF24A8" w:rsidRPr="005D070A" w:rsidRDefault="00FF24A8" w:rsidP="00EF5DD6">
            <w:pPr>
              <w:pStyle w:val="cuatexto"/>
              <w:jc w:val="right"/>
              <w:rPr>
                <w:rFonts w:cs="Calibri"/>
                <w:color w:val="000000"/>
                <w:szCs w:val="20"/>
              </w:rPr>
            </w:pPr>
            <w:r w:rsidRPr="005D070A">
              <w:rPr>
                <w:rFonts w:cs="Calibri"/>
                <w:color w:val="000000"/>
                <w:szCs w:val="20"/>
              </w:rPr>
              <w:t>540.582</w:t>
            </w:r>
          </w:p>
        </w:tc>
        <w:tc>
          <w:tcPr>
            <w:tcW w:w="1086" w:type="dxa"/>
            <w:tcBorders>
              <w:top w:val="single" w:sz="2" w:space="0" w:color="auto"/>
              <w:left w:val="nil"/>
              <w:bottom w:val="single" w:sz="2" w:space="0" w:color="auto"/>
              <w:right w:val="nil"/>
            </w:tcBorders>
            <w:shd w:val="clear" w:color="auto" w:fill="auto"/>
            <w:vAlign w:val="center"/>
          </w:tcPr>
          <w:p w14:paraId="361D152E" w14:textId="77777777" w:rsidR="00FF24A8" w:rsidRPr="005D070A" w:rsidRDefault="00FF24A8" w:rsidP="00EF5DD6">
            <w:pPr>
              <w:pStyle w:val="cuatexto"/>
              <w:jc w:val="right"/>
              <w:rPr>
                <w:rFonts w:cs="Calibri"/>
                <w:bCs/>
                <w:szCs w:val="20"/>
              </w:rPr>
            </w:pPr>
            <w:r w:rsidRPr="005D070A">
              <w:rPr>
                <w:rFonts w:cs="Calibri"/>
                <w:bCs/>
                <w:szCs w:val="20"/>
              </w:rPr>
              <w:t>9</w:t>
            </w:r>
          </w:p>
        </w:tc>
        <w:tc>
          <w:tcPr>
            <w:tcW w:w="1045" w:type="dxa"/>
            <w:tcBorders>
              <w:top w:val="single" w:sz="2" w:space="0" w:color="auto"/>
              <w:left w:val="nil"/>
              <w:bottom w:val="single" w:sz="2" w:space="0" w:color="auto"/>
              <w:right w:val="nil"/>
            </w:tcBorders>
            <w:shd w:val="clear" w:color="auto" w:fill="auto"/>
            <w:vAlign w:val="center"/>
          </w:tcPr>
          <w:p w14:paraId="14C2439B" w14:textId="77777777" w:rsidR="00FF24A8" w:rsidRPr="005D070A" w:rsidRDefault="00FF24A8" w:rsidP="00EF5DD6">
            <w:pPr>
              <w:pStyle w:val="cuatexto"/>
              <w:jc w:val="right"/>
              <w:rPr>
                <w:rFonts w:cs="Calibri"/>
                <w:bCs/>
                <w:szCs w:val="20"/>
              </w:rPr>
            </w:pPr>
            <w:r w:rsidRPr="005D070A">
              <w:rPr>
                <w:rFonts w:cs="Calibri"/>
                <w:bCs/>
                <w:szCs w:val="20"/>
              </w:rPr>
              <w:t>28</w:t>
            </w:r>
          </w:p>
        </w:tc>
      </w:tr>
      <w:tr w:rsidR="00FF24A8" w14:paraId="278AD972" w14:textId="77777777" w:rsidTr="005D070A">
        <w:trPr>
          <w:trHeight w:val="198"/>
          <w:jc w:val="center"/>
        </w:trPr>
        <w:tc>
          <w:tcPr>
            <w:tcW w:w="4536" w:type="dxa"/>
            <w:tcBorders>
              <w:top w:val="single" w:sz="2" w:space="0" w:color="auto"/>
              <w:bottom w:val="single" w:sz="2" w:space="0" w:color="auto"/>
            </w:tcBorders>
            <w:vAlign w:val="center"/>
            <w:hideMark/>
          </w:tcPr>
          <w:p w14:paraId="0509DAAA" w14:textId="77777777" w:rsidR="00FF24A8" w:rsidRPr="005D070A" w:rsidRDefault="00FF24A8" w:rsidP="00EF5DD6">
            <w:pPr>
              <w:pStyle w:val="cuatexto"/>
              <w:rPr>
                <w:szCs w:val="20"/>
              </w:rPr>
            </w:pPr>
            <w:r w:rsidRPr="005D070A">
              <w:rPr>
                <w:szCs w:val="20"/>
              </w:rPr>
              <w:t>Fomento del empleo</w:t>
            </w:r>
          </w:p>
        </w:tc>
        <w:tc>
          <w:tcPr>
            <w:tcW w:w="993" w:type="dxa"/>
            <w:tcBorders>
              <w:top w:val="single" w:sz="2" w:space="0" w:color="auto"/>
              <w:bottom w:val="single" w:sz="2" w:space="0" w:color="auto"/>
            </w:tcBorders>
            <w:vAlign w:val="bottom"/>
          </w:tcPr>
          <w:p w14:paraId="6616623B" w14:textId="77777777" w:rsidR="00FF24A8" w:rsidRPr="005D070A" w:rsidRDefault="00FF24A8" w:rsidP="00EF5DD6">
            <w:pPr>
              <w:pStyle w:val="cuatexto"/>
              <w:jc w:val="right"/>
              <w:rPr>
                <w:bCs/>
                <w:szCs w:val="20"/>
              </w:rPr>
            </w:pPr>
            <w:r w:rsidRPr="005D070A">
              <w:rPr>
                <w:bCs/>
                <w:szCs w:val="20"/>
              </w:rPr>
              <w:t>71.943</w:t>
            </w:r>
          </w:p>
        </w:tc>
        <w:tc>
          <w:tcPr>
            <w:tcW w:w="1275" w:type="dxa"/>
            <w:tcBorders>
              <w:top w:val="single" w:sz="2" w:space="0" w:color="auto"/>
              <w:left w:val="nil"/>
              <w:bottom w:val="single" w:sz="2" w:space="0" w:color="auto"/>
              <w:right w:val="nil"/>
            </w:tcBorders>
            <w:shd w:val="clear" w:color="auto" w:fill="auto"/>
            <w:vAlign w:val="center"/>
          </w:tcPr>
          <w:p w14:paraId="03C34D4D" w14:textId="77777777" w:rsidR="00FF24A8" w:rsidRPr="005D070A" w:rsidRDefault="00FF24A8" w:rsidP="00EF5DD6">
            <w:pPr>
              <w:pStyle w:val="cuatexto"/>
              <w:jc w:val="right"/>
              <w:rPr>
                <w:rFonts w:cs="Calibri"/>
                <w:color w:val="000000"/>
                <w:szCs w:val="20"/>
              </w:rPr>
            </w:pPr>
            <w:r w:rsidRPr="005D070A">
              <w:rPr>
                <w:rFonts w:cs="Calibri"/>
                <w:color w:val="000000"/>
                <w:szCs w:val="20"/>
              </w:rPr>
              <w:t>74.015</w:t>
            </w:r>
          </w:p>
        </w:tc>
        <w:tc>
          <w:tcPr>
            <w:tcW w:w="1086" w:type="dxa"/>
            <w:tcBorders>
              <w:top w:val="single" w:sz="2" w:space="0" w:color="auto"/>
              <w:left w:val="nil"/>
              <w:bottom w:val="single" w:sz="2" w:space="0" w:color="auto"/>
              <w:right w:val="nil"/>
            </w:tcBorders>
            <w:shd w:val="clear" w:color="auto" w:fill="auto"/>
            <w:vAlign w:val="center"/>
          </w:tcPr>
          <w:p w14:paraId="76792A9B" w14:textId="77777777" w:rsidR="00FF24A8" w:rsidRPr="005D070A" w:rsidRDefault="00FF24A8" w:rsidP="00EF5DD6">
            <w:pPr>
              <w:pStyle w:val="cuatexto"/>
              <w:jc w:val="right"/>
              <w:rPr>
                <w:rFonts w:cs="Calibri"/>
                <w:bCs/>
                <w:szCs w:val="20"/>
              </w:rPr>
            </w:pPr>
            <w:r w:rsidRPr="005D070A">
              <w:rPr>
                <w:rFonts w:cs="Calibri"/>
                <w:bCs/>
                <w:szCs w:val="20"/>
              </w:rPr>
              <w:t>1</w:t>
            </w:r>
          </w:p>
        </w:tc>
        <w:tc>
          <w:tcPr>
            <w:tcW w:w="1045" w:type="dxa"/>
            <w:tcBorders>
              <w:top w:val="single" w:sz="2" w:space="0" w:color="auto"/>
              <w:left w:val="nil"/>
              <w:bottom w:val="single" w:sz="2" w:space="0" w:color="auto"/>
              <w:right w:val="nil"/>
            </w:tcBorders>
            <w:shd w:val="clear" w:color="auto" w:fill="auto"/>
            <w:vAlign w:val="center"/>
          </w:tcPr>
          <w:p w14:paraId="21647FE3" w14:textId="77777777" w:rsidR="00FF24A8" w:rsidRPr="005D070A" w:rsidRDefault="00FF24A8" w:rsidP="00EF5DD6">
            <w:pPr>
              <w:pStyle w:val="cuatexto"/>
              <w:jc w:val="right"/>
              <w:rPr>
                <w:rFonts w:cs="Calibri"/>
                <w:bCs/>
                <w:szCs w:val="20"/>
              </w:rPr>
            </w:pPr>
            <w:r w:rsidRPr="005D070A">
              <w:rPr>
                <w:rFonts w:cs="Calibri"/>
                <w:bCs/>
                <w:szCs w:val="20"/>
              </w:rPr>
              <w:t>3</w:t>
            </w:r>
          </w:p>
        </w:tc>
      </w:tr>
      <w:tr w:rsidR="00FF24A8" w14:paraId="07DC36B2" w14:textId="77777777" w:rsidTr="008A2E63">
        <w:trPr>
          <w:trHeight w:val="198"/>
          <w:jc w:val="center"/>
        </w:trPr>
        <w:tc>
          <w:tcPr>
            <w:tcW w:w="4536" w:type="dxa"/>
            <w:tcBorders>
              <w:top w:val="single" w:sz="2" w:space="0" w:color="auto"/>
              <w:bottom w:val="single" w:sz="4" w:space="0" w:color="auto"/>
            </w:tcBorders>
            <w:vAlign w:val="center"/>
            <w:hideMark/>
          </w:tcPr>
          <w:p w14:paraId="14C4A3D0" w14:textId="77777777" w:rsidR="00FF24A8" w:rsidRPr="005D070A" w:rsidRDefault="00FF24A8" w:rsidP="00EF5DD6">
            <w:pPr>
              <w:pStyle w:val="cuatexto"/>
              <w:rPr>
                <w:szCs w:val="20"/>
              </w:rPr>
            </w:pPr>
            <w:r w:rsidRPr="005D070A">
              <w:rPr>
                <w:szCs w:val="20"/>
              </w:rPr>
              <w:t>Acceso a la vivienda y fomento de la edificación</w:t>
            </w:r>
          </w:p>
        </w:tc>
        <w:tc>
          <w:tcPr>
            <w:tcW w:w="993" w:type="dxa"/>
            <w:tcBorders>
              <w:top w:val="single" w:sz="2" w:space="0" w:color="auto"/>
              <w:bottom w:val="single" w:sz="4" w:space="0" w:color="auto"/>
            </w:tcBorders>
            <w:vAlign w:val="bottom"/>
          </w:tcPr>
          <w:p w14:paraId="56CD1B48" w14:textId="77777777" w:rsidR="00FF24A8" w:rsidRPr="005D070A" w:rsidRDefault="00FF24A8" w:rsidP="00EF5DD6">
            <w:pPr>
              <w:pStyle w:val="cuatexto"/>
              <w:jc w:val="right"/>
              <w:rPr>
                <w:bCs/>
                <w:szCs w:val="20"/>
              </w:rPr>
            </w:pPr>
            <w:r w:rsidRPr="005D070A">
              <w:rPr>
                <w:bCs/>
                <w:szCs w:val="20"/>
              </w:rPr>
              <w:t>81.284</w:t>
            </w:r>
          </w:p>
        </w:tc>
        <w:tc>
          <w:tcPr>
            <w:tcW w:w="1275" w:type="dxa"/>
            <w:tcBorders>
              <w:top w:val="single" w:sz="2" w:space="0" w:color="auto"/>
              <w:left w:val="nil"/>
              <w:bottom w:val="single" w:sz="4" w:space="0" w:color="auto"/>
              <w:right w:val="nil"/>
            </w:tcBorders>
            <w:shd w:val="clear" w:color="auto" w:fill="auto"/>
            <w:vAlign w:val="center"/>
          </w:tcPr>
          <w:p w14:paraId="159C8641" w14:textId="77777777" w:rsidR="00FF24A8" w:rsidRPr="005D070A" w:rsidRDefault="00FF24A8" w:rsidP="00EF5DD6">
            <w:pPr>
              <w:pStyle w:val="cuatexto"/>
              <w:jc w:val="right"/>
              <w:rPr>
                <w:rFonts w:cs="Calibri"/>
                <w:color w:val="000000"/>
                <w:szCs w:val="20"/>
              </w:rPr>
            </w:pPr>
            <w:r w:rsidRPr="005D070A">
              <w:rPr>
                <w:rFonts w:cs="Calibri"/>
                <w:color w:val="000000"/>
                <w:szCs w:val="20"/>
              </w:rPr>
              <w:t>105.366</w:t>
            </w:r>
          </w:p>
        </w:tc>
        <w:tc>
          <w:tcPr>
            <w:tcW w:w="1086" w:type="dxa"/>
            <w:tcBorders>
              <w:top w:val="single" w:sz="2" w:space="0" w:color="auto"/>
              <w:left w:val="nil"/>
              <w:bottom w:val="single" w:sz="4" w:space="0" w:color="auto"/>
              <w:right w:val="nil"/>
            </w:tcBorders>
            <w:shd w:val="clear" w:color="auto" w:fill="auto"/>
            <w:vAlign w:val="center"/>
          </w:tcPr>
          <w:p w14:paraId="30D73113" w14:textId="77777777" w:rsidR="00FF24A8" w:rsidRPr="005D070A" w:rsidRDefault="00FF24A8" w:rsidP="00EF5DD6">
            <w:pPr>
              <w:pStyle w:val="cuatexto"/>
              <w:jc w:val="right"/>
              <w:rPr>
                <w:rFonts w:cs="Calibri"/>
                <w:bCs/>
                <w:szCs w:val="20"/>
              </w:rPr>
            </w:pPr>
            <w:r w:rsidRPr="005D070A">
              <w:rPr>
                <w:rFonts w:cs="Calibri"/>
                <w:bCs/>
                <w:szCs w:val="20"/>
              </w:rPr>
              <w:t>2</w:t>
            </w:r>
          </w:p>
        </w:tc>
        <w:tc>
          <w:tcPr>
            <w:tcW w:w="1045" w:type="dxa"/>
            <w:tcBorders>
              <w:top w:val="single" w:sz="2" w:space="0" w:color="auto"/>
              <w:left w:val="nil"/>
              <w:bottom w:val="single" w:sz="4" w:space="0" w:color="auto"/>
              <w:right w:val="nil"/>
            </w:tcBorders>
            <w:shd w:val="clear" w:color="auto" w:fill="auto"/>
            <w:vAlign w:val="center"/>
          </w:tcPr>
          <w:p w14:paraId="4A8267FD" w14:textId="77777777" w:rsidR="00FF24A8" w:rsidRPr="005D070A" w:rsidRDefault="00FF24A8" w:rsidP="00EF5DD6">
            <w:pPr>
              <w:pStyle w:val="cuatexto"/>
              <w:jc w:val="right"/>
              <w:rPr>
                <w:rFonts w:cs="Calibri"/>
                <w:bCs/>
                <w:szCs w:val="20"/>
              </w:rPr>
            </w:pPr>
            <w:r w:rsidRPr="005D070A">
              <w:rPr>
                <w:rFonts w:cs="Calibri"/>
                <w:bCs/>
                <w:szCs w:val="20"/>
              </w:rPr>
              <w:t>30</w:t>
            </w:r>
          </w:p>
        </w:tc>
      </w:tr>
      <w:tr w:rsidR="00FF24A8" w:rsidRPr="00AC6A84" w14:paraId="16A7295F" w14:textId="77777777" w:rsidTr="008A2E63">
        <w:trPr>
          <w:trHeight w:val="198"/>
          <w:jc w:val="center"/>
        </w:trPr>
        <w:tc>
          <w:tcPr>
            <w:tcW w:w="4536" w:type="dxa"/>
            <w:tcBorders>
              <w:top w:val="single" w:sz="4" w:space="0" w:color="auto"/>
              <w:bottom w:val="single" w:sz="4" w:space="0" w:color="auto"/>
            </w:tcBorders>
            <w:vAlign w:val="center"/>
            <w:hideMark/>
          </w:tcPr>
          <w:p w14:paraId="262AFFB7" w14:textId="77777777" w:rsidR="00FF24A8" w:rsidRPr="005D070A" w:rsidRDefault="00FF24A8" w:rsidP="00EF5DD6">
            <w:pPr>
              <w:pStyle w:val="cuatexto"/>
              <w:rPr>
                <w:b/>
                <w:szCs w:val="20"/>
              </w:rPr>
            </w:pPr>
            <w:r w:rsidRPr="005D070A">
              <w:rPr>
                <w:b/>
                <w:szCs w:val="20"/>
              </w:rPr>
              <w:t>(B) Producción bienes públicos carácter preferente</w:t>
            </w:r>
          </w:p>
        </w:tc>
        <w:tc>
          <w:tcPr>
            <w:tcW w:w="993" w:type="dxa"/>
            <w:tcBorders>
              <w:top w:val="single" w:sz="4" w:space="0" w:color="auto"/>
              <w:bottom w:val="single" w:sz="4" w:space="0" w:color="auto"/>
            </w:tcBorders>
            <w:vAlign w:val="bottom"/>
          </w:tcPr>
          <w:p w14:paraId="5AA0DA08" w14:textId="77777777" w:rsidR="00FF24A8" w:rsidRPr="005D070A" w:rsidRDefault="00FF24A8" w:rsidP="00EF5DD6">
            <w:pPr>
              <w:pStyle w:val="cuatexto"/>
              <w:jc w:val="right"/>
              <w:rPr>
                <w:b/>
                <w:bCs/>
                <w:szCs w:val="20"/>
              </w:rPr>
            </w:pPr>
            <w:r w:rsidRPr="005D070A">
              <w:rPr>
                <w:b/>
                <w:bCs/>
                <w:szCs w:val="20"/>
              </w:rPr>
              <w:t>2.249.790</w:t>
            </w:r>
          </w:p>
        </w:tc>
        <w:tc>
          <w:tcPr>
            <w:tcW w:w="1275" w:type="dxa"/>
            <w:tcBorders>
              <w:top w:val="single" w:sz="4" w:space="0" w:color="auto"/>
              <w:left w:val="nil"/>
              <w:bottom w:val="single" w:sz="4" w:space="0" w:color="auto"/>
              <w:right w:val="nil"/>
            </w:tcBorders>
            <w:shd w:val="clear" w:color="auto" w:fill="auto"/>
            <w:vAlign w:val="center"/>
          </w:tcPr>
          <w:p w14:paraId="67D95AD7" w14:textId="77777777" w:rsidR="00FF24A8" w:rsidRPr="005D070A" w:rsidRDefault="00FF24A8" w:rsidP="00EF5DD6">
            <w:pPr>
              <w:pStyle w:val="cuatexto"/>
              <w:jc w:val="right"/>
              <w:rPr>
                <w:rFonts w:cs="Calibri"/>
                <w:b/>
                <w:bCs/>
                <w:color w:val="000000"/>
                <w:szCs w:val="20"/>
              </w:rPr>
            </w:pPr>
            <w:r w:rsidRPr="005D070A">
              <w:rPr>
                <w:rFonts w:cs="Calibri"/>
                <w:b/>
                <w:bCs/>
                <w:color w:val="000000"/>
                <w:szCs w:val="20"/>
              </w:rPr>
              <w:t>2.419.894</w:t>
            </w:r>
          </w:p>
        </w:tc>
        <w:tc>
          <w:tcPr>
            <w:tcW w:w="1086" w:type="dxa"/>
            <w:tcBorders>
              <w:top w:val="single" w:sz="4" w:space="0" w:color="auto"/>
              <w:left w:val="nil"/>
              <w:bottom w:val="single" w:sz="4" w:space="0" w:color="auto"/>
              <w:right w:val="nil"/>
            </w:tcBorders>
            <w:shd w:val="clear" w:color="auto" w:fill="auto"/>
            <w:vAlign w:val="center"/>
          </w:tcPr>
          <w:p w14:paraId="187EE690" w14:textId="77777777" w:rsidR="00FF24A8" w:rsidRPr="005D070A" w:rsidRDefault="00FF24A8" w:rsidP="00EF5DD6">
            <w:pPr>
              <w:pStyle w:val="cuatexto"/>
              <w:jc w:val="right"/>
              <w:rPr>
                <w:rFonts w:cs="Calibri"/>
                <w:b/>
                <w:bCs/>
                <w:szCs w:val="20"/>
              </w:rPr>
            </w:pPr>
            <w:r w:rsidRPr="005D070A">
              <w:rPr>
                <w:rFonts w:cs="Calibri"/>
                <w:b/>
                <w:bCs/>
                <w:szCs w:val="20"/>
              </w:rPr>
              <w:t>42</w:t>
            </w:r>
          </w:p>
        </w:tc>
        <w:tc>
          <w:tcPr>
            <w:tcW w:w="1045" w:type="dxa"/>
            <w:tcBorders>
              <w:top w:val="single" w:sz="4" w:space="0" w:color="auto"/>
              <w:left w:val="nil"/>
              <w:bottom w:val="single" w:sz="4" w:space="0" w:color="auto"/>
              <w:right w:val="nil"/>
            </w:tcBorders>
            <w:shd w:val="clear" w:color="auto" w:fill="auto"/>
            <w:vAlign w:val="center"/>
          </w:tcPr>
          <w:p w14:paraId="575FF0D6" w14:textId="77777777" w:rsidR="00FF24A8" w:rsidRPr="005D070A" w:rsidRDefault="00FF24A8" w:rsidP="00EF5DD6">
            <w:pPr>
              <w:pStyle w:val="cuatexto"/>
              <w:jc w:val="right"/>
              <w:rPr>
                <w:rFonts w:cs="Calibri"/>
                <w:b/>
                <w:bCs/>
                <w:szCs w:val="20"/>
              </w:rPr>
            </w:pPr>
            <w:r w:rsidRPr="005D070A">
              <w:rPr>
                <w:rFonts w:cs="Calibri"/>
                <w:b/>
                <w:bCs/>
                <w:szCs w:val="20"/>
              </w:rPr>
              <w:t>8</w:t>
            </w:r>
          </w:p>
        </w:tc>
      </w:tr>
      <w:tr w:rsidR="00FF24A8" w14:paraId="2FE3C617" w14:textId="77777777" w:rsidTr="008A2E63">
        <w:trPr>
          <w:trHeight w:val="198"/>
          <w:jc w:val="center"/>
        </w:trPr>
        <w:tc>
          <w:tcPr>
            <w:tcW w:w="4536" w:type="dxa"/>
            <w:tcBorders>
              <w:top w:val="single" w:sz="4" w:space="0" w:color="auto"/>
              <w:bottom w:val="single" w:sz="2" w:space="0" w:color="auto"/>
            </w:tcBorders>
            <w:vAlign w:val="center"/>
            <w:hideMark/>
          </w:tcPr>
          <w:p w14:paraId="25EADD02" w14:textId="77777777" w:rsidR="00FF24A8" w:rsidRPr="005D070A" w:rsidRDefault="00FF24A8" w:rsidP="00EF5DD6">
            <w:pPr>
              <w:pStyle w:val="cuatexto"/>
              <w:rPr>
                <w:szCs w:val="20"/>
              </w:rPr>
            </w:pPr>
            <w:r w:rsidRPr="005D070A">
              <w:rPr>
                <w:szCs w:val="20"/>
              </w:rPr>
              <w:t>Sanidad</w:t>
            </w:r>
          </w:p>
        </w:tc>
        <w:tc>
          <w:tcPr>
            <w:tcW w:w="993" w:type="dxa"/>
            <w:tcBorders>
              <w:top w:val="single" w:sz="4" w:space="0" w:color="auto"/>
              <w:bottom w:val="single" w:sz="2" w:space="0" w:color="auto"/>
            </w:tcBorders>
            <w:vAlign w:val="bottom"/>
          </w:tcPr>
          <w:p w14:paraId="3E2D51BF" w14:textId="77777777" w:rsidR="00FF24A8" w:rsidRPr="005D070A" w:rsidRDefault="00FF24A8" w:rsidP="00EF5DD6">
            <w:pPr>
              <w:pStyle w:val="cuatexto"/>
              <w:jc w:val="right"/>
              <w:rPr>
                <w:bCs/>
                <w:szCs w:val="20"/>
              </w:rPr>
            </w:pPr>
            <w:r w:rsidRPr="005D070A">
              <w:rPr>
                <w:bCs/>
                <w:szCs w:val="20"/>
              </w:rPr>
              <w:t>1.310.821</w:t>
            </w:r>
          </w:p>
        </w:tc>
        <w:tc>
          <w:tcPr>
            <w:tcW w:w="1275" w:type="dxa"/>
            <w:tcBorders>
              <w:top w:val="single" w:sz="4" w:space="0" w:color="auto"/>
              <w:left w:val="nil"/>
              <w:bottom w:val="single" w:sz="2" w:space="0" w:color="auto"/>
              <w:right w:val="nil"/>
            </w:tcBorders>
            <w:shd w:val="clear" w:color="auto" w:fill="auto"/>
            <w:vAlign w:val="center"/>
          </w:tcPr>
          <w:p w14:paraId="6BA5D2D1" w14:textId="77777777" w:rsidR="00FF24A8" w:rsidRPr="005D070A" w:rsidRDefault="00FF24A8" w:rsidP="00EF5DD6">
            <w:pPr>
              <w:pStyle w:val="cuatexto"/>
              <w:jc w:val="right"/>
              <w:rPr>
                <w:rFonts w:cs="Calibri"/>
                <w:color w:val="000000"/>
                <w:szCs w:val="20"/>
              </w:rPr>
            </w:pPr>
            <w:r w:rsidRPr="005D070A">
              <w:rPr>
                <w:rFonts w:cs="Calibri"/>
                <w:color w:val="000000"/>
                <w:szCs w:val="20"/>
              </w:rPr>
              <w:t>1.407.489</w:t>
            </w:r>
          </w:p>
        </w:tc>
        <w:tc>
          <w:tcPr>
            <w:tcW w:w="1086" w:type="dxa"/>
            <w:tcBorders>
              <w:top w:val="single" w:sz="4" w:space="0" w:color="auto"/>
              <w:left w:val="nil"/>
              <w:bottom w:val="single" w:sz="2" w:space="0" w:color="auto"/>
              <w:right w:val="nil"/>
            </w:tcBorders>
            <w:shd w:val="clear" w:color="auto" w:fill="auto"/>
            <w:vAlign w:val="center"/>
          </w:tcPr>
          <w:p w14:paraId="5395923D" w14:textId="77777777" w:rsidR="00FF24A8" w:rsidRPr="005D070A" w:rsidRDefault="00FF24A8" w:rsidP="00EF5DD6">
            <w:pPr>
              <w:pStyle w:val="cuatexto"/>
              <w:jc w:val="right"/>
              <w:rPr>
                <w:rFonts w:cs="Calibri"/>
                <w:bCs/>
                <w:szCs w:val="20"/>
              </w:rPr>
            </w:pPr>
            <w:r w:rsidRPr="005D070A">
              <w:rPr>
                <w:rFonts w:cs="Calibri"/>
                <w:bCs/>
                <w:szCs w:val="20"/>
              </w:rPr>
              <w:t>24</w:t>
            </w:r>
          </w:p>
        </w:tc>
        <w:tc>
          <w:tcPr>
            <w:tcW w:w="1045" w:type="dxa"/>
            <w:tcBorders>
              <w:top w:val="single" w:sz="4" w:space="0" w:color="auto"/>
              <w:left w:val="nil"/>
              <w:bottom w:val="single" w:sz="2" w:space="0" w:color="auto"/>
              <w:right w:val="nil"/>
            </w:tcBorders>
            <w:shd w:val="clear" w:color="auto" w:fill="auto"/>
            <w:vAlign w:val="center"/>
          </w:tcPr>
          <w:p w14:paraId="2C1800CF" w14:textId="77777777" w:rsidR="00FF24A8" w:rsidRPr="005D070A" w:rsidRDefault="00FF24A8" w:rsidP="00EF5DD6">
            <w:pPr>
              <w:pStyle w:val="cuatexto"/>
              <w:jc w:val="right"/>
              <w:rPr>
                <w:rFonts w:cs="Calibri"/>
                <w:bCs/>
                <w:szCs w:val="20"/>
              </w:rPr>
            </w:pPr>
            <w:r w:rsidRPr="005D070A">
              <w:rPr>
                <w:rFonts w:cs="Calibri"/>
                <w:bCs/>
                <w:szCs w:val="20"/>
              </w:rPr>
              <w:t>7</w:t>
            </w:r>
          </w:p>
        </w:tc>
      </w:tr>
      <w:tr w:rsidR="00FF24A8" w14:paraId="3C7FFCCA" w14:textId="77777777" w:rsidTr="005D070A">
        <w:trPr>
          <w:trHeight w:val="198"/>
          <w:jc w:val="center"/>
        </w:trPr>
        <w:tc>
          <w:tcPr>
            <w:tcW w:w="4536" w:type="dxa"/>
            <w:tcBorders>
              <w:top w:val="single" w:sz="2" w:space="0" w:color="auto"/>
              <w:bottom w:val="single" w:sz="2" w:space="0" w:color="auto"/>
            </w:tcBorders>
            <w:vAlign w:val="center"/>
            <w:hideMark/>
          </w:tcPr>
          <w:p w14:paraId="50331F5F" w14:textId="77777777" w:rsidR="00FF24A8" w:rsidRPr="005D070A" w:rsidRDefault="00FF24A8" w:rsidP="00EF5DD6">
            <w:pPr>
              <w:pStyle w:val="cuatexto"/>
              <w:rPr>
                <w:szCs w:val="20"/>
              </w:rPr>
            </w:pPr>
            <w:r w:rsidRPr="005D070A">
              <w:rPr>
                <w:szCs w:val="20"/>
              </w:rPr>
              <w:t>Educación</w:t>
            </w:r>
          </w:p>
        </w:tc>
        <w:tc>
          <w:tcPr>
            <w:tcW w:w="993" w:type="dxa"/>
            <w:tcBorders>
              <w:top w:val="single" w:sz="2" w:space="0" w:color="auto"/>
              <w:bottom w:val="single" w:sz="2" w:space="0" w:color="auto"/>
            </w:tcBorders>
            <w:vAlign w:val="bottom"/>
          </w:tcPr>
          <w:p w14:paraId="54475022" w14:textId="77777777" w:rsidR="00FF24A8" w:rsidRPr="005D070A" w:rsidRDefault="00FF24A8" w:rsidP="00EF5DD6">
            <w:pPr>
              <w:pStyle w:val="cuatexto"/>
              <w:jc w:val="right"/>
              <w:rPr>
                <w:bCs/>
                <w:szCs w:val="20"/>
              </w:rPr>
            </w:pPr>
            <w:r w:rsidRPr="005D070A">
              <w:rPr>
                <w:bCs/>
                <w:szCs w:val="20"/>
              </w:rPr>
              <w:t>869.407</w:t>
            </w:r>
          </w:p>
        </w:tc>
        <w:tc>
          <w:tcPr>
            <w:tcW w:w="1275" w:type="dxa"/>
            <w:tcBorders>
              <w:top w:val="single" w:sz="2" w:space="0" w:color="auto"/>
              <w:left w:val="nil"/>
              <w:bottom w:val="single" w:sz="2" w:space="0" w:color="auto"/>
              <w:right w:val="nil"/>
            </w:tcBorders>
            <w:shd w:val="clear" w:color="auto" w:fill="auto"/>
            <w:vAlign w:val="center"/>
          </w:tcPr>
          <w:p w14:paraId="4EDA1346" w14:textId="77777777" w:rsidR="00FF24A8" w:rsidRPr="005D070A" w:rsidRDefault="00FF24A8" w:rsidP="00EF5DD6">
            <w:pPr>
              <w:pStyle w:val="cuatexto"/>
              <w:jc w:val="right"/>
              <w:rPr>
                <w:rFonts w:cs="Calibri"/>
                <w:color w:val="000000"/>
                <w:szCs w:val="20"/>
              </w:rPr>
            </w:pPr>
            <w:r w:rsidRPr="005D070A">
              <w:rPr>
                <w:rFonts w:cs="Calibri"/>
                <w:color w:val="000000"/>
                <w:szCs w:val="20"/>
              </w:rPr>
              <w:t>935.766</w:t>
            </w:r>
          </w:p>
        </w:tc>
        <w:tc>
          <w:tcPr>
            <w:tcW w:w="1086" w:type="dxa"/>
            <w:tcBorders>
              <w:top w:val="single" w:sz="2" w:space="0" w:color="auto"/>
              <w:left w:val="nil"/>
              <w:bottom w:val="single" w:sz="2" w:space="0" w:color="auto"/>
              <w:right w:val="nil"/>
            </w:tcBorders>
            <w:shd w:val="clear" w:color="auto" w:fill="auto"/>
            <w:vAlign w:val="center"/>
          </w:tcPr>
          <w:p w14:paraId="1F2245FD" w14:textId="77777777" w:rsidR="00FF24A8" w:rsidRPr="005D070A" w:rsidRDefault="00FF24A8" w:rsidP="00EF5DD6">
            <w:pPr>
              <w:pStyle w:val="cuatexto"/>
              <w:jc w:val="right"/>
              <w:rPr>
                <w:rFonts w:cs="Calibri"/>
                <w:bCs/>
                <w:szCs w:val="20"/>
              </w:rPr>
            </w:pPr>
            <w:r w:rsidRPr="005D070A">
              <w:rPr>
                <w:rFonts w:cs="Calibri"/>
                <w:bCs/>
                <w:szCs w:val="20"/>
              </w:rPr>
              <w:t>16</w:t>
            </w:r>
          </w:p>
        </w:tc>
        <w:tc>
          <w:tcPr>
            <w:tcW w:w="1045" w:type="dxa"/>
            <w:tcBorders>
              <w:top w:val="single" w:sz="2" w:space="0" w:color="auto"/>
              <w:left w:val="nil"/>
              <w:bottom w:val="single" w:sz="2" w:space="0" w:color="auto"/>
              <w:right w:val="nil"/>
            </w:tcBorders>
            <w:shd w:val="clear" w:color="auto" w:fill="auto"/>
            <w:vAlign w:val="center"/>
          </w:tcPr>
          <w:p w14:paraId="00E3C16C" w14:textId="77777777" w:rsidR="00FF24A8" w:rsidRPr="005D070A" w:rsidRDefault="00FF24A8" w:rsidP="00EF5DD6">
            <w:pPr>
              <w:pStyle w:val="cuatexto"/>
              <w:jc w:val="right"/>
              <w:rPr>
                <w:rFonts w:cs="Calibri"/>
                <w:bCs/>
                <w:szCs w:val="20"/>
              </w:rPr>
            </w:pPr>
            <w:r w:rsidRPr="005D070A">
              <w:rPr>
                <w:rFonts w:cs="Calibri"/>
                <w:bCs/>
                <w:szCs w:val="20"/>
              </w:rPr>
              <w:t>8</w:t>
            </w:r>
          </w:p>
        </w:tc>
      </w:tr>
      <w:tr w:rsidR="00FF24A8" w14:paraId="2B9C5274" w14:textId="77777777" w:rsidTr="008A2E63">
        <w:trPr>
          <w:trHeight w:val="198"/>
          <w:jc w:val="center"/>
        </w:trPr>
        <w:tc>
          <w:tcPr>
            <w:tcW w:w="4536" w:type="dxa"/>
            <w:tcBorders>
              <w:top w:val="single" w:sz="2" w:space="0" w:color="auto"/>
              <w:bottom w:val="single" w:sz="4" w:space="0" w:color="auto"/>
            </w:tcBorders>
            <w:vAlign w:val="center"/>
            <w:hideMark/>
          </w:tcPr>
          <w:p w14:paraId="15119FD6" w14:textId="77777777" w:rsidR="00FF24A8" w:rsidRPr="005D070A" w:rsidRDefault="00FF24A8" w:rsidP="00EF5DD6">
            <w:pPr>
              <w:pStyle w:val="cuatexto"/>
              <w:rPr>
                <w:szCs w:val="20"/>
              </w:rPr>
            </w:pPr>
            <w:r w:rsidRPr="005D070A">
              <w:rPr>
                <w:szCs w:val="20"/>
              </w:rPr>
              <w:t>Cultura</w:t>
            </w:r>
          </w:p>
        </w:tc>
        <w:tc>
          <w:tcPr>
            <w:tcW w:w="993" w:type="dxa"/>
            <w:tcBorders>
              <w:top w:val="single" w:sz="2" w:space="0" w:color="auto"/>
              <w:bottom w:val="single" w:sz="4" w:space="0" w:color="auto"/>
            </w:tcBorders>
            <w:vAlign w:val="bottom"/>
          </w:tcPr>
          <w:p w14:paraId="602D9A80" w14:textId="77777777" w:rsidR="00FF24A8" w:rsidRPr="005D070A" w:rsidRDefault="00FF24A8" w:rsidP="00EF5DD6">
            <w:pPr>
              <w:pStyle w:val="cuatexto"/>
              <w:jc w:val="right"/>
              <w:rPr>
                <w:bCs/>
                <w:szCs w:val="20"/>
              </w:rPr>
            </w:pPr>
            <w:r w:rsidRPr="005D070A">
              <w:rPr>
                <w:bCs/>
                <w:szCs w:val="20"/>
              </w:rPr>
              <w:t>69.561</w:t>
            </w:r>
          </w:p>
        </w:tc>
        <w:tc>
          <w:tcPr>
            <w:tcW w:w="1275" w:type="dxa"/>
            <w:tcBorders>
              <w:top w:val="single" w:sz="2" w:space="0" w:color="auto"/>
              <w:left w:val="nil"/>
              <w:bottom w:val="single" w:sz="4" w:space="0" w:color="auto"/>
              <w:right w:val="nil"/>
            </w:tcBorders>
            <w:shd w:val="clear" w:color="auto" w:fill="auto"/>
            <w:vAlign w:val="center"/>
          </w:tcPr>
          <w:p w14:paraId="508CFE76" w14:textId="77777777" w:rsidR="00FF24A8" w:rsidRPr="005D070A" w:rsidRDefault="00FF24A8" w:rsidP="00EF5DD6">
            <w:pPr>
              <w:pStyle w:val="cuatexto"/>
              <w:jc w:val="right"/>
              <w:rPr>
                <w:rFonts w:cs="Calibri"/>
                <w:color w:val="000000"/>
                <w:szCs w:val="20"/>
              </w:rPr>
            </w:pPr>
            <w:r w:rsidRPr="005D070A">
              <w:rPr>
                <w:rFonts w:cs="Calibri"/>
                <w:color w:val="000000"/>
                <w:szCs w:val="20"/>
              </w:rPr>
              <w:t>76.639</w:t>
            </w:r>
          </w:p>
        </w:tc>
        <w:tc>
          <w:tcPr>
            <w:tcW w:w="1086" w:type="dxa"/>
            <w:tcBorders>
              <w:top w:val="single" w:sz="2" w:space="0" w:color="auto"/>
              <w:left w:val="nil"/>
              <w:bottom w:val="single" w:sz="4" w:space="0" w:color="auto"/>
              <w:right w:val="nil"/>
            </w:tcBorders>
            <w:shd w:val="clear" w:color="auto" w:fill="auto"/>
            <w:vAlign w:val="center"/>
          </w:tcPr>
          <w:p w14:paraId="4C0AC62A" w14:textId="77777777" w:rsidR="00FF24A8" w:rsidRPr="005D070A" w:rsidRDefault="00FF24A8" w:rsidP="00EF5DD6">
            <w:pPr>
              <w:pStyle w:val="cuatexto"/>
              <w:jc w:val="right"/>
              <w:rPr>
                <w:rFonts w:cs="Calibri"/>
                <w:bCs/>
                <w:szCs w:val="20"/>
              </w:rPr>
            </w:pPr>
            <w:r w:rsidRPr="005D070A">
              <w:rPr>
                <w:rFonts w:cs="Calibri"/>
                <w:bCs/>
                <w:szCs w:val="20"/>
              </w:rPr>
              <w:t>1</w:t>
            </w:r>
          </w:p>
        </w:tc>
        <w:tc>
          <w:tcPr>
            <w:tcW w:w="1045" w:type="dxa"/>
            <w:tcBorders>
              <w:top w:val="single" w:sz="2" w:space="0" w:color="auto"/>
              <w:left w:val="nil"/>
              <w:bottom w:val="single" w:sz="4" w:space="0" w:color="auto"/>
              <w:right w:val="nil"/>
            </w:tcBorders>
            <w:shd w:val="clear" w:color="auto" w:fill="auto"/>
            <w:vAlign w:val="center"/>
          </w:tcPr>
          <w:p w14:paraId="5461162B" w14:textId="77777777" w:rsidR="00FF24A8" w:rsidRPr="005D070A" w:rsidRDefault="00FF24A8" w:rsidP="00EF5DD6">
            <w:pPr>
              <w:pStyle w:val="cuatexto"/>
              <w:jc w:val="right"/>
              <w:rPr>
                <w:rFonts w:cs="Calibri"/>
                <w:bCs/>
                <w:szCs w:val="20"/>
              </w:rPr>
            </w:pPr>
            <w:r w:rsidRPr="005D070A">
              <w:rPr>
                <w:rFonts w:cs="Calibri"/>
                <w:bCs/>
                <w:szCs w:val="20"/>
              </w:rPr>
              <w:t>10</w:t>
            </w:r>
          </w:p>
        </w:tc>
      </w:tr>
      <w:tr w:rsidR="00FF24A8" w:rsidRPr="00AC6A84" w14:paraId="4DCE274E" w14:textId="77777777" w:rsidTr="008A2E63">
        <w:trPr>
          <w:trHeight w:val="198"/>
          <w:jc w:val="center"/>
        </w:trPr>
        <w:tc>
          <w:tcPr>
            <w:tcW w:w="4536" w:type="dxa"/>
            <w:tcBorders>
              <w:top w:val="single" w:sz="4" w:space="0" w:color="auto"/>
              <w:bottom w:val="single" w:sz="4" w:space="0" w:color="auto"/>
            </w:tcBorders>
            <w:vAlign w:val="center"/>
            <w:hideMark/>
          </w:tcPr>
          <w:p w14:paraId="2713F606" w14:textId="77777777" w:rsidR="00FF24A8" w:rsidRPr="005D070A" w:rsidRDefault="00FF24A8" w:rsidP="00EF5DD6">
            <w:pPr>
              <w:pStyle w:val="cuatexto"/>
              <w:rPr>
                <w:b/>
                <w:szCs w:val="20"/>
              </w:rPr>
            </w:pPr>
            <w:r w:rsidRPr="005D070A">
              <w:rPr>
                <w:b/>
                <w:szCs w:val="20"/>
              </w:rPr>
              <w:t>Actuaciones de carácter económico</w:t>
            </w:r>
          </w:p>
        </w:tc>
        <w:tc>
          <w:tcPr>
            <w:tcW w:w="993" w:type="dxa"/>
            <w:tcBorders>
              <w:top w:val="single" w:sz="4" w:space="0" w:color="auto"/>
              <w:bottom w:val="single" w:sz="4" w:space="0" w:color="auto"/>
            </w:tcBorders>
            <w:vAlign w:val="bottom"/>
          </w:tcPr>
          <w:p w14:paraId="43D1FB67" w14:textId="77777777" w:rsidR="00FF24A8" w:rsidRPr="005D070A" w:rsidRDefault="00FF24A8" w:rsidP="00EF5DD6">
            <w:pPr>
              <w:pStyle w:val="cuatexto"/>
              <w:jc w:val="right"/>
              <w:rPr>
                <w:b/>
                <w:bCs/>
                <w:szCs w:val="20"/>
              </w:rPr>
            </w:pPr>
            <w:r w:rsidRPr="005D070A">
              <w:rPr>
                <w:b/>
                <w:bCs/>
                <w:szCs w:val="20"/>
              </w:rPr>
              <w:t>541.149</w:t>
            </w:r>
          </w:p>
        </w:tc>
        <w:tc>
          <w:tcPr>
            <w:tcW w:w="1275" w:type="dxa"/>
            <w:tcBorders>
              <w:top w:val="single" w:sz="4" w:space="0" w:color="auto"/>
              <w:left w:val="nil"/>
              <w:bottom w:val="single" w:sz="4" w:space="0" w:color="auto"/>
              <w:right w:val="nil"/>
            </w:tcBorders>
            <w:shd w:val="clear" w:color="auto" w:fill="auto"/>
            <w:vAlign w:val="center"/>
          </w:tcPr>
          <w:p w14:paraId="69A6733C" w14:textId="77777777" w:rsidR="00FF24A8" w:rsidRPr="005D070A" w:rsidRDefault="00FF24A8" w:rsidP="00EF5DD6">
            <w:pPr>
              <w:pStyle w:val="cuatexto"/>
              <w:jc w:val="right"/>
              <w:rPr>
                <w:rFonts w:cs="Calibri"/>
                <w:b/>
                <w:bCs/>
                <w:color w:val="000000"/>
                <w:szCs w:val="20"/>
              </w:rPr>
            </w:pPr>
            <w:r w:rsidRPr="005D070A">
              <w:rPr>
                <w:rFonts w:cs="Calibri"/>
                <w:b/>
                <w:bCs/>
                <w:color w:val="000000"/>
                <w:szCs w:val="20"/>
              </w:rPr>
              <w:t>554.687</w:t>
            </w:r>
          </w:p>
        </w:tc>
        <w:tc>
          <w:tcPr>
            <w:tcW w:w="1086" w:type="dxa"/>
            <w:tcBorders>
              <w:top w:val="single" w:sz="4" w:space="0" w:color="auto"/>
              <w:left w:val="nil"/>
              <w:bottom w:val="single" w:sz="4" w:space="0" w:color="auto"/>
              <w:right w:val="nil"/>
            </w:tcBorders>
            <w:shd w:val="clear" w:color="auto" w:fill="auto"/>
            <w:vAlign w:val="center"/>
          </w:tcPr>
          <w:p w14:paraId="319FB650" w14:textId="77777777" w:rsidR="00FF24A8" w:rsidRPr="005D070A" w:rsidRDefault="00FF24A8" w:rsidP="00EF5DD6">
            <w:pPr>
              <w:pStyle w:val="cuatexto"/>
              <w:jc w:val="right"/>
              <w:rPr>
                <w:rFonts w:cs="Calibri"/>
                <w:b/>
                <w:bCs/>
                <w:szCs w:val="20"/>
              </w:rPr>
            </w:pPr>
            <w:r w:rsidRPr="005D070A">
              <w:rPr>
                <w:rFonts w:cs="Calibri"/>
                <w:b/>
                <w:bCs/>
                <w:szCs w:val="20"/>
              </w:rPr>
              <w:t>10</w:t>
            </w:r>
          </w:p>
        </w:tc>
        <w:tc>
          <w:tcPr>
            <w:tcW w:w="1045" w:type="dxa"/>
            <w:tcBorders>
              <w:top w:val="single" w:sz="4" w:space="0" w:color="auto"/>
              <w:left w:val="nil"/>
              <w:bottom w:val="single" w:sz="4" w:space="0" w:color="auto"/>
              <w:right w:val="nil"/>
            </w:tcBorders>
            <w:shd w:val="clear" w:color="auto" w:fill="auto"/>
            <w:vAlign w:val="center"/>
          </w:tcPr>
          <w:p w14:paraId="5721FC05" w14:textId="77777777" w:rsidR="00FF24A8" w:rsidRPr="005D070A" w:rsidRDefault="00FF24A8" w:rsidP="00EF5DD6">
            <w:pPr>
              <w:pStyle w:val="cuatexto"/>
              <w:jc w:val="right"/>
              <w:rPr>
                <w:rFonts w:cs="Calibri"/>
                <w:b/>
                <w:bCs/>
                <w:szCs w:val="20"/>
              </w:rPr>
            </w:pPr>
            <w:r w:rsidRPr="005D070A">
              <w:rPr>
                <w:rFonts w:cs="Calibri"/>
                <w:b/>
                <w:bCs/>
                <w:szCs w:val="20"/>
              </w:rPr>
              <w:t>3</w:t>
            </w:r>
          </w:p>
        </w:tc>
      </w:tr>
      <w:tr w:rsidR="00FF24A8" w14:paraId="3930734B" w14:textId="77777777" w:rsidTr="008A2E63">
        <w:trPr>
          <w:trHeight w:val="198"/>
          <w:jc w:val="center"/>
        </w:trPr>
        <w:tc>
          <w:tcPr>
            <w:tcW w:w="4536" w:type="dxa"/>
            <w:tcBorders>
              <w:top w:val="single" w:sz="4" w:space="0" w:color="auto"/>
              <w:bottom w:val="single" w:sz="2" w:space="0" w:color="auto"/>
            </w:tcBorders>
            <w:vAlign w:val="center"/>
            <w:hideMark/>
          </w:tcPr>
          <w:p w14:paraId="78C6ACDB" w14:textId="77777777" w:rsidR="00FF24A8" w:rsidRPr="005D070A" w:rsidRDefault="00FF24A8" w:rsidP="00EF5DD6">
            <w:pPr>
              <w:pStyle w:val="cuatexto"/>
              <w:rPr>
                <w:szCs w:val="20"/>
              </w:rPr>
            </w:pPr>
            <w:r w:rsidRPr="005D070A">
              <w:rPr>
                <w:szCs w:val="20"/>
              </w:rPr>
              <w:t>Agricultura, ganadería y alimentación</w:t>
            </w:r>
          </w:p>
        </w:tc>
        <w:tc>
          <w:tcPr>
            <w:tcW w:w="993" w:type="dxa"/>
            <w:tcBorders>
              <w:top w:val="single" w:sz="4" w:space="0" w:color="auto"/>
              <w:bottom w:val="single" w:sz="2" w:space="0" w:color="auto"/>
            </w:tcBorders>
            <w:vAlign w:val="bottom"/>
          </w:tcPr>
          <w:p w14:paraId="78E23F5F" w14:textId="77777777" w:rsidR="00FF24A8" w:rsidRPr="005D070A" w:rsidRDefault="00FF24A8" w:rsidP="00EF5DD6">
            <w:pPr>
              <w:pStyle w:val="cuatexto"/>
              <w:jc w:val="right"/>
              <w:rPr>
                <w:bCs/>
                <w:szCs w:val="20"/>
              </w:rPr>
            </w:pPr>
            <w:r w:rsidRPr="005D070A">
              <w:rPr>
                <w:bCs/>
                <w:szCs w:val="20"/>
              </w:rPr>
              <w:t>105.939</w:t>
            </w:r>
          </w:p>
        </w:tc>
        <w:tc>
          <w:tcPr>
            <w:tcW w:w="1275" w:type="dxa"/>
            <w:tcBorders>
              <w:top w:val="single" w:sz="4" w:space="0" w:color="auto"/>
              <w:left w:val="nil"/>
              <w:bottom w:val="single" w:sz="2" w:space="0" w:color="auto"/>
              <w:right w:val="nil"/>
            </w:tcBorders>
            <w:shd w:val="clear" w:color="auto" w:fill="auto"/>
            <w:vAlign w:val="center"/>
          </w:tcPr>
          <w:p w14:paraId="1AA61C6B" w14:textId="77777777" w:rsidR="00FF24A8" w:rsidRPr="005D070A" w:rsidRDefault="00FF24A8" w:rsidP="00EF5DD6">
            <w:pPr>
              <w:pStyle w:val="cuatexto"/>
              <w:jc w:val="right"/>
              <w:rPr>
                <w:rFonts w:cs="Calibri"/>
                <w:color w:val="000000"/>
                <w:szCs w:val="20"/>
              </w:rPr>
            </w:pPr>
            <w:r w:rsidRPr="005D070A">
              <w:rPr>
                <w:rFonts w:cs="Calibri"/>
                <w:color w:val="000000"/>
                <w:szCs w:val="20"/>
              </w:rPr>
              <w:t>114.404</w:t>
            </w:r>
          </w:p>
        </w:tc>
        <w:tc>
          <w:tcPr>
            <w:tcW w:w="1086" w:type="dxa"/>
            <w:tcBorders>
              <w:top w:val="single" w:sz="4" w:space="0" w:color="auto"/>
              <w:left w:val="nil"/>
              <w:bottom w:val="single" w:sz="2" w:space="0" w:color="auto"/>
              <w:right w:val="nil"/>
            </w:tcBorders>
            <w:shd w:val="clear" w:color="auto" w:fill="auto"/>
            <w:vAlign w:val="center"/>
          </w:tcPr>
          <w:p w14:paraId="719D06EA" w14:textId="77777777" w:rsidR="00FF24A8" w:rsidRPr="005D070A" w:rsidRDefault="00FF24A8" w:rsidP="00EF5DD6">
            <w:pPr>
              <w:pStyle w:val="cuatexto"/>
              <w:jc w:val="right"/>
              <w:rPr>
                <w:rFonts w:cs="Calibri"/>
                <w:bCs/>
                <w:szCs w:val="20"/>
              </w:rPr>
            </w:pPr>
            <w:r w:rsidRPr="005D070A">
              <w:rPr>
                <w:rFonts w:cs="Calibri"/>
                <w:bCs/>
                <w:szCs w:val="20"/>
              </w:rPr>
              <w:t>2</w:t>
            </w:r>
          </w:p>
        </w:tc>
        <w:tc>
          <w:tcPr>
            <w:tcW w:w="1045" w:type="dxa"/>
            <w:tcBorders>
              <w:top w:val="single" w:sz="4" w:space="0" w:color="auto"/>
              <w:left w:val="nil"/>
              <w:bottom w:val="single" w:sz="2" w:space="0" w:color="auto"/>
              <w:right w:val="nil"/>
            </w:tcBorders>
            <w:shd w:val="clear" w:color="auto" w:fill="auto"/>
            <w:vAlign w:val="center"/>
          </w:tcPr>
          <w:p w14:paraId="301F3B3D" w14:textId="77777777" w:rsidR="00FF24A8" w:rsidRPr="005D070A" w:rsidRDefault="00FF24A8" w:rsidP="00EF5DD6">
            <w:pPr>
              <w:pStyle w:val="cuatexto"/>
              <w:jc w:val="right"/>
              <w:rPr>
                <w:rFonts w:cs="Calibri"/>
                <w:bCs/>
                <w:szCs w:val="20"/>
              </w:rPr>
            </w:pPr>
            <w:r w:rsidRPr="005D070A">
              <w:rPr>
                <w:rFonts w:cs="Calibri"/>
                <w:bCs/>
                <w:szCs w:val="20"/>
              </w:rPr>
              <w:t>8</w:t>
            </w:r>
          </w:p>
        </w:tc>
      </w:tr>
      <w:tr w:rsidR="00FF24A8" w14:paraId="1DECBA39" w14:textId="77777777" w:rsidTr="005D070A">
        <w:trPr>
          <w:trHeight w:val="198"/>
          <w:jc w:val="center"/>
        </w:trPr>
        <w:tc>
          <w:tcPr>
            <w:tcW w:w="4536" w:type="dxa"/>
            <w:tcBorders>
              <w:top w:val="single" w:sz="2" w:space="0" w:color="auto"/>
              <w:bottom w:val="single" w:sz="2" w:space="0" w:color="auto"/>
            </w:tcBorders>
            <w:vAlign w:val="center"/>
            <w:hideMark/>
          </w:tcPr>
          <w:p w14:paraId="12C3DFD0" w14:textId="77777777" w:rsidR="00FF24A8" w:rsidRPr="005D070A" w:rsidRDefault="00FF24A8" w:rsidP="00EF5DD6">
            <w:pPr>
              <w:pStyle w:val="cuatexto"/>
              <w:rPr>
                <w:szCs w:val="20"/>
              </w:rPr>
            </w:pPr>
            <w:r w:rsidRPr="005D070A">
              <w:rPr>
                <w:szCs w:val="20"/>
              </w:rPr>
              <w:t>Industria y energía</w:t>
            </w:r>
          </w:p>
        </w:tc>
        <w:tc>
          <w:tcPr>
            <w:tcW w:w="993" w:type="dxa"/>
            <w:tcBorders>
              <w:top w:val="single" w:sz="2" w:space="0" w:color="auto"/>
              <w:bottom w:val="single" w:sz="2" w:space="0" w:color="auto"/>
            </w:tcBorders>
            <w:vAlign w:val="bottom"/>
          </w:tcPr>
          <w:p w14:paraId="7F6DE0B0" w14:textId="77777777" w:rsidR="00FF24A8" w:rsidRPr="005D070A" w:rsidRDefault="00FF24A8" w:rsidP="00EF5DD6">
            <w:pPr>
              <w:pStyle w:val="cuatexto"/>
              <w:jc w:val="right"/>
              <w:rPr>
                <w:bCs/>
                <w:szCs w:val="20"/>
              </w:rPr>
            </w:pPr>
            <w:r w:rsidRPr="005D070A">
              <w:rPr>
                <w:bCs/>
                <w:szCs w:val="20"/>
              </w:rPr>
              <w:t>51.043</w:t>
            </w:r>
          </w:p>
        </w:tc>
        <w:tc>
          <w:tcPr>
            <w:tcW w:w="1275" w:type="dxa"/>
            <w:tcBorders>
              <w:top w:val="single" w:sz="2" w:space="0" w:color="auto"/>
              <w:left w:val="nil"/>
              <w:bottom w:val="single" w:sz="2" w:space="0" w:color="auto"/>
              <w:right w:val="nil"/>
            </w:tcBorders>
            <w:shd w:val="clear" w:color="auto" w:fill="auto"/>
            <w:vAlign w:val="center"/>
          </w:tcPr>
          <w:p w14:paraId="3551ADA2" w14:textId="77777777" w:rsidR="00FF24A8" w:rsidRPr="005D070A" w:rsidRDefault="00FF24A8" w:rsidP="00EF5DD6">
            <w:pPr>
              <w:pStyle w:val="cuatexto"/>
              <w:jc w:val="right"/>
              <w:rPr>
                <w:rFonts w:cs="Calibri"/>
                <w:color w:val="000000"/>
                <w:szCs w:val="20"/>
              </w:rPr>
            </w:pPr>
            <w:r w:rsidRPr="005D070A">
              <w:rPr>
                <w:rFonts w:cs="Calibri"/>
                <w:color w:val="000000"/>
                <w:szCs w:val="20"/>
              </w:rPr>
              <w:t>30.428</w:t>
            </w:r>
          </w:p>
        </w:tc>
        <w:tc>
          <w:tcPr>
            <w:tcW w:w="1086" w:type="dxa"/>
            <w:tcBorders>
              <w:top w:val="single" w:sz="2" w:space="0" w:color="auto"/>
              <w:left w:val="nil"/>
              <w:bottom w:val="single" w:sz="2" w:space="0" w:color="auto"/>
              <w:right w:val="nil"/>
            </w:tcBorders>
            <w:shd w:val="clear" w:color="auto" w:fill="auto"/>
            <w:vAlign w:val="center"/>
          </w:tcPr>
          <w:p w14:paraId="197EF6B2" w14:textId="77777777" w:rsidR="00FF24A8" w:rsidRPr="005D070A" w:rsidRDefault="00FF24A8" w:rsidP="00EF5DD6">
            <w:pPr>
              <w:pStyle w:val="cuatexto"/>
              <w:jc w:val="right"/>
              <w:rPr>
                <w:rFonts w:cs="Calibri"/>
                <w:bCs/>
                <w:szCs w:val="20"/>
              </w:rPr>
            </w:pPr>
            <w:r w:rsidRPr="005D070A">
              <w:rPr>
                <w:rFonts w:cs="Calibri"/>
                <w:bCs/>
                <w:szCs w:val="20"/>
              </w:rPr>
              <w:t>1</w:t>
            </w:r>
          </w:p>
        </w:tc>
        <w:tc>
          <w:tcPr>
            <w:tcW w:w="1045" w:type="dxa"/>
            <w:tcBorders>
              <w:top w:val="single" w:sz="2" w:space="0" w:color="auto"/>
              <w:left w:val="nil"/>
              <w:bottom w:val="single" w:sz="2" w:space="0" w:color="auto"/>
              <w:right w:val="nil"/>
            </w:tcBorders>
            <w:shd w:val="clear" w:color="auto" w:fill="auto"/>
            <w:vAlign w:val="center"/>
          </w:tcPr>
          <w:p w14:paraId="36CAD226" w14:textId="77777777" w:rsidR="00FF24A8" w:rsidRPr="005D070A" w:rsidRDefault="00FF24A8" w:rsidP="00EF5DD6">
            <w:pPr>
              <w:pStyle w:val="cuatexto"/>
              <w:jc w:val="right"/>
              <w:rPr>
                <w:rFonts w:cs="Calibri"/>
                <w:bCs/>
                <w:szCs w:val="20"/>
              </w:rPr>
            </w:pPr>
            <w:r w:rsidRPr="005D070A">
              <w:rPr>
                <w:rFonts w:cs="Calibri"/>
                <w:bCs/>
                <w:szCs w:val="20"/>
              </w:rPr>
              <w:t>-40</w:t>
            </w:r>
          </w:p>
        </w:tc>
      </w:tr>
      <w:tr w:rsidR="00FF24A8" w14:paraId="08983CD5" w14:textId="77777777" w:rsidTr="005D070A">
        <w:trPr>
          <w:trHeight w:val="198"/>
          <w:jc w:val="center"/>
        </w:trPr>
        <w:tc>
          <w:tcPr>
            <w:tcW w:w="4536" w:type="dxa"/>
            <w:tcBorders>
              <w:top w:val="single" w:sz="2" w:space="0" w:color="auto"/>
              <w:bottom w:val="single" w:sz="2" w:space="0" w:color="auto"/>
            </w:tcBorders>
            <w:vAlign w:val="center"/>
            <w:hideMark/>
          </w:tcPr>
          <w:p w14:paraId="1DB0DBF3" w14:textId="77777777" w:rsidR="00FF24A8" w:rsidRPr="005D070A" w:rsidRDefault="00FF24A8" w:rsidP="00EF5DD6">
            <w:pPr>
              <w:pStyle w:val="cuatexto"/>
              <w:rPr>
                <w:szCs w:val="20"/>
              </w:rPr>
            </w:pPr>
            <w:r w:rsidRPr="005D070A">
              <w:rPr>
                <w:szCs w:val="20"/>
              </w:rPr>
              <w:t>Comercio, Turismo y Pymes</w:t>
            </w:r>
          </w:p>
        </w:tc>
        <w:tc>
          <w:tcPr>
            <w:tcW w:w="993" w:type="dxa"/>
            <w:tcBorders>
              <w:top w:val="single" w:sz="2" w:space="0" w:color="auto"/>
              <w:bottom w:val="single" w:sz="2" w:space="0" w:color="auto"/>
            </w:tcBorders>
            <w:vAlign w:val="bottom"/>
          </w:tcPr>
          <w:p w14:paraId="24F2B872" w14:textId="77777777" w:rsidR="00FF24A8" w:rsidRPr="005D070A" w:rsidRDefault="00FF24A8" w:rsidP="00EF5DD6">
            <w:pPr>
              <w:pStyle w:val="cuatexto"/>
              <w:jc w:val="right"/>
              <w:rPr>
                <w:bCs/>
                <w:szCs w:val="20"/>
              </w:rPr>
            </w:pPr>
            <w:r w:rsidRPr="005D070A">
              <w:rPr>
                <w:bCs/>
                <w:szCs w:val="20"/>
              </w:rPr>
              <w:t>20.087</w:t>
            </w:r>
          </w:p>
        </w:tc>
        <w:tc>
          <w:tcPr>
            <w:tcW w:w="1275" w:type="dxa"/>
            <w:tcBorders>
              <w:top w:val="single" w:sz="2" w:space="0" w:color="auto"/>
              <w:left w:val="nil"/>
              <w:bottom w:val="single" w:sz="2" w:space="0" w:color="auto"/>
              <w:right w:val="nil"/>
            </w:tcBorders>
            <w:shd w:val="clear" w:color="auto" w:fill="auto"/>
            <w:vAlign w:val="center"/>
          </w:tcPr>
          <w:p w14:paraId="0E9AA59D" w14:textId="77777777" w:rsidR="00FF24A8" w:rsidRPr="005D070A" w:rsidRDefault="00FF24A8" w:rsidP="00EF5DD6">
            <w:pPr>
              <w:pStyle w:val="cuatexto"/>
              <w:jc w:val="right"/>
              <w:rPr>
                <w:rFonts w:cs="Calibri"/>
                <w:color w:val="000000"/>
                <w:szCs w:val="20"/>
              </w:rPr>
            </w:pPr>
            <w:r w:rsidRPr="005D070A">
              <w:rPr>
                <w:rFonts w:cs="Calibri"/>
                <w:color w:val="000000"/>
                <w:szCs w:val="20"/>
              </w:rPr>
              <w:t>12.136</w:t>
            </w:r>
          </w:p>
        </w:tc>
        <w:tc>
          <w:tcPr>
            <w:tcW w:w="1086" w:type="dxa"/>
            <w:tcBorders>
              <w:top w:val="single" w:sz="2" w:space="0" w:color="auto"/>
              <w:left w:val="nil"/>
              <w:bottom w:val="single" w:sz="2" w:space="0" w:color="auto"/>
              <w:right w:val="nil"/>
            </w:tcBorders>
            <w:shd w:val="clear" w:color="auto" w:fill="auto"/>
            <w:vAlign w:val="center"/>
          </w:tcPr>
          <w:p w14:paraId="5DD0345A" w14:textId="77777777" w:rsidR="00FF24A8" w:rsidRPr="005D070A" w:rsidRDefault="00FF24A8" w:rsidP="00EF5DD6">
            <w:pPr>
              <w:pStyle w:val="cuatexto"/>
              <w:jc w:val="right"/>
              <w:rPr>
                <w:rFonts w:cs="Calibri"/>
                <w:bCs/>
                <w:szCs w:val="20"/>
              </w:rPr>
            </w:pPr>
            <w:r w:rsidRPr="005D070A">
              <w:rPr>
                <w:rFonts w:cs="Calibri"/>
                <w:bCs/>
                <w:szCs w:val="20"/>
              </w:rPr>
              <w:t>0</w:t>
            </w:r>
          </w:p>
        </w:tc>
        <w:tc>
          <w:tcPr>
            <w:tcW w:w="1045" w:type="dxa"/>
            <w:tcBorders>
              <w:top w:val="single" w:sz="2" w:space="0" w:color="auto"/>
              <w:left w:val="nil"/>
              <w:bottom w:val="single" w:sz="2" w:space="0" w:color="auto"/>
              <w:right w:val="nil"/>
            </w:tcBorders>
            <w:shd w:val="clear" w:color="auto" w:fill="auto"/>
            <w:vAlign w:val="center"/>
          </w:tcPr>
          <w:p w14:paraId="17754301" w14:textId="77777777" w:rsidR="00FF24A8" w:rsidRPr="005D070A" w:rsidRDefault="00FF24A8" w:rsidP="00EF5DD6">
            <w:pPr>
              <w:pStyle w:val="cuatexto"/>
              <w:jc w:val="right"/>
              <w:rPr>
                <w:rFonts w:cs="Calibri"/>
                <w:bCs/>
                <w:szCs w:val="20"/>
              </w:rPr>
            </w:pPr>
            <w:r w:rsidRPr="005D070A">
              <w:rPr>
                <w:rFonts w:cs="Calibri"/>
                <w:bCs/>
                <w:szCs w:val="20"/>
              </w:rPr>
              <w:t>-40</w:t>
            </w:r>
          </w:p>
        </w:tc>
      </w:tr>
      <w:tr w:rsidR="00FF24A8" w14:paraId="4CC1622B" w14:textId="77777777" w:rsidTr="005D070A">
        <w:trPr>
          <w:trHeight w:val="198"/>
          <w:jc w:val="center"/>
        </w:trPr>
        <w:tc>
          <w:tcPr>
            <w:tcW w:w="4536" w:type="dxa"/>
            <w:tcBorders>
              <w:top w:val="single" w:sz="2" w:space="0" w:color="auto"/>
              <w:bottom w:val="single" w:sz="2" w:space="0" w:color="auto"/>
            </w:tcBorders>
            <w:vAlign w:val="center"/>
            <w:hideMark/>
          </w:tcPr>
          <w:p w14:paraId="53626516" w14:textId="77777777" w:rsidR="00FF24A8" w:rsidRPr="005D070A" w:rsidRDefault="00FF24A8" w:rsidP="00EF5DD6">
            <w:pPr>
              <w:pStyle w:val="cuatexto"/>
              <w:rPr>
                <w:szCs w:val="20"/>
              </w:rPr>
            </w:pPr>
            <w:r w:rsidRPr="005D070A">
              <w:rPr>
                <w:szCs w:val="20"/>
              </w:rPr>
              <w:t>Subvenciones al transporte</w:t>
            </w:r>
          </w:p>
        </w:tc>
        <w:tc>
          <w:tcPr>
            <w:tcW w:w="993" w:type="dxa"/>
            <w:tcBorders>
              <w:top w:val="single" w:sz="2" w:space="0" w:color="auto"/>
              <w:bottom w:val="single" w:sz="2" w:space="0" w:color="auto"/>
            </w:tcBorders>
            <w:vAlign w:val="bottom"/>
          </w:tcPr>
          <w:p w14:paraId="00CCCF31" w14:textId="77777777" w:rsidR="00FF24A8" w:rsidRPr="005D070A" w:rsidRDefault="00FF24A8" w:rsidP="00EF5DD6">
            <w:pPr>
              <w:pStyle w:val="cuatexto"/>
              <w:jc w:val="right"/>
              <w:rPr>
                <w:bCs/>
                <w:szCs w:val="20"/>
              </w:rPr>
            </w:pPr>
            <w:r w:rsidRPr="005D070A">
              <w:rPr>
                <w:bCs/>
                <w:szCs w:val="20"/>
              </w:rPr>
              <w:t>60.030</w:t>
            </w:r>
          </w:p>
        </w:tc>
        <w:tc>
          <w:tcPr>
            <w:tcW w:w="1275" w:type="dxa"/>
            <w:tcBorders>
              <w:top w:val="single" w:sz="2" w:space="0" w:color="auto"/>
              <w:left w:val="nil"/>
              <w:bottom w:val="single" w:sz="2" w:space="0" w:color="auto"/>
              <w:right w:val="nil"/>
            </w:tcBorders>
            <w:shd w:val="clear" w:color="auto" w:fill="auto"/>
            <w:vAlign w:val="center"/>
          </w:tcPr>
          <w:p w14:paraId="4C35483E" w14:textId="77777777" w:rsidR="00FF24A8" w:rsidRPr="005D070A" w:rsidRDefault="00FF24A8" w:rsidP="00EF5DD6">
            <w:pPr>
              <w:pStyle w:val="cuatexto"/>
              <w:jc w:val="right"/>
              <w:rPr>
                <w:rFonts w:cs="Calibri"/>
                <w:color w:val="000000"/>
                <w:szCs w:val="20"/>
              </w:rPr>
            </w:pPr>
            <w:r w:rsidRPr="005D070A">
              <w:rPr>
                <w:rFonts w:cs="Calibri"/>
                <w:color w:val="000000"/>
                <w:szCs w:val="20"/>
              </w:rPr>
              <w:t>56.587</w:t>
            </w:r>
          </w:p>
        </w:tc>
        <w:tc>
          <w:tcPr>
            <w:tcW w:w="1086" w:type="dxa"/>
            <w:tcBorders>
              <w:top w:val="single" w:sz="2" w:space="0" w:color="auto"/>
              <w:left w:val="nil"/>
              <w:bottom w:val="single" w:sz="2" w:space="0" w:color="auto"/>
              <w:right w:val="nil"/>
            </w:tcBorders>
            <w:shd w:val="clear" w:color="auto" w:fill="auto"/>
            <w:vAlign w:val="center"/>
          </w:tcPr>
          <w:p w14:paraId="33214A44" w14:textId="77777777" w:rsidR="00FF24A8" w:rsidRPr="005D070A" w:rsidRDefault="00FF24A8" w:rsidP="00EF5DD6">
            <w:pPr>
              <w:pStyle w:val="cuatexto"/>
              <w:jc w:val="right"/>
              <w:rPr>
                <w:rFonts w:cs="Calibri"/>
                <w:bCs/>
                <w:szCs w:val="20"/>
              </w:rPr>
            </w:pPr>
            <w:r w:rsidRPr="005D070A">
              <w:rPr>
                <w:rFonts w:cs="Calibri"/>
                <w:bCs/>
                <w:szCs w:val="20"/>
              </w:rPr>
              <w:t>1</w:t>
            </w:r>
          </w:p>
        </w:tc>
        <w:tc>
          <w:tcPr>
            <w:tcW w:w="1045" w:type="dxa"/>
            <w:tcBorders>
              <w:top w:val="single" w:sz="2" w:space="0" w:color="auto"/>
              <w:left w:val="nil"/>
              <w:bottom w:val="single" w:sz="2" w:space="0" w:color="auto"/>
              <w:right w:val="nil"/>
            </w:tcBorders>
            <w:shd w:val="clear" w:color="auto" w:fill="auto"/>
            <w:vAlign w:val="center"/>
          </w:tcPr>
          <w:p w14:paraId="1F2AEC8B" w14:textId="77777777" w:rsidR="00FF24A8" w:rsidRPr="005D070A" w:rsidRDefault="00FF24A8" w:rsidP="00EF5DD6">
            <w:pPr>
              <w:pStyle w:val="cuatexto"/>
              <w:jc w:val="right"/>
              <w:rPr>
                <w:rFonts w:cs="Calibri"/>
                <w:bCs/>
                <w:szCs w:val="20"/>
              </w:rPr>
            </w:pPr>
            <w:r w:rsidRPr="005D070A">
              <w:rPr>
                <w:rFonts w:cs="Calibri"/>
                <w:bCs/>
                <w:szCs w:val="20"/>
              </w:rPr>
              <w:t>-6</w:t>
            </w:r>
          </w:p>
        </w:tc>
      </w:tr>
      <w:tr w:rsidR="00FF24A8" w14:paraId="1E3AE3B4" w14:textId="77777777" w:rsidTr="005D070A">
        <w:trPr>
          <w:trHeight w:val="198"/>
          <w:jc w:val="center"/>
        </w:trPr>
        <w:tc>
          <w:tcPr>
            <w:tcW w:w="4536" w:type="dxa"/>
            <w:tcBorders>
              <w:top w:val="single" w:sz="2" w:space="0" w:color="auto"/>
              <w:bottom w:val="single" w:sz="2" w:space="0" w:color="auto"/>
            </w:tcBorders>
            <w:vAlign w:val="center"/>
            <w:hideMark/>
          </w:tcPr>
          <w:p w14:paraId="31DFE503" w14:textId="77777777" w:rsidR="00FF24A8" w:rsidRPr="005D070A" w:rsidRDefault="00FF24A8" w:rsidP="00EF5DD6">
            <w:pPr>
              <w:pStyle w:val="cuatexto"/>
              <w:rPr>
                <w:szCs w:val="20"/>
              </w:rPr>
            </w:pPr>
            <w:r w:rsidRPr="005D070A">
              <w:rPr>
                <w:szCs w:val="20"/>
              </w:rPr>
              <w:t>Infraestructuras</w:t>
            </w:r>
          </w:p>
        </w:tc>
        <w:tc>
          <w:tcPr>
            <w:tcW w:w="993" w:type="dxa"/>
            <w:tcBorders>
              <w:top w:val="single" w:sz="2" w:space="0" w:color="auto"/>
              <w:bottom w:val="single" w:sz="2" w:space="0" w:color="auto"/>
            </w:tcBorders>
            <w:vAlign w:val="bottom"/>
          </w:tcPr>
          <w:p w14:paraId="75617250" w14:textId="77777777" w:rsidR="00FF24A8" w:rsidRPr="005D070A" w:rsidRDefault="00FF24A8" w:rsidP="00EF5DD6">
            <w:pPr>
              <w:pStyle w:val="cuatexto"/>
              <w:jc w:val="right"/>
              <w:rPr>
                <w:bCs/>
                <w:szCs w:val="20"/>
              </w:rPr>
            </w:pPr>
            <w:r w:rsidRPr="005D070A">
              <w:rPr>
                <w:bCs/>
                <w:szCs w:val="20"/>
              </w:rPr>
              <w:t>224.707</w:t>
            </w:r>
          </w:p>
        </w:tc>
        <w:tc>
          <w:tcPr>
            <w:tcW w:w="1275" w:type="dxa"/>
            <w:tcBorders>
              <w:top w:val="single" w:sz="2" w:space="0" w:color="auto"/>
              <w:left w:val="nil"/>
              <w:bottom w:val="single" w:sz="2" w:space="0" w:color="auto"/>
              <w:right w:val="nil"/>
            </w:tcBorders>
            <w:shd w:val="clear" w:color="auto" w:fill="auto"/>
            <w:vAlign w:val="center"/>
          </w:tcPr>
          <w:p w14:paraId="366B592E" w14:textId="77777777" w:rsidR="00FF24A8" w:rsidRPr="005D070A" w:rsidRDefault="00FF24A8" w:rsidP="00EF5DD6">
            <w:pPr>
              <w:pStyle w:val="cuatexto"/>
              <w:jc w:val="right"/>
              <w:rPr>
                <w:rFonts w:cs="Calibri"/>
                <w:color w:val="000000"/>
                <w:szCs w:val="20"/>
              </w:rPr>
            </w:pPr>
            <w:r w:rsidRPr="005D070A">
              <w:rPr>
                <w:rFonts w:cs="Calibri"/>
                <w:color w:val="000000"/>
                <w:szCs w:val="20"/>
              </w:rPr>
              <w:t>239.039</w:t>
            </w:r>
          </w:p>
        </w:tc>
        <w:tc>
          <w:tcPr>
            <w:tcW w:w="1086" w:type="dxa"/>
            <w:tcBorders>
              <w:top w:val="single" w:sz="2" w:space="0" w:color="auto"/>
              <w:left w:val="nil"/>
              <w:bottom w:val="single" w:sz="2" w:space="0" w:color="auto"/>
              <w:right w:val="nil"/>
            </w:tcBorders>
            <w:shd w:val="clear" w:color="auto" w:fill="auto"/>
            <w:vAlign w:val="center"/>
          </w:tcPr>
          <w:p w14:paraId="4F4905C3" w14:textId="77777777" w:rsidR="00FF24A8" w:rsidRPr="005D070A" w:rsidRDefault="00FF24A8" w:rsidP="00EF5DD6">
            <w:pPr>
              <w:pStyle w:val="cuatexto"/>
              <w:jc w:val="right"/>
              <w:rPr>
                <w:rFonts w:cs="Calibri"/>
                <w:bCs/>
                <w:szCs w:val="20"/>
              </w:rPr>
            </w:pPr>
            <w:r w:rsidRPr="005D070A">
              <w:rPr>
                <w:rFonts w:cs="Calibri"/>
                <w:bCs/>
                <w:szCs w:val="20"/>
              </w:rPr>
              <w:t>4</w:t>
            </w:r>
          </w:p>
        </w:tc>
        <w:tc>
          <w:tcPr>
            <w:tcW w:w="1045" w:type="dxa"/>
            <w:tcBorders>
              <w:top w:val="single" w:sz="2" w:space="0" w:color="auto"/>
              <w:left w:val="nil"/>
              <w:bottom w:val="single" w:sz="2" w:space="0" w:color="auto"/>
              <w:right w:val="nil"/>
            </w:tcBorders>
            <w:shd w:val="clear" w:color="auto" w:fill="auto"/>
            <w:vAlign w:val="center"/>
          </w:tcPr>
          <w:p w14:paraId="3F6EF1B1" w14:textId="77777777" w:rsidR="00FF24A8" w:rsidRPr="005D070A" w:rsidRDefault="00FF24A8" w:rsidP="00EF5DD6">
            <w:pPr>
              <w:pStyle w:val="cuatexto"/>
              <w:jc w:val="right"/>
              <w:rPr>
                <w:rFonts w:cs="Calibri"/>
                <w:bCs/>
                <w:szCs w:val="20"/>
              </w:rPr>
            </w:pPr>
            <w:r w:rsidRPr="005D070A">
              <w:rPr>
                <w:rFonts w:cs="Calibri"/>
                <w:bCs/>
                <w:szCs w:val="20"/>
              </w:rPr>
              <w:t>6</w:t>
            </w:r>
          </w:p>
        </w:tc>
      </w:tr>
      <w:tr w:rsidR="00FF24A8" w14:paraId="2C4E90F4" w14:textId="77777777" w:rsidTr="005D070A">
        <w:trPr>
          <w:trHeight w:val="198"/>
          <w:jc w:val="center"/>
        </w:trPr>
        <w:tc>
          <w:tcPr>
            <w:tcW w:w="4536" w:type="dxa"/>
            <w:tcBorders>
              <w:top w:val="single" w:sz="2" w:space="0" w:color="auto"/>
              <w:bottom w:val="single" w:sz="2" w:space="0" w:color="auto"/>
            </w:tcBorders>
            <w:vAlign w:val="center"/>
            <w:hideMark/>
          </w:tcPr>
          <w:p w14:paraId="543E200B" w14:textId="77777777" w:rsidR="00FF24A8" w:rsidRPr="005D070A" w:rsidRDefault="00FF24A8" w:rsidP="00EF5DD6">
            <w:pPr>
              <w:pStyle w:val="cuatexto"/>
              <w:rPr>
                <w:szCs w:val="20"/>
              </w:rPr>
            </w:pPr>
            <w:r w:rsidRPr="005D070A">
              <w:rPr>
                <w:szCs w:val="20"/>
              </w:rPr>
              <w:t>Investigación, desarrollo e innovación</w:t>
            </w:r>
          </w:p>
        </w:tc>
        <w:tc>
          <w:tcPr>
            <w:tcW w:w="993" w:type="dxa"/>
            <w:tcBorders>
              <w:top w:val="single" w:sz="2" w:space="0" w:color="auto"/>
              <w:bottom w:val="single" w:sz="2" w:space="0" w:color="auto"/>
            </w:tcBorders>
            <w:vAlign w:val="bottom"/>
          </w:tcPr>
          <w:p w14:paraId="6E6033EA" w14:textId="77777777" w:rsidR="00FF24A8" w:rsidRPr="005D070A" w:rsidRDefault="00FF24A8" w:rsidP="00EF5DD6">
            <w:pPr>
              <w:pStyle w:val="cuatexto"/>
              <w:jc w:val="right"/>
              <w:rPr>
                <w:bCs/>
                <w:szCs w:val="20"/>
              </w:rPr>
            </w:pPr>
            <w:r w:rsidRPr="005D070A">
              <w:rPr>
                <w:bCs/>
                <w:szCs w:val="20"/>
              </w:rPr>
              <w:t>63.729</w:t>
            </w:r>
          </w:p>
        </w:tc>
        <w:tc>
          <w:tcPr>
            <w:tcW w:w="1275" w:type="dxa"/>
            <w:tcBorders>
              <w:top w:val="single" w:sz="2" w:space="0" w:color="auto"/>
              <w:left w:val="nil"/>
              <w:bottom w:val="single" w:sz="2" w:space="0" w:color="auto"/>
              <w:right w:val="nil"/>
            </w:tcBorders>
            <w:shd w:val="clear" w:color="auto" w:fill="auto"/>
            <w:vAlign w:val="center"/>
          </w:tcPr>
          <w:p w14:paraId="7BB483C0" w14:textId="77777777" w:rsidR="00FF24A8" w:rsidRPr="005D070A" w:rsidRDefault="00FF24A8" w:rsidP="00EF5DD6">
            <w:pPr>
              <w:pStyle w:val="cuatexto"/>
              <w:jc w:val="right"/>
              <w:rPr>
                <w:rFonts w:cs="Calibri"/>
                <w:color w:val="000000"/>
                <w:szCs w:val="20"/>
              </w:rPr>
            </w:pPr>
            <w:r w:rsidRPr="005D070A">
              <w:rPr>
                <w:rFonts w:cs="Calibri"/>
                <w:color w:val="000000"/>
                <w:szCs w:val="20"/>
              </w:rPr>
              <w:t>82.381</w:t>
            </w:r>
          </w:p>
        </w:tc>
        <w:tc>
          <w:tcPr>
            <w:tcW w:w="1086" w:type="dxa"/>
            <w:tcBorders>
              <w:top w:val="single" w:sz="2" w:space="0" w:color="auto"/>
              <w:left w:val="nil"/>
              <w:bottom w:val="single" w:sz="2" w:space="0" w:color="auto"/>
              <w:right w:val="nil"/>
            </w:tcBorders>
            <w:shd w:val="clear" w:color="auto" w:fill="auto"/>
            <w:vAlign w:val="center"/>
          </w:tcPr>
          <w:p w14:paraId="572F64BE" w14:textId="77777777" w:rsidR="00FF24A8" w:rsidRPr="005D070A" w:rsidRDefault="00FF24A8" w:rsidP="00EF5DD6">
            <w:pPr>
              <w:pStyle w:val="cuatexto"/>
              <w:jc w:val="right"/>
              <w:rPr>
                <w:rFonts w:cs="Calibri"/>
                <w:bCs/>
                <w:szCs w:val="20"/>
              </w:rPr>
            </w:pPr>
            <w:r w:rsidRPr="005D070A">
              <w:rPr>
                <w:rFonts w:cs="Calibri"/>
                <w:bCs/>
                <w:szCs w:val="20"/>
              </w:rPr>
              <w:t>1</w:t>
            </w:r>
          </w:p>
        </w:tc>
        <w:tc>
          <w:tcPr>
            <w:tcW w:w="1045" w:type="dxa"/>
            <w:tcBorders>
              <w:top w:val="single" w:sz="2" w:space="0" w:color="auto"/>
              <w:left w:val="nil"/>
              <w:bottom w:val="single" w:sz="2" w:space="0" w:color="auto"/>
              <w:right w:val="nil"/>
            </w:tcBorders>
            <w:shd w:val="clear" w:color="auto" w:fill="auto"/>
            <w:vAlign w:val="center"/>
          </w:tcPr>
          <w:p w14:paraId="5038C0F0" w14:textId="77777777" w:rsidR="00FF24A8" w:rsidRPr="005D070A" w:rsidRDefault="00FF24A8" w:rsidP="00EF5DD6">
            <w:pPr>
              <w:pStyle w:val="cuatexto"/>
              <w:jc w:val="right"/>
              <w:rPr>
                <w:rFonts w:cs="Calibri"/>
                <w:bCs/>
                <w:szCs w:val="20"/>
              </w:rPr>
            </w:pPr>
            <w:r w:rsidRPr="005D070A">
              <w:rPr>
                <w:rFonts w:cs="Calibri"/>
                <w:bCs/>
                <w:szCs w:val="20"/>
              </w:rPr>
              <w:t>29</w:t>
            </w:r>
          </w:p>
        </w:tc>
      </w:tr>
      <w:tr w:rsidR="00FF24A8" w14:paraId="46E8E184" w14:textId="77777777" w:rsidTr="008A2E63">
        <w:trPr>
          <w:trHeight w:val="198"/>
          <w:jc w:val="center"/>
        </w:trPr>
        <w:tc>
          <w:tcPr>
            <w:tcW w:w="4536" w:type="dxa"/>
            <w:tcBorders>
              <w:top w:val="single" w:sz="2" w:space="0" w:color="auto"/>
              <w:bottom w:val="single" w:sz="4" w:space="0" w:color="auto"/>
            </w:tcBorders>
            <w:vAlign w:val="center"/>
            <w:hideMark/>
          </w:tcPr>
          <w:p w14:paraId="5D1BAB58" w14:textId="77777777" w:rsidR="00FF24A8" w:rsidRPr="005D070A" w:rsidRDefault="00FF24A8" w:rsidP="00EF5DD6">
            <w:pPr>
              <w:pStyle w:val="cuatexto"/>
              <w:rPr>
                <w:szCs w:val="20"/>
              </w:rPr>
            </w:pPr>
            <w:r w:rsidRPr="005D070A">
              <w:rPr>
                <w:szCs w:val="20"/>
              </w:rPr>
              <w:t>Otras actuaciones de carácter económico</w:t>
            </w:r>
          </w:p>
        </w:tc>
        <w:tc>
          <w:tcPr>
            <w:tcW w:w="993" w:type="dxa"/>
            <w:tcBorders>
              <w:top w:val="single" w:sz="2" w:space="0" w:color="auto"/>
              <w:bottom w:val="single" w:sz="4" w:space="0" w:color="auto"/>
            </w:tcBorders>
            <w:vAlign w:val="bottom"/>
          </w:tcPr>
          <w:p w14:paraId="09892C7C" w14:textId="77777777" w:rsidR="00FF24A8" w:rsidRPr="005D070A" w:rsidRDefault="00FF24A8" w:rsidP="00EF5DD6">
            <w:pPr>
              <w:pStyle w:val="cuatexto"/>
              <w:jc w:val="right"/>
              <w:rPr>
                <w:bCs/>
                <w:szCs w:val="20"/>
              </w:rPr>
            </w:pPr>
            <w:r w:rsidRPr="005D070A">
              <w:rPr>
                <w:bCs/>
                <w:szCs w:val="20"/>
              </w:rPr>
              <w:t>15.613</w:t>
            </w:r>
          </w:p>
        </w:tc>
        <w:tc>
          <w:tcPr>
            <w:tcW w:w="1275" w:type="dxa"/>
            <w:tcBorders>
              <w:top w:val="single" w:sz="2" w:space="0" w:color="auto"/>
              <w:left w:val="nil"/>
              <w:bottom w:val="single" w:sz="4" w:space="0" w:color="auto"/>
              <w:right w:val="nil"/>
            </w:tcBorders>
            <w:shd w:val="clear" w:color="auto" w:fill="auto"/>
            <w:vAlign w:val="center"/>
          </w:tcPr>
          <w:p w14:paraId="6E7C3888" w14:textId="77777777" w:rsidR="00FF24A8" w:rsidRPr="005D070A" w:rsidRDefault="00FF24A8" w:rsidP="00EF5DD6">
            <w:pPr>
              <w:pStyle w:val="cuatexto"/>
              <w:jc w:val="right"/>
              <w:rPr>
                <w:rFonts w:cs="Calibri"/>
                <w:color w:val="000000"/>
                <w:szCs w:val="20"/>
              </w:rPr>
            </w:pPr>
            <w:r w:rsidRPr="005D070A">
              <w:rPr>
                <w:rFonts w:cs="Calibri"/>
                <w:color w:val="000000"/>
                <w:szCs w:val="20"/>
              </w:rPr>
              <w:t>19.711</w:t>
            </w:r>
          </w:p>
        </w:tc>
        <w:tc>
          <w:tcPr>
            <w:tcW w:w="1086" w:type="dxa"/>
            <w:tcBorders>
              <w:top w:val="single" w:sz="2" w:space="0" w:color="auto"/>
              <w:left w:val="nil"/>
              <w:bottom w:val="single" w:sz="4" w:space="0" w:color="auto"/>
              <w:right w:val="nil"/>
            </w:tcBorders>
            <w:shd w:val="clear" w:color="auto" w:fill="auto"/>
            <w:vAlign w:val="center"/>
          </w:tcPr>
          <w:p w14:paraId="2E91AF0C" w14:textId="77777777" w:rsidR="00FF24A8" w:rsidRPr="005D070A" w:rsidRDefault="00FF24A8" w:rsidP="00EF5DD6">
            <w:pPr>
              <w:pStyle w:val="cuatexto"/>
              <w:jc w:val="right"/>
              <w:rPr>
                <w:rFonts w:cs="Calibri"/>
                <w:bCs/>
                <w:szCs w:val="20"/>
              </w:rPr>
            </w:pPr>
            <w:r w:rsidRPr="005D070A">
              <w:rPr>
                <w:rFonts w:cs="Calibri"/>
                <w:bCs/>
                <w:szCs w:val="20"/>
              </w:rPr>
              <w:t>0</w:t>
            </w:r>
          </w:p>
        </w:tc>
        <w:tc>
          <w:tcPr>
            <w:tcW w:w="1045" w:type="dxa"/>
            <w:tcBorders>
              <w:top w:val="single" w:sz="2" w:space="0" w:color="auto"/>
              <w:left w:val="nil"/>
              <w:bottom w:val="single" w:sz="4" w:space="0" w:color="auto"/>
              <w:right w:val="nil"/>
            </w:tcBorders>
            <w:shd w:val="clear" w:color="auto" w:fill="auto"/>
            <w:vAlign w:val="center"/>
          </w:tcPr>
          <w:p w14:paraId="25F519BB" w14:textId="77777777" w:rsidR="00FF24A8" w:rsidRPr="005D070A" w:rsidRDefault="00FF24A8" w:rsidP="00EF5DD6">
            <w:pPr>
              <w:pStyle w:val="cuatexto"/>
              <w:jc w:val="right"/>
              <w:rPr>
                <w:rFonts w:cs="Calibri"/>
                <w:bCs/>
                <w:szCs w:val="20"/>
              </w:rPr>
            </w:pPr>
            <w:r w:rsidRPr="005D070A">
              <w:rPr>
                <w:rFonts w:cs="Calibri"/>
                <w:bCs/>
                <w:szCs w:val="20"/>
              </w:rPr>
              <w:t>26</w:t>
            </w:r>
          </w:p>
        </w:tc>
      </w:tr>
      <w:tr w:rsidR="00FF24A8" w:rsidRPr="00AC6A84" w14:paraId="4282A7A1" w14:textId="77777777" w:rsidTr="008A2E63">
        <w:trPr>
          <w:trHeight w:val="198"/>
          <w:jc w:val="center"/>
        </w:trPr>
        <w:tc>
          <w:tcPr>
            <w:tcW w:w="4536" w:type="dxa"/>
            <w:tcBorders>
              <w:top w:val="single" w:sz="4" w:space="0" w:color="auto"/>
              <w:bottom w:val="single" w:sz="4" w:space="0" w:color="auto"/>
            </w:tcBorders>
            <w:vAlign w:val="center"/>
            <w:hideMark/>
          </w:tcPr>
          <w:p w14:paraId="6F2062D6" w14:textId="77777777" w:rsidR="00FF24A8" w:rsidRPr="005D070A" w:rsidRDefault="00FF24A8" w:rsidP="00EF5DD6">
            <w:pPr>
              <w:pStyle w:val="cuatexto"/>
              <w:rPr>
                <w:b/>
                <w:szCs w:val="20"/>
              </w:rPr>
            </w:pPr>
            <w:r w:rsidRPr="005D070A">
              <w:rPr>
                <w:b/>
                <w:szCs w:val="20"/>
              </w:rPr>
              <w:t>Actuaciones de carácter general</w:t>
            </w:r>
          </w:p>
        </w:tc>
        <w:tc>
          <w:tcPr>
            <w:tcW w:w="993" w:type="dxa"/>
            <w:tcBorders>
              <w:top w:val="single" w:sz="4" w:space="0" w:color="auto"/>
              <w:bottom w:val="single" w:sz="4" w:space="0" w:color="auto"/>
            </w:tcBorders>
            <w:vAlign w:val="bottom"/>
          </w:tcPr>
          <w:p w14:paraId="487C9C6F" w14:textId="77777777" w:rsidR="00FF24A8" w:rsidRPr="005D070A" w:rsidRDefault="00FF24A8" w:rsidP="00EF5DD6">
            <w:pPr>
              <w:pStyle w:val="cuatexto"/>
              <w:jc w:val="right"/>
              <w:rPr>
                <w:b/>
                <w:bCs/>
                <w:szCs w:val="20"/>
              </w:rPr>
            </w:pPr>
            <w:r w:rsidRPr="005D070A">
              <w:rPr>
                <w:b/>
                <w:bCs/>
                <w:szCs w:val="20"/>
              </w:rPr>
              <w:t>1.933.860</w:t>
            </w:r>
          </w:p>
        </w:tc>
        <w:tc>
          <w:tcPr>
            <w:tcW w:w="1275" w:type="dxa"/>
            <w:tcBorders>
              <w:top w:val="single" w:sz="4" w:space="0" w:color="auto"/>
              <w:left w:val="nil"/>
              <w:bottom w:val="single" w:sz="4" w:space="0" w:color="auto"/>
              <w:right w:val="nil"/>
            </w:tcBorders>
            <w:shd w:val="clear" w:color="auto" w:fill="auto"/>
            <w:vAlign w:val="center"/>
          </w:tcPr>
          <w:p w14:paraId="6F8A2F5B" w14:textId="77777777" w:rsidR="00FF24A8" w:rsidRPr="005D070A" w:rsidRDefault="00FF24A8" w:rsidP="00EF5DD6">
            <w:pPr>
              <w:pStyle w:val="cuatexto"/>
              <w:jc w:val="right"/>
              <w:rPr>
                <w:rFonts w:cs="Calibri"/>
                <w:b/>
                <w:bCs/>
                <w:color w:val="000000"/>
                <w:szCs w:val="20"/>
              </w:rPr>
            </w:pPr>
            <w:r w:rsidRPr="005D070A">
              <w:rPr>
                <w:rFonts w:cs="Calibri"/>
                <w:b/>
                <w:bCs/>
                <w:color w:val="000000"/>
                <w:szCs w:val="20"/>
              </w:rPr>
              <w:t>1.753.647</w:t>
            </w:r>
          </w:p>
        </w:tc>
        <w:tc>
          <w:tcPr>
            <w:tcW w:w="1086" w:type="dxa"/>
            <w:tcBorders>
              <w:top w:val="single" w:sz="4" w:space="0" w:color="auto"/>
              <w:left w:val="nil"/>
              <w:bottom w:val="single" w:sz="4" w:space="0" w:color="auto"/>
              <w:right w:val="nil"/>
            </w:tcBorders>
            <w:shd w:val="clear" w:color="auto" w:fill="auto"/>
            <w:vAlign w:val="center"/>
          </w:tcPr>
          <w:p w14:paraId="23479884" w14:textId="77777777" w:rsidR="00FF24A8" w:rsidRPr="005D070A" w:rsidRDefault="00FF24A8" w:rsidP="00EF5DD6">
            <w:pPr>
              <w:pStyle w:val="cuatexto"/>
              <w:jc w:val="right"/>
              <w:rPr>
                <w:rFonts w:cs="Calibri"/>
                <w:b/>
                <w:bCs/>
                <w:szCs w:val="20"/>
              </w:rPr>
            </w:pPr>
            <w:r w:rsidRPr="005D070A">
              <w:rPr>
                <w:rFonts w:cs="Calibri"/>
                <w:b/>
                <w:bCs/>
                <w:szCs w:val="20"/>
              </w:rPr>
              <w:t>30</w:t>
            </w:r>
          </w:p>
        </w:tc>
        <w:tc>
          <w:tcPr>
            <w:tcW w:w="1045" w:type="dxa"/>
            <w:tcBorders>
              <w:top w:val="single" w:sz="4" w:space="0" w:color="auto"/>
              <w:left w:val="nil"/>
              <w:bottom w:val="single" w:sz="4" w:space="0" w:color="auto"/>
              <w:right w:val="nil"/>
            </w:tcBorders>
            <w:shd w:val="clear" w:color="auto" w:fill="auto"/>
            <w:vAlign w:val="center"/>
          </w:tcPr>
          <w:p w14:paraId="0CB2CD82" w14:textId="77777777" w:rsidR="00FF24A8" w:rsidRPr="005D070A" w:rsidRDefault="00FF24A8" w:rsidP="00EF5DD6">
            <w:pPr>
              <w:pStyle w:val="cuatexto"/>
              <w:jc w:val="right"/>
              <w:rPr>
                <w:rFonts w:cs="Calibri"/>
                <w:b/>
                <w:bCs/>
                <w:szCs w:val="20"/>
              </w:rPr>
            </w:pPr>
            <w:r w:rsidRPr="005D070A">
              <w:rPr>
                <w:rFonts w:cs="Calibri"/>
                <w:b/>
                <w:bCs/>
                <w:szCs w:val="20"/>
              </w:rPr>
              <w:t>-9</w:t>
            </w:r>
          </w:p>
        </w:tc>
      </w:tr>
      <w:tr w:rsidR="00FF24A8" w14:paraId="6846E8AB" w14:textId="77777777" w:rsidTr="008A2E63">
        <w:trPr>
          <w:trHeight w:val="198"/>
          <w:jc w:val="center"/>
        </w:trPr>
        <w:tc>
          <w:tcPr>
            <w:tcW w:w="4536" w:type="dxa"/>
            <w:tcBorders>
              <w:top w:val="single" w:sz="4" w:space="0" w:color="auto"/>
              <w:bottom w:val="single" w:sz="2" w:space="0" w:color="auto"/>
            </w:tcBorders>
            <w:vAlign w:val="center"/>
            <w:hideMark/>
          </w:tcPr>
          <w:p w14:paraId="29659632" w14:textId="77777777" w:rsidR="00FF24A8" w:rsidRPr="005D070A" w:rsidRDefault="00FF24A8" w:rsidP="00EF5DD6">
            <w:pPr>
              <w:pStyle w:val="cuatexto"/>
              <w:rPr>
                <w:szCs w:val="20"/>
              </w:rPr>
            </w:pPr>
            <w:r w:rsidRPr="005D070A">
              <w:rPr>
                <w:szCs w:val="20"/>
              </w:rPr>
              <w:t>Alta dirección</w:t>
            </w:r>
          </w:p>
        </w:tc>
        <w:tc>
          <w:tcPr>
            <w:tcW w:w="993" w:type="dxa"/>
            <w:tcBorders>
              <w:top w:val="single" w:sz="4" w:space="0" w:color="auto"/>
              <w:bottom w:val="single" w:sz="2" w:space="0" w:color="auto"/>
            </w:tcBorders>
            <w:vAlign w:val="bottom"/>
          </w:tcPr>
          <w:p w14:paraId="393FB350" w14:textId="77777777" w:rsidR="00FF24A8" w:rsidRPr="005D070A" w:rsidRDefault="00FF24A8" w:rsidP="00EF5DD6">
            <w:pPr>
              <w:pStyle w:val="cuatexto"/>
              <w:jc w:val="right"/>
              <w:rPr>
                <w:bCs/>
                <w:szCs w:val="20"/>
              </w:rPr>
            </w:pPr>
            <w:r w:rsidRPr="005D070A">
              <w:rPr>
                <w:bCs/>
                <w:szCs w:val="20"/>
              </w:rPr>
              <w:t>19.908</w:t>
            </w:r>
          </w:p>
        </w:tc>
        <w:tc>
          <w:tcPr>
            <w:tcW w:w="1275" w:type="dxa"/>
            <w:tcBorders>
              <w:top w:val="single" w:sz="4" w:space="0" w:color="auto"/>
              <w:left w:val="nil"/>
              <w:bottom w:val="single" w:sz="2" w:space="0" w:color="auto"/>
              <w:right w:val="nil"/>
            </w:tcBorders>
            <w:shd w:val="clear" w:color="auto" w:fill="auto"/>
            <w:vAlign w:val="center"/>
          </w:tcPr>
          <w:p w14:paraId="5BCED1E9" w14:textId="77777777" w:rsidR="00FF24A8" w:rsidRPr="005D070A" w:rsidRDefault="00FF24A8" w:rsidP="00EF5DD6">
            <w:pPr>
              <w:pStyle w:val="cuatexto"/>
              <w:jc w:val="right"/>
              <w:rPr>
                <w:rFonts w:cs="Calibri"/>
                <w:color w:val="000000"/>
                <w:szCs w:val="20"/>
              </w:rPr>
            </w:pPr>
            <w:r w:rsidRPr="005D070A">
              <w:rPr>
                <w:rFonts w:cs="Calibri"/>
                <w:color w:val="000000"/>
                <w:szCs w:val="20"/>
              </w:rPr>
              <w:t>23.093</w:t>
            </w:r>
          </w:p>
        </w:tc>
        <w:tc>
          <w:tcPr>
            <w:tcW w:w="1086" w:type="dxa"/>
            <w:tcBorders>
              <w:top w:val="single" w:sz="4" w:space="0" w:color="auto"/>
              <w:left w:val="nil"/>
              <w:bottom w:val="single" w:sz="2" w:space="0" w:color="auto"/>
              <w:right w:val="nil"/>
            </w:tcBorders>
            <w:shd w:val="clear" w:color="auto" w:fill="auto"/>
            <w:vAlign w:val="center"/>
          </w:tcPr>
          <w:p w14:paraId="2857CD49" w14:textId="77777777" w:rsidR="00FF24A8" w:rsidRPr="005D070A" w:rsidRDefault="00FF24A8" w:rsidP="00EF5DD6">
            <w:pPr>
              <w:pStyle w:val="cuatexto"/>
              <w:jc w:val="right"/>
              <w:rPr>
                <w:rFonts w:cs="Calibri"/>
                <w:bCs/>
                <w:szCs w:val="20"/>
              </w:rPr>
            </w:pPr>
            <w:r w:rsidRPr="005D070A">
              <w:rPr>
                <w:rFonts w:cs="Calibri"/>
                <w:bCs/>
                <w:szCs w:val="20"/>
              </w:rPr>
              <w:t>0</w:t>
            </w:r>
          </w:p>
        </w:tc>
        <w:tc>
          <w:tcPr>
            <w:tcW w:w="1045" w:type="dxa"/>
            <w:tcBorders>
              <w:top w:val="single" w:sz="4" w:space="0" w:color="auto"/>
              <w:left w:val="nil"/>
              <w:bottom w:val="single" w:sz="2" w:space="0" w:color="auto"/>
              <w:right w:val="nil"/>
            </w:tcBorders>
            <w:shd w:val="clear" w:color="auto" w:fill="auto"/>
            <w:vAlign w:val="center"/>
          </w:tcPr>
          <w:p w14:paraId="4B6B23BD" w14:textId="77777777" w:rsidR="00FF24A8" w:rsidRPr="005D070A" w:rsidRDefault="00FF24A8" w:rsidP="00EF5DD6">
            <w:pPr>
              <w:pStyle w:val="cuatexto"/>
              <w:jc w:val="right"/>
              <w:rPr>
                <w:rFonts w:cs="Calibri"/>
                <w:bCs/>
                <w:szCs w:val="20"/>
              </w:rPr>
            </w:pPr>
            <w:r w:rsidRPr="005D070A">
              <w:rPr>
                <w:rFonts w:cs="Calibri"/>
                <w:bCs/>
                <w:szCs w:val="20"/>
              </w:rPr>
              <w:t>16</w:t>
            </w:r>
          </w:p>
        </w:tc>
      </w:tr>
      <w:tr w:rsidR="00FF24A8" w14:paraId="53684697" w14:textId="77777777" w:rsidTr="005D070A">
        <w:trPr>
          <w:trHeight w:val="198"/>
          <w:jc w:val="center"/>
        </w:trPr>
        <w:tc>
          <w:tcPr>
            <w:tcW w:w="4536" w:type="dxa"/>
            <w:tcBorders>
              <w:top w:val="single" w:sz="2" w:space="0" w:color="auto"/>
              <w:bottom w:val="single" w:sz="2" w:space="0" w:color="auto"/>
            </w:tcBorders>
            <w:vAlign w:val="center"/>
            <w:hideMark/>
          </w:tcPr>
          <w:p w14:paraId="0358CE41" w14:textId="77777777" w:rsidR="00FF24A8" w:rsidRPr="005D070A" w:rsidRDefault="00FF24A8" w:rsidP="00EF5DD6">
            <w:pPr>
              <w:pStyle w:val="cuatexto"/>
              <w:rPr>
                <w:szCs w:val="20"/>
              </w:rPr>
            </w:pPr>
            <w:r w:rsidRPr="005D070A">
              <w:rPr>
                <w:szCs w:val="20"/>
              </w:rPr>
              <w:t>Servicios de carácter general</w:t>
            </w:r>
          </w:p>
        </w:tc>
        <w:tc>
          <w:tcPr>
            <w:tcW w:w="993" w:type="dxa"/>
            <w:tcBorders>
              <w:top w:val="single" w:sz="2" w:space="0" w:color="auto"/>
              <w:bottom w:val="single" w:sz="2" w:space="0" w:color="auto"/>
            </w:tcBorders>
            <w:vAlign w:val="bottom"/>
          </w:tcPr>
          <w:p w14:paraId="00ED36D5" w14:textId="77777777" w:rsidR="00FF24A8" w:rsidRPr="005D070A" w:rsidRDefault="00FF24A8" w:rsidP="00EF5DD6">
            <w:pPr>
              <w:pStyle w:val="cuatexto"/>
              <w:jc w:val="right"/>
              <w:rPr>
                <w:bCs/>
                <w:szCs w:val="20"/>
              </w:rPr>
            </w:pPr>
            <w:r w:rsidRPr="005D070A">
              <w:rPr>
                <w:bCs/>
                <w:szCs w:val="20"/>
              </w:rPr>
              <w:t>265.396</w:t>
            </w:r>
          </w:p>
        </w:tc>
        <w:tc>
          <w:tcPr>
            <w:tcW w:w="1275" w:type="dxa"/>
            <w:tcBorders>
              <w:top w:val="single" w:sz="2" w:space="0" w:color="auto"/>
              <w:left w:val="nil"/>
              <w:bottom w:val="single" w:sz="2" w:space="0" w:color="auto"/>
              <w:right w:val="nil"/>
            </w:tcBorders>
            <w:shd w:val="clear" w:color="auto" w:fill="auto"/>
            <w:vAlign w:val="center"/>
          </w:tcPr>
          <w:p w14:paraId="275D4B18" w14:textId="77777777" w:rsidR="00FF24A8" w:rsidRPr="005D070A" w:rsidRDefault="00FF24A8" w:rsidP="00EF5DD6">
            <w:pPr>
              <w:pStyle w:val="cuatexto"/>
              <w:jc w:val="right"/>
              <w:rPr>
                <w:rFonts w:cs="Calibri"/>
                <w:color w:val="000000"/>
                <w:szCs w:val="20"/>
              </w:rPr>
            </w:pPr>
            <w:r w:rsidRPr="005D070A">
              <w:rPr>
                <w:rFonts w:cs="Calibri"/>
                <w:color w:val="000000"/>
                <w:szCs w:val="20"/>
              </w:rPr>
              <w:t>174.250</w:t>
            </w:r>
          </w:p>
        </w:tc>
        <w:tc>
          <w:tcPr>
            <w:tcW w:w="1086" w:type="dxa"/>
            <w:tcBorders>
              <w:top w:val="single" w:sz="2" w:space="0" w:color="auto"/>
              <w:left w:val="nil"/>
              <w:bottom w:val="single" w:sz="2" w:space="0" w:color="auto"/>
              <w:right w:val="nil"/>
            </w:tcBorders>
            <w:shd w:val="clear" w:color="auto" w:fill="auto"/>
            <w:vAlign w:val="center"/>
          </w:tcPr>
          <w:p w14:paraId="411696A9" w14:textId="77777777" w:rsidR="00FF24A8" w:rsidRPr="005D070A" w:rsidRDefault="00FF24A8" w:rsidP="00EF5DD6">
            <w:pPr>
              <w:pStyle w:val="cuatexto"/>
              <w:jc w:val="right"/>
              <w:rPr>
                <w:rFonts w:cs="Calibri"/>
                <w:bCs/>
                <w:szCs w:val="20"/>
              </w:rPr>
            </w:pPr>
            <w:r w:rsidRPr="005D070A">
              <w:rPr>
                <w:rFonts w:cs="Calibri"/>
                <w:bCs/>
                <w:szCs w:val="20"/>
              </w:rPr>
              <w:t>3</w:t>
            </w:r>
          </w:p>
        </w:tc>
        <w:tc>
          <w:tcPr>
            <w:tcW w:w="1045" w:type="dxa"/>
            <w:tcBorders>
              <w:top w:val="single" w:sz="2" w:space="0" w:color="auto"/>
              <w:left w:val="nil"/>
              <w:bottom w:val="single" w:sz="2" w:space="0" w:color="auto"/>
              <w:right w:val="nil"/>
            </w:tcBorders>
            <w:shd w:val="clear" w:color="auto" w:fill="auto"/>
            <w:vAlign w:val="center"/>
          </w:tcPr>
          <w:p w14:paraId="1A9EA68E" w14:textId="77777777" w:rsidR="00FF24A8" w:rsidRPr="005D070A" w:rsidRDefault="00FF24A8" w:rsidP="00EF5DD6">
            <w:pPr>
              <w:pStyle w:val="cuatexto"/>
              <w:jc w:val="right"/>
              <w:rPr>
                <w:rFonts w:cs="Calibri"/>
                <w:bCs/>
                <w:szCs w:val="20"/>
              </w:rPr>
            </w:pPr>
            <w:r w:rsidRPr="005D070A">
              <w:rPr>
                <w:rFonts w:cs="Calibri"/>
                <w:bCs/>
                <w:szCs w:val="20"/>
              </w:rPr>
              <w:t>-34</w:t>
            </w:r>
          </w:p>
        </w:tc>
      </w:tr>
      <w:tr w:rsidR="00FF24A8" w14:paraId="524BAF8C" w14:textId="77777777" w:rsidTr="005D070A">
        <w:trPr>
          <w:trHeight w:val="198"/>
          <w:jc w:val="center"/>
        </w:trPr>
        <w:tc>
          <w:tcPr>
            <w:tcW w:w="4536" w:type="dxa"/>
            <w:tcBorders>
              <w:top w:val="single" w:sz="2" w:space="0" w:color="auto"/>
              <w:bottom w:val="single" w:sz="2" w:space="0" w:color="auto"/>
            </w:tcBorders>
            <w:vAlign w:val="center"/>
            <w:hideMark/>
          </w:tcPr>
          <w:p w14:paraId="6268E0C0" w14:textId="77777777" w:rsidR="00FF24A8" w:rsidRPr="005D070A" w:rsidRDefault="00FF24A8" w:rsidP="00EF5DD6">
            <w:pPr>
              <w:pStyle w:val="cuatexto"/>
              <w:rPr>
                <w:szCs w:val="20"/>
              </w:rPr>
            </w:pPr>
            <w:r w:rsidRPr="005D070A">
              <w:rPr>
                <w:szCs w:val="20"/>
              </w:rPr>
              <w:t>Administración financiera y tributaria</w:t>
            </w:r>
          </w:p>
        </w:tc>
        <w:tc>
          <w:tcPr>
            <w:tcW w:w="993" w:type="dxa"/>
            <w:tcBorders>
              <w:top w:val="single" w:sz="2" w:space="0" w:color="auto"/>
              <w:bottom w:val="single" w:sz="2" w:space="0" w:color="auto"/>
            </w:tcBorders>
            <w:vAlign w:val="bottom"/>
          </w:tcPr>
          <w:p w14:paraId="6C83140B" w14:textId="77777777" w:rsidR="00FF24A8" w:rsidRPr="005D070A" w:rsidRDefault="00FF24A8" w:rsidP="00EF5DD6">
            <w:pPr>
              <w:pStyle w:val="cuatexto"/>
              <w:jc w:val="right"/>
              <w:rPr>
                <w:bCs/>
                <w:szCs w:val="20"/>
              </w:rPr>
            </w:pPr>
            <w:r w:rsidRPr="005D070A">
              <w:rPr>
                <w:bCs/>
                <w:szCs w:val="20"/>
              </w:rPr>
              <w:t>31.920</w:t>
            </w:r>
          </w:p>
        </w:tc>
        <w:tc>
          <w:tcPr>
            <w:tcW w:w="1275" w:type="dxa"/>
            <w:tcBorders>
              <w:top w:val="single" w:sz="2" w:space="0" w:color="auto"/>
              <w:left w:val="nil"/>
              <w:bottom w:val="single" w:sz="2" w:space="0" w:color="auto"/>
              <w:right w:val="nil"/>
            </w:tcBorders>
            <w:shd w:val="clear" w:color="auto" w:fill="auto"/>
            <w:vAlign w:val="center"/>
          </w:tcPr>
          <w:p w14:paraId="7BA4D238" w14:textId="77777777" w:rsidR="00FF24A8" w:rsidRPr="005D070A" w:rsidRDefault="00FF24A8" w:rsidP="00EF5DD6">
            <w:pPr>
              <w:pStyle w:val="cuatexto"/>
              <w:jc w:val="right"/>
              <w:rPr>
                <w:rFonts w:cs="Calibri"/>
                <w:color w:val="000000"/>
                <w:szCs w:val="20"/>
              </w:rPr>
            </w:pPr>
            <w:r w:rsidRPr="005D070A">
              <w:rPr>
                <w:rFonts w:cs="Calibri"/>
                <w:color w:val="000000"/>
                <w:szCs w:val="20"/>
              </w:rPr>
              <w:t>28.738</w:t>
            </w:r>
          </w:p>
        </w:tc>
        <w:tc>
          <w:tcPr>
            <w:tcW w:w="1086" w:type="dxa"/>
            <w:tcBorders>
              <w:top w:val="single" w:sz="2" w:space="0" w:color="auto"/>
              <w:left w:val="nil"/>
              <w:bottom w:val="single" w:sz="2" w:space="0" w:color="auto"/>
              <w:right w:val="nil"/>
            </w:tcBorders>
            <w:shd w:val="clear" w:color="auto" w:fill="auto"/>
            <w:vAlign w:val="center"/>
          </w:tcPr>
          <w:p w14:paraId="7D21A1A8" w14:textId="77777777" w:rsidR="00FF24A8" w:rsidRPr="005D070A" w:rsidRDefault="00FF24A8" w:rsidP="00EF5DD6">
            <w:pPr>
              <w:pStyle w:val="cuatexto"/>
              <w:jc w:val="right"/>
              <w:rPr>
                <w:rFonts w:cs="Calibri"/>
                <w:bCs/>
                <w:szCs w:val="20"/>
              </w:rPr>
            </w:pPr>
            <w:r w:rsidRPr="005D070A">
              <w:rPr>
                <w:rFonts w:cs="Calibri"/>
                <w:bCs/>
                <w:szCs w:val="20"/>
              </w:rPr>
              <w:t>0</w:t>
            </w:r>
          </w:p>
        </w:tc>
        <w:tc>
          <w:tcPr>
            <w:tcW w:w="1045" w:type="dxa"/>
            <w:tcBorders>
              <w:top w:val="single" w:sz="2" w:space="0" w:color="auto"/>
              <w:left w:val="nil"/>
              <w:bottom w:val="single" w:sz="2" w:space="0" w:color="auto"/>
              <w:right w:val="nil"/>
            </w:tcBorders>
            <w:shd w:val="clear" w:color="auto" w:fill="auto"/>
            <w:vAlign w:val="center"/>
          </w:tcPr>
          <w:p w14:paraId="0E4398DB" w14:textId="77777777" w:rsidR="00FF24A8" w:rsidRPr="005D070A" w:rsidRDefault="00FF24A8" w:rsidP="00EF5DD6">
            <w:pPr>
              <w:pStyle w:val="cuatexto"/>
              <w:jc w:val="right"/>
              <w:rPr>
                <w:rFonts w:cs="Calibri"/>
                <w:bCs/>
                <w:szCs w:val="20"/>
              </w:rPr>
            </w:pPr>
            <w:r w:rsidRPr="005D070A">
              <w:rPr>
                <w:rFonts w:cs="Calibri"/>
                <w:bCs/>
                <w:szCs w:val="20"/>
              </w:rPr>
              <w:t>-10</w:t>
            </w:r>
          </w:p>
        </w:tc>
      </w:tr>
      <w:tr w:rsidR="00FF24A8" w14:paraId="15E5B253" w14:textId="77777777" w:rsidTr="005D070A">
        <w:trPr>
          <w:trHeight w:val="198"/>
          <w:jc w:val="center"/>
        </w:trPr>
        <w:tc>
          <w:tcPr>
            <w:tcW w:w="4536" w:type="dxa"/>
            <w:tcBorders>
              <w:top w:val="single" w:sz="2" w:space="0" w:color="auto"/>
              <w:bottom w:val="single" w:sz="2" w:space="0" w:color="auto"/>
            </w:tcBorders>
            <w:vAlign w:val="center"/>
            <w:hideMark/>
          </w:tcPr>
          <w:p w14:paraId="3C9A6B38" w14:textId="77777777" w:rsidR="00FF24A8" w:rsidRPr="005D070A" w:rsidRDefault="00FF24A8" w:rsidP="00EF5DD6">
            <w:pPr>
              <w:pStyle w:val="cuatexto"/>
              <w:rPr>
                <w:szCs w:val="20"/>
              </w:rPr>
            </w:pPr>
            <w:r w:rsidRPr="005D070A">
              <w:rPr>
                <w:szCs w:val="20"/>
              </w:rPr>
              <w:t>Convenio Económico con el Estado</w:t>
            </w:r>
          </w:p>
        </w:tc>
        <w:tc>
          <w:tcPr>
            <w:tcW w:w="993" w:type="dxa"/>
            <w:tcBorders>
              <w:top w:val="single" w:sz="2" w:space="0" w:color="auto"/>
              <w:bottom w:val="single" w:sz="2" w:space="0" w:color="auto"/>
            </w:tcBorders>
            <w:vAlign w:val="bottom"/>
          </w:tcPr>
          <w:p w14:paraId="0B1029A0" w14:textId="77777777" w:rsidR="00FF24A8" w:rsidRPr="005D070A" w:rsidRDefault="00FF24A8" w:rsidP="00EF5DD6">
            <w:pPr>
              <w:pStyle w:val="cuatexto"/>
              <w:jc w:val="right"/>
              <w:rPr>
                <w:bCs/>
                <w:szCs w:val="20"/>
              </w:rPr>
            </w:pPr>
            <w:r w:rsidRPr="005D070A">
              <w:rPr>
                <w:bCs/>
                <w:szCs w:val="20"/>
              </w:rPr>
              <w:t>882.772</w:t>
            </w:r>
          </w:p>
        </w:tc>
        <w:tc>
          <w:tcPr>
            <w:tcW w:w="1275" w:type="dxa"/>
            <w:tcBorders>
              <w:top w:val="single" w:sz="2" w:space="0" w:color="auto"/>
              <w:left w:val="nil"/>
              <w:bottom w:val="single" w:sz="2" w:space="0" w:color="auto"/>
              <w:right w:val="nil"/>
            </w:tcBorders>
            <w:shd w:val="clear" w:color="auto" w:fill="auto"/>
            <w:vAlign w:val="center"/>
          </w:tcPr>
          <w:p w14:paraId="06199048" w14:textId="77777777" w:rsidR="00FF24A8" w:rsidRPr="005D070A" w:rsidRDefault="00FF24A8" w:rsidP="00EF5DD6">
            <w:pPr>
              <w:pStyle w:val="cuatexto"/>
              <w:jc w:val="right"/>
              <w:rPr>
                <w:rFonts w:cs="Calibri"/>
                <w:color w:val="000000"/>
                <w:szCs w:val="20"/>
              </w:rPr>
            </w:pPr>
            <w:r w:rsidRPr="005D070A">
              <w:rPr>
                <w:rFonts w:cs="Calibri"/>
                <w:color w:val="000000"/>
                <w:szCs w:val="20"/>
              </w:rPr>
              <w:t>911.820</w:t>
            </w:r>
          </w:p>
        </w:tc>
        <w:tc>
          <w:tcPr>
            <w:tcW w:w="1086" w:type="dxa"/>
            <w:tcBorders>
              <w:top w:val="single" w:sz="2" w:space="0" w:color="auto"/>
              <w:left w:val="nil"/>
              <w:bottom w:val="single" w:sz="2" w:space="0" w:color="auto"/>
              <w:right w:val="nil"/>
            </w:tcBorders>
            <w:shd w:val="clear" w:color="auto" w:fill="auto"/>
            <w:vAlign w:val="center"/>
          </w:tcPr>
          <w:p w14:paraId="1DC0D3A1" w14:textId="77777777" w:rsidR="00FF24A8" w:rsidRPr="005D070A" w:rsidRDefault="00FF24A8" w:rsidP="00EF5DD6">
            <w:pPr>
              <w:pStyle w:val="cuatexto"/>
              <w:jc w:val="right"/>
              <w:rPr>
                <w:rFonts w:cs="Calibri"/>
                <w:bCs/>
                <w:szCs w:val="20"/>
              </w:rPr>
            </w:pPr>
            <w:r w:rsidRPr="005D070A">
              <w:rPr>
                <w:rFonts w:cs="Calibri"/>
                <w:bCs/>
                <w:szCs w:val="20"/>
              </w:rPr>
              <w:t>16</w:t>
            </w:r>
          </w:p>
        </w:tc>
        <w:tc>
          <w:tcPr>
            <w:tcW w:w="1045" w:type="dxa"/>
            <w:tcBorders>
              <w:top w:val="single" w:sz="2" w:space="0" w:color="auto"/>
              <w:left w:val="nil"/>
              <w:bottom w:val="single" w:sz="2" w:space="0" w:color="auto"/>
              <w:right w:val="nil"/>
            </w:tcBorders>
            <w:shd w:val="clear" w:color="auto" w:fill="auto"/>
            <w:vAlign w:val="center"/>
          </w:tcPr>
          <w:p w14:paraId="0983872E" w14:textId="77777777" w:rsidR="00FF24A8" w:rsidRPr="005D070A" w:rsidRDefault="00FF24A8" w:rsidP="00EF5DD6">
            <w:pPr>
              <w:pStyle w:val="cuatexto"/>
              <w:jc w:val="right"/>
              <w:rPr>
                <w:rFonts w:cs="Calibri"/>
                <w:bCs/>
                <w:szCs w:val="20"/>
              </w:rPr>
            </w:pPr>
            <w:r w:rsidRPr="005D070A">
              <w:rPr>
                <w:rFonts w:cs="Calibri"/>
                <w:bCs/>
                <w:szCs w:val="20"/>
              </w:rPr>
              <w:t>3</w:t>
            </w:r>
          </w:p>
        </w:tc>
      </w:tr>
      <w:tr w:rsidR="00FF24A8" w14:paraId="0A269723" w14:textId="77777777" w:rsidTr="005D070A">
        <w:trPr>
          <w:trHeight w:val="198"/>
          <w:jc w:val="center"/>
        </w:trPr>
        <w:tc>
          <w:tcPr>
            <w:tcW w:w="4536" w:type="dxa"/>
            <w:tcBorders>
              <w:top w:val="single" w:sz="2" w:space="0" w:color="auto"/>
              <w:bottom w:val="single" w:sz="2" w:space="0" w:color="auto"/>
            </w:tcBorders>
            <w:vAlign w:val="center"/>
            <w:hideMark/>
          </w:tcPr>
          <w:p w14:paraId="27F6DFFD" w14:textId="77777777" w:rsidR="00FF24A8" w:rsidRPr="005D070A" w:rsidRDefault="00FF24A8" w:rsidP="00EF5DD6">
            <w:pPr>
              <w:pStyle w:val="cuatexto"/>
              <w:rPr>
                <w:szCs w:val="20"/>
              </w:rPr>
            </w:pPr>
            <w:r w:rsidRPr="005D070A">
              <w:rPr>
                <w:szCs w:val="20"/>
              </w:rPr>
              <w:t>Otros Convenios con el Estado</w:t>
            </w:r>
          </w:p>
        </w:tc>
        <w:tc>
          <w:tcPr>
            <w:tcW w:w="993" w:type="dxa"/>
            <w:tcBorders>
              <w:top w:val="single" w:sz="2" w:space="0" w:color="auto"/>
              <w:bottom w:val="single" w:sz="2" w:space="0" w:color="auto"/>
            </w:tcBorders>
            <w:vAlign w:val="bottom"/>
          </w:tcPr>
          <w:p w14:paraId="44FBAB7A" w14:textId="77777777" w:rsidR="00FF24A8" w:rsidRPr="005D070A" w:rsidRDefault="00FF24A8" w:rsidP="00EF5DD6">
            <w:pPr>
              <w:pStyle w:val="cuatexto"/>
              <w:jc w:val="right"/>
              <w:rPr>
                <w:bCs/>
                <w:szCs w:val="20"/>
              </w:rPr>
            </w:pPr>
            <w:r w:rsidRPr="005D070A">
              <w:rPr>
                <w:bCs/>
                <w:szCs w:val="20"/>
              </w:rPr>
              <w:t>4.850</w:t>
            </w:r>
          </w:p>
        </w:tc>
        <w:tc>
          <w:tcPr>
            <w:tcW w:w="1275" w:type="dxa"/>
            <w:tcBorders>
              <w:top w:val="single" w:sz="2" w:space="0" w:color="auto"/>
              <w:left w:val="nil"/>
              <w:bottom w:val="single" w:sz="2" w:space="0" w:color="auto"/>
              <w:right w:val="nil"/>
            </w:tcBorders>
            <w:shd w:val="clear" w:color="auto" w:fill="auto"/>
            <w:vAlign w:val="center"/>
          </w:tcPr>
          <w:p w14:paraId="05EE3480" w14:textId="77777777" w:rsidR="00FF24A8" w:rsidRPr="005D070A" w:rsidRDefault="00FF24A8" w:rsidP="00EF5DD6">
            <w:pPr>
              <w:pStyle w:val="cuatexto"/>
              <w:jc w:val="right"/>
              <w:rPr>
                <w:rFonts w:cs="Calibri"/>
                <w:color w:val="000000"/>
                <w:szCs w:val="20"/>
              </w:rPr>
            </w:pPr>
            <w:r w:rsidRPr="005D070A">
              <w:rPr>
                <w:rFonts w:cs="Calibri"/>
                <w:color w:val="000000"/>
                <w:szCs w:val="20"/>
              </w:rPr>
              <w:t>2.850</w:t>
            </w:r>
          </w:p>
        </w:tc>
        <w:tc>
          <w:tcPr>
            <w:tcW w:w="1086" w:type="dxa"/>
            <w:tcBorders>
              <w:top w:val="single" w:sz="2" w:space="0" w:color="auto"/>
              <w:left w:val="nil"/>
              <w:bottom w:val="single" w:sz="2" w:space="0" w:color="auto"/>
              <w:right w:val="nil"/>
            </w:tcBorders>
            <w:shd w:val="clear" w:color="auto" w:fill="auto"/>
            <w:vAlign w:val="center"/>
          </w:tcPr>
          <w:p w14:paraId="1E60C96D" w14:textId="77777777" w:rsidR="00FF24A8" w:rsidRPr="005D070A" w:rsidRDefault="00FF24A8" w:rsidP="00EF5DD6">
            <w:pPr>
              <w:pStyle w:val="cuatexto"/>
              <w:jc w:val="right"/>
              <w:rPr>
                <w:rFonts w:cs="Calibri"/>
                <w:bCs/>
                <w:szCs w:val="20"/>
              </w:rPr>
            </w:pPr>
            <w:r w:rsidRPr="005D070A">
              <w:rPr>
                <w:rFonts w:cs="Calibri"/>
                <w:bCs/>
                <w:szCs w:val="20"/>
              </w:rPr>
              <w:t>0</w:t>
            </w:r>
          </w:p>
        </w:tc>
        <w:tc>
          <w:tcPr>
            <w:tcW w:w="1045" w:type="dxa"/>
            <w:tcBorders>
              <w:top w:val="single" w:sz="2" w:space="0" w:color="auto"/>
              <w:left w:val="nil"/>
              <w:bottom w:val="single" w:sz="2" w:space="0" w:color="auto"/>
              <w:right w:val="nil"/>
            </w:tcBorders>
            <w:shd w:val="clear" w:color="auto" w:fill="auto"/>
            <w:vAlign w:val="center"/>
          </w:tcPr>
          <w:p w14:paraId="021C138C" w14:textId="77777777" w:rsidR="00FF24A8" w:rsidRPr="005D070A" w:rsidRDefault="00FF24A8" w:rsidP="00EF5DD6">
            <w:pPr>
              <w:pStyle w:val="cuatexto"/>
              <w:jc w:val="right"/>
              <w:rPr>
                <w:rFonts w:cs="Calibri"/>
                <w:bCs/>
                <w:szCs w:val="20"/>
              </w:rPr>
            </w:pPr>
            <w:r w:rsidRPr="005D070A">
              <w:rPr>
                <w:rFonts w:cs="Calibri"/>
                <w:bCs/>
                <w:szCs w:val="20"/>
              </w:rPr>
              <w:t>-41</w:t>
            </w:r>
          </w:p>
        </w:tc>
      </w:tr>
      <w:tr w:rsidR="00FF24A8" w14:paraId="4A6479F3" w14:textId="77777777" w:rsidTr="005D070A">
        <w:trPr>
          <w:trHeight w:val="198"/>
          <w:jc w:val="center"/>
        </w:trPr>
        <w:tc>
          <w:tcPr>
            <w:tcW w:w="4536" w:type="dxa"/>
            <w:tcBorders>
              <w:top w:val="single" w:sz="2" w:space="0" w:color="auto"/>
              <w:bottom w:val="single" w:sz="2" w:space="0" w:color="auto"/>
            </w:tcBorders>
            <w:vAlign w:val="center"/>
            <w:hideMark/>
          </w:tcPr>
          <w:p w14:paraId="0580D2D1" w14:textId="77777777" w:rsidR="00FF24A8" w:rsidRPr="005D070A" w:rsidRDefault="00FF24A8" w:rsidP="00EF5DD6">
            <w:pPr>
              <w:pStyle w:val="cuatexto"/>
              <w:rPr>
                <w:szCs w:val="20"/>
              </w:rPr>
            </w:pPr>
            <w:r w:rsidRPr="005D070A">
              <w:rPr>
                <w:szCs w:val="20"/>
              </w:rPr>
              <w:t>Transferencias a administraciones locales</w:t>
            </w:r>
          </w:p>
        </w:tc>
        <w:tc>
          <w:tcPr>
            <w:tcW w:w="993" w:type="dxa"/>
            <w:tcBorders>
              <w:top w:val="single" w:sz="2" w:space="0" w:color="auto"/>
              <w:bottom w:val="single" w:sz="2" w:space="0" w:color="auto"/>
            </w:tcBorders>
            <w:vAlign w:val="bottom"/>
          </w:tcPr>
          <w:p w14:paraId="3A244FC4" w14:textId="77777777" w:rsidR="00FF24A8" w:rsidRPr="005D070A" w:rsidRDefault="00FF24A8" w:rsidP="00EF5DD6">
            <w:pPr>
              <w:pStyle w:val="cuatexto"/>
              <w:jc w:val="right"/>
              <w:rPr>
                <w:bCs/>
                <w:szCs w:val="20"/>
              </w:rPr>
            </w:pPr>
            <w:r w:rsidRPr="005D070A">
              <w:rPr>
                <w:bCs/>
                <w:szCs w:val="20"/>
              </w:rPr>
              <w:t>312.503</w:t>
            </w:r>
          </w:p>
        </w:tc>
        <w:tc>
          <w:tcPr>
            <w:tcW w:w="1275" w:type="dxa"/>
            <w:tcBorders>
              <w:top w:val="single" w:sz="2" w:space="0" w:color="auto"/>
              <w:left w:val="nil"/>
              <w:bottom w:val="single" w:sz="2" w:space="0" w:color="auto"/>
              <w:right w:val="nil"/>
            </w:tcBorders>
            <w:shd w:val="clear" w:color="auto" w:fill="auto"/>
            <w:vAlign w:val="center"/>
          </w:tcPr>
          <w:p w14:paraId="1E14F776" w14:textId="77777777" w:rsidR="00FF24A8" w:rsidRPr="005D070A" w:rsidRDefault="00FF24A8" w:rsidP="00EF5DD6">
            <w:pPr>
              <w:pStyle w:val="cuatexto"/>
              <w:jc w:val="right"/>
              <w:rPr>
                <w:rFonts w:cs="Calibri"/>
                <w:color w:val="000000"/>
                <w:szCs w:val="20"/>
              </w:rPr>
            </w:pPr>
            <w:r w:rsidRPr="005D070A">
              <w:rPr>
                <w:rFonts w:cs="Calibri"/>
                <w:color w:val="000000"/>
                <w:szCs w:val="20"/>
              </w:rPr>
              <w:t>349.975</w:t>
            </w:r>
          </w:p>
        </w:tc>
        <w:tc>
          <w:tcPr>
            <w:tcW w:w="1086" w:type="dxa"/>
            <w:tcBorders>
              <w:top w:val="single" w:sz="2" w:space="0" w:color="auto"/>
              <w:left w:val="nil"/>
              <w:bottom w:val="single" w:sz="2" w:space="0" w:color="auto"/>
              <w:right w:val="nil"/>
            </w:tcBorders>
            <w:shd w:val="clear" w:color="auto" w:fill="auto"/>
            <w:vAlign w:val="center"/>
          </w:tcPr>
          <w:p w14:paraId="256633F9" w14:textId="77777777" w:rsidR="00FF24A8" w:rsidRPr="005D070A" w:rsidRDefault="00FF24A8" w:rsidP="00EF5DD6">
            <w:pPr>
              <w:pStyle w:val="cuatexto"/>
              <w:jc w:val="right"/>
              <w:rPr>
                <w:rFonts w:cs="Calibri"/>
                <w:bCs/>
                <w:szCs w:val="20"/>
              </w:rPr>
            </w:pPr>
            <w:r w:rsidRPr="005D070A">
              <w:rPr>
                <w:rFonts w:cs="Calibri"/>
                <w:bCs/>
                <w:szCs w:val="20"/>
              </w:rPr>
              <w:t>6</w:t>
            </w:r>
          </w:p>
        </w:tc>
        <w:tc>
          <w:tcPr>
            <w:tcW w:w="1045" w:type="dxa"/>
            <w:tcBorders>
              <w:top w:val="single" w:sz="2" w:space="0" w:color="auto"/>
              <w:left w:val="nil"/>
              <w:bottom w:val="single" w:sz="2" w:space="0" w:color="auto"/>
              <w:right w:val="nil"/>
            </w:tcBorders>
            <w:shd w:val="clear" w:color="auto" w:fill="auto"/>
            <w:vAlign w:val="center"/>
          </w:tcPr>
          <w:p w14:paraId="5CE4A395" w14:textId="77777777" w:rsidR="00FF24A8" w:rsidRPr="005D070A" w:rsidRDefault="00FF24A8" w:rsidP="00EF5DD6">
            <w:pPr>
              <w:pStyle w:val="cuatexto"/>
              <w:jc w:val="right"/>
              <w:rPr>
                <w:rFonts w:cs="Calibri"/>
                <w:bCs/>
                <w:szCs w:val="20"/>
              </w:rPr>
            </w:pPr>
            <w:r w:rsidRPr="005D070A">
              <w:rPr>
                <w:rFonts w:cs="Calibri"/>
                <w:bCs/>
                <w:szCs w:val="20"/>
              </w:rPr>
              <w:t>12</w:t>
            </w:r>
          </w:p>
        </w:tc>
      </w:tr>
      <w:tr w:rsidR="00FF24A8" w14:paraId="35348FB7" w14:textId="77777777" w:rsidTr="005D070A">
        <w:trPr>
          <w:trHeight w:val="198"/>
          <w:jc w:val="center"/>
        </w:trPr>
        <w:tc>
          <w:tcPr>
            <w:tcW w:w="4536" w:type="dxa"/>
            <w:tcBorders>
              <w:top w:val="single" w:sz="2" w:space="0" w:color="auto"/>
              <w:bottom w:val="single" w:sz="4" w:space="0" w:color="auto"/>
            </w:tcBorders>
            <w:vAlign w:val="center"/>
            <w:hideMark/>
          </w:tcPr>
          <w:p w14:paraId="0BA72B8F" w14:textId="77777777" w:rsidR="00FF24A8" w:rsidRPr="005D070A" w:rsidRDefault="00FF24A8" w:rsidP="00EF5DD6">
            <w:pPr>
              <w:pStyle w:val="cuatexto"/>
              <w:rPr>
                <w:szCs w:val="20"/>
              </w:rPr>
            </w:pPr>
            <w:r w:rsidRPr="005D070A">
              <w:rPr>
                <w:szCs w:val="20"/>
              </w:rPr>
              <w:t>Deuda pública</w:t>
            </w:r>
          </w:p>
        </w:tc>
        <w:tc>
          <w:tcPr>
            <w:tcW w:w="993" w:type="dxa"/>
            <w:tcBorders>
              <w:top w:val="single" w:sz="2" w:space="0" w:color="auto"/>
              <w:bottom w:val="single" w:sz="4" w:space="0" w:color="auto"/>
            </w:tcBorders>
            <w:vAlign w:val="bottom"/>
          </w:tcPr>
          <w:p w14:paraId="273EBCFB" w14:textId="77777777" w:rsidR="00FF24A8" w:rsidRPr="005D070A" w:rsidRDefault="00FF24A8" w:rsidP="00EF5DD6">
            <w:pPr>
              <w:pStyle w:val="cuatexto"/>
              <w:jc w:val="right"/>
              <w:rPr>
                <w:bCs/>
                <w:szCs w:val="20"/>
              </w:rPr>
            </w:pPr>
            <w:r w:rsidRPr="005D070A">
              <w:rPr>
                <w:bCs/>
                <w:szCs w:val="20"/>
              </w:rPr>
              <w:t>416.511</w:t>
            </w:r>
          </w:p>
        </w:tc>
        <w:tc>
          <w:tcPr>
            <w:tcW w:w="1275" w:type="dxa"/>
            <w:tcBorders>
              <w:top w:val="single" w:sz="2" w:space="0" w:color="auto"/>
              <w:left w:val="nil"/>
              <w:bottom w:val="single" w:sz="4" w:space="0" w:color="auto"/>
              <w:right w:val="nil"/>
            </w:tcBorders>
            <w:shd w:val="clear" w:color="auto" w:fill="auto"/>
            <w:vAlign w:val="center"/>
          </w:tcPr>
          <w:p w14:paraId="2CE4AD38" w14:textId="77777777" w:rsidR="00FF24A8" w:rsidRPr="005D070A" w:rsidRDefault="00FF24A8" w:rsidP="00EF5DD6">
            <w:pPr>
              <w:pStyle w:val="cuatexto"/>
              <w:jc w:val="right"/>
              <w:rPr>
                <w:rFonts w:cs="Calibri"/>
                <w:color w:val="000000"/>
                <w:szCs w:val="20"/>
              </w:rPr>
            </w:pPr>
            <w:r w:rsidRPr="005D070A">
              <w:rPr>
                <w:rFonts w:cs="Calibri"/>
                <w:color w:val="000000"/>
                <w:szCs w:val="20"/>
              </w:rPr>
              <w:t>262.921</w:t>
            </w:r>
          </w:p>
        </w:tc>
        <w:tc>
          <w:tcPr>
            <w:tcW w:w="1086" w:type="dxa"/>
            <w:tcBorders>
              <w:top w:val="single" w:sz="2" w:space="0" w:color="auto"/>
              <w:left w:val="nil"/>
              <w:bottom w:val="single" w:sz="4" w:space="0" w:color="auto"/>
              <w:right w:val="nil"/>
            </w:tcBorders>
            <w:shd w:val="clear" w:color="auto" w:fill="auto"/>
            <w:vAlign w:val="center"/>
          </w:tcPr>
          <w:p w14:paraId="5BD6147C" w14:textId="77777777" w:rsidR="00FF24A8" w:rsidRPr="005D070A" w:rsidRDefault="00FF24A8" w:rsidP="00EF5DD6">
            <w:pPr>
              <w:pStyle w:val="cuatexto"/>
              <w:jc w:val="right"/>
              <w:rPr>
                <w:rFonts w:cs="Calibri"/>
                <w:bCs/>
                <w:szCs w:val="20"/>
              </w:rPr>
            </w:pPr>
            <w:r w:rsidRPr="005D070A">
              <w:rPr>
                <w:rFonts w:cs="Calibri"/>
                <w:bCs/>
                <w:szCs w:val="20"/>
              </w:rPr>
              <w:t>5</w:t>
            </w:r>
          </w:p>
        </w:tc>
        <w:tc>
          <w:tcPr>
            <w:tcW w:w="1045" w:type="dxa"/>
            <w:tcBorders>
              <w:top w:val="single" w:sz="2" w:space="0" w:color="auto"/>
              <w:left w:val="nil"/>
              <w:bottom w:val="single" w:sz="4" w:space="0" w:color="auto"/>
              <w:right w:val="nil"/>
            </w:tcBorders>
            <w:shd w:val="clear" w:color="auto" w:fill="auto"/>
            <w:vAlign w:val="center"/>
          </w:tcPr>
          <w:p w14:paraId="3EDCBC67" w14:textId="77777777" w:rsidR="00FF24A8" w:rsidRPr="005D070A" w:rsidRDefault="00FF24A8" w:rsidP="00EF5DD6">
            <w:pPr>
              <w:pStyle w:val="cuatexto"/>
              <w:jc w:val="right"/>
              <w:rPr>
                <w:rFonts w:cs="Calibri"/>
                <w:bCs/>
                <w:szCs w:val="20"/>
              </w:rPr>
            </w:pPr>
            <w:r w:rsidRPr="005D070A">
              <w:rPr>
                <w:rFonts w:cs="Calibri"/>
                <w:bCs/>
                <w:szCs w:val="20"/>
              </w:rPr>
              <w:t>-37</w:t>
            </w:r>
          </w:p>
        </w:tc>
      </w:tr>
      <w:tr w:rsidR="00FF24A8" w:rsidRPr="00FF24A8" w14:paraId="2685B043" w14:textId="77777777" w:rsidTr="005D070A">
        <w:trPr>
          <w:trHeight w:val="255"/>
          <w:jc w:val="center"/>
        </w:trPr>
        <w:tc>
          <w:tcPr>
            <w:tcW w:w="4536" w:type="dxa"/>
            <w:tcBorders>
              <w:top w:val="single" w:sz="4" w:space="0" w:color="auto"/>
              <w:bottom w:val="single" w:sz="4" w:space="0" w:color="auto"/>
            </w:tcBorders>
            <w:shd w:val="clear" w:color="auto" w:fill="8DB3E2"/>
            <w:vAlign w:val="center"/>
            <w:hideMark/>
          </w:tcPr>
          <w:p w14:paraId="3C7A2038" w14:textId="77777777" w:rsidR="00FF24A8" w:rsidRPr="00FF24A8" w:rsidRDefault="00FF24A8" w:rsidP="00EF5DD6">
            <w:pPr>
              <w:pStyle w:val="cuadroCabe"/>
            </w:pPr>
            <w:r w:rsidRPr="00FF24A8">
              <w:t>Total</w:t>
            </w:r>
          </w:p>
        </w:tc>
        <w:tc>
          <w:tcPr>
            <w:tcW w:w="993" w:type="dxa"/>
            <w:tcBorders>
              <w:top w:val="single" w:sz="4" w:space="0" w:color="auto"/>
              <w:bottom w:val="single" w:sz="4" w:space="0" w:color="auto"/>
            </w:tcBorders>
            <w:shd w:val="clear" w:color="auto" w:fill="8DB3E2"/>
            <w:vAlign w:val="center"/>
          </w:tcPr>
          <w:p w14:paraId="3432DBC9" w14:textId="77777777" w:rsidR="00FF24A8" w:rsidRPr="00FF24A8" w:rsidRDefault="00FF24A8" w:rsidP="00EF5DD6">
            <w:pPr>
              <w:pStyle w:val="cuadroCabe"/>
              <w:jc w:val="right"/>
            </w:pPr>
            <w:r w:rsidRPr="00FF24A8">
              <w:t>5.600.514</w:t>
            </w:r>
          </w:p>
        </w:tc>
        <w:tc>
          <w:tcPr>
            <w:tcW w:w="1275" w:type="dxa"/>
            <w:tcBorders>
              <w:top w:val="single" w:sz="4" w:space="0" w:color="auto"/>
              <w:left w:val="nil"/>
              <w:bottom w:val="single" w:sz="4" w:space="0" w:color="auto"/>
              <w:right w:val="nil"/>
            </w:tcBorders>
            <w:shd w:val="clear" w:color="000000" w:fill="8DB3E2"/>
            <w:vAlign w:val="center"/>
          </w:tcPr>
          <w:p w14:paraId="1E2686E3" w14:textId="77777777" w:rsidR="00FF24A8" w:rsidRPr="00FF24A8" w:rsidRDefault="00FF24A8" w:rsidP="00EF5DD6">
            <w:pPr>
              <w:pStyle w:val="cuadroCabe"/>
              <w:jc w:val="right"/>
            </w:pPr>
            <w:r w:rsidRPr="00FF24A8">
              <w:t>5.781.905</w:t>
            </w:r>
          </w:p>
        </w:tc>
        <w:tc>
          <w:tcPr>
            <w:tcW w:w="1086" w:type="dxa"/>
            <w:tcBorders>
              <w:top w:val="single" w:sz="4" w:space="0" w:color="auto"/>
              <w:left w:val="nil"/>
              <w:bottom w:val="single" w:sz="4" w:space="0" w:color="auto"/>
              <w:right w:val="nil"/>
            </w:tcBorders>
            <w:shd w:val="clear" w:color="000000" w:fill="8DB3E2"/>
            <w:vAlign w:val="center"/>
          </w:tcPr>
          <w:p w14:paraId="47117646" w14:textId="77777777" w:rsidR="00FF24A8" w:rsidRPr="00FF24A8" w:rsidRDefault="00FF24A8" w:rsidP="00EF5DD6">
            <w:pPr>
              <w:pStyle w:val="cuadroCabe"/>
              <w:jc w:val="right"/>
            </w:pPr>
            <w:r w:rsidRPr="00FF24A8">
              <w:t> 100</w:t>
            </w:r>
          </w:p>
        </w:tc>
        <w:tc>
          <w:tcPr>
            <w:tcW w:w="1045" w:type="dxa"/>
            <w:tcBorders>
              <w:top w:val="single" w:sz="4" w:space="0" w:color="auto"/>
              <w:left w:val="nil"/>
              <w:bottom w:val="single" w:sz="4" w:space="0" w:color="auto"/>
              <w:right w:val="nil"/>
            </w:tcBorders>
            <w:shd w:val="clear" w:color="000000" w:fill="8DB3E2"/>
            <w:vAlign w:val="center"/>
          </w:tcPr>
          <w:p w14:paraId="03F34409" w14:textId="77777777" w:rsidR="00FF24A8" w:rsidRPr="00FF24A8" w:rsidRDefault="00FF24A8" w:rsidP="00EF5DD6">
            <w:pPr>
              <w:pStyle w:val="cuadroCabe"/>
              <w:jc w:val="right"/>
            </w:pPr>
            <w:r w:rsidRPr="00FF24A8">
              <w:t>3</w:t>
            </w:r>
          </w:p>
        </w:tc>
      </w:tr>
    </w:tbl>
    <w:p w14:paraId="71C7CD82" w14:textId="77777777" w:rsidR="00EF5DD6" w:rsidRDefault="00EF5DD6" w:rsidP="00286F49">
      <w:pPr>
        <w:pStyle w:val="texto"/>
        <w:spacing w:before="240"/>
        <w:jc w:val="both"/>
      </w:pPr>
    </w:p>
    <w:p w14:paraId="1923E5E5" w14:textId="77777777" w:rsidR="00EF5DD6" w:rsidRDefault="00EF5DD6">
      <w:r>
        <w:br w:type="page"/>
      </w:r>
    </w:p>
    <w:p w14:paraId="11374ACD" w14:textId="77777777" w:rsidR="00702E3B" w:rsidRDefault="00702E3B" w:rsidP="00702E3B">
      <w:pPr>
        <w:pStyle w:val="texto"/>
        <w:spacing w:before="120" w:after="240"/>
        <w:jc w:val="both"/>
      </w:pPr>
      <w:r>
        <w:lastRenderedPageBreak/>
        <w:t>Si agrupamos las categorías de gasto anteriores por políticas de gasto, en servicios públicos básicos, gastos sociales (actuaciones de protección y promoción social y producción de bienes de carácter preferente), actuaciones de carácter económico y actuaciones de carácter general, la distribución del gasto en 2023 es la siguiente:</w:t>
      </w:r>
    </w:p>
    <w:p w14:paraId="113D4E54" w14:textId="77777777" w:rsidR="00702E3B" w:rsidRDefault="00702E3B" w:rsidP="00702E3B">
      <w:pPr>
        <w:pStyle w:val="texto"/>
        <w:spacing w:before="120" w:after="240"/>
      </w:pPr>
      <w:r>
        <w:rPr>
          <w:noProof/>
        </w:rPr>
        <w:drawing>
          <wp:inline distT="0" distB="0" distL="0" distR="0" wp14:anchorId="7BFB988A" wp14:editId="7E17D4CC">
            <wp:extent cx="5410200" cy="1952625"/>
            <wp:effectExtent l="0" t="0" r="0" b="9525"/>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7F2944D" w14:textId="77777777" w:rsidR="00F56DD8" w:rsidRDefault="00614DC4" w:rsidP="009604B1">
      <w:pPr>
        <w:pStyle w:val="texto"/>
        <w:spacing w:before="240" w:after="240"/>
        <w:jc w:val="both"/>
      </w:pPr>
      <w:r w:rsidRPr="00F62149">
        <w:t>En 202</w:t>
      </w:r>
      <w:r w:rsidR="00FF24A8" w:rsidRPr="00F62149">
        <w:t>3</w:t>
      </w:r>
      <w:r w:rsidRPr="00F62149">
        <w:t xml:space="preserve">, </w:t>
      </w:r>
      <w:r w:rsidR="00F56DD8">
        <w:t xml:space="preserve">las políticas de gastos más significativas </w:t>
      </w:r>
      <w:r w:rsidR="003D09D7">
        <w:t xml:space="preserve">fueron </w:t>
      </w:r>
      <w:r w:rsidR="00F56DD8">
        <w:t xml:space="preserve">las siguientes: </w:t>
      </w:r>
    </w:p>
    <w:p w14:paraId="3030391F" w14:textId="77777777" w:rsidR="00AC6A84" w:rsidRPr="005D070A" w:rsidRDefault="00AC6A84" w:rsidP="005D070A">
      <w:pPr>
        <w:pStyle w:val="texto"/>
        <w:spacing w:before="120" w:after="120"/>
        <w:jc w:val="right"/>
        <w:rPr>
          <w:rFonts w:ascii="Arial" w:hAnsi="Arial" w:cs="Arial"/>
          <w:sz w:val="17"/>
          <w:szCs w:val="17"/>
        </w:rPr>
      </w:pPr>
      <w:r w:rsidRPr="005D070A">
        <w:rPr>
          <w:rFonts w:ascii="Arial" w:hAnsi="Arial" w:cs="Arial"/>
          <w:sz w:val="17"/>
          <w:szCs w:val="17"/>
        </w:rPr>
        <w:t>(en miles)</w:t>
      </w:r>
    </w:p>
    <w:tbl>
      <w:tblPr>
        <w:tblW w:w="8789" w:type="dxa"/>
        <w:tblCellMar>
          <w:left w:w="70" w:type="dxa"/>
          <w:right w:w="70" w:type="dxa"/>
        </w:tblCellMar>
        <w:tblLook w:val="04A0" w:firstRow="1" w:lastRow="0" w:firstColumn="1" w:lastColumn="0" w:noHBand="0" w:noVBand="1"/>
      </w:tblPr>
      <w:tblGrid>
        <w:gridCol w:w="4277"/>
        <w:gridCol w:w="1611"/>
        <w:gridCol w:w="2901"/>
      </w:tblGrid>
      <w:tr w:rsidR="00F56DD8" w:rsidRPr="008E1ED9" w14:paraId="3B64763B" w14:textId="77777777" w:rsidTr="005D070A">
        <w:trPr>
          <w:trHeight w:val="255"/>
        </w:trPr>
        <w:tc>
          <w:tcPr>
            <w:tcW w:w="4277" w:type="dxa"/>
            <w:tcBorders>
              <w:top w:val="single" w:sz="4" w:space="0" w:color="auto"/>
              <w:bottom w:val="single" w:sz="4" w:space="0" w:color="auto"/>
            </w:tcBorders>
            <w:shd w:val="clear" w:color="auto" w:fill="8DB3E2" w:themeFill="text2" w:themeFillTint="66"/>
            <w:vAlign w:val="center"/>
          </w:tcPr>
          <w:p w14:paraId="450C2A83" w14:textId="77777777" w:rsidR="00F56DD8" w:rsidRPr="008E1ED9" w:rsidRDefault="00F56DD8" w:rsidP="00EF5DD6">
            <w:pPr>
              <w:pStyle w:val="cuadroCabe"/>
            </w:pPr>
            <w:r w:rsidRPr="008E1ED9">
              <w:t>Política de gasto</w:t>
            </w:r>
          </w:p>
        </w:tc>
        <w:tc>
          <w:tcPr>
            <w:tcW w:w="1611" w:type="dxa"/>
            <w:tcBorders>
              <w:top w:val="single" w:sz="4" w:space="0" w:color="auto"/>
              <w:bottom w:val="single" w:sz="4" w:space="0" w:color="auto"/>
            </w:tcBorders>
            <w:shd w:val="clear" w:color="auto" w:fill="8DB3E2" w:themeFill="text2" w:themeFillTint="66"/>
            <w:vAlign w:val="center"/>
          </w:tcPr>
          <w:p w14:paraId="7EC7ABAB" w14:textId="77777777" w:rsidR="00F56DD8" w:rsidRPr="008E1ED9" w:rsidRDefault="00F56DD8" w:rsidP="009604B1">
            <w:pPr>
              <w:pStyle w:val="cuadroCabe"/>
              <w:ind w:left="130"/>
              <w:jc w:val="right"/>
              <w:rPr>
                <w:bCs/>
              </w:rPr>
            </w:pPr>
            <w:r w:rsidRPr="008E1ED9">
              <w:rPr>
                <w:bCs/>
              </w:rPr>
              <w:t>ORN 202</w:t>
            </w:r>
            <w:r>
              <w:rPr>
                <w:bCs/>
              </w:rPr>
              <w:t>3</w:t>
            </w:r>
          </w:p>
        </w:tc>
        <w:tc>
          <w:tcPr>
            <w:tcW w:w="2901" w:type="dxa"/>
            <w:tcBorders>
              <w:top w:val="single" w:sz="4" w:space="0" w:color="auto"/>
              <w:bottom w:val="single" w:sz="4" w:space="0" w:color="auto"/>
            </w:tcBorders>
            <w:shd w:val="clear" w:color="auto" w:fill="8DB3E2" w:themeFill="text2" w:themeFillTint="66"/>
            <w:vAlign w:val="center"/>
          </w:tcPr>
          <w:p w14:paraId="4D11B548" w14:textId="77777777" w:rsidR="00F56DD8" w:rsidRPr="008E1ED9" w:rsidRDefault="00F56DD8" w:rsidP="00EF5DD6">
            <w:pPr>
              <w:pStyle w:val="cuadroCabe"/>
              <w:ind w:left="703"/>
              <w:jc w:val="right"/>
              <w:rPr>
                <w:bCs/>
              </w:rPr>
            </w:pPr>
            <w:r w:rsidRPr="008E1ED9">
              <w:rPr>
                <w:bCs/>
              </w:rPr>
              <w:t>% S/ORN Totales 202</w:t>
            </w:r>
            <w:r>
              <w:rPr>
                <w:bCs/>
              </w:rPr>
              <w:t>3</w:t>
            </w:r>
          </w:p>
        </w:tc>
      </w:tr>
      <w:tr w:rsidR="00F56DD8" w14:paraId="7DCEDAE6" w14:textId="77777777" w:rsidTr="005D070A">
        <w:trPr>
          <w:trHeight w:val="198"/>
        </w:trPr>
        <w:tc>
          <w:tcPr>
            <w:tcW w:w="4277" w:type="dxa"/>
            <w:tcBorders>
              <w:top w:val="single" w:sz="4" w:space="0" w:color="auto"/>
              <w:bottom w:val="single" w:sz="2" w:space="0" w:color="auto"/>
            </w:tcBorders>
            <w:vAlign w:val="center"/>
            <w:hideMark/>
          </w:tcPr>
          <w:p w14:paraId="18187E91" w14:textId="77777777" w:rsidR="00F56DD8" w:rsidRDefault="00F56DD8" w:rsidP="00EF5DD6">
            <w:pPr>
              <w:pStyle w:val="cuatexto"/>
            </w:pPr>
            <w:r>
              <w:t>Sanidad</w:t>
            </w:r>
          </w:p>
        </w:tc>
        <w:tc>
          <w:tcPr>
            <w:tcW w:w="1611" w:type="dxa"/>
            <w:tcBorders>
              <w:top w:val="single" w:sz="4" w:space="0" w:color="auto"/>
              <w:left w:val="nil"/>
              <w:bottom w:val="single" w:sz="2" w:space="0" w:color="auto"/>
              <w:right w:val="nil"/>
            </w:tcBorders>
            <w:shd w:val="clear" w:color="auto" w:fill="auto"/>
            <w:vAlign w:val="center"/>
          </w:tcPr>
          <w:p w14:paraId="7EBC3EF0" w14:textId="77777777" w:rsidR="00F56DD8" w:rsidRPr="00FF24A8" w:rsidRDefault="00F56DD8" w:rsidP="00EF5DD6">
            <w:pPr>
              <w:pStyle w:val="cuatexto"/>
              <w:jc w:val="right"/>
              <w:rPr>
                <w:rFonts w:cs="Calibri"/>
                <w:color w:val="000000"/>
              </w:rPr>
            </w:pPr>
            <w:r w:rsidRPr="00FF24A8">
              <w:rPr>
                <w:rFonts w:cs="Calibri"/>
                <w:color w:val="000000"/>
              </w:rPr>
              <w:t>1.407.489</w:t>
            </w:r>
          </w:p>
        </w:tc>
        <w:tc>
          <w:tcPr>
            <w:tcW w:w="2901" w:type="dxa"/>
            <w:tcBorders>
              <w:top w:val="single" w:sz="4" w:space="0" w:color="auto"/>
              <w:left w:val="nil"/>
              <w:bottom w:val="single" w:sz="2" w:space="0" w:color="auto"/>
              <w:right w:val="nil"/>
            </w:tcBorders>
            <w:shd w:val="clear" w:color="auto" w:fill="auto"/>
            <w:vAlign w:val="center"/>
          </w:tcPr>
          <w:p w14:paraId="16C77B38" w14:textId="77777777" w:rsidR="00F56DD8" w:rsidRPr="00FF24A8" w:rsidRDefault="00F56DD8" w:rsidP="00EF5DD6">
            <w:pPr>
              <w:pStyle w:val="cuatexto"/>
              <w:tabs>
                <w:tab w:val="clear" w:pos="2835"/>
                <w:tab w:val="right" w:pos="2687"/>
              </w:tabs>
              <w:jc w:val="right"/>
              <w:rPr>
                <w:rFonts w:cs="Calibri"/>
                <w:bCs/>
              </w:rPr>
            </w:pPr>
            <w:r w:rsidRPr="00FF24A8">
              <w:rPr>
                <w:rFonts w:cs="Calibri"/>
                <w:bCs/>
              </w:rPr>
              <w:t>24</w:t>
            </w:r>
          </w:p>
        </w:tc>
      </w:tr>
      <w:tr w:rsidR="00F56DD8" w14:paraId="485168D1" w14:textId="77777777" w:rsidTr="005D070A">
        <w:trPr>
          <w:trHeight w:val="198"/>
        </w:trPr>
        <w:tc>
          <w:tcPr>
            <w:tcW w:w="4277" w:type="dxa"/>
            <w:tcBorders>
              <w:top w:val="single" w:sz="2" w:space="0" w:color="auto"/>
              <w:bottom w:val="single" w:sz="2" w:space="0" w:color="auto"/>
            </w:tcBorders>
            <w:vAlign w:val="center"/>
            <w:hideMark/>
          </w:tcPr>
          <w:p w14:paraId="03B0954E" w14:textId="77777777" w:rsidR="00F56DD8" w:rsidRDefault="00F56DD8" w:rsidP="00EF5DD6">
            <w:pPr>
              <w:pStyle w:val="cuatexto"/>
            </w:pPr>
            <w:r>
              <w:t>Educación</w:t>
            </w:r>
          </w:p>
        </w:tc>
        <w:tc>
          <w:tcPr>
            <w:tcW w:w="1611" w:type="dxa"/>
            <w:tcBorders>
              <w:top w:val="single" w:sz="2" w:space="0" w:color="auto"/>
              <w:left w:val="nil"/>
              <w:bottom w:val="single" w:sz="2" w:space="0" w:color="auto"/>
              <w:right w:val="nil"/>
            </w:tcBorders>
            <w:shd w:val="clear" w:color="auto" w:fill="auto"/>
            <w:vAlign w:val="center"/>
          </w:tcPr>
          <w:p w14:paraId="285C8C9B" w14:textId="77777777" w:rsidR="00F56DD8" w:rsidRPr="00FF24A8" w:rsidRDefault="00F56DD8" w:rsidP="00EF5DD6">
            <w:pPr>
              <w:pStyle w:val="cuatexto"/>
              <w:jc w:val="right"/>
              <w:rPr>
                <w:rFonts w:cs="Calibri"/>
                <w:color w:val="000000"/>
              </w:rPr>
            </w:pPr>
            <w:r w:rsidRPr="00FF24A8">
              <w:rPr>
                <w:rFonts w:cs="Calibri"/>
                <w:color w:val="000000"/>
              </w:rPr>
              <w:t>935.766</w:t>
            </w:r>
          </w:p>
        </w:tc>
        <w:tc>
          <w:tcPr>
            <w:tcW w:w="2901" w:type="dxa"/>
            <w:tcBorders>
              <w:top w:val="single" w:sz="2" w:space="0" w:color="auto"/>
              <w:left w:val="nil"/>
              <w:bottom w:val="single" w:sz="2" w:space="0" w:color="auto"/>
              <w:right w:val="nil"/>
            </w:tcBorders>
            <w:shd w:val="clear" w:color="auto" w:fill="auto"/>
            <w:vAlign w:val="center"/>
          </w:tcPr>
          <w:p w14:paraId="018AE3CA" w14:textId="77777777" w:rsidR="00F56DD8" w:rsidRPr="00FF24A8" w:rsidRDefault="00F56DD8" w:rsidP="00EF5DD6">
            <w:pPr>
              <w:pStyle w:val="cuatexto"/>
              <w:tabs>
                <w:tab w:val="clear" w:pos="2835"/>
                <w:tab w:val="right" w:pos="2687"/>
              </w:tabs>
              <w:jc w:val="right"/>
              <w:rPr>
                <w:rFonts w:cs="Calibri"/>
                <w:bCs/>
              </w:rPr>
            </w:pPr>
            <w:r w:rsidRPr="00FF24A8">
              <w:rPr>
                <w:rFonts w:cs="Calibri"/>
                <w:bCs/>
              </w:rPr>
              <w:t>16</w:t>
            </w:r>
          </w:p>
        </w:tc>
      </w:tr>
      <w:tr w:rsidR="00F56DD8" w14:paraId="715859E4" w14:textId="77777777" w:rsidTr="005D070A">
        <w:trPr>
          <w:trHeight w:val="198"/>
        </w:trPr>
        <w:tc>
          <w:tcPr>
            <w:tcW w:w="4277" w:type="dxa"/>
            <w:tcBorders>
              <w:top w:val="single" w:sz="2" w:space="0" w:color="auto"/>
              <w:bottom w:val="single" w:sz="2" w:space="0" w:color="auto"/>
            </w:tcBorders>
            <w:vAlign w:val="center"/>
            <w:hideMark/>
          </w:tcPr>
          <w:p w14:paraId="762EE8C0" w14:textId="77777777" w:rsidR="00F56DD8" w:rsidRDefault="00F56DD8" w:rsidP="00EF5DD6">
            <w:pPr>
              <w:pStyle w:val="cuatexto"/>
            </w:pPr>
            <w:r>
              <w:t>Convenio Económico con el Estado</w:t>
            </w:r>
          </w:p>
        </w:tc>
        <w:tc>
          <w:tcPr>
            <w:tcW w:w="1611" w:type="dxa"/>
            <w:tcBorders>
              <w:top w:val="single" w:sz="2" w:space="0" w:color="auto"/>
              <w:left w:val="nil"/>
              <w:bottom w:val="single" w:sz="2" w:space="0" w:color="auto"/>
              <w:right w:val="nil"/>
            </w:tcBorders>
            <w:shd w:val="clear" w:color="auto" w:fill="auto"/>
            <w:vAlign w:val="center"/>
          </w:tcPr>
          <w:p w14:paraId="00A3F65B" w14:textId="77777777" w:rsidR="00F56DD8" w:rsidRPr="00FF24A8" w:rsidRDefault="00F56DD8" w:rsidP="00EF5DD6">
            <w:pPr>
              <w:pStyle w:val="cuatexto"/>
              <w:jc w:val="right"/>
              <w:rPr>
                <w:rFonts w:cs="Calibri"/>
                <w:color w:val="000000"/>
              </w:rPr>
            </w:pPr>
            <w:r w:rsidRPr="00FF24A8">
              <w:rPr>
                <w:rFonts w:cs="Calibri"/>
                <w:color w:val="000000"/>
              </w:rPr>
              <w:t>911.820</w:t>
            </w:r>
          </w:p>
        </w:tc>
        <w:tc>
          <w:tcPr>
            <w:tcW w:w="2901" w:type="dxa"/>
            <w:tcBorders>
              <w:top w:val="single" w:sz="2" w:space="0" w:color="auto"/>
              <w:left w:val="nil"/>
              <w:bottom w:val="single" w:sz="2" w:space="0" w:color="auto"/>
              <w:right w:val="nil"/>
            </w:tcBorders>
            <w:shd w:val="clear" w:color="auto" w:fill="auto"/>
            <w:vAlign w:val="center"/>
          </w:tcPr>
          <w:p w14:paraId="2D2EA40D" w14:textId="77777777" w:rsidR="00F56DD8" w:rsidRPr="00FF24A8" w:rsidRDefault="00F56DD8" w:rsidP="00EF5DD6">
            <w:pPr>
              <w:pStyle w:val="cuatexto"/>
              <w:tabs>
                <w:tab w:val="clear" w:pos="2835"/>
                <w:tab w:val="right" w:pos="2687"/>
              </w:tabs>
              <w:jc w:val="right"/>
              <w:rPr>
                <w:rFonts w:cs="Calibri"/>
                <w:bCs/>
              </w:rPr>
            </w:pPr>
            <w:r w:rsidRPr="00FF24A8">
              <w:rPr>
                <w:rFonts w:cs="Calibri"/>
                <w:bCs/>
              </w:rPr>
              <w:t>16</w:t>
            </w:r>
          </w:p>
        </w:tc>
      </w:tr>
      <w:tr w:rsidR="00F56DD8" w14:paraId="2415EA62" w14:textId="77777777" w:rsidTr="006728F8">
        <w:trPr>
          <w:trHeight w:val="198"/>
        </w:trPr>
        <w:tc>
          <w:tcPr>
            <w:tcW w:w="4277" w:type="dxa"/>
            <w:tcBorders>
              <w:top w:val="single" w:sz="2" w:space="0" w:color="auto"/>
              <w:bottom w:val="single" w:sz="4" w:space="0" w:color="auto"/>
            </w:tcBorders>
            <w:vAlign w:val="center"/>
          </w:tcPr>
          <w:p w14:paraId="657D7CFE" w14:textId="77777777" w:rsidR="00F56DD8" w:rsidRDefault="00F56DD8" w:rsidP="00EF5DD6">
            <w:pPr>
              <w:pStyle w:val="cuatexto"/>
            </w:pPr>
            <w:proofErr w:type="gramStart"/>
            <w:r>
              <w:t>Servicios sociales y promoción social</w:t>
            </w:r>
            <w:proofErr w:type="gramEnd"/>
          </w:p>
        </w:tc>
        <w:tc>
          <w:tcPr>
            <w:tcW w:w="1611" w:type="dxa"/>
            <w:tcBorders>
              <w:top w:val="single" w:sz="2" w:space="0" w:color="auto"/>
              <w:left w:val="nil"/>
              <w:bottom w:val="single" w:sz="4" w:space="0" w:color="auto"/>
              <w:right w:val="nil"/>
            </w:tcBorders>
            <w:shd w:val="clear" w:color="auto" w:fill="auto"/>
            <w:vAlign w:val="center"/>
          </w:tcPr>
          <w:p w14:paraId="1A3119EE" w14:textId="77777777" w:rsidR="00F56DD8" w:rsidRPr="00FF24A8" w:rsidRDefault="00F56DD8" w:rsidP="00EF5DD6">
            <w:pPr>
              <w:pStyle w:val="cuatexto"/>
              <w:jc w:val="right"/>
              <w:rPr>
                <w:rFonts w:cs="Calibri"/>
                <w:color w:val="000000"/>
              </w:rPr>
            </w:pPr>
            <w:r w:rsidRPr="00FF24A8">
              <w:rPr>
                <w:rFonts w:cs="Calibri"/>
                <w:color w:val="000000"/>
              </w:rPr>
              <w:t>540.582</w:t>
            </w:r>
          </w:p>
        </w:tc>
        <w:tc>
          <w:tcPr>
            <w:tcW w:w="2901" w:type="dxa"/>
            <w:tcBorders>
              <w:top w:val="single" w:sz="2" w:space="0" w:color="auto"/>
              <w:left w:val="nil"/>
              <w:bottom w:val="single" w:sz="4" w:space="0" w:color="auto"/>
              <w:right w:val="nil"/>
            </w:tcBorders>
            <w:shd w:val="clear" w:color="auto" w:fill="auto"/>
            <w:vAlign w:val="center"/>
          </w:tcPr>
          <w:p w14:paraId="68BC8A63" w14:textId="77777777" w:rsidR="00F56DD8" w:rsidRPr="00FF24A8" w:rsidRDefault="00F56DD8" w:rsidP="00EF5DD6">
            <w:pPr>
              <w:pStyle w:val="cuatexto"/>
              <w:tabs>
                <w:tab w:val="clear" w:pos="2835"/>
                <w:tab w:val="right" w:pos="2687"/>
              </w:tabs>
              <w:jc w:val="right"/>
              <w:rPr>
                <w:rFonts w:cs="Calibri"/>
                <w:bCs/>
              </w:rPr>
            </w:pPr>
            <w:r w:rsidRPr="00FF24A8">
              <w:rPr>
                <w:rFonts w:cs="Calibri"/>
                <w:bCs/>
              </w:rPr>
              <w:t>9</w:t>
            </w:r>
          </w:p>
        </w:tc>
      </w:tr>
      <w:tr w:rsidR="00F56DD8" w14:paraId="4C654AC7" w14:textId="77777777" w:rsidTr="00413ADE">
        <w:trPr>
          <w:trHeight w:val="198"/>
        </w:trPr>
        <w:tc>
          <w:tcPr>
            <w:tcW w:w="4277" w:type="dxa"/>
            <w:tcBorders>
              <w:top w:val="single" w:sz="4" w:space="0" w:color="auto"/>
              <w:bottom w:val="single" w:sz="4" w:space="0" w:color="auto"/>
            </w:tcBorders>
            <w:vAlign w:val="center"/>
            <w:hideMark/>
          </w:tcPr>
          <w:p w14:paraId="77CD7316" w14:textId="77777777" w:rsidR="00F56DD8" w:rsidRDefault="00F56DD8" w:rsidP="00EF5DD6">
            <w:pPr>
              <w:pStyle w:val="cuatexto"/>
            </w:pPr>
            <w:r>
              <w:t>Deuda pública</w:t>
            </w:r>
          </w:p>
        </w:tc>
        <w:tc>
          <w:tcPr>
            <w:tcW w:w="1611" w:type="dxa"/>
            <w:tcBorders>
              <w:top w:val="single" w:sz="4" w:space="0" w:color="auto"/>
              <w:left w:val="nil"/>
              <w:bottom w:val="single" w:sz="4" w:space="0" w:color="auto"/>
              <w:right w:val="nil"/>
            </w:tcBorders>
            <w:shd w:val="clear" w:color="auto" w:fill="auto"/>
            <w:vAlign w:val="center"/>
          </w:tcPr>
          <w:p w14:paraId="1FC509C1" w14:textId="77777777" w:rsidR="00F56DD8" w:rsidRPr="00FF24A8" w:rsidRDefault="00F56DD8" w:rsidP="00EF5DD6">
            <w:pPr>
              <w:pStyle w:val="cuatexto"/>
              <w:jc w:val="right"/>
              <w:rPr>
                <w:rFonts w:cs="Calibri"/>
                <w:color w:val="000000"/>
              </w:rPr>
            </w:pPr>
            <w:r w:rsidRPr="00FF24A8">
              <w:rPr>
                <w:rFonts w:cs="Calibri"/>
                <w:color w:val="000000"/>
              </w:rPr>
              <w:t>262.921</w:t>
            </w:r>
          </w:p>
        </w:tc>
        <w:tc>
          <w:tcPr>
            <w:tcW w:w="2901" w:type="dxa"/>
            <w:tcBorders>
              <w:top w:val="single" w:sz="4" w:space="0" w:color="auto"/>
              <w:left w:val="nil"/>
              <w:bottom w:val="single" w:sz="4" w:space="0" w:color="auto"/>
              <w:right w:val="nil"/>
            </w:tcBorders>
            <w:shd w:val="clear" w:color="auto" w:fill="auto"/>
            <w:vAlign w:val="center"/>
          </w:tcPr>
          <w:p w14:paraId="65140734" w14:textId="77777777" w:rsidR="00F56DD8" w:rsidRPr="00FF24A8" w:rsidRDefault="00F56DD8" w:rsidP="00EF5DD6">
            <w:pPr>
              <w:pStyle w:val="cuatexto"/>
              <w:tabs>
                <w:tab w:val="clear" w:pos="2835"/>
                <w:tab w:val="right" w:pos="2687"/>
              </w:tabs>
              <w:jc w:val="right"/>
              <w:rPr>
                <w:rFonts w:cs="Calibri"/>
                <w:bCs/>
              </w:rPr>
            </w:pPr>
            <w:r w:rsidRPr="00FF24A8">
              <w:rPr>
                <w:rFonts w:cs="Calibri"/>
                <w:bCs/>
              </w:rPr>
              <w:t>5</w:t>
            </w:r>
          </w:p>
        </w:tc>
      </w:tr>
    </w:tbl>
    <w:p w14:paraId="64F29BEB" w14:textId="77777777" w:rsidR="003D09D7" w:rsidRPr="006831FA" w:rsidRDefault="00614DC4" w:rsidP="005D070A">
      <w:pPr>
        <w:pStyle w:val="texto"/>
        <w:spacing w:before="240" w:after="240"/>
        <w:jc w:val="both"/>
      </w:pPr>
      <w:r w:rsidRPr="006831FA">
        <w:t>Sobre 202</w:t>
      </w:r>
      <w:r w:rsidR="00FF24A8" w:rsidRPr="006831FA">
        <w:t>2</w:t>
      </w:r>
      <w:r w:rsidRPr="006831FA">
        <w:t xml:space="preserve">, </w:t>
      </w:r>
      <w:r w:rsidR="006831FA" w:rsidRPr="006831FA">
        <w:t>las variaciones más significativa</w:t>
      </w:r>
      <w:r w:rsidR="00F56DD8" w:rsidRPr="006831FA">
        <w:t xml:space="preserve">s </w:t>
      </w:r>
      <w:r w:rsidR="006831FA" w:rsidRPr="006831FA">
        <w:t>son las siguientes:</w:t>
      </w:r>
    </w:p>
    <w:p w14:paraId="4A54683A" w14:textId="77777777" w:rsidR="005C0C30" w:rsidRDefault="006831FA" w:rsidP="005D070A">
      <w:pPr>
        <w:pStyle w:val="texto"/>
        <w:numPr>
          <w:ilvl w:val="0"/>
          <w:numId w:val="9"/>
        </w:numPr>
        <w:ind w:left="641" w:hanging="357"/>
        <w:jc w:val="both"/>
      </w:pPr>
      <w:r w:rsidRPr="006831FA">
        <w:t>Incrementos en políticas de gasto</w:t>
      </w:r>
    </w:p>
    <w:p w14:paraId="232F5B74" w14:textId="77777777" w:rsidR="00AC6A84" w:rsidRDefault="00AC6A84" w:rsidP="002D69C2">
      <w:pPr>
        <w:pStyle w:val="texto"/>
        <w:spacing w:after="60"/>
        <w:ind w:left="641" w:firstLine="0"/>
        <w:jc w:val="right"/>
      </w:pPr>
      <w:r w:rsidRPr="005D070A">
        <w:rPr>
          <w:rFonts w:ascii="Arial" w:hAnsi="Arial" w:cs="Arial"/>
          <w:sz w:val="17"/>
          <w:szCs w:val="17"/>
        </w:rPr>
        <w:t>(en miles</w:t>
      </w:r>
      <w:r>
        <w:rPr>
          <w:rFonts w:ascii="Arial Narrow" w:hAnsi="Arial Narrow" w:cs="Arial"/>
          <w:szCs w:val="18"/>
        </w:rPr>
        <w:t>)</w:t>
      </w:r>
    </w:p>
    <w:tbl>
      <w:tblPr>
        <w:tblW w:w="8789" w:type="dxa"/>
        <w:tblCellMar>
          <w:left w:w="70" w:type="dxa"/>
          <w:right w:w="70" w:type="dxa"/>
        </w:tblCellMar>
        <w:tblLook w:val="04A0" w:firstRow="1" w:lastRow="0" w:firstColumn="1" w:lastColumn="0" w:noHBand="0" w:noVBand="1"/>
      </w:tblPr>
      <w:tblGrid>
        <w:gridCol w:w="3312"/>
        <w:gridCol w:w="1271"/>
        <w:gridCol w:w="1509"/>
        <w:gridCol w:w="1214"/>
        <w:gridCol w:w="1483"/>
      </w:tblGrid>
      <w:tr w:rsidR="005C0C30" w:rsidRPr="006831FA" w14:paraId="206652D0" w14:textId="77777777" w:rsidTr="005D070A">
        <w:trPr>
          <w:trHeight w:val="255"/>
        </w:trPr>
        <w:tc>
          <w:tcPr>
            <w:tcW w:w="3312" w:type="dxa"/>
            <w:tcBorders>
              <w:top w:val="single" w:sz="4" w:space="0" w:color="auto"/>
              <w:bottom w:val="single" w:sz="4" w:space="0" w:color="auto"/>
            </w:tcBorders>
            <w:shd w:val="clear" w:color="auto" w:fill="8DB3E2" w:themeFill="text2" w:themeFillTint="66"/>
            <w:vAlign w:val="center"/>
          </w:tcPr>
          <w:p w14:paraId="6AD43792" w14:textId="77777777" w:rsidR="005C0C30" w:rsidRPr="006831FA" w:rsidRDefault="005C0C30" w:rsidP="00131A5E">
            <w:pPr>
              <w:pStyle w:val="cuadroCabe"/>
            </w:pPr>
            <w:r w:rsidRPr="006831FA">
              <w:t>Política de gasto</w:t>
            </w:r>
          </w:p>
        </w:tc>
        <w:tc>
          <w:tcPr>
            <w:tcW w:w="1271" w:type="dxa"/>
            <w:tcBorders>
              <w:top w:val="single" w:sz="4" w:space="0" w:color="auto"/>
              <w:bottom w:val="single" w:sz="4" w:space="0" w:color="auto"/>
            </w:tcBorders>
            <w:shd w:val="clear" w:color="auto" w:fill="8DB3E2" w:themeFill="text2" w:themeFillTint="66"/>
            <w:vAlign w:val="center"/>
          </w:tcPr>
          <w:p w14:paraId="6A64D259" w14:textId="77777777" w:rsidR="005C0C30" w:rsidRPr="006831FA" w:rsidRDefault="005C0C30" w:rsidP="00131A5E">
            <w:pPr>
              <w:pStyle w:val="cuadroCabe"/>
              <w:jc w:val="right"/>
              <w:rPr>
                <w:bCs/>
              </w:rPr>
            </w:pPr>
            <w:r w:rsidRPr="006831FA">
              <w:rPr>
                <w:bCs/>
              </w:rPr>
              <w:t>ORN 2022</w:t>
            </w:r>
          </w:p>
        </w:tc>
        <w:tc>
          <w:tcPr>
            <w:tcW w:w="1509" w:type="dxa"/>
            <w:tcBorders>
              <w:top w:val="single" w:sz="4" w:space="0" w:color="auto"/>
              <w:bottom w:val="single" w:sz="4" w:space="0" w:color="auto"/>
            </w:tcBorders>
            <w:shd w:val="clear" w:color="auto" w:fill="8DB3E2" w:themeFill="text2" w:themeFillTint="66"/>
            <w:vAlign w:val="center"/>
          </w:tcPr>
          <w:p w14:paraId="38E69958" w14:textId="77777777" w:rsidR="005C0C30" w:rsidRPr="006831FA" w:rsidRDefault="005C0C30" w:rsidP="00131A5E">
            <w:pPr>
              <w:pStyle w:val="cuadroCabe"/>
              <w:jc w:val="right"/>
              <w:rPr>
                <w:bCs/>
              </w:rPr>
            </w:pPr>
            <w:r w:rsidRPr="006831FA">
              <w:rPr>
                <w:bCs/>
              </w:rPr>
              <w:t>ORN 2023</w:t>
            </w:r>
          </w:p>
        </w:tc>
        <w:tc>
          <w:tcPr>
            <w:tcW w:w="1214" w:type="dxa"/>
            <w:tcBorders>
              <w:top w:val="single" w:sz="4" w:space="0" w:color="auto"/>
              <w:bottom w:val="single" w:sz="4" w:space="0" w:color="auto"/>
            </w:tcBorders>
            <w:shd w:val="clear" w:color="auto" w:fill="8DB3E2" w:themeFill="text2" w:themeFillTint="66"/>
            <w:vAlign w:val="center"/>
          </w:tcPr>
          <w:p w14:paraId="019585DC" w14:textId="77777777" w:rsidR="005C0C30" w:rsidRPr="006831FA" w:rsidRDefault="005C0C30" w:rsidP="00131A5E">
            <w:pPr>
              <w:pStyle w:val="cuadroCabe"/>
              <w:jc w:val="right"/>
              <w:rPr>
                <w:bCs/>
              </w:rPr>
            </w:pPr>
            <w:r w:rsidRPr="006831FA">
              <w:rPr>
                <w:bCs/>
              </w:rPr>
              <w:t>Diferencias</w:t>
            </w:r>
          </w:p>
        </w:tc>
        <w:tc>
          <w:tcPr>
            <w:tcW w:w="1483" w:type="dxa"/>
            <w:tcBorders>
              <w:top w:val="single" w:sz="4" w:space="0" w:color="auto"/>
              <w:bottom w:val="single" w:sz="4" w:space="0" w:color="auto"/>
            </w:tcBorders>
            <w:shd w:val="clear" w:color="auto" w:fill="8DB3E2" w:themeFill="text2" w:themeFillTint="66"/>
            <w:vAlign w:val="center"/>
          </w:tcPr>
          <w:p w14:paraId="603D07EF" w14:textId="77777777" w:rsidR="005C0C30" w:rsidRPr="006831FA" w:rsidRDefault="005C0C30" w:rsidP="00131A5E">
            <w:pPr>
              <w:pStyle w:val="cuadroCabe"/>
              <w:jc w:val="right"/>
              <w:rPr>
                <w:bCs/>
              </w:rPr>
            </w:pPr>
            <w:r w:rsidRPr="006831FA">
              <w:rPr>
                <w:bCs/>
              </w:rPr>
              <w:t>% Variación 2023/2022</w:t>
            </w:r>
          </w:p>
        </w:tc>
      </w:tr>
      <w:tr w:rsidR="005C0C30" w:rsidRPr="006831FA" w14:paraId="06633E7E" w14:textId="77777777" w:rsidTr="005D070A">
        <w:trPr>
          <w:trHeight w:val="198"/>
        </w:trPr>
        <w:tc>
          <w:tcPr>
            <w:tcW w:w="3312" w:type="dxa"/>
            <w:tcBorders>
              <w:top w:val="single" w:sz="4" w:space="0" w:color="auto"/>
              <w:bottom w:val="single" w:sz="2" w:space="0" w:color="auto"/>
            </w:tcBorders>
            <w:shd w:val="clear" w:color="auto" w:fill="auto"/>
            <w:vAlign w:val="center"/>
          </w:tcPr>
          <w:p w14:paraId="1083C597" w14:textId="77777777" w:rsidR="005C0C30" w:rsidRPr="006831FA" w:rsidRDefault="005C0C30" w:rsidP="00131A5E">
            <w:pPr>
              <w:pStyle w:val="cuatexto"/>
            </w:pPr>
            <w:proofErr w:type="gramStart"/>
            <w:r w:rsidRPr="006831FA">
              <w:t>Servicios sociales y promoción social</w:t>
            </w:r>
            <w:proofErr w:type="gramEnd"/>
          </w:p>
        </w:tc>
        <w:tc>
          <w:tcPr>
            <w:tcW w:w="1271" w:type="dxa"/>
            <w:tcBorders>
              <w:top w:val="single" w:sz="4" w:space="0" w:color="auto"/>
              <w:bottom w:val="single" w:sz="2" w:space="0" w:color="auto"/>
            </w:tcBorders>
            <w:shd w:val="clear" w:color="auto" w:fill="auto"/>
            <w:vAlign w:val="bottom"/>
          </w:tcPr>
          <w:p w14:paraId="2A3FE508" w14:textId="77777777" w:rsidR="005C0C30" w:rsidRPr="006831FA" w:rsidRDefault="005C0C30" w:rsidP="00131A5E">
            <w:pPr>
              <w:pStyle w:val="cuatexto"/>
              <w:jc w:val="right"/>
              <w:rPr>
                <w:bCs/>
              </w:rPr>
            </w:pPr>
            <w:r w:rsidRPr="006831FA">
              <w:rPr>
                <w:bCs/>
              </w:rPr>
              <w:t>423.806</w:t>
            </w:r>
          </w:p>
        </w:tc>
        <w:tc>
          <w:tcPr>
            <w:tcW w:w="1509" w:type="dxa"/>
            <w:tcBorders>
              <w:top w:val="single" w:sz="4" w:space="0" w:color="auto"/>
              <w:left w:val="nil"/>
              <w:bottom w:val="single" w:sz="2" w:space="0" w:color="auto"/>
              <w:right w:val="nil"/>
            </w:tcBorders>
            <w:shd w:val="clear" w:color="auto" w:fill="auto"/>
            <w:vAlign w:val="center"/>
          </w:tcPr>
          <w:p w14:paraId="70424011" w14:textId="77777777" w:rsidR="005C0C30" w:rsidRPr="006831FA" w:rsidRDefault="005C0C30" w:rsidP="00131A5E">
            <w:pPr>
              <w:pStyle w:val="cuatexto"/>
              <w:jc w:val="right"/>
              <w:rPr>
                <w:rFonts w:cs="Calibri"/>
              </w:rPr>
            </w:pPr>
            <w:r w:rsidRPr="006831FA">
              <w:rPr>
                <w:rFonts w:cs="Calibri"/>
              </w:rPr>
              <w:t>540.582</w:t>
            </w:r>
          </w:p>
        </w:tc>
        <w:tc>
          <w:tcPr>
            <w:tcW w:w="1214" w:type="dxa"/>
            <w:tcBorders>
              <w:top w:val="single" w:sz="4" w:space="0" w:color="auto"/>
              <w:left w:val="nil"/>
              <w:bottom w:val="single" w:sz="2" w:space="0" w:color="auto"/>
              <w:right w:val="nil"/>
            </w:tcBorders>
            <w:shd w:val="clear" w:color="auto" w:fill="auto"/>
            <w:vAlign w:val="center"/>
          </w:tcPr>
          <w:p w14:paraId="38A0B60D" w14:textId="77777777" w:rsidR="005C0C30" w:rsidRPr="006831FA" w:rsidRDefault="005C0C30" w:rsidP="00131A5E">
            <w:pPr>
              <w:pStyle w:val="cuatexto"/>
              <w:jc w:val="right"/>
              <w:rPr>
                <w:rFonts w:cs="Calibri"/>
                <w:bCs/>
              </w:rPr>
            </w:pPr>
            <w:r w:rsidRPr="006831FA">
              <w:rPr>
                <w:rFonts w:cs="Calibri"/>
                <w:bCs/>
              </w:rPr>
              <w:t>116.776</w:t>
            </w:r>
          </w:p>
        </w:tc>
        <w:tc>
          <w:tcPr>
            <w:tcW w:w="1483" w:type="dxa"/>
            <w:tcBorders>
              <w:top w:val="single" w:sz="4" w:space="0" w:color="auto"/>
              <w:left w:val="nil"/>
              <w:bottom w:val="single" w:sz="2" w:space="0" w:color="auto"/>
              <w:right w:val="nil"/>
            </w:tcBorders>
            <w:shd w:val="clear" w:color="auto" w:fill="auto"/>
            <w:vAlign w:val="center"/>
          </w:tcPr>
          <w:p w14:paraId="0874DD87" w14:textId="77777777" w:rsidR="005C0C30" w:rsidRPr="006831FA" w:rsidRDefault="005C0C30" w:rsidP="00131A5E">
            <w:pPr>
              <w:pStyle w:val="cuatexto"/>
              <w:jc w:val="right"/>
              <w:rPr>
                <w:rFonts w:cs="Calibri"/>
                <w:bCs/>
              </w:rPr>
            </w:pPr>
            <w:r w:rsidRPr="006831FA">
              <w:rPr>
                <w:rFonts w:cs="Calibri"/>
                <w:bCs/>
              </w:rPr>
              <w:t>28</w:t>
            </w:r>
          </w:p>
        </w:tc>
      </w:tr>
      <w:tr w:rsidR="005C0C30" w:rsidRPr="006831FA" w14:paraId="73425298" w14:textId="77777777" w:rsidTr="006728F8">
        <w:trPr>
          <w:trHeight w:val="198"/>
        </w:trPr>
        <w:tc>
          <w:tcPr>
            <w:tcW w:w="3312" w:type="dxa"/>
            <w:tcBorders>
              <w:top w:val="single" w:sz="2" w:space="0" w:color="auto"/>
              <w:bottom w:val="single" w:sz="4" w:space="0" w:color="auto"/>
            </w:tcBorders>
            <w:shd w:val="clear" w:color="auto" w:fill="auto"/>
            <w:vAlign w:val="center"/>
          </w:tcPr>
          <w:p w14:paraId="28610EF6" w14:textId="77777777" w:rsidR="005C0C30" w:rsidRPr="006831FA" w:rsidRDefault="005C0C30" w:rsidP="00131A5E">
            <w:pPr>
              <w:pStyle w:val="cuatexto"/>
            </w:pPr>
            <w:r>
              <w:t>Sanidad</w:t>
            </w:r>
          </w:p>
        </w:tc>
        <w:tc>
          <w:tcPr>
            <w:tcW w:w="1271" w:type="dxa"/>
            <w:tcBorders>
              <w:top w:val="single" w:sz="2" w:space="0" w:color="auto"/>
              <w:bottom w:val="single" w:sz="4" w:space="0" w:color="auto"/>
            </w:tcBorders>
            <w:shd w:val="clear" w:color="auto" w:fill="auto"/>
            <w:vAlign w:val="bottom"/>
          </w:tcPr>
          <w:p w14:paraId="2E87CD22" w14:textId="77777777" w:rsidR="005C0C30" w:rsidRPr="006831FA" w:rsidRDefault="005C0C30" w:rsidP="00131A5E">
            <w:pPr>
              <w:pStyle w:val="cuatexto"/>
              <w:jc w:val="right"/>
              <w:rPr>
                <w:bCs/>
              </w:rPr>
            </w:pPr>
            <w:r w:rsidRPr="006831FA">
              <w:rPr>
                <w:bCs/>
              </w:rPr>
              <w:t>1.310.821</w:t>
            </w:r>
          </w:p>
        </w:tc>
        <w:tc>
          <w:tcPr>
            <w:tcW w:w="1509" w:type="dxa"/>
            <w:tcBorders>
              <w:top w:val="single" w:sz="2" w:space="0" w:color="auto"/>
              <w:left w:val="nil"/>
              <w:bottom w:val="single" w:sz="4" w:space="0" w:color="auto"/>
              <w:right w:val="nil"/>
            </w:tcBorders>
            <w:shd w:val="clear" w:color="auto" w:fill="auto"/>
            <w:vAlign w:val="center"/>
          </w:tcPr>
          <w:p w14:paraId="2AD55C0F" w14:textId="77777777" w:rsidR="005C0C30" w:rsidRPr="006831FA" w:rsidRDefault="005C0C30" w:rsidP="00131A5E">
            <w:pPr>
              <w:pStyle w:val="cuatexto"/>
              <w:jc w:val="right"/>
              <w:rPr>
                <w:rFonts w:cs="Calibri"/>
              </w:rPr>
            </w:pPr>
            <w:r w:rsidRPr="006831FA">
              <w:rPr>
                <w:rFonts w:cs="Calibri"/>
              </w:rPr>
              <w:t>1.407.489</w:t>
            </w:r>
          </w:p>
        </w:tc>
        <w:tc>
          <w:tcPr>
            <w:tcW w:w="1214" w:type="dxa"/>
            <w:tcBorders>
              <w:top w:val="single" w:sz="2" w:space="0" w:color="auto"/>
              <w:left w:val="nil"/>
              <w:bottom w:val="single" w:sz="4" w:space="0" w:color="auto"/>
              <w:right w:val="nil"/>
            </w:tcBorders>
            <w:shd w:val="clear" w:color="auto" w:fill="auto"/>
            <w:vAlign w:val="center"/>
          </w:tcPr>
          <w:p w14:paraId="56396298" w14:textId="77777777" w:rsidR="005C0C30" w:rsidRPr="006831FA" w:rsidRDefault="005C0C30" w:rsidP="00131A5E">
            <w:pPr>
              <w:pStyle w:val="cuatexto"/>
              <w:jc w:val="right"/>
              <w:rPr>
                <w:rFonts w:cs="Calibri"/>
                <w:bCs/>
              </w:rPr>
            </w:pPr>
            <w:r w:rsidRPr="006831FA">
              <w:rPr>
                <w:rFonts w:cs="Calibri"/>
                <w:bCs/>
              </w:rPr>
              <w:t>96.668</w:t>
            </w:r>
          </w:p>
        </w:tc>
        <w:tc>
          <w:tcPr>
            <w:tcW w:w="1483" w:type="dxa"/>
            <w:tcBorders>
              <w:top w:val="single" w:sz="2" w:space="0" w:color="auto"/>
              <w:left w:val="nil"/>
              <w:bottom w:val="single" w:sz="4" w:space="0" w:color="auto"/>
              <w:right w:val="nil"/>
            </w:tcBorders>
            <w:shd w:val="clear" w:color="auto" w:fill="auto"/>
            <w:vAlign w:val="center"/>
          </w:tcPr>
          <w:p w14:paraId="7288556E" w14:textId="77777777" w:rsidR="005C0C30" w:rsidRPr="006831FA" w:rsidRDefault="005C0C30" w:rsidP="00131A5E">
            <w:pPr>
              <w:pStyle w:val="cuatexto"/>
              <w:jc w:val="right"/>
              <w:rPr>
                <w:rFonts w:cs="Calibri"/>
                <w:bCs/>
              </w:rPr>
            </w:pPr>
            <w:r w:rsidRPr="006831FA">
              <w:rPr>
                <w:rFonts w:cs="Calibri"/>
                <w:bCs/>
              </w:rPr>
              <w:t>7</w:t>
            </w:r>
          </w:p>
        </w:tc>
      </w:tr>
      <w:tr w:rsidR="005C0C30" w:rsidRPr="006831FA" w14:paraId="615E9C88" w14:textId="77777777" w:rsidTr="00413ADE">
        <w:trPr>
          <w:trHeight w:val="198"/>
        </w:trPr>
        <w:tc>
          <w:tcPr>
            <w:tcW w:w="3312" w:type="dxa"/>
            <w:tcBorders>
              <w:top w:val="single" w:sz="4" w:space="0" w:color="auto"/>
              <w:bottom w:val="single" w:sz="4" w:space="0" w:color="auto"/>
            </w:tcBorders>
            <w:shd w:val="clear" w:color="auto" w:fill="auto"/>
            <w:vAlign w:val="center"/>
          </w:tcPr>
          <w:p w14:paraId="52679850" w14:textId="77777777" w:rsidR="005C0C30" w:rsidRPr="006831FA" w:rsidRDefault="005C0C30" w:rsidP="00131A5E">
            <w:pPr>
              <w:pStyle w:val="cuatexto"/>
            </w:pPr>
            <w:r>
              <w:t>Educación</w:t>
            </w:r>
          </w:p>
        </w:tc>
        <w:tc>
          <w:tcPr>
            <w:tcW w:w="1271" w:type="dxa"/>
            <w:tcBorders>
              <w:top w:val="single" w:sz="4" w:space="0" w:color="auto"/>
              <w:bottom w:val="single" w:sz="4" w:space="0" w:color="auto"/>
            </w:tcBorders>
            <w:shd w:val="clear" w:color="auto" w:fill="auto"/>
            <w:vAlign w:val="bottom"/>
          </w:tcPr>
          <w:p w14:paraId="6B4B2215" w14:textId="77777777" w:rsidR="005C0C30" w:rsidRPr="006831FA" w:rsidRDefault="005C0C30" w:rsidP="00131A5E">
            <w:pPr>
              <w:pStyle w:val="cuatexto"/>
              <w:jc w:val="right"/>
              <w:rPr>
                <w:bCs/>
              </w:rPr>
            </w:pPr>
            <w:r w:rsidRPr="006831FA">
              <w:rPr>
                <w:bCs/>
              </w:rPr>
              <w:t>869.407</w:t>
            </w:r>
          </w:p>
        </w:tc>
        <w:tc>
          <w:tcPr>
            <w:tcW w:w="1509" w:type="dxa"/>
            <w:tcBorders>
              <w:top w:val="single" w:sz="4" w:space="0" w:color="auto"/>
              <w:left w:val="nil"/>
              <w:bottom w:val="single" w:sz="4" w:space="0" w:color="auto"/>
              <w:right w:val="nil"/>
            </w:tcBorders>
            <w:shd w:val="clear" w:color="auto" w:fill="auto"/>
            <w:vAlign w:val="center"/>
          </w:tcPr>
          <w:p w14:paraId="3C67647C" w14:textId="77777777" w:rsidR="005C0C30" w:rsidRPr="006831FA" w:rsidRDefault="005C0C30" w:rsidP="00131A5E">
            <w:pPr>
              <w:pStyle w:val="cuatexto"/>
              <w:jc w:val="right"/>
              <w:rPr>
                <w:rFonts w:cs="Calibri"/>
              </w:rPr>
            </w:pPr>
            <w:r w:rsidRPr="006831FA">
              <w:rPr>
                <w:rFonts w:cs="Calibri"/>
              </w:rPr>
              <w:t>935.766</w:t>
            </w:r>
          </w:p>
        </w:tc>
        <w:tc>
          <w:tcPr>
            <w:tcW w:w="1214" w:type="dxa"/>
            <w:tcBorders>
              <w:top w:val="single" w:sz="4" w:space="0" w:color="auto"/>
              <w:left w:val="nil"/>
              <w:bottom w:val="single" w:sz="4" w:space="0" w:color="auto"/>
              <w:right w:val="nil"/>
            </w:tcBorders>
            <w:shd w:val="clear" w:color="auto" w:fill="auto"/>
            <w:vAlign w:val="center"/>
          </w:tcPr>
          <w:p w14:paraId="6586AF67" w14:textId="77777777" w:rsidR="005C0C30" w:rsidRPr="006831FA" w:rsidRDefault="005C0C30" w:rsidP="00131A5E">
            <w:pPr>
              <w:pStyle w:val="cuatexto"/>
              <w:jc w:val="right"/>
              <w:rPr>
                <w:rFonts w:cs="Calibri"/>
                <w:bCs/>
              </w:rPr>
            </w:pPr>
            <w:r w:rsidRPr="006831FA">
              <w:rPr>
                <w:rFonts w:cs="Calibri"/>
                <w:bCs/>
              </w:rPr>
              <w:t>66.359</w:t>
            </w:r>
          </w:p>
        </w:tc>
        <w:tc>
          <w:tcPr>
            <w:tcW w:w="1483" w:type="dxa"/>
            <w:tcBorders>
              <w:top w:val="single" w:sz="4" w:space="0" w:color="auto"/>
              <w:left w:val="nil"/>
              <w:bottom w:val="single" w:sz="4" w:space="0" w:color="auto"/>
              <w:right w:val="nil"/>
            </w:tcBorders>
            <w:shd w:val="clear" w:color="auto" w:fill="auto"/>
            <w:vAlign w:val="center"/>
          </w:tcPr>
          <w:p w14:paraId="7B03F1C2" w14:textId="77777777" w:rsidR="005C0C30" w:rsidRPr="006831FA" w:rsidRDefault="005C0C30" w:rsidP="00131A5E">
            <w:pPr>
              <w:pStyle w:val="cuatexto"/>
              <w:jc w:val="right"/>
              <w:rPr>
                <w:rFonts w:cs="Calibri"/>
                <w:bCs/>
              </w:rPr>
            </w:pPr>
            <w:r w:rsidRPr="006831FA">
              <w:rPr>
                <w:rFonts w:cs="Calibri"/>
                <w:bCs/>
              </w:rPr>
              <w:t>8</w:t>
            </w:r>
          </w:p>
        </w:tc>
      </w:tr>
    </w:tbl>
    <w:p w14:paraId="05A7ED65" w14:textId="77777777" w:rsidR="006831FA" w:rsidRDefault="006831FA" w:rsidP="00695412">
      <w:pPr>
        <w:pStyle w:val="texto"/>
        <w:numPr>
          <w:ilvl w:val="0"/>
          <w:numId w:val="9"/>
        </w:numPr>
        <w:spacing w:before="240" w:after="120"/>
        <w:ind w:left="641" w:hanging="357"/>
        <w:jc w:val="both"/>
      </w:pPr>
      <w:r w:rsidRPr="006831FA">
        <w:t>Disminuciones en políticas de gasto</w:t>
      </w:r>
    </w:p>
    <w:p w14:paraId="164AE2F5" w14:textId="77777777" w:rsidR="00AC6A84" w:rsidRPr="00E906A4" w:rsidRDefault="00AC6A84" w:rsidP="002D69C2">
      <w:pPr>
        <w:pStyle w:val="texto"/>
        <w:spacing w:after="60"/>
        <w:ind w:left="641" w:firstLine="0"/>
        <w:jc w:val="right"/>
        <w:rPr>
          <w:rFonts w:ascii="Arial" w:hAnsi="Arial" w:cs="Arial"/>
          <w:sz w:val="18"/>
          <w:szCs w:val="18"/>
        </w:rPr>
      </w:pPr>
      <w:r w:rsidRPr="00E906A4">
        <w:rPr>
          <w:rFonts w:ascii="Arial" w:hAnsi="Arial" w:cs="Arial"/>
          <w:sz w:val="18"/>
          <w:szCs w:val="18"/>
        </w:rPr>
        <w:t>(en miles)</w:t>
      </w:r>
    </w:p>
    <w:tbl>
      <w:tblPr>
        <w:tblW w:w="8789" w:type="dxa"/>
        <w:jc w:val="center"/>
        <w:tblCellMar>
          <w:left w:w="70" w:type="dxa"/>
          <w:right w:w="70" w:type="dxa"/>
        </w:tblCellMar>
        <w:tblLook w:val="04A0" w:firstRow="1" w:lastRow="0" w:firstColumn="1" w:lastColumn="0" w:noHBand="0" w:noVBand="1"/>
      </w:tblPr>
      <w:tblGrid>
        <w:gridCol w:w="3312"/>
        <w:gridCol w:w="1271"/>
        <w:gridCol w:w="1509"/>
        <w:gridCol w:w="1214"/>
        <w:gridCol w:w="1483"/>
      </w:tblGrid>
      <w:tr w:rsidR="006831FA" w:rsidRPr="006831FA" w14:paraId="6297FA44" w14:textId="77777777" w:rsidTr="005D070A">
        <w:trPr>
          <w:trHeight w:val="255"/>
          <w:jc w:val="center"/>
        </w:trPr>
        <w:tc>
          <w:tcPr>
            <w:tcW w:w="3261" w:type="dxa"/>
            <w:tcBorders>
              <w:top w:val="single" w:sz="4" w:space="0" w:color="auto"/>
              <w:bottom w:val="single" w:sz="4" w:space="0" w:color="auto"/>
            </w:tcBorders>
            <w:shd w:val="clear" w:color="auto" w:fill="8DB3E2" w:themeFill="text2" w:themeFillTint="66"/>
            <w:vAlign w:val="center"/>
          </w:tcPr>
          <w:p w14:paraId="51F18B5F" w14:textId="77777777" w:rsidR="006831FA" w:rsidRPr="006831FA" w:rsidRDefault="006831FA" w:rsidP="001B69FC">
            <w:pPr>
              <w:pStyle w:val="cuadroCabe"/>
            </w:pPr>
            <w:r w:rsidRPr="006831FA">
              <w:t>Política de gasto</w:t>
            </w:r>
          </w:p>
        </w:tc>
        <w:tc>
          <w:tcPr>
            <w:tcW w:w="1251" w:type="dxa"/>
            <w:tcBorders>
              <w:top w:val="single" w:sz="4" w:space="0" w:color="auto"/>
              <w:bottom w:val="single" w:sz="4" w:space="0" w:color="auto"/>
            </w:tcBorders>
            <w:shd w:val="clear" w:color="auto" w:fill="8DB3E2" w:themeFill="text2" w:themeFillTint="66"/>
            <w:vAlign w:val="center"/>
          </w:tcPr>
          <w:p w14:paraId="3A7CA875" w14:textId="77777777" w:rsidR="006831FA" w:rsidRPr="006831FA" w:rsidRDefault="006831FA" w:rsidP="001B69FC">
            <w:pPr>
              <w:pStyle w:val="cuadroCabe"/>
              <w:jc w:val="right"/>
              <w:rPr>
                <w:bCs/>
              </w:rPr>
            </w:pPr>
            <w:r w:rsidRPr="006831FA">
              <w:rPr>
                <w:bCs/>
              </w:rPr>
              <w:t>ORN 2022</w:t>
            </w:r>
          </w:p>
        </w:tc>
        <w:tc>
          <w:tcPr>
            <w:tcW w:w="1485" w:type="dxa"/>
            <w:tcBorders>
              <w:top w:val="single" w:sz="4" w:space="0" w:color="auto"/>
              <w:bottom w:val="single" w:sz="4" w:space="0" w:color="auto"/>
            </w:tcBorders>
            <w:shd w:val="clear" w:color="auto" w:fill="8DB3E2" w:themeFill="text2" w:themeFillTint="66"/>
            <w:vAlign w:val="center"/>
          </w:tcPr>
          <w:p w14:paraId="5B576E63" w14:textId="77777777" w:rsidR="006831FA" w:rsidRPr="006831FA" w:rsidRDefault="006831FA" w:rsidP="001B69FC">
            <w:pPr>
              <w:pStyle w:val="cuadroCabe"/>
              <w:jc w:val="right"/>
              <w:rPr>
                <w:bCs/>
              </w:rPr>
            </w:pPr>
            <w:r w:rsidRPr="006831FA">
              <w:rPr>
                <w:bCs/>
              </w:rPr>
              <w:t>ORN 2023</w:t>
            </w:r>
          </w:p>
        </w:tc>
        <w:tc>
          <w:tcPr>
            <w:tcW w:w="1195" w:type="dxa"/>
            <w:tcBorders>
              <w:top w:val="single" w:sz="4" w:space="0" w:color="auto"/>
              <w:bottom w:val="single" w:sz="4" w:space="0" w:color="auto"/>
            </w:tcBorders>
            <w:shd w:val="clear" w:color="auto" w:fill="8DB3E2" w:themeFill="text2" w:themeFillTint="66"/>
            <w:vAlign w:val="center"/>
          </w:tcPr>
          <w:p w14:paraId="4432BCA8" w14:textId="77777777" w:rsidR="006831FA" w:rsidRPr="006831FA" w:rsidRDefault="006831FA" w:rsidP="001B69FC">
            <w:pPr>
              <w:pStyle w:val="cuadroCabe"/>
              <w:jc w:val="right"/>
              <w:rPr>
                <w:bCs/>
              </w:rPr>
            </w:pPr>
            <w:r w:rsidRPr="006831FA">
              <w:rPr>
                <w:bCs/>
              </w:rPr>
              <w:t>Diferencias</w:t>
            </w:r>
          </w:p>
        </w:tc>
        <w:tc>
          <w:tcPr>
            <w:tcW w:w="1460" w:type="dxa"/>
            <w:tcBorders>
              <w:top w:val="single" w:sz="4" w:space="0" w:color="auto"/>
              <w:bottom w:val="single" w:sz="4" w:space="0" w:color="auto"/>
            </w:tcBorders>
            <w:shd w:val="clear" w:color="auto" w:fill="8DB3E2" w:themeFill="text2" w:themeFillTint="66"/>
            <w:vAlign w:val="center"/>
          </w:tcPr>
          <w:p w14:paraId="697C5A10" w14:textId="77777777" w:rsidR="006831FA" w:rsidRPr="006831FA" w:rsidRDefault="006831FA" w:rsidP="001B69FC">
            <w:pPr>
              <w:pStyle w:val="cuadroCabe"/>
              <w:jc w:val="right"/>
              <w:rPr>
                <w:bCs/>
              </w:rPr>
            </w:pPr>
            <w:r w:rsidRPr="006831FA">
              <w:rPr>
                <w:bCs/>
              </w:rPr>
              <w:t>% Variación 2023/2022</w:t>
            </w:r>
          </w:p>
        </w:tc>
      </w:tr>
      <w:tr w:rsidR="006831FA" w:rsidRPr="006831FA" w14:paraId="2B1C6322" w14:textId="77777777" w:rsidTr="006728F8">
        <w:trPr>
          <w:trHeight w:val="198"/>
          <w:jc w:val="center"/>
        </w:trPr>
        <w:tc>
          <w:tcPr>
            <w:tcW w:w="3261" w:type="dxa"/>
            <w:tcBorders>
              <w:top w:val="single" w:sz="4" w:space="0" w:color="auto"/>
              <w:bottom w:val="single" w:sz="4" w:space="0" w:color="auto"/>
            </w:tcBorders>
            <w:shd w:val="clear" w:color="auto" w:fill="auto"/>
            <w:vAlign w:val="center"/>
          </w:tcPr>
          <w:p w14:paraId="7B68F677" w14:textId="77777777" w:rsidR="006831FA" w:rsidRPr="006831FA" w:rsidRDefault="006831FA" w:rsidP="001B69FC">
            <w:pPr>
              <w:pStyle w:val="cuatexto"/>
            </w:pPr>
            <w:r w:rsidRPr="006831FA">
              <w:t>Servicios de carácter general</w:t>
            </w:r>
          </w:p>
        </w:tc>
        <w:tc>
          <w:tcPr>
            <w:tcW w:w="1251" w:type="dxa"/>
            <w:tcBorders>
              <w:top w:val="single" w:sz="4" w:space="0" w:color="auto"/>
              <w:bottom w:val="single" w:sz="4" w:space="0" w:color="auto"/>
            </w:tcBorders>
            <w:shd w:val="clear" w:color="auto" w:fill="auto"/>
            <w:vAlign w:val="bottom"/>
          </w:tcPr>
          <w:p w14:paraId="04C4256D" w14:textId="77777777" w:rsidR="006831FA" w:rsidRPr="006831FA" w:rsidRDefault="006831FA" w:rsidP="001B69FC">
            <w:pPr>
              <w:pStyle w:val="cuatexto"/>
              <w:jc w:val="right"/>
              <w:rPr>
                <w:bCs/>
              </w:rPr>
            </w:pPr>
            <w:r w:rsidRPr="006831FA">
              <w:rPr>
                <w:bCs/>
              </w:rPr>
              <w:t>265.396</w:t>
            </w:r>
          </w:p>
        </w:tc>
        <w:tc>
          <w:tcPr>
            <w:tcW w:w="1485" w:type="dxa"/>
            <w:tcBorders>
              <w:top w:val="single" w:sz="4" w:space="0" w:color="auto"/>
              <w:left w:val="nil"/>
              <w:bottom w:val="single" w:sz="4" w:space="0" w:color="auto"/>
              <w:right w:val="nil"/>
            </w:tcBorders>
            <w:shd w:val="clear" w:color="auto" w:fill="auto"/>
            <w:vAlign w:val="center"/>
          </w:tcPr>
          <w:p w14:paraId="73DC732D" w14:textId="77777777" w:rsidR="006831FA" w:rsidRPr="006831FA" w:rsidRDefault="006831FA" w:rsidP="001B69FC">
            <w:pPr>
              <w:pStyle w:val="cuatexto"/>
              <w:jc w:val="right"/>
              <w:rPr>
                <w:rFonts w:cs="Calibri"/>
              </w:rPr>
            </w:pPr>
            <w:r w:rsidRPr="006831FA">
              <w:rPr>
                <w:rFonts w:cs="Calibri"/>
              </w:rPr>
              <w:t>174.250</w:t>
            </w:r>
          </w:p>
        </w:tc>
        <w:tc>
          <w:tcPr>
            <w:tcW w:w="1195" w:type="dxa"/>
            <w:tcBorders>
              <w:top w:val="single" w:sz="4" w:space="0" w:color="auto"/>
              <w:left w:val="nil"/>
              <w:bottom w:val="single" w:sz="4" w:space="0" w:color="auto"/>
              <w:right w:val="nil"/>
            </w:tcBorders>
            <w:shd w:val="clear" w:color="auto" w:fill="auto"/>
            <w:vAlign w:val="center"/>
          </w:tcPr>
          <w:p w14:paraId="6B3B8878" w14:textId="77777777" w:rsidR="006831FA" w:rsidRPr="006831FA" w:rsidRDefault="006831FA" w:rsidP="001B69FC">
            <w:pPr>
              <w:pStyle w:val="cuatexto"/>
              <w:jc w:val="right"/>
              <w:rPr>
                <w:rFonts w:cs="Calibri"/>
                <w:bCs/>
              </w:rPr>
            </w:pPr>
            <w:r w:rsidRPr="006831FA">
              <w:rPr>
                <w:rFonts w:cs="Calibri"/>
                <w:bCs/>
              </w:rPr>
              <w:t>-91.146</w:t>
            </w:r>
          </w:p>
        </w:tc>
        <w:tc>
          <w:tcPr>
            <w:tcW w:w="1460" w:type="dxa"/>
            <w:tcBorders>
              <w:top w:val="single" w:sz="4" w:space="0" w:color="auto"/>
              <w:left w:val="nil"/>
              <w:bottom w:val="single" w:sz="4" w:space="0" w:color="auto"/>
              <w:right w:val="nil"/>
            </w:tcBorders>
            <w:shd w:val="clear" w:color="auto" w:fill="auto"/>
            <w:vAlign w:val="center"/>
          </w:tcPr>
          <w:p w14:paraId="65EF5F00" w14:textId="77777777" w:rsidR="006831FA" w:rsidRPr="006831FA" w:rsidRDefault="006831FA" w:rsidP="001B69FC">
            <w:pPr>
              <w:pStyle w:val="cuatexto"/>
              <w:jc w:val="right"/>
              <w:rPr>
                <w:rFonts w:cs="Calibri"/>
                <w:bCs/>
              </w:rPr>
            </w:pPr>
            <w:r w:rsidRPr="006831FA">
              <w:rPr>
                <w:rFonts w:cs="Calibri"/>
                <w:bCs/>
              </w:rPr>
              <w:t>-34</w:t>
            </w:r>
          </w:p>
        </w:tc>
      </w:tr>
      <w:tr w:rsidR="006831FA" w:rsidRPr="006831FA" w14:paraId="62D5266B" w14:textId="77777777" w:rsidTr="00413ADE">
        <w:trPr>
          <w:trHeight w:val="198"/>
          <w:jc w:val="center"/>
        </w:trPr>
        <w:tc>
          <w:tcPr>
            <w:tcW w:w="3261" w:type="dxa"/>
            <w:tcBorders>
              <w:top w:val="single" w:sz="4" w:space="0" w:color="auto"/>
              <w:bottom w:val="single" w:sz="4" w:space="0" w:color="auto"/>
            </w:tcBorders>
            <w:shd w:val="clear" w:color="auto" w:fill="auto"/>
            <w:vAlign w:val="center"/>
          </w:tcPr>
          <w:p w14:paraId="7B13EAE9" w14:textId="77777777" w:rsidR="006831FA" w:rsidRPr="006831FA" w:rsidRDefault="006831FA" w:rsidP="001B69FC">
            <w:pPr>
              <w:pStyle w:val="cuatexto"/>
            </w:pPr>
            <w:r w:rsidRPr="006831FA">
              <w:t>Deuda pública</w:t>
            </w:r>
          </w:p>
        </w:tc>
        <w:tc>
          <w:tcPr>
            <w:tcW w:w="1251" w:type="dxa"/>
            <w:tcBorders>
              <w:top w:val="single" w:sz="4" w:space="0" w:color="auto"/>
              <w:bottom w:val="single" w:sz="4" w:space="0" w:color="auto"/>
            </w:tcBorders>
            <w:shd w:val="clear" w:color="auto" w:fill="auto"/>
            <w:vAlign w:val="bottom"/>
          </w:tcPr>
          <w:p w14:paraId="4627EB80" w14:textId="77777777" w:rsidR="006831FA" w:rsidRPr="006831FA" w:rsidRDefault="006831FA" w:rsidP="001B69FC">
            <w:pPr>
              <w:pStyle w:val="cuatexto"/>
              <w:jc w:val="right"/>
              <w:rPr>
                <w:bCs/>
              </w:rPr>
            </w:pPr>
            <w:r w:rsidRPr="006831FA">
              <w:rPr>
                <w:bCs/>
              </w:rPr>
              <w:t>416.511</w:t>
            </w:r>
          </w:p>
        </w:tc>
        <w:tc>
          <w:tcPr>
            <w:tcW w:w="1485" w:type="dxa"/>
            <w:tcBorders>
              <w:top w:val="single" w:sz="4" w:space="0" w:color="auto"/>
              <w:left w:val="nil"/>
              <w:bottom w:val="single" w:sz="4" w:space="0" w:color="auto"/>
              <w:right w:val="nil"/>
            </w:tcBorders>
            <w:shd w:val="clear" w:color="auto" w:fill="auto"/>
            <w:vAlign w:val="center"/>
          </w:tcPr>
          <w:p w14:paraId="048254E9" w14:textId="77777777" w:rsidR="006831FA" w:rsidRPr="006831FA" w:rsidRDefault="006831FA" w:rsidP="001B69FC">
            <w:pPr>
              <w:pStyle w:val="cuatexto"/>
              <w:jc w:val="right"/>
              <w:rPr>
                <w:rFonts w:cs="Calibri"/>
              </w:rPr>
            </w:pPr>
            <w:r w:rsidRPr="006831FA">
              <w:rPr>
                <w:rFonts w:cs="Calibri"/>
              </w:rPr>
              <w:t>262.921</w:t>
            </w:r>
          </w:p>
        </w:tc>
        <w:tc>
          <w:tcPr>
            <w:tcW w:w="1195" w:type="dxa"/>
            <w:tcBorders>
              <w:top w:val="single" w:sz="4" w:space="0" w:color="auto"/>
              <w:left w:val="nil"/>
              <w:bottom w:val="single" w:sz="4" w:space="0" w:color="auto"/>
              <w:right w:val="nil"/>
            </w:tcBorders>
            <w:shd w:val="clear" w:color="auto" w:fill="auto"/>
            <w:vAlign w:val="center"/>
          </w:tcPr>
          <w:p w14:paraId="17002618" w14:textId="77777777" w:rsidR="006831FA" w:rsidRPr="006831FA" w:rsidRDefault="006831FA" w:rsidP="001B69FC">
            <w:pPr>
              <w:pStyle w:val="cuatexto"/>
              <w:jc w:val="right"/>
              <w:rPr>
                <w:rFonts w:cs="Calibri"/>
                <w:bCs/>
              </w:rPr>
            </w:pPr>
            <w:r w:rsidRPr="006831FA">
              <w:rPr>
                <w:rFonts w:cs="Calibri"/>
                <w:bCs/>
              </w:rPr>
              <w:t>-153.590</w:t>
            </w:r>
          </w:p>
        </w:tc>
        <w:tc>
          <w:tcPr>
            <w:tcW w:w="1460" w:type="dxa"/>
            <w:tcBorders>
              <w:top w:val="single" w:sz="4" w:space="0" w:color="auto"/>
              <w:left w:val="nil"/>
              <w:bottom w:val="single" w:sz="4" w:space="0" w:color="auto"/>
              <w:right w:val="nil"/>
            </w:tcBorders>
            <w:shd w:val="clear" w:color="auto" w:fill="auto"/>
            <w:vAlign w:val="center"/>
          </w:tcPr>
          <w:p w14:paraId="7BC22A13" w14:textId="77777777" w:rsidR="006831FA" w:rsidRPr="006831FA" w:rsidRDefault="006831FA" w:rsidP="001B69FC">
            <w:pPr>
              <w:pStyle w:val="cuatexto"/>
              <w:jc w:val="right"/>
              <w:rPr>
                <w:rFonts w:cs="Calibri"/>
                <w:bCs/>
              </w:rPr>
            </w:pPr>
            <w:r w:rsidRPr="006831FA">
              <w:rPr>
                <w:rFonts w:cs="Calibri"/>
                <w:bCs/>
              </w:rPr>
              <w:t>-37</w:t>
            </w:r>
          </w:p>
        </w:tc>
      </w:tr>
    </w:tbl>
    <w:p w14:paraId="262FB91B" w14:textId="77777777" w:rsidR="008F2C70" w:rsidRDefault="008F2C70" w:rsidP="002D69C2">
      <w:pPr>
        <w:pStyle w:val="texto"/>
        <w:spacing w:before="240" w:after="120"/>
        <w:jc w:val="both"/>
      </w:pPr>
    </w:p>
    <w:p w14:paraId="0FDCF94F" w14:textId="77777777" w:rsidR="000B00E2" w:rsidRDefault="00445FF7" w:rsidP="002D69C2">
      <w:pPr>
        <w:pStyle w:val="texto"/>
        <w:spacing w:before="240" w:after="120"/>
        <w:jc w:val="both"/>
      </w:pPr>
      <w:r>
        <w:lastRenderedPageBreak/>
        <w:t xml:space="preserve">En el siguiente cuadro, reflejamos </w:t>
      </w:r>
      <w:r w:rsidR="000B00E2">
        <w:t>la evolución de</w:t>
      </w:r>
      <w:r w:rsidR="003C4C03">
        <w:t>l gasto total y</w:t>
      </w:r>
      <w:r w:rsidR="000B00E2">
        <w:t xml:space="preserve"> los gastos más significativos desde el punto de vista funcional en el periodo 2015-2023: </w:t>
      </w:r>
    </w:p>
    <w:p w14:paraId="2B54FD87" w14:textId="77777777" w:rsidR="001B1F5B" w:rsidRPr="00737D21" w:rsidRDefault="002252F6" w:rsidP="002D69C2">
      <w:pPr>
        <w:pStyle w:val="texto"/>
        <w:spacing w:after="60"/>
        <w:jc w:val="right"/>
        <w:rPr>
          <w:rFonts w:ascii="Arial" w:hAnsi="Arial" w:cs="Arial"/>
          <w:sz w:val="17"/>
          <w:szCs w:val="17"/>
        </w:rPr>
      </w:pPr>
      <w:r w:rsidRPr="00737D21">
        <w:rPr>
          <w:rFonts w:ascii="Arial" w:hAnsi="Arial" w:cs="Arial"/>
          <w:sz w:val="17"/>
          <w:szCs w:val="17"/>
        </w:rPr>
        <w:t xml:space="preserve">                                                                                                                   (en millones) </w:t>
      </w:r>
    </w:p>
    <w:tbl>
      <w:tblPr>
        <w:tblW w:w="8876" w:type="dxa"/>
        <w:tblCellMar>
          <w:left w:w="70" w:type="dxa"/>
          <w:right w:w="70" w:type="dxa"/>
        </w:tblCellMar>
        <w:tblLook w:val="04A0" w:firstRow="1" w:lastRow="0" w:firstColumn="1" w:lastColumn="0" w:noHBand="0" w:noVBand="1"/>
      </w:tblPr>
      <w:tblGrid>
        <w:gridCol w:w="992"/>
        <w:gridCol w:w="624"/>
        <w:gridCol w:w="624"/>
        <w:gridCol w:w="624"/>
        <w:gridCol w:w="624"/>
        <w:gridCol w:w="624"/>
        <w:gridCol w:w="624"/>
        <w:gridCol w:w="624"/>
        <w:gridCol w:w="624"/>
        <w:gridCol w:w="624"/>
        <w:gridCol w:w="1134"/>
        <w:gridCol w:w="1134"/>
      </w:tblGrid>
      <w:tr w:rsidR="001B1F5B" w:rsidRPr="00737D21" w14:paraId="175BF56D" w14:textId="77777777" w:rsidTr="00737D21">
        <w:trPr>
          <w:trHeight w:val="255"/>
        </w:trPr>
        <w:tc>
          <w:tcPr>
            <w:tcW w:w="992" w:type="dxa"/>
            <w:tcBorders>
              <w:top w:val="single" w:sz="4" w:space="0" w:color="auto"/>
              <w:left w:val="nil"/>
              <w:bottom w:val="single" w:sz="4" w:space="0" w:color="auto"/>
              <w:right w:val="nil"/>
            </w:tcBorders>
            <w:shd w:val="clear" w:color="000000" w:fill="8DB3E2"/>
            <w:vAlign w:val="center"/>
            <w:hideMark/>
          </w:tcPr>
          <w:p w14:paraId="768EF5DD" w14:textId="77777777" w:rsidR="001B1F5B" w:rsidRPr="00737D21" w:rsidRDefault="001B1F5B" w:rsidP="00737D21">
            <w:pPr>
              <w:rPr>
                <w:rFonts w:ascii="Arial" w:hAnsi="Arial" w:cs="Arial"/>
                <w:color w:val="000000"/>
                <w:sz w:val="16"/>
                <w:szCs w:val="16"/>
              </w:rPr>
            </w:pPr>
            <w:r w:rsidRPr="00737D21">
              <w:rPr>
                <w:rFonts w:ascii="Arial" w:hAnsi="Arial" w:cs="Arial"/>
                <w:color w:val="000000"/>
                <w:sz w:val="16"/>
                <w:szCs w:val="16"/>
              </w:rPr>
              <w:t> </w:t>
            </w:r>
            <w:r w:rsidR="007E13AD" w:rsidRPr="00737D21">
              <w:rPr>
                <w:rFonts w:ascii="Arial" w:hAnsi="Arial" w:cs="Arial"/>
                <w:color w:val="000000"/>
                <w:sz w:val="16"/>
                <w:szCs w:val="16"/>
              </w:rPr>
              <w:t xml:space="preserve">Gasto </w:t>
            </w:r>
          </w:p>
        </w:tc>
        <w:tc>
          <w:tcPr>
            <w:tcW w:w="624" w:type="dxa"/>
            <w:tcBorders>
              <w:top w:val="single" w:sz="4" w:space="0" w:color="auto"/>
              <w:left w:val="nil"/>
              <w:bottom w:val="single" w:sz="4" w:space="0" w:color="auto"/>
              <w:right w:val="nil"/>
            </w:tcBorders>
            <w:shd w:val="clear" w:color="000000" w:fill="8DB3E2"/>
            <w:vAlign w:val="center"/>
            <w:hideMark/>
          </w:tcPr>
          <w:p w14:paraId="657B069C" w14:textId="77777777" w:rsidR="001B1F5B" w:rsidRPr="00737D21" w:rsidRDefault="001B1F5B" w:rsidP="00737D21">
            <w:pPr>
              <w:jc w:val="right"/>
              <w:rPr>
                <w:rFonts w:ascii="Arial" w:hAnsi="Arial" w:cs="Arial"/>
                <w:color w:val="000000"/>
                <w:sz w:val="16"/>
                <w:szCs w:val="16"/>
              </w:rPr>
            </w:pPr>
            <w:r w:rsidRPr="00737D21">
              <w:rPr>
                <w:rFonts w:ascii="Arial" w:hAnsi="Arial" w:cs="Arial"/>
                <w:color w:val="000000"/>
                <w:sz w:val="16"/>
                <w:szCs w:val="16"/>
              </w:rPr>
              <w:t>2015</w:t>
            </w:r>
          </w:p>
        </w:tc>
        <w:tc>
          <w:tcPr>
            <w:tcW w:w="624" w:type="dxa"/>
            <w:tcBorders>
              <w:top w:val="single" w:sz="4" w:space="0" w:color="auto"/>
              <w:left w:val="nil"/>
              <w:bottom w:val="single" w:sz="4" w:space="0" w:color="auto"/>
              <w:right w:val="nil"/>
            </w:tcBorders>
            <w:shd w:val="clear" w:color="000000" w:fill="8DB3E2"/>
            <w:vAlign w:val="center"/>
            <w:hideMark/>
          </w:tcPr>
          <w:p w14:paraId="3BB97B18" w14:textId="77777777" w:rsidR="001B1F5B" w:rsidRPr="00737D21" w:rsidRDefault="001B1F5B" w:rsidP="00737D21">
            <w:pPr>
              <w:jc w:val="right"/>
              <w:rPr>
                <w:rFonts w:ascii="Arial" w:hAnsi="Arial" w:cs="Arial"/>
                <w:color w:val="000000"/>
                <w:sz w:val="16"/>
                <w:szCs w:val="16"/>
              </w:rPr>
            </w:pPr>
            <w:r w:rsidRPr="00737D21">
              <w:rPr>
                <w:rFonts w:ascii="Arial" w:hAnsi="Arial" w:cs="Arial"/>
                <w:color w:val="000000"/>
                <w:sz w:val="16"/>
                <w:szCs w:val="16"/>
              </w:rPr>
              <w:t>2016</w:t>
            </w:r>
          </w:p>
        </w:tc>
        <w:tc>
          <w:tcPr>
            <w:tcW w:w="624" w:type="dxa"/>
            <w:tcBorders>
              <w:top w:val="single" w:sz="4" w:space="0" w:color="auto"/>
              <w:left w:val="nil"/>
              <w:bottom w:val="single" w:sz="4" w:space="0" w:color="auto"/>
              <w:right w:val="nil"/>
            </w:tcBorders>
            <w:shd w:val="clear" w:color="000000" w:fill="8DB3E2"/>
            <w:vAlign w:val="center"/>
            <w:hideMark/>
          </w:tcPr>
          <w:p w14:paraId="55B41B30" w14:textId="77777777" w:rsidR="001B1F5B" w:rsidRPr="00737D21" w:rsidRDefault="001B1F5B" w:rsidP="00737D21">
            <w:pPr>
              <w:jc w:val="right"/>
              <w:rPr>
                <w:rFonts w:ascii="Arial" w:hAnsi="Arial" w:cs="Arial"/>
                <w:color w:val="000000"/>
                <w:sz w:val="16"/>
                <w:szCs w:val="16"/>
              </w:rPr>
            </w:pPr>
            <w:r w:rsidRPr="00737D21">
              <w:rPr>
                <w:rFonts w:ascii="Arial" w:hAnsi="Arial" w:cs="Arial"/>
                <w:color w:val="000000"/>
                <w:sz w:val="16"/>
                <w:szCs w:val="16"/>
              </w:rPr>
              <w:t>2017</w:t>
            </w:r>
          </w:p>
        </w:tc>
        <w:tc>
          <w:tcPr>
            <w:tcW w:w="624" w:type="dxa"/>
            <w:tcBorders>
              <w:top w:val="single" w:sz="4" w:space="0" w:color="auto"/>
              <w:left w:val="nil"/>
              <w:bottom w:val="single" w:sz="4" w:space="0" w:color="auto"/>
              <w:right w:val="nil"/>
            </w:tcBorders>
            <w:shd w:val="clear" w:color="000000" w:fill="8DB3E2"/>
            <w:vAlign w:val="center"/>
            <w:hideMark/>
          </w:tcPr>
          <w:p w14:paraId="7983E79C" w14:textId="77777777" w:rsidR="001B1F5B" w:rsidRPr="00737D21" w:rsidRDefault="001B1F5B" w:rsidP="00737D21">
            <w:pPr>
              <w:jc w:val="right"/>
              <w:rPr>
                <w:rFonts w:ascii="Arial" w:hAnsi="Arial" w:cs="Arial"/>
                <w:color w:val="000000"/>
                <w:sz w:val="16"/>
                <w:szCs w:val="16"/>
              </w:rPr>
            </w:pPr>
            <w:r w:rsidRPr="00737D21">
              <w:rPr>
                <w:rFonts w:ascii="Arial" w:hAnsi="Arial" w:cs="Arial"/>
                <w:color w:val="000000"/>
                <w:sz w:val="16"/>
                <w:szCs w:val="16"/>
              </w:rPr>
              <w:t>2018</w:t>
            </w:r>
          </w:p>
        </w:tc>
        <w:tc>
          <w:tcPr>
            <w:tcW w:w="624" w:type="dxa"/>
            <w:tcBorders>
              <w:top w:val="single" w:sz="4" w:space="0" w:color="auto"/>
              <w:left w:val="nil"/>
              <w:bottom w:val="single" w:sz="4" w:space="0" w:color="auto"/>
              <w:right w:val="nil"/>
            </w:tcBorders>
            <w:shd w:val="clear" w:color="000000" w:fill="8DB3E2"/>
            <w:vAlign w:val="center"/>
            <w:hideMark/>
          </w:tcPr>
          <w:p w14:paraId="54595072" w14:textId="77777777" w:rsidR="001B1F5B" w:rsidRPr="00737D21" w:rsidRDefault="001B1F5B" w:rsidP="00737D21">
            <w:pPr>
              <w:jc w:val="right"/>
              <w:rPr>
                <w:rFonts w:ascii="Arial" w:hAnsi="Arial" w:cs="Arial"/>
                <w:color w:val="000000"/>
                <w:sz w:val="16"/>
                <w:szCs w:val="16"/>
              </w:rPr>
            </w:pPr>
            <w:r w:rsidRPr="00737D21">
              <w:rPr>
                <w:rFonts w:ascii="Arial" w:hAnsi="Arial" w:cs="Arial"/>
                <w:color w:val="000000"/>
                <w:sz w:val="16"/>
                <w:szCs w:val="16"/>
              </w:rPr>
              <w:t>2019</w:t>
            </w:r>
          </w:p>
        </w:tc>
        <w:tc>
          <w:tcPr>
            <w:tcW w:w="624" w:type="dxa"/>
            <w:tcBorders>
              <w:top w:val="single" w:sz="4" w:space="0" w:color="auto"/>
              <w:left w:val="nil"/>
              <w:bottom w:val="single" w:sz="4" w:space="0" w:color="auto"/>
              <w:right w:val="nil"/>
            </w:tcBorders>
            <w:shd w:val="clear" w:color="000000" w:fill="8DB3E2"/>
            <w:vAlign w:val="center"/>
            <w:hideMark/>
          </w:tcPr>
          <w:p w14:paraId="016FFA29" w14:textId="77777777" w:rsidR="001B1F5B" w:rsidRPr="00737D21" w:rsidRDefault="001B1F5B" w:rsidP="00737D21">
            <w:pPr>
              <w:jc w:val="right"/>
              <w:rPr>
                <w:rFonts w:ascii="Arial" w:hAnsi="Arial" w:cs="Arial"/>
                <w:color w:val="000000"/>
                <w:sz w:val="16"/>
                <w:szCs w:val="16"/>
              </w:rPr>
            </w:pPr>
            <w:r w:rsidRPr="00737D21">
              <w:rPr>
                <w:rFonts w:ascii="Arial" w:hAnsi="Arial" w:cs="Arial"/>
                <w:color w:val="000000"/>
                <w:sz w:val="16"/>
                <w:szCs w:val="16"/>
              </w:rPr>
              <w:t>2020</w:t>
            </w:r>
          </w:p>
        </w:tc>
        <w:tc>
          <w:tcPr>
            <w:tcW w:w="624" w:type="dxa"/>
            <w:tcBorders>
              <w:top w:val="single" w:sz="4" w:space="0" w:color="auto"/>
              <w:left w:val="nil"/>
              <w:bottom w:val="single" w:sz="4" w:space="0" w:color="auto"/>
              <w:right w:val="nil"/>
            </w:tcBorders>
            <w:shd w:val="clear" w:color="000000" w:fill="8DB3E2"/>
            <w:vAlign w:val="center"/>
            <w:hideMark/>
          </w:tcPr>
          <w:p w14:paraId="3FDCBB14" w14:textId="77777777" w:rsidR="001B1F5B" w:rsidRPr="00737D21" w:rsidRDefault="001B1F5B" w:rsidP="00737D21">
            <w:pPr>
              <w:jc w:val="right"/>
              <w:rPr>
                <w:rFonts w:ascii="Arial" w:hAnsi="Arial" w:cs="Arial"/>
                <w:color w:val="000000"/>
                <w:sz w:val="16"/>
                <w:szCs w:val="16"/>
              </w:rPr>
            </w:pPr>
            <w:r w:rsidRPr="00737D21">
              <w:rPr>
                <w:rFonts w:ascii="Arial" w:hAnsi="Arial" w:cs="Arial"/>
                <w:color w:val="000000"/>
                <w:sz w:val="16"/>
                <w:szCs w:val="16"/>
              </w:rPr>
              <w:t>2021</w:t>
            </w:r>
          </w:p>
        </w:tc>
        <w:tc>
          <w:tcPr>
            <w:tcW w:w="624" w:type="dxa"/>
            <w:tcBorders>
              <w:top w:val="single" w:sz="4" w:space="0" w:color="auto"/>
              <w:left w:val="nil"/>
              <w:bottom w:val="single" w:sz="4" w:space="0" w:color="auto"/>
              <w:right w:val="nil"/>
            </w:tcBorders>
            <w:shd w:val="clear" w:color="000000" w:fill="8DB3E2"/>
            <w:vAlign w:val="center"/>
            <w:hideMark/>
          </w:tcPr>
          <w:p w14:paraId="1201D359" w14:textId="77777777" w:rsidR="001B1F5B" w:rsidRPr="00737D21" w:rsidRDefault="001B1F5B" w:rsidP="00737D21">
            <w:pPr>
              <w:jc w:val="right"/>
              <w:rPr>
                <w:rFonts w:ascii="Arial" w:hAnsi="Arial" w:cs="Arial"/>
                <w:color w:val="000000"/>
                <w:sz w:val="16"/>
                <w:szCs w:val="16"/>
              </w:rPr>
            </w:pPr>
            <w:r w:rsidRPr="00737D21">
              <w:rPr>
                <w:rFonts w:ascii="Arial" w:hAnsi="Arial" w:cs="Arial"/>
                <w:color w:val="000000"/>
                <w:sz w:val="16"/>
                <w:szCs w:val="16"/>
              </w:rPr>
              <w:t>2022</w:t>
            </w:r>
          </w:p>
        </w:tc>
        <w:tc>
          <w:tcPr>
            <w:tcW w:w="624" w:type="dxa"/>
            <w:tcBorders>
              <w:top w:val="single" w:sz="4" w:space="0" w:color="auto"/>
              <w:left w:val="nil"/>
              <w:bottom w:val="single" w:sz="4" w:space="0" w:color="auto"/>
              <w:right w:val="nil"/>
            </w:tcBorders>
            <w:shd w:val="clear" w:color="000000" w:fill="8DB3E2"/>
            <w:vAlign w:val="center"/>
            <w:hideMark/>
          </w:tcPr>
          <w:p w14:paraId="6B15BD8B" w14:textId="77777777" w:rsidR="001B1F5B" w:rsidRPr="00737D21" w:rsidRDefault="001B1F5B" w:rsidP="00737D21">
            <w:pPr>
              <w:jc w:val="right"/>
              <w:rPr>
                <w:rFonts w:ascii="Arial" w:hAnsi="Arial" w:cs="Arial"/>
                <w:color w:val="000000"/>
                <w:sz w:val="16"/>
                <w:szCs w:val="16"/>
              </w:rPr>
            </w:pPr>
            <w:r w:rsidRPr="00737D21">
              <w:rPr>
                <w:rFonts w:ascii="Arial" w:hAnsi="Arial" w:cs="Arial"/>
                <w:color w:val="000000"/>
                <w:sz w:val="16"/>
                <w:szCs w:val="16"/>
              </w:rPr>
              <w:t>2023</w:t>
            </w:r>
          </w:p>
        </w:tc>
        <w:tc>
          <w:tcPr>
            <w:tcW w:w="1134" w:type="dxa"/>
            <w:tcBorders>
              <w:top w:val="single" w:sz="4" w:space="0" w:color="auto"/>
              <w:left w:val="nil"/>
              <w:bottom w:val="single" w:sz="4" w:space="0" w:color="auto"/>
              <w:right w:val="nil"/>
            </w:tcBorders>
            <w:shd w:val="clear" w:color="000000" w:fill="8DB3E2"/>
            <w:noWrap/>
            <w:vAlign w:val="center"/>
            <w:hideMark/>
          </w:tcPr>
          <w:p w14:paraId="3C1570E3" w14:textId="77777777" w:rsidR="001B1F5B" w:rsidRPr="00737D21" w:rsidRDefault="001B1F5B" w:rsidP="00737D21">
            <w:pPr>
              <w:jc w:val="right"/>
              <w:rPr>
                <w:rFonts w:ascii="Arial" w:hAnsi="Arial" w:cs="Arial"/>
                <w:color w:val="000000"/>
                <w:sz w:val="16"/>
                <w:szCs w:val="16"/>
              </w:rPr>
            </w:pPr>
            <w:r w:rsidRPr="00737D21">
              <w:rPr>
                <w:rFonts w:ascii="Arial" w:hAnsi="Arial" w:cs="Arial"/>
                <w:color w:val="000000"/>
                <w:sz w:val="16"/>
                <w:szCs w:val="16"/>
              </w:rPr>
              <w:t xml:space="preserve">Variación </w:t>
            </w:r>
          </w:p>
          <w:p w14:paraId="1D9883D1" w14:textId="77777777" w:rsidR="001B1F5B" w:rsidRPr="00737D21" w:rsidRDefault="001B1F5B" w:rsidP="00737D21">
            <w:pPr>
              <w:jc w:val="right"/>
              <w:rPr>
                <w:rFonts w:ascii="Arial" w:hAnsi="Arial" w:cs="Arial"/>
                <w:color w:val="000000"/>
                <w:sz w:val="16"/>
                <w:szCs w:val="16"/>
              </w:rPr>
            </w:pPr>
            <w:r w:rsidRPr="00737D21">
              <w:rPr>
                <w:rFonts w:ascii="Arial" w:hAnsi="Arial" w:cs="Arial"/>
                <w:color w:val="000000"/>
                <w:sz w:val="16"/>
                <w:szCs w:val="16"/>
              </w:rPr>
              <w:t>2023/2015</w:t>
            </w:r>
          </w:p>
        </w:tc>
        <w:tc>
          <w:tcPr>
            <w:tcW w:w="1134" w:type="dxa"/>
            <w:tcBorders>
              <w:top w:val="single" w:sz="4" w:space="0" w:color="auto"/>
              <w:left w:val="nil"/>
              <w:bottom w:val="single" w:sz="4" w:space="0" w:color="auto"/>
              <w:right w:val="nil"/>
            </w:tcBorders>
            <w:shd w:val="clear" w:color="000000" w:fill="8DB3E2"/>
            <w:noWrap/>
            <w:vAlign w:val="center"/>
            <w:hideMark/>
          </w:tcPr>
          <w:p w14:paraId="7F05AA1C" w14:textId="77777777" w:rsidR="001B1F5B" w:rsidRPr="00737D21" w:rsidRDefault="001B1F5B" w:rsidP="00737D21">
            <w:pPr>
              <w:jc w:val="right"/>
              <w:rPr>
                <w:rFonts w:ascii="Arial" w:hAnsi="Arial" w:cs="Arial"/>
                <w:color w:val="000000"/>
                <w:sz w:val="16"/>
                <w:szCs w:val="16"/>
              </w:rPr>
            </w:pPr>
            <w:r w:rsidRPr="00737D21">
              <w:rPr>
                <w:rFonts w:ascii="Arial" w:hAnsi="Arial" w:cs="Arial"/>
                <w:color w:val="000000"/>
                <w:sz w:val="16"/>
                <w:szCs w:val="16"/>
              </w:rPr>
              <w:t>%</w:t>
            </w:r>
            <w:r w:rsidR="00702E3B" w:rsidRPr="00737D21">
              <w:rPr>
                <w:rFonts w:ascii="Arial" w:hAnsi="Arial" w:cs="Arial"/>
                <w:color w:val="000000"/>
                <w:sz w:val="16"/>
                <w:szCs w:val="16"/>
              </w:rPr>
              <w:t xml:space="preserve"> Variación</w:t>
            </w:r>
            <w:r w:rsidRPr="00737D21">
              <w:rPr>
                <w:rFonts w:ascii="Arial" w:hAnsi="Arial" w:cs="Arial"/>
                <w:color w:val="000000"/>
                <w:sz w:val="16"/>
                <w:szCs w:val="16"/>
              </w:rPr>
              <w:t xml:space="preserve"> </w:t>
            </w:r>
          </w:p>
        </w:tc>
      </w:tr>
      <w:tr w:rsidR="001B1F5B" w14:paraId="25AE74FD" w14:textId="77777777" w:rsidTr="008A2E63">
        <w:trPr>
          <w:trHeight w:val="198"/>
        </w:trPr>
        <w:tc>
          <w:tcPr>
            <w:tcW w:w="992" w:type="dxa"/>
            <w:tcBorders>
              <w:top w:val="single" w:sz="4" w:space="0" w:color="auto"/>
              <w:left w:val="nil"/>
              <w:bottom w:val="single" w:sz="2" w:space="0" w:color="auto"/>
              <w:right w:val="nil"/>
            </w:tcBorders>
            <w:shd w:val="clear" w:color="auto" w:fill="auto"/>
            <w:noWrap/>
            <w:vAlign w:val="center"/>
            <w:hideMark/>
          </w:tcPr>
          <w:p w14:paraId="3DE316D0" w14:textId="77777777" w:rsidR="001B1F5B" w:rsidRPr="00737D21" w:rsidRDefault="007E13AD" w:rsidP="00737D21">
            <w:pPr>
              <w:rPr>
                <w:rFonts w:ascii="Arial Narrow" w:hAnsi="Arial Narrow" w:cs="Calibri"/>
                <w:color w:val="000000"/>
                <w:sz w:val="18"/>
                <w:szCs w:val="18"/>
              </w:rPr>
            </w:pPr>
            <w:r w:rsidRPr="00737D21">
              <w:rPr>
                <w:rFonts w:ascii="Arial Narrow" w:hAnsi="Arial Narrow" w:cs="Calibri"/>
                <w:color w:val="000000"/>
                <w:sz w:val="18"/>
                <w:szCs w:val="18"/>
              </w:rPr>
              <w:t>Presupuesto</w:t>
            </w:r>
          </w:p>
        </w:tc>
        <w:tc>
          <w:tcPr>
            <w:tcW w:w="624" w:type="dxa"/>
            <w:tcBorders>
              <w:top w:val="single" w:sz="4" w:space="0" w:color="auto"/>
              <w:left w:val="nil"/>
              <w:bottom w:val="single" w:sz="2" w:space="0" w:color="auto"/>
              <w:right w:val="nil"/>
            </w:tcBorders>
            <w:shd w:val="clear" w:color="auto" w:fill="auto"/>
            <w:noWrap/>
            <w:vAlign w:val="center"/>
            <w:hideMark/>
          </w:tcPr>
          <w:p w14:paraId="4BEEF697"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3.914</w:t>
            </w:r>
          </w:p>
        </w:tc>
        <w:tc>
          <w:tcPr>
            <w:tcW w:w="624" w:type="dxa"/>
            <w:tcBorders>
              <w:top w:val="single" w:sz="4" w:space="0" w:color="auto"/>
              <w:left w:val="nil"/>
              <w:bottom w:val="single" w:sz="2" w:space="0" w:color="auto"/>
              <w:right w:val="nil"/>
            </w:tcBorders>
            <w:shd w:val="clear" w:color="auto" w:fill="auto"/>
            <w:noWrap/>
            <w:vAlign w:val="center"/>
            <w:hideMark/>
          </w:tcPr>
          <w:p w14:paraId="2976CE35"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3.967</w:t>
            </w:r>
          </w:p>
        </w:tc>
        <w:tc>
          <w:tcPr>
            <w:tcW w:w="624" w:type="dxa"/>
            <w:tcBorders>
              <w:top w:val="single" w:sz="4" w:space="0" w:color="auto"/>
              <w:left w:val="nil"/>
              <w:bottom w:val="single" w:sz="2" w:space="0" w:color="auto"/>
              <w:right w:val="nil"/>
            </w:tcBorders>
            <w:shd w:val="clear" w:color="auto" w:fill="auto"/>
            <w:noWrap/>
            <w:vAlign w:val="center"/>
            <w:hideMark/>
          </w:tcPr>
          <w:p w14:paraId="4DD18871"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3.984</w:t>
            </w:r>
          </w:p>
        </w:tc>
        <w:tc>
          <w:tcPr>
            <w:tcW w:w="624" w:type="dxa"/>
            <w:tcBorders>
              <w:top w:val="single" w:sz="4" w:space="0" w:color="auto"/>
              <w:left w:val="nil"/>
              <w:bottom w:val="single" w:sz="2" w:space="0" w:color="auto"/>
              <w:right w:val="nil"/>
            </w:tcBorders>
            <w:shd w:val="clear" w:color="auto" w:fill="auto"/>
            <w:noWrap/>
            <w:vAlign w:val="center"/>
            <w:hideMark/>
          </w:tcPr>
          <w:p w14:paraId="7A6C31F0"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4.180</w:t>
            </w:r>
          </w:p>
        </w:tc>
        <w:tc>
          <w:tcPr>
            <w:tcW w:w="624" w:type="dxa"/>
            <w:tcBorders>
              <w:top w:val="single" w:sz="4" w:space="0" w:color="auto"/>
              <w:left w:val="nil"/>
              <w:bottom w:val="single" w:sz="2" w:space="0" w:color="auto"/>
              <w:right w:val="nil"/>
            </w:tcBorders>
            <w:shd w:val="clear" w:color="auto" w:fill="auto"/>
            <w:noWrap/>
            <w:vAlign w:val="center"/>
            <w:hideMark/>
          </w:tcPr>
          <w:p w14:paraId="23C4AAB1"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4.396</w:t>
            </w:r>
          </w:p>
        </w:tc>
        <w:tc>
          <w:tcPr>
            <w:tcW w:w="624" w:type="dxa"/>
            <w:tcBorders>
              <w:top w:val="single" w:sz="4" w:space="0" w:color="auto"/>
              <w:left w:val="nil"/>
              <w:bottom w:val="single" w:sz="2" w:space="0" w:color="auto"/>
              <w:right w:val="nil"/>
            </w:tcBorders>
            <w:shd w:val="clear" w:color="auto" w:fill="auto"/>
            <w:noWrap/>
            <w:vAlign w:val="center"/>
            <w:hideMark/>
          </w:tcPr>
          <w:p w14:paraId="4AD50E5C"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4.587</w:t>
            </w:r>
          </w:p>
        </w:tc>
        <w:tc>
          <w:tcPr>
            <w:tcW w:w="624" w:type="dxa"/>
            <w:tcBorders>
              <w:top w:val="single" w:sz="4" w:space="0" w:color="auto"/>
              <w:left w:val="nil"/>
              <w:bottom w:val="single" w:sz="2" w:space="0" w:color="auto"/>
              <w:right w:val="nil"/>
            </w:tcBorders>
            <w:shd w:val="clear" w:color="auto" w:fill="auto"/>
            <w:noWrap/>
            <w:vAlign w:val="center"/>
            <w:hideMark/>
          </w:tcPr>
          <w:p w14:paraId="6A94B2E4"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5.064</w:t>
            </w:r>
          </w:p>
        </w:tc>
        <w:tc>
          <w:tcPr>
            <w:tcW w:w="624" w:type="dxa"/>
            <w:tcBorders>
              <w:top w:val="single" w:sz="4" w:space="0" w:color="auto"/>
              <w:left w:val="nil"/>
              <w:bottom w:val="single" w:sz="2" w:space="0" w:color="auto"/>
              <w:right w:val="nil"/>
            </w:tcBorders>
            <w:shd w:val="clear" w:color="auto" w:fill="auto"/>
            <w:noWrap/>
            <w:vAlign w:val="center"/>
            <w:hideMark/>
          </w:tcPr>
          <w:p w14:paraId="659FBC01"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5.601</w:t>
            </w:r>
          </w:p>
        </w:tc>
        <w:tc>
          <w:tcPr>
            <w:tcW w:w="624" w:type="dxa"/>
            <w:tcBorders>
              <w:top w:val="single" w:sz="4" w:space="0" w:color="auto"/>
              <w:left w:val="nil"/>
              <w:bottom w:val="single" w:sz="2" w:space="0" w:color="auto"/>
              <w:right w:val="nil"/>
            </w:tcBorders>
            <w:shd w:val="clear" w:color="auto" w:fill="auto"/>
            <w:noWrap/>
            <w:vAlign w:val="center"/>
            <w:hideMark/>
          </w:tcPr>
          <w:p w14:paraId="3BFC50C6"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5.782</w:t>
            </w:r>
          </w:p>
        </w:tc>
        <w:tc>
          <w:tcPr>
            <w:tcW w:w="1134" w:type="dxa"/>
            <w:tcBorders>
              <w:top w:val="single" w:sz="4" w:space="0" w:color="auto"/>
              <w:left w:val="nil"/>
              <w:bottom w:val="single" w:sz="2" w:space="0" w:color="auto"/>
              <w:right w:val="nil"/>
            </w:tcBorders>
            <w:shd w:val="clear" w:color="auto" w:fill="auto"/>
            <w:noWrap/>
            <w:vAlign w:val="center"/>
            <w:hideMark/>
          </w:tcPr>
          <w:p w14:paraId="59B390AC"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1.868</w:t>
            </w:r>
          </w:p>
        </w:tc>
        <w:tc>
          <w:tcPr>
            <w:tcW w:w="1134" w:type="dxa"/>
            <w:tcBorders>
              <w:top w:val="single" w:sz="4" w:space="0" w:color="auto"/>
              <w:left w:val="nil"/>
              <w:bottom w:val="single" w:sz="2" w:space="0" w:color="auto"/>
              <w:right w:val="nil"/>
            </w:tcBorders>
            <w:shd w:val="clear" w:color="auto" w:fill="auto"/>
            <w:noWrap/>
            <w:vAlign w:val="center"/>
            <w:hideMark/>
          </w:tcPr>
          <w:p w14:paraId="58C20108"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48</w:t>
            </w:r>
          </w:p>
        </w:tc>
      </w:tr>
      <w:tr w:rsidR="001B1F5B" w14:paraId="7CF55183" w14:textId="77777777" w:rsidTr="008A2E63">
        <w:trPr>
          <w:trHeight w:val="198"/>
        </w:trPr>
        <w:tc>
          <w:tcPr>
            <w:tcW w:w="992" w:type="dxa"/>
            <w:tcBorders>
              <w:top w:val="single" w:sz="2" w:space="0" w:color="auto"/>
              <w:left w:val="nil"/>
              <w:bottom w:val="single" w:sz="2" w:space="0" w:color="auto"/>
              <w:right w:val="nil"/>
            </w:tcBorders>
            <w:shd w:val="clear" w:color="auto" w:fill="auto"/>
            <w:noWrap/>
            <w:vAlign w:val="center"/>
            <w:hideMark/>
          </w:tcPr>
          <w:p w14:paraId="30CAC2A9" w14:textId="77777777" w:rsidR="001B1F5B" w:rsidRPr="00737D21" w:rsidRDefault="001B1F5B" w:rsidP="00737D21">
            <w:pPr>
              <w:rPr>
                <w:rFonts w:ascii="Arial Narrow" w:hAnsi="Arial Narrow" w:cs="Calibri"/>
                <w:color w:val="000000"/>
                <w:sz w:val="18"/>
                <w:szCs w:val="18"/>
              </w:rPr>
            </w:pPr>
            <w:r w:rsidRPr="00737D21">
              <w:rPr>
                <w:rFonts w:ascii="Arial Narrow" w:hAnsi="Arial Narrow" w:cs="Calibri"/>
                <w:color w:val="000000"/>
                <w:sz w:val="18"/>
                <w:szCs w:val="18"/>
              </w:rPr>
              <w:t>Sanidad</w:t>
            </w:r>
          </w:p>
        </w:tc>
        <w:tc>
          <w:tcPr>
            <w:tcW w:w="624" w:type="dxa"/>
            <w:tcBorders>
              <w:top w:val="single" w:sz="2" w:space="0" w:color="auto"/>
              <w:left w:val="nil"/>
              <w:bottom w:val="single" w:sz="2" w:space="0" w:color="auto"/>
              <w:right w:val="nil"/>
            </w:tcBorders>
            <w:shd w:val="clear" w:color="auto" w:fill="auto"/>
            <w:noWrap/>
            <w:vAlign w:val="center"/>
            <w:hideMark/>
          </w:tcPr>
          <w:p w14:paraId="6D9AA270"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958</w:t>
            </w:r>
          </w:p>
        </w:tc>
        <w:tc>
          <w:tcPr>
            <w:tcW w:w="624" w:type="dxa"/>
            <w:tcBorders>
              <w:top w:val="single" w:sz="2" w:space="0" w:color="auto"/>
              <w:left w:val="nil"/>
              <w:bottom w:val="single" w:sz="2" w:space="0" w:color="auto"/>
              <w:right w:val="nil"/>
            </w:tcBorders>
            <w:shd w:val="clear" w:color="auto" w:fill="auto"/>
            <w:noWrap/>
            <w:vAlign w:val="center"/>
            <w:hideMark/>
          </w:tcPr>
          <w:p w14:paraId="605682BE"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975</w:t>
            </w:r>
          </w:p>
        </w:tc>
        <w:tc>
          <w:tcPr>
            <w:tcW w:w="624" w:type="dxa"/>
            <w:tcBorders>
              <w:top w:val="single" w:sz="2" w:space="0" w:color="auto"/>
              <w:left w:val="nil"/>
              <w:bottom w:val="single" w:sz="2" w:space="0" w:color="auto"/>
              <w:right w:val="nil"/>
            </w:tcBorders>
            <w:shd w:val="clear" w:color="auto" w:fill="auto"/>
            <w:noWrap/>
            <w:vAlign w:val="center"/>
            <w:hideMark/>
          </w:tcPr>
          <w:p w14:paraId="71E2AE21"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1.018</w:t>
            </w:r>
          </w:p>
        </w:tc>
        <w:tc>
          <w:tcPr>
            <w:tcW w:w="624" w:type="dxa"/>
            <w:tcBorders>
              <w:top w:val="single" w:sz="2" w:space="0" w:color="auto"/>
              <w:left w:val="nil"/>
              <w:bottom w:val="single" w:sz="2" w:space="0" w:color="auto"/>
              <w:right w:val="nil"/>
            </w:tcBorders>
            <w:shd w:val="clear" w:color="auto" w:fill="auto"/>
            <w:noWrap/>
            <w:vAlign w:val="center"/>
            <w:hideMark/>
          </w:tcPr>
          <w:p w14:paraId="203F128A"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1.064</w:t>
            </w:r>
          </w:p>
        </w:tc>
        <w:tc>
          <w:tcPr>
            <w:tcW w:w="624" w:type="dxa"/>
            <w:tcBorders>
              <w:top w:val="single" w:sz="2" w:space="0" w:color="auto"/>
              <w:left w:val="nil"/>
              <w:bottom w:val="single" w:sz="2" w:space="0" w:color="auto"/>
              <w:right w:val="nil"/>
            </w:tcBorders>
            <w:shd w:val="clear" w:color="auto" w:fill="auto"/>
            <w:noWrap/>
            <w:vAlign w:val="center"/>
            <w:hideMark/>
          </w:tcPr>
          <w:p w14:paraId="2EB6F700"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1.103</w:t>
            </w:r>
          </w:p>
        </w:tc>
        <w:tc>
          <w:tcPr>
            <w:tcW w:w="624" w:type="dxa"/>
            <w:tcBorders>
              <w:top w:val="single" w:sz="2" w:space="0" w:color="auto"/>
              <w:left w:val="nil"/>
              <w:bottom w:val="single" w:sz="2" w:space="0" w:color="auto"/>
              <w:right w:val="nil"/>
            </w:tcBorders>
            <w:shd w:val="clear" w:color="auto" w:fill="auto"/>
            <w:noWrap/>
            <w:vAlign w:val="center"/>
            <w:hideMark/>
          </w:tcPr>
          <w:p w14:paraId="3C2E7DB0"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1.218</w:t>
            </w:r>
          </w:p>
        </w:tc>
        <w:tc>
          <w:tcPr>
            <w:tcW w:w="624" w:type="dxa"/>
            <w:tcBorders>
              <w:top w:val="single" w:sz="2" w:space="0" w:color="auto"/>
              <w:left w:val="nil"/>
              <w:bottom w:val="single" w:sz="2" w:space="0" w:color="auto"/>
              <w:right w:val="nil"/>
            </w:tcBorders>
            <w:shd w:val="clear" w:color="auto" w:fill="auto"/>
            <w:noWrap/>
            <w:vAlign w:val="center"/>
            <w:hideMark/>
          </w:tcPr>
          <w:p w14:paraId="5E9895BD"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1.273</w:t>
            </w:r>
          </w:p>
        </w:tc>
        <w:tc>
          <w:tcPr>
            <w:tcW w:w="624" w:type="dxa"/>
            <w:tcBorders>
              <w:top w:val="single" w:sz="2" w:space="0" w:color="auto"/>
              <w:left w:val="nil"/>
              <w:bottom w:val="single" w:sz="2" w:space="0" w:color="auto"/>
              <w:right w:val="nil"/>
            </w:tcBorders>
            <w:shd w:val="clear" w:color="auto" w:fill="auto"/>
            <w:noWrap/>
            <w:vAlign w:val="center"/>
            <w:hideMark/>
          </w:tcPr>
          <w:p w14:paraId="1EB55478"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1.311</w:t>
            </w:r>
          </w:p>
        </w:tc>
        <w:tc>
          <w:tcPr>
            <w:tcW w:w="624" w:type="dxa"/>
            <w:tcBorders>
              <w:top w:val="single" w:sz="2" w:space="0" w:color="auto"/>
              <w:left w:val="nil"/>
              <w:bottom w:val="single" w:sz="2" w:space="0" w:color="auto"/>
              <w:right w:val="nil"/>
            </w:tcBorders>
            <w:shd w:val="clear" w:color="auto" w:fill="auto"/>
            <w:noWrap/>
            <w:vAlign w:val="center"/>
            <w:hideMark/>
          </w:tcPr>
          <w:p w14:paraId="2D764D25"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1.407</w:t>
            </w:r>
          </w:p>
        </w:tc>
        <w:tc>
          <w:tcPr>
            <w:tcW w:w="1134" w:type="dxa"/>
            <w:tcBorders>
              <w:top w:val="single" w:sz="2" w:space="0" w:color="auto"/>
              <w:left w:val="nil"/>
              <w:bottom w:val="single" w:sz="2" w:space="0" w:color="auto"/>
              <w:right w:val="nil"/>
            </w:tcBorders>
            <w:shd w:val="clear" w:color="auto" w:fill="auto"/>
            <w:noWrap/>
            <w:vAlign w:val="center"/>
            <w:hideMark/>
          </w:tcPr>
          <w:p w14:paraId="2E7A5E35"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449</w:t>
            </w:r>
          </w:p>
        </w:tc>
        <w:tc>
          <w:tcPr>
            <w:tcW w:w="1134" w:type="dxa"/>
            <w:tcBorders>
              <w:top w:val="single" w:sz="2" w:space="0" w:color="auto"/>
              <w:left w:val="nil"/>
              <w:bottom w:val="single" w:sz="2" w:space="0" w:color="auto"/>
              <w:right w:val="nil"/>
            </w:tcBorders>
            <w:shd w:val="clear" w:color="auto" w:fill="auto"/>
            <w:noWrap/>
            <w:vAlign w:val="center"/>
            <w:hideMark/>
          </w:tcPr>
          <w:p w14:paraId="277CE1F6"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47</w:t>
            </w:r>
          </w:p>
        </w:tc>
      </w:tr>
      <w:tr w:rsidR="001B1F5B" w14:paraId="3946BF1B" w14:textId="77777777" w:rsidTr="008A2E63">
        <w:trPr>
          <w:trHeight w:val="198"/>
        </w:trPr>
        <w:tc>
          <w:tcPr>
            <w:tcW w:w="992" w:type="dxa"/>
            <w:tcBorders>
              <w:top w:val="single" w:sz="2" w:space="0" w:color="auto"/>
              <w:left w:val="nil"/>
              <w:bottom w:val="single" w:sz="2" w:space="0" w:color="auto"/>
              <w:right w:val="nil"/>
            </w:tcBorders>
            <w:shd w:val="clear" w:color="auto" w:fill="auto"/>
            <w:noWrap/>
            <w:vAlign w:val="center"/>
            <w:hideMark/>
          </w:tcPr>
          <w:p w14:paraId="6A4502CD" w14:textId="77777777" w:rsidR="001B1F5B" w:rsidRPr="00737D21" w:rsidRDefault="001B1F5B" w:rsidP="00737D21">
            <w:pPr>
              <w:rPr>
                <w:rFonts w:ascii="Arial Narrow" w:hAnsi="Arial Narrow" w:cs="Calibri"/>
                <w:color w:val="000000"/>
                <w:sz w:val="18"/>
                <w:szCs w:val="18"/>
              </w:rPr>
            </w:pPr>
            <w:r w:rsidRPr="00737D21">
              <w:rPr>
                <w:rFonts w:ascii="Arial Narrow" w:hAnsi="Arial Narrow" w:cs="Calibri"/>
                <w:color w:val="000000"/>
                <w:sz w:val="18"/>
                <w:szCs w:val="18"/>
              </w:rPr>
              <w:t>Educación</w:t>
            </w:r>
          </w:p>
        </w:tc>
        <w:tc>
          <w:tcPr>
            <w:tcW w:w="624" w:type="dxa"/>
            <w:tcBorders>
              <w:top w:val="single" w:sz="2" w:space="0" w:color="auto"/>
              <w:left w:val="nil"/>
              <w:bottom w:val="single" w:sz="2" w:space="0" w:color="auto"/>
              <w:right w:val="nil"/>
            </w:tcBorders>
            <w:shd w:val="clear" w:color="auto" w:fill="auto"/>
            <w:noWrap/>
            <w:vAlign w:val="center"/>
            <w:hideMark/>
          </w:tcPr>
          <w:p w14:paraId="7489682F"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580</w:t>
            </w:r>
          </w:p>
        </w:tc>
        <w:tc>
          <w:tcPr>
            <w:tcW w:w="624" w:type="dxa"/>
            <w:tcBorders>
              <w:top w:val="single" w:sz="2" w:space="0" w:color="auto"/>
              <w:left w:val="nil"/>
              <w:bottom w:val="single" w:sz="2" w:space="0" w:color="auto"/>
              <w:right w:val="nil"/>
            </w:tcBorders>
            <w:shd w:val="clear" w:color="auto" w:fill="auto"/>
            <w:noWrap/>
            <w:vAlign w:val="center"/>
            <w:hideMark/>
          </w:tcPr>
          <w:p w14:paraId="566EBAA0"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598</w:t>
            </w:r>
          </w:p>
        </w:tc>
        <w:tc>
          <w:tcPr>
            <w:tcW w:w="624" w:type="dxa"/>
            <w:tcBorders>
              <w:top w:val="single" w:sz="2" w:space="0" w:color="auto"/>
              <w:left w:val="nil"/>
              <w:bottom w:val="single" w:sz="2" w:space="0" w:color="auto"/>
              <w:right w:val="nil"/>
            </w:tcBorders>
            <w:shd w:val="clear" w:color="auto" w:fill="auto"/>
            <w:noWrap/>
            <w:vAlign w:val="center"/>
            <w:hideMark/>
          </w:tcPr>
          <w:p w14:paraId="70FA6729"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635</w:t>
            </w:r>
          </w:p>
        </w:tc>
        <w:tc>
          <w:tcPr>
            <w:tcW w:w="624" w:type="dxa"/>
            <w:tcBorders>
              <w:top w:val="single" w:sz="2" w:space="0" w:color="auto"/>
              <w:left w:val="nil"/>
              <w:bottom w:val="single" w:sz="2" w:space="0" w:color="auto"/>
              <w:right w:val="nil"/>
            </w:tcBorders>
            <w:shd w:val="clear" w:color="auto" w:fill="auto"/>
            <w:noWrap/>
            <w:vAlign w:val="center"/>
            <w:hideMark/>
          </w:tcPr>
          <w:p w14:paraId="51548455"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652</w:t>
            </w:r>
          </w:p>
        </w:tc>
        <w:tc>
          <w:tcPr>
            <w:tcW w:w="624" w:type="dxa"/>
            <w:tcBorders>
              <w:top w:val="single" w:sz="2" w:space="0" w:color="auto"/>
              <w:left w:val="nil"/>
              <w:bottom w:val="single" w:sz="2" w:space="0" w:color="auto"/>
              <w:right w:val="nil"/>
            </w:tcBorders>
            <w:shd w:val="clear" w:color="auto" w:fill="auto"/>
            <w:noWrap/>
            <w:vAlign w:val="center"/>
            <w:hideMark/>
          </w:tcPr>
          <w:p w14:paraId="32659536"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707</w:t>
            </w:r>
          </w:p>
        </w:tc>
        <w:tc>
          <w:tcPr>
            <w:tcW w:w="624" w:type="dxa"/>
            <w:tcBorders>
              <w:top w:val="single" w:sz="2" w:space="0" w:color="auto"/>
              <w:left w:val="nil"/>
              <w:bottom w:val="single" w:sz="2" w:space="0" w:color="auto"/>
              <w:right w:val="nil"/>
            </w:tcBorders>
            <w:shd w:val="clear" w:color="auto" w:fill="auto"/>
            <w:noWrap/>
            <w:vAlign w:val="center"/>
            <w:hideMark/>
          </w:tcPr>
          <w:p w14:paraId="7E19F468"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770</w:t>
            </w:r>
          </w:p>
        </w:tc>
        <w:tc>
          <w:tcPr>
            <w:tcW w:w="624" w:type="dxa"/>
            <w:tcBorders>
              <w:top w:val="single" w:sz="2" w:space="0" w:color="auto"/>
              <w:left w:val="nil"/>
              <w:bottom w:val="single" w:sz="2" w:space="0" w:color="auto"/>
              <w:right w:val="nil"/>
            </w:tcBorders>
            <w:shd w:val="clear" w:color="auto" w:fill="auto"/>
            <w:noWrap/>
            <w:vAlign w:val="center"/>
            <w:hideMark/>
          </w:tcPr>
          <w:p w14:paraId="44C23809"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819</w:t>
            </w:r>
          </w:p>
        </w:tc>
        <w:tc>
          <w:tcPr>
            <w:tcW w:w="624" w:type="dxa"/>
            <w:tcBorders>
              <w:top w:val="single" w:sz="2" w:space="0" w:color="auto"/>
              <w:left w:val="nil"/>
              <w:bottom w:val="single" w:sz="2" w:space="0" w:color="auto"/>
              <w:right w:val="nil"/>
            </w:tcBorders>
            <w:shd w:val="clear" w:color="auto" w:fill="auto"/>
            <w:noWrap/>
            <w:vAlign w:val="center"/>
            <w:hideMark/>
          </w:tcPr>
          <w:p w14:paraId="69EC8DA7"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869</w:t>
            </w:r>
          </w:p>
        </w:tc>
        <w:tc>
          <w:tcPr>
            <w:tcW w:w="624" w:type="dxa"/>
            <w:tcBorders>
              <w:top w:val="single" w:sz="2" w:space="0" w:color="auto"/>
              <w:left w:val="nil"/>
              <w:bottom w:val="single" w:sz="2" w:space="0" w:color="auto"/>
              <w:right w:val="nil"/>
            </w:tcBorders>
            <w:shd w:val="clear" w:color="auto" w:fill="auto"/>
            <w:noWrap/>
            <w:vAlign w:val="center"/>
            <w:hideMark/>
          </w:tcPr>
          <w:p w14:paraId="33033E73"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936</w:t>
            </w:r>
          </w:p>
        </w:tc>
        <w:tc>
          <w:tcPr>
            <w:tcW w:w="1134" w:type="dxa"/>
            <w:tcBorders>
              <w:top w:val="single" w:sz="2" w:space="0" w:color="auto"/>
              <w:left w:val="nil"/>
              <w:bottom w:val="single" w:sz="2" w:space="0" w:color="auto"/>
              <w:right w:val="nil"/>
            </w:tcBorders>
            <w:shd w:val="clear" w:color="auto" w:fill="auto"/>
            <w:noWrap/>
            <w:vAlign w:val="center"/>
            <w:hideMark/>
          </w:tcPr>
          <w:p w14:paraId="1E7F8225"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355</w:t>
            </w:r>
          </w:p>
        </w:tc>
        <w:tc>
          <w:tcPr>
            <w:tcW w:w="1134" w:type="dxa"/>
            <w:tcBorders>
              <w:top w:val="single" w:sz="2" w:space="0" w:color="auto"/>
              <w:left w:val="nil"/>
              <w:bottom w:val="single" w:sz="2" w:space="0" w:color="auto"/>
              <w:right w:val="nil"/>
            </w:tcBorders>
            <w:shd w:val="clear" w:color="auto" w:fill="auto"/>
            <w:noWrap/>
            <w:vAlign w:val="center"/>
            <w:hideMark/>
          </w:tcPr>
          <w:p w14:paraId="1CB07A0B" w14:textId="77777777" w:rsidR="001B1F5B" w:rsidRPr="00737D21" w:rsidRDefault="001B1F5B" w:rsidP="00737D21">
            <w:pPr>
              <w:jc w:val="right"/>
              <w:rPr>
                <w:rFonts w:ascii="Arial Narrow" w:hAnsi="Arial Narrow" w:cs="Calibri"/>
                <w:color w:val="000000"/>
                <w:sz w:val="18"/>
                <w:szCs w:val="18"/>
              </w:rPr>
            </w:pPr>
            <w:r w:rsidRPr="00737D21">
              <w:rPr>
                <w:rFonts w:ascii="Arial Narrow" w:hAnsi="Arial Narrow" w:cs="Calibri"/>
                <w:color w:val="000000"/>
                <w:sz w:val="18"/>
                <w:szCs w:val="18"/>
              </w:rPr>
              <w:t>61</w:t>
            </w:r>
          </w:p>
        </w:tc>
      </w:tr>
    </w:tbl>
    <w:p w14:paraId="6A1E30BE" w14:textId="77777777" w:rsidR="001B1F5B" w:rsidRDefault="001B1F5B" w:rsidP="00286F49">
      <w:pPr>
        <w:pStyle w:val="texto"/>
        <w:spacing w:after="60"/>
        <w:jc w:val="both"/>
        <w:rPr>
          <w:color w:val="FF0000"/>
        </w:rPr>
      </w:pPr>
    </w:p>
    <w:tbl>
      <w:tblPr>
        <w:tblW w:w="8931" w:type="dxa"/>
        <w:tblLayout w:type="fixed"/>
        <w:tblCellMar>
          <w:left w:w="70" w:type="dxa"/>
          <w:right w:w="70" w:type="dxa"/>
        </w:tblCellMar>
        <w:tblLook w:val="04A0" w:firstRow="1" w:lastRow="0" w:firstColumn="1" w:lastColumn="0" w:noHBand="0" w:noVBand="1"/>
      </w:tblPr>
      <w:tblGrid>
        <w:gridCol w:w="1843"/>
        <w:gridCol w:w="510"/>
        <w:gridCol w:w="510"/>
        <w:gridCol w:w="510"/>
        <w:gridCol w:w="510"/>
        <w:gridCol w:w="510"/>
        <w:gridCol w:w="510"/>
        <w:gridCol w:w="510"/>
        <w:gridCol w:w="510"/>
        <w:gridCol w:w="598"/>
        <w:gridCol w:w="1276"/>
        <w:gridCol w:w="1134"/>
      </w:tblGrid>
      <w:tr w:rsidR="00413ADE" w:rsidRPr="00737D21" w14:paraId="19BB04AF" w14:textId="77777777" w:rsidTr="00CC657A">
        <w:trPr>
          <w:trHeight w:val="255"/>
        </w:trPr>
        <w:tc>
          <w:tcPr>
            <w:tcW w:w="1843" w:type="dxa"/>
            <w:tcBorders>
              <w:top w:val="single" w:sz="4" w:space="0" w:color="auto"/>
              <w:left w:val="nil"/>
              <w:bottom w:val="single" w:sz="4" w:space="0" w:color="auto"/>
              <w:right w:val="nil"/>
            </w:tcBorders>
            <w:shd w:val="clear" w:color="000000" w:fill="8DB3E2"/>
            <w:vAlign w:val="center"/>
            <w:hideMark/>
          </w:tcPr>
          <w:p w14:paraId="2340E33C" w14:textId="77777777" w:rsidR="001B1F5B" w:rsidRPr="00737D21" w:rsidRDefault="001B1F5B" w:rsidP="001B1F5B">
            <w:pPr>
              <w:rPr>
                <w:rFonts w:ascii="Arial" w:hAnsi="Arial" w:cs="Arial"/>
                <w:color w:val="000000"/>
                <w:sz w:val="16"/>
                <w:szCs w:val="16"/>
              </w:rPr>
            </w:pPr>
            <w:r w:rsidRPr="00737D21">
              <w:rPr>
                <w:rFonts w:ascii="Arial" w:hAnsi="Arial" w:cs="Arial"/>
                <w:color w:val="000000"/>
                <w:sz w:val="16"/>
                <w:szCs w:val="16"/>
              </w:rPr>
              <w:t> Gasto por habitante</w:t>
            </w:r>
          </w:p>
        </w:tc>
        <w:tc>
          <w:tcPr>
            <w:tcW w:w="510" w:type="dxa"/>
            <w:tcBorders>
              <w:top w:val="single" w:sz="4" w:space="0" w:color="auto"/>
              <w:left w:val="nil"/>
              <w:bottom w:val="single" w:sz="4" w:space="0" w:color="auto"/>
              <w:right w:val="nil"/>
            </w:tcBorders>
            <w:shd w:val="clear" w:color="000000" w:fill="8DB3E2"/>
            <w:vAlign w:val="center"/>
            <w:hideMark/>
          </w:tcPr>
          <w:p w14:paraId="0B5A3217" w14:textId="77777777" w:rsidR="001B1F5B" w:rsidRPr="00737D21" w:rsidRDefault="001B1F5B" w:rsidP="00D4552D">
            <w:pPr>
              <w:jc w:val="right"/>
              <w:rPr>
                <w:rFonts w:ascii="Arial" w:hAnsi="Arial" w:cs="Arial"/>
                <w:color w:val="000000"/>
                <w:sz w:val="16"/>
                <w:szCs w:val="16"/>
              </w:rPr>
            </w:pPr>
            <w:r w:rsidRPr="00737D21">
              <w:rPr>
                <w:rFonts w:ascii="Arial" w:hAnsi="Arial" w:cs="Arial"/>
                <w:color w:val="000000"/>
                <w:sz w:val="16"/>
                <w:szCs w:val="16"/>
              </w:rPr>
              <w:t>2015</w:t>
            </w:r>
          </w:p>
        </w:tc>
        <w:tc>
          <w:tcPr>
            <w:tcW w:w="510" w:type="dxa"/>
            <w:tcBorders>
              <w:top w:val="single" w:sz="4" w:space="0" w:color="auto"/>
              <w:left w:val="nil"/>
              <w:bottom w:val="single" w:sz="4" w:space="0" w:color="auto"/>
              <w:right w:val="nil"/>
            </w:tcBorders>
            <w:shd w:val="clear" w:color="000000" w:fill="8DB3E2"/>
            <w:vAlign w:val="center"/>
            <w:hideMark/>
          </w:tcPr>
          <w:p w14:paraId="1E40662A" w14:textId="77777777" w:rsidR="001B1F5B" w:rsidRPr="00737D21" w:rsidRDefault="001B1F5B" w:rsidP="00D4552D">
            <w:pPr>
              <w:jc w:val="right"/>
              <w:rPr>
                <w:rFonts w:ascii="Arial" w:hAnsi="Arial" w:cs="Arial"/>
                <w:color w:val="000000"/>
                <w:sz w:val="16"/>
                <w:szCs w:val="16"/>
              </w:rPr>
            </w:pPr>
            <w:r w:rsidRPr="00737D21">
              <w:rPr>
                <w:rFonts w:ascii="Arial" w:hAnsi="Arial" w:cs="Arial"/>
                <w:color w:val="000000"/>
                <w:sz w:val="16"/>
                <w:szCs w:val="16"/>
              </w:rPr>
              <w:t>2016</w:t>
            </w:r>
          </w:p>
        </w:tc>
        <w:tc>
          <w:tcPr>
            <w:tcW w:w="510" w:type="dxa"/>
            <w:tcBorders>
              <w:top w:val="single" w:sz="4" w:space="0" w:color="auto"/>
              <w:left w:val="nil"/>
              <w:bottom w:val="single" w:sz="4" w:space="0" w:color="auto"/>
              <w:right w:val="nil"/>
            </w:tcBorders>
            <w:shd w:val="clear" w:color="000000" w:fill="8DB3E2"/>
            <w:vAlign w:val="center"/>
            <w:hideMark/>
          </w:tcPr>
          <w:p w14:paraId="279C0983" w14:textId="77777777" w:rsidR="001B1F5B" w:rsidRPr="00737D21" w:rsidRDefault="001B1F5B" w:rsidP="00D4552D">
            <w:pPr>
              <w:jc w:val="right"/>
              <w:rPr>
                <w:rFonts w:ascii="Arial" w:hAnsi="Arial" w:cs="Arial"/>
                <w:color w:val="000000"/>
                <w:sz w:val="16"/>
                <w:szCs w:val="16"/>
              </w:rPr>
            </w:pPr>
            <w:r w:rsidRPr="00737D21">
              <w:rPr>
                <w:rFonts w:ascii="Arial" w:hAnsi="Arial" w:cs="Arial"/>
                <w:color w:val="000000"/>
                <w:sz w:val="16"/>
                <w:szCs w:val="16"/>
              </w:rPr>
              <w:t>2017</w:t>
            </w:r>
          </w:p>
        </w:tc>
        <w:tc>
          <w:tcPr>
            <w:tcW w:w="510" w:type="dxa"/>
            <w:tcBorders>
              <w:top w:val="single" w:sz="4" w:space="0" w:color="auto"/>
              <w:left w:val="nil"/>
              <w:bottom w:val="single" w:sz="4" w:space="0" w:color="auto"/>
              <w:right w:val="nil"/>
            </w:tcBorders>
            <w:shd w:val="clear" w:color="000000" w:fill="8DB3E2"/>
            <w:vAlign w:val="center"/>
            <w:hideMark/>
          </w:tcPr>
          <w:p w14:paraId="2825BF88" w14:textId="77777777" w:rsidR="001B1F5B" w:rsidRPr="00737D21" w:rsidRDefault="001B1F5B" w:rsidP="00D4552D">
            <w:pPr>
              <w:jc w:val="right"/>
              <w:rPr>
                <w:rFonts w:ascii="Arial" w:hAnsi="Arial" w:cs="Arial"/>
                <w:color w:val="000000"/>
                <w:sz w:val="16"/>
                <w:szCs w:val="16"/>
              </w:rPr>
            </w:pPr>
            <w:r w:rsidRPr="00737D21">
              <w:rPr>
                <w:rFonts w:ascii="Arial" w:hAnsi="Arial" w:cs="Arial"/>
                <w:color w:val="000000"/>
                <w:sz w:val="16"/>
                <w:szCs w:val="16"/>
              </w:rPr>
              <w:t>2018</w:t>
            </w:r>
          </w:p>
        </w:tc>
        <w:tc>
          <w:tcPr>
            <w:tcW w:w="510" w:type="dxa"/>
            <w:tcBorders>
              <w:top w:val="single" w:sz="4" w:space="0" w:color="auto"/>
              <w:left w:val="nil"/>
              <w:bottom w:val="single" w:sz="4" w:space="0" w:color="auto"/>
              <w:right w:val="nil"/>
            </w:tcBorders>
            <w:shd w:val="clear" w:color="000000" w:fill="8DB3E2"/>
            <w:vAlign w:val="center"/>
            <w:hideMark/>
          </w:tcPr>
          <w:p w14:paraId="4B318F2F" w14:textId="77777777" w:rsidR="001B1F5B" w:rsidRPr="00737D21" w:rsidRDefault="001B1F5B" w:rsidP="00D4552D">
            <w:pPr>
              <w:jc w:val="right"/>
              <w:rPr>
                <w:rFonts w:ascii="Arial" w:hAnsi="Arial" w:cs="Arial"/>
                <w:color w:val="000000"/>
                <w:sz w:val="16"/>
                <w:szCs w:val="16"/>
              </w:rPr>
            </w:pPr>
            <w:r w:rsidRPr="00737D21">
              <w:rPr>
                <w:rFonts w:ascii="Arial" w:hAnsi="Arial" w:cs="Arial"/>
                <w:color w:val="000000"/>
                <w:sz w:val="16"/>
                <w:szCs w:val="16"/>
              </w:rPr>
              <w:t>2019</w:t>
            </w:r>
          </w:p>
        </w:tc>
        <w:tc>
          <w:tcPr>
            <w:tcW w:w="510" w:type="dxa"/>
            <w:tcBorders>
              <w:top w:val="single" w:sz="4" w:space="0" w:color="auto"/>
              <w:left w:val="nil"/>
              <w:bottom w:val="single" w:sz="4" w:space="0" w:color="auto"/>
              <w:right w:val="nil"/>
            </w:tcBorders>
            <w:shd w:val="clear" w:color="000000" w:fill="8DB3E2"/>
            <w:vAlign w:val="center"/>
            <w:hideMark/>
          </w:tcPr>
          <w:p w14:paraId="474EE28E" w14:textId="77777777" w:rsidR="001B1F5B" w:rsidRPr="00737D21" w:rsidRDefault="001B1F5B" w:rsidP="00D4552D">
            <w:pPr>
              <w:jc w:val="right"/>
              <w:rPr>
                <w:rFonts w:ascii="Arial" w:hAnsi="Arial" w:cs="Arial"/>
                <w:color w:val="000000"/>
                <w:sz w:val="16"/>
                <w:szCs w:val="16"/>
              </w:rPr>
            </w:pPr>
            <w:r w:rsidRPr="00737D21">
              <w:rPr>
                <w:rFonts w:ascii="Arial" w:hAnsi="Arial" w:cs="Arial"/>
                <w:color w:val="000000"/>
                <w:sz w:val="16"/>
                <w:szCs w:val="16"/>
              </w:rPr>
              <w:t>2020</w:t>
            </w:r>
          </w:p>
        </w:tc>
        <w:tc>
          <w:tcPr>
            <w:tcW w:w="510" w:type="dxa"/>
            <w:tcBorders>
              <w:top w:val="single" w:sz="4" w:space="0" w:color="auto"/>
              <w:left w:val="nil"/>
              <w:bottom w:val="single" w:sz="4" w:space="0" w:color="auto"/>
              <w:right w:val="nil"/>
            </w:tcBorders>
            <w:shd w:val="clear" w:color="000000" w:fill="8DB3E2"/>
            <w:vAlign w:val="center"/>
            <w:hideMark/>
          </w:tcPr>
          <w:p w14:paraId="38562B51" w14:textId="77777777" w:rsidR="001B1F5B" w:rsidRPr="00737D21" w:rsidRDefault="001B1F5B" w:rsidP="00D4552D">
            <w:pPr>
              <w:jc w:val="right"/>
              <w:rPr>
                <w:rFonts w:ascii="Arial" w:hAnsi="Arial" w:cs="Arial"/>
                <w:color w:val="000000"/>
                <w:sz w:val="16"/>
                <w:szCs w:val="16"/>
              </w:rPr>
            </w:pPr>
            <w:r w:rsidRPr="00737D21">
              <w:rPr>
                <w:rFonts w:ascii="Arial" w:hAnsi="Arial" w:cs="Arial"/>
                <w:color w:val="000000"/>
                <w:sz w:val="16"/>
                <w:szCs w:val="16"/>
              </w:rPr>
              <w:t>2021</w:t>
            </w:r>
          </w:p>
        </w:tc>
        <w:tc>
          <w:tcPr>
            <w:tcW w:w="510" w:type="dxa"/>
            <w:tcBorders>
              <w:top w:val="single" w:sz="4" w:space="0" w:color="auto"/>
              <w:left w:val="nil"/>
              <w:bottom w:val="single" w:sz="4" w:space="0" w:color="auto"/>
              <w:right w:val="nil"/>
            </w:tcBorders>
            <w:shd w:val="clear" w:color="000000" w:fill="8DB3E2"/>
            <w:vAlign w:val="center"/>
            <w:hideMark/>
          </w:tcPr>
          <w:p w14:paraId="5CC89213" w14:textId="77777777" w:rsidR="001B1F5B" w:rsidRPr="00737D21" w:rsidRDefault="001B1F5B" w:rsidP="00D4552D">
            <w:pPr>
              <w:jc w:val="right"/>
              <w:rPr>
                <w:rFonts w:ascii="Arial" w:hAnsi="Arial" w:cs="Arial"/>
                <w:color w:val="000000"/>
                <w:sz w:val="16"/>
                <w:szCs w:val="16"/>
              </w:rPr>
            </w:pPr>
            <w:r w:rsidRPr="00737D21">
              <w:rPr>
                <w:rFonts w:ascii="Arial" w:hAnsi="Arial" w:cs="Arial"/>
                <w:color w:val="000000"/>
                <w:sz w:val="16"/>
                <w:szCs w:val="16"/>
              </w:rPr>
              <w:t>2022</w:t>
            </w:r>
          </w:p>
        </w:tc>
        <w:tc>
          <w:tcPr>
            <w:tcW w:w="598" w:type="dxa"/>
            <w:tcBorders>
              <w:top w:val="single" w:sz="4" w:space="0" w:color="auto"/>
              <w:left w:val="nil"/>
              <w:bottom w:val="single" w:sz="4" w:space="0" w:color="auto"/>
              <w:right w:val="nil"/>
            </w:tcBorders>
            <w:shd w:val="clear" w:color="000000" w:fill="8DB3E2"/>
            <w:vAlign w:val="center"/>
            <w:hideMark/>
          </w:tcPr>
          <w:p w14:paraId="1598BFF7" w14:textId="77777777" w:rsidR="001B1F5B" w:rsidRPr="00737D21" w:rsidRDefault="001B1F5B" w:rsidP="00D4552D">
            <w:pPr>
              <w:jc w:val="right"/>
              <w:rPr>
                <w:rFonts w:ascii="Arial" w:hAnsi="Arial" w:cs="Arial"/>
                <w:color w:val="000000"/>
                <w:sz w:val="16"/>
                <w:szCs w:val="16"/>
              </w:rPr>
            </w:pPr>
            <w:r w:rsidRPr="00737D21">
              <w:rPr>
                <w:rFonts w:ascii="Arial" w:hAnsi="Arial" w:cs="Arial"/>
                <w:color w:val="000000"/>
                <w:sz w:val="16"/>
                <w:szCs w:val="16"/>
              </w:rPr>
              <w:t>2023</w:t>
            </w:r>
          </w:p>
        </w:tc>
        <w:tc>
          <w:tcPr>
            <w:tcW w:w="1276" w:type="dxa"/>
            <w:tcBorders>
              <w:top w:val="single" w:sz="4" w:space="0" w:color="auto"/>
              <w:left w:val="nil"/>
              <w:bottom w:val="single" w:sz="4" w:space="0" w:color="auto"/>
              <w:right w:val="nil"/>
            </w:tcBorders>
            <w:shd w:val="clear" w:color="000000" w:fill="8DB3E2"/>
            <w:noWrap/>
            <w:vAlign w:val="center"/>
            <w:hideMark/>
          </w:tcPr>
          <w:p w14:paraId="20093123" w14:textId="77777777" w:rsidR="001B1F5B" w:rsidRPr="00737D21" w:rsidRDefault="001B1F5B" w:rsidP="00D4552D">
            <w:pPr>
              <w:jc w:val="right"/>
              <w:rPr>
                <w:rFonts w:ascii="Arial" w:hAnsi="Arial" w:cs="Arial"/>
                <w:color w:val="000000"/>
                <w:sz w:val="16"/>
                <w:szCs w:val="16"/>
              </w:rPr>
            </w:pPr>
            <w:r w:rsidRPr="00737D21">
              <w:rPr>
                <w:rFonts w:ascii="Arial" w:hAnsi="Arial" w:cs="Arial"/>
                <w:color w:val="000000"/>
                <w:sz w:val="16"/>
                <w:szCs w:val="16"/>
              </w:rPr>
              <w:t xml:space="preserve">Variación </w:t>
            </w:r>
          </w:p>
          <w:p w14:paraId="1BAECD5B" w14:textId="77777777" w:rsidR="001B1F5B" w:rsidRPr="00737D21" w:rsidRDefault="001B1F5B" w:rsidP="00D4552D">
            <w:pPr>
              <w:jc w:val="right"/>
              <w:rPr>
                <w:rFonts w:ascii="Arial" w:hAnsi="Arial" w:cs="Arial"/>
                <w:color w:val="000000"/>
                <w:sz w:val="16"/>
                <w:szCs w:val="16"/>
              </w:rPr>
            </w:pPr>
            <w:r w:rsidRPr="00737D21">
              <w:rPr>
                <w:rFonts w:ascii="Arial" w:hAnsi="Arial" w:cs="Arial"/>
                <w:color w:val="000000"/>
                <w:sz w:val="16"/>
                <w:szCs w:val="16"/>
              </w:rPr>
              <w:t>2023/2015</w:t>
            </w:r>
          </w:p>
        </w:tc>
        <w:tc>
          <w:tcPr>
            <w:tcW w:w="1134" w:type="dxa"/>
            <w:tcBorders>
              <w:top w:val="single" w:sz="4" w:space="0" w:color="auto"/>
              <w:left w:val="nil"/>
              <w:bottom w:val="single" w:sz="4" w:space="0" w:color="auto"/>
              <w:right w:val="nil"/>
            </w:tcBorders>
            <w:shd w:val="clear" w:color="000000" w:fill="8DB3E2"/>
            <w:noWrap/>
            <w:vAlign w:val="center"/>
            <w:hideMark/>
          </w:tcPr>
          <w:p w14:paraId="1C08D408" w14:textId="77777777" w:rsidR="001B1F5B" w:rsidRPr="00737D21" w:rsidRDefault="001B1F5B" w:rsidP="00D4552D">
            <w:pPr>
              <w:jc w:val="right"/>
              <w:rPr>
                <w:rFonts w:ascii="Arial" w:hAnsi="Arial" w:cs="Arial"/>
                <w:color w:val="000000"/>
                <w:sz w:val="16"/>
                <w:szCs w:val="16"/>
              </w:rPr>
            </w:pPr>
            <w:r w:rsidRPr="00737D21">
              <w:rPr>
                <w:rFonts w:ascii="Arial" w:hAnsi="Arial" w:cs="Arial"/>
                <w:color w:val="000000"/>
                <w:sz w:val="16"/>
                <w:szCs w:val="16"/>
              </w:rPr>
              <w:t>%</w:t>
            </w:r>
            <w:r w:rsidR="00702E3B" w:rsidRPr="00737D21">
              <w:rPr>
                <w:rFonts w:ascii="Arial" w:hAnsi="Arial" w:cs="Arial"/>
                <w:color w:val="000000"/>
                <w:sz w:val="16"/>
                <w:szCs w:val="16"/>
              </w:rPr>
              <w:t xml:space="preserve"> Variación</w:t>
            </w:r>
            <w:r w:rsidRPr="00737D21">
              <w:rPr>
                <w:rFonts w:ascii="Arial" w:hAnsi="Arial" w:cs="Arial"/>
                <w:color w:val="000000"/>
                <w:sz w:val="16"/>
                <w:szCs w:val="16"/>
              </w:rPr>
              <w:t xml:space="preserve"> </w:t>
            </w:r>
          </w:p>
        </w:tc>
      </w:tr>
      <w:tr w:rsidR="001B1F5B" w14:paraId="06103C7D" w14:textId="77777777" w:rsidTr="00CC657A">
        <w:trPr>
          <w:trHeight w:val="198"/>
        </w:trPr>
        <w:tc>
          <w:tcPr>
            <w:tcW w:w="1843" w:type="dxa"/>
            <w:tcBorders>
              <w:top w:val="single" w:sz="4" w:space="0" w:color="auto"/>
              <w:left w:val="nil"/>
              <w:bottom w:val="single" w:sz="2" w:space="0" w:color="auto"/>
              <w:right w:val="nil"/>
            </w:tcBorders>
            <w:shd w:val="clear" w:color="auto" w:fill="auto"/>
            <w:vAlign w:val="center"/>
            <w:hideMark/>
          </w:tcPr>
          <w:p w14:paraId="36AF75E2" w14:textId="77777777" w:rsidR="001B1F5B" w:rsidRDefault="001B1F5B" w:rsidP="00413ADE">
            <w:pPr>
              <w:rPr>
                <w:rFonts w:ascii="Arial Narrow" w:hAnsi="Arial Narrow" w:cs="Calibri"/>
                <w:color w:val="000000"/>
                <w:sz w:val="18"/>
                <w:szCs w:val="18"/>
              </w:rPr>
            </w:pPr>
            <w:r>
              <w:rPr>
                <w:rFonts w:ascii="Arial Narrow" w:hAnsi="Arial Narrow" w:cs="Calibri"/>
                <w:color w:val="000000"/>
                <w:sz w:val="18"/>
                <w:szCs w:val="18"/>
              </w:rPr>
              <w:t xml:space="preserve">Gasto </w:t>
            </w:r>
            <w:r w:rsidR="00413ADE">
              <w:rPr>
                <w:rFonts w:ascii="Arial Narrow" w:hAnsi="Arial Narrow" w:cs="Calibri"/>
                <w:color w:val="000000"/>
                <w:sz w:val="18"/>
                <w:szCs w:val="18"/>
              </w:rPr>
              <w:t>t</w:t>
            </w:r>
            <w:r>
              <w:rPr>
                <w:rFonts w:ascii="Arial Narrow" w:hAnsi="Arial Narrow" w:cs="Calibri"/>
                <w:color w:val="000000"/>
                <w:sz w:val="18"/>
                <w:szCs w:val="18"/>
              </w:rPr>
              <w:t>otal por hab</w:t>
            </w:r>
            <w:r w:rsidR="00413ADE">
              <w:rPr>
                <w:rFonts w:ascii="Arial Narrow" w:hAnsi="Arial Narrow" w:cs="Calibri"/>
                <w:color w:val="000000"/>
                <w:sz w:val="18"/>
                <w:szCs w:val="18"/>
              </w:rPr>
              <w:t>.</w:t>
            </w:r>
          </w:p>
        </w:tc>
        <w:tc>
          <w:tcPr>
            <w:tcW w:w="510" w:type="dxa"/>
            <w:tcBorders>
              <w:top w:val="single" w:sz="4" w:space="0" w:color="auto"/>
              <w:left w:val="nil"/>
              <w:bottom w:val="single" w:sz="2" w:space="0" w:color="auto"/>
              <w:right w:val="nil"/>
            </w:tcBorders>
            <w:shd w:val="clear" w:color="auto" w:fill="auto"/>
            <w:noWrap/>
            <w:vAlign w:val="center"/>
            <w:hideMark/>
          </w:tcPr>
          <w:p w14:paraId="044A1D72"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6.140</w:t>
            </w:r>
          </w:p>
        </w:tc>
        <w:tc>
          <w:tcPr>
            <w:tcW w:w="510" w:type="dxa"/>
            <w:tcBorders>
              <w:top w:val="single" w:sz="4" w:space="0" w:color="auto"/>
              <w:left w:val="nil"/>
              <w:bottom w:val="single" w:sz="2" w:space="0" w:color="auto"/>
              <w:right w:val="nil"/>
            </w:tcBorders>
            <w:shd w:val="clear" w:color="auto" w:fill="auto"/>
            <w:noWrap/>
            <w:vAlign w:val="center"/>
            <w:hideMark/>
          </w:tcPr>
          <w:p w14:paraId="2A5856B0"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6.195</w:t>
            </w:r>
          </w:p>
        </w:tc>
        <w:tc>
          <w:tcPr>
            <w:tcW w:w="510" w:type="dxa"/>
            <w:tcBorders>
              <w:top w:val="single" w:sz="4" w:space="0" w:color="auto"/>
              <w:left w:val="nil"/>
              <w:bottom w:val="single" w:sz="2" w:space="0" w:color="auto"/>
              <w:right w:val="nil"/>
            </w:tcBorders>
            <w:shd w:val="clear" w:color="auto" w:fill="auto"/>
            <w:noWrap/>
            <w:vAlign w:val="center"/>
            <w:hideMark/>
          </w:tcPr>
          <w:p w14:paraId="1A02613A"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6.187</w:t>
            </w:r>
          </w:p>
        </w:tc>
        <w:tc>
          <w:tcPr>
            <w:tcW w:w="510" w:type="dxa"/>
            <w:tcBorders>
              <w:top w:val="single" w:sz="4" w:space="0" w:color="auto"/>
              <w:left w:val="nil"/>
              <w:bottom w:val="single" w:sz="2" w:space="0" w:color="auto"/>
              <w:right w:val="nil"/>
            </w:tcBorders>
            <w:shd w:val="clear" w:color="auto" w:fill="auto"/>
            <w:noWrap/>
            <w:vAlign w:val="center"/>
            <w:hideMark/>
          </w:tcPr>
          <w:p w14:paraId="6858A5E4"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6.431</w:t>
            </w:r>
          </w:p>
        </w:tc>
        <w:tc>
          <w:tcPr>
            <w:tcW w:w="510" w:type="dxa"/>
            <w:tcBorders>
              <w:top w:val="single" w:sz="4" w:space="0" w:color="auto"/>
              <w:left w:val="nil"/>
              <w:bottom w:val="single" w:sz="2" w:space="0" w:color="auto"/>
              <w:right w:val="nil"/>
            </w:tcBorders>
            <w:shd w:val="clear" w:color="auto" w:fill="auto"/>
            <w:noWrap/>
            <w:vAlign w:val="center"/>
            <w:hideMark/>
          </w:tcPr>
          <w:p w14:paraId="2BE10208"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6.696</w:t>
            </w:r>
          </w:p>
        </w:tc>
        <w:tc>
          <w:tcPr>
            <w:tcW w:w="510" w:type="dxa"/>
            <w:tcBorders>
              <w:top w:val="single" w:sz="4" w:space="0" w:color="auto"/>
              <w:left w:val="nil"/>
              <w:bottom w:val="single" w:sz="2" w:space="0" w:color="auto"/>
              <w:right w:val="nil"/>
            </w:tcBorders>
            <w:shd w:val="clear" w:color="auto" w:fill="auto"/>
            <w:noWrap/>
            <w:vAlign w:val="center"/>
            <w:hideMark/>
          </w:tcPr>
          <w:p w14:paraId="7217BD74"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6.975</w:t>
            </w:r>
          </w:p>
        </w:tc>
        <w:tc>
          <w:tcPr>
            <w:tcW w:w="510" w:type="dxa"/>
            <w:tcBorders>
              <w:top w:val="single" w:sz="4" w:space="0" w:color="auto"/>
              <w:left w:val="nil"/>
              <w:bottom w:val="single" w:sz="2" w:space="0" w:color="auto"/>
              <w:right w:val="nil"/>
            </w:tcBorders>
            <w:shd w:val="clear" w:color="auto" w:fill="auto"/>
            <w:noWrap/>
            <w:vAlign w:val="center"/>
            <w:hideMark/>
          </w:tcPr>
          <w:p w14:paraId="13CBEF19"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7.624</w:t>
            </w:r>
          </w:p>
        </w:tc>
        <w:tc>
          <w:tcPr>
            <w:tcW w:w="510" w:type="dxa"/>
            <w:tcBorders>
              <w:top w:val="single" w:sz="4" w:space="0" w:color="auto"/>
              <w:left w:val="nil"/>
              <w:bottom w:val="single" w:sz="2" w:space="0" w:color="auto"/>
              <w:right w:val="nil"/>
            </w:tcBorders>
            <w:shd w:val="clear" w:color="auto" w:fill="auto"/>
            <w:noWrap/>
            <w:vAlign w:val="center"/>
            <w:hideMark/>
          </w:tcPr>
          <w:p w14:paraId="11A0518D"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8.336</w:t>
            </w:r>
          </w:p>
        </w:tc>
        <w:tc>
          <w:tcPr>
            <w:tcW w:w="598" w:type="dxa"/>
            <w:tcBorders>
              <w:top w:val="single" w:sz="4" w:space="0" w:color="auto"/>
              <w:left w:val="nil"/>
              <w:bottom w:val="single" w:sz="2" w:space="0" w:color="auto"/>
              <w:right w:val="nil"/>
            </w:tcBorders>
            <w:shd w:val="clear" w:color="auto" w:fill="auto"/>
            <w:noWrap/>
            <w:vAlign w:val="center"/>
            <w:hideMark/>
          </w:tcPr>
          <w:p w14:paraId="4E653BEE"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8.521</w:t>
            </w:r>
          </w:p>
        </w:tc>
        <w:tc>
          <w:tcPr>
            <w:tcW w:w="1276" w:type="dxa"/>
            <w:tcBorders>
              <w:top w:val="single" w:sz="4" w:space="0" w:color="auto"/>
              <w:left w:val="nil"/>
              <w:bottom w:val="single" w:sz="2" w:space="0" w:color="auto"/>
              <w:right w:val="nil"/>
            </w:tcBorders>
            <w:shd w:val="clear" w:color="auto" w:fill="auto"/>
            <w:noWrap/>
            <w:vAlign w:val="center"/>
            <w:hideMark/>
          </w:tcPr>
          <w:p w14:paraId="1CB8EBA9"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2.381</w:t>
            </w:r>
          </w:p>
        </w:tc>
        <w:tc>
          <w:tcPr>
            <w:tcW w:w="1134" w:type="dxa"/>
            <w:tcBorders>
              <w:top w:val="single" w:sz="4" w:space="0" w:color="auto"/>
              <w:left w:val="nil"/>
              <w:bottom w:val="single" w:sz="2" w:space="0" w:color="auto"/>
              <w:right w:val="nil"/>
            </w:tcBorders>
            <w:shd w:val="clear" w:color="auto" w:fill="auto"/>
            <w:noWrap/>
            <w:vAlign w:val="center"/>
            <w:hideMark/>
          </w:tcPr>
          <w:p w14:paraId="7D356FD5"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39</w:t>
            </w:r>
          </w:p>
        </w:tc>
      </w:tr>
      <w:tr w:rsidR="001B1F5B" w14:paraId="59D27E47" w14:textId="77777777" w:rsidTr="00D4552D">
        <w:trPr>
          <w:trHeight w:val="198"/>
        </w:trPr>
        <w:tc>
          <w:tcPr>
            <w:tcW w:w="1843" w:type="dxa"/>
            <w:tcBorders>
              <w:top w:val="single" w:sz="2" w:space="0" w:color="auto"/>
              <w:left w:val="nil"/>
              <w:bottom w:val="single" w:sz="2" w:space="0" w:color="auto"/>
              <w:right w:val="nil"/>
            </w:tcBorders>
            <w:shd w:val="clear" w:color="auto" w:fill="auto"/>
            <w:vAlign w:val="center"/>
            <w:hideMark/>
          </w:tcPr>
          <w:p w14:paraId="37ED2F7F" w14:textId="77777777" w:rsidR="001B1F5B" w:rsidRDefault="001B1F5B" w:rsidP="00413ADE">
            <w:pPr>
              <w:rPr>
                <w:rFonts w:ascii="Arial Narrow" w:hAnsi="Arial Narrow" w:cs="Calibri"/>
                <w:color w:val="000000"/>
                <w:sz w:val="18"/>
                <w:szCs w:val="18"/>
              </w:rPr>
            </w:pPr>
            <w:r>
              <w:rPr>
                <w:rFonts w:ascii="Arial Narrow" w:hAnsi="Arial Narrow" w:cs="Calibri"/>
                <w:color w:val="000000"/>
                <w:sz w:val="18"/>
                <w:szCs w:val="18"/>
              </w:rPr>
              <w:t>Gasto en sanidad/ hab</w:t>
            </w:r>
            <w:r w:rsidR="00413ADE">
              <w:rPr>
                <w:rFonts w:ascii="Arial Narrow" w:hAnsi="Arial Narrow" w:cs="Calibri"/>
                <w:color w:val="000000"/>
                <w:sz w:val="18"/>
                <w:szCs w:val="18"/>
              </w:rPr>
              <w:t>.</w:t>
            </w:r>
          </w:p>
        </w:tc>
        <w:tc>
          <w:tcPr>
            <w:tcW w:w="510" w:type="dxa"/>
            <w:tcBorders>
              <w:top w:val="single" w:sz="2" w:space="0" w:color="auto"/>
              <w:left w:val="nil"/>
              <w:bottom w:val="single" w:sz="2" w:space="0" w:color="auto"/>
              <w:right w:val="nil"/>
            </w:tcBorders>
            <w:shd w:val="clear" w:color="auto" w:fill="auto"/>
            <w:noWrap/>
            <w:vAlign w:val="center"/>
            <w:hideMark/>
          </w:tcPr>
          <w:p w14:paraId="2143FBCC"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1.503</w:t>
            </w:r>
          </w:p>
        </w:tc>
        <w:tc>
          <w:tcPr>
            <w:tcW w:w="510" w:type="dxa"/>
            <w:tcBorders>
              <w:top w:val="single" w:sz="2" w:space="0" w:color="auto"/>
              <w:left w:val="nil"/>
              <w:bottom w:val="single" w:sz="2" w:space="0" w:color="auto"/>
              <w:right w:val="nil"/>
            </w:tcBorders>
            <w:shd w:val="clear" w:color="auto" w:fill="auto"/>
            <w:noWrap/>
            <w:vAlign w:val="center"/>
            <w:hideMark/>
          </w:tcPr>
          <w:p w14:paraId="481F80B9"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1.522</w:t>
            </w:r>
          </w:p>
        </w:tc>
        <w:tc>
          <w:tcPr>
            <w:tcW w:w="510" w:type="dxa"/>
            <w:tcBorders>
              <w:top w:val="single" w:sz="2" w:space="0" w:color="auto"/>
              <w:left w:val="nil"/>
              <w:bottom w:val="single" w:sz="2" w:space="0" w:color="auto"/>
              <w:right w:val="nil"/>
            </w:tcBorders>
            <w:shd w:val="clear" w:color="auto" w:fill="auto"/>
            <w:noWrap/>
            <w:vAlign w:val="center"/>
            <w:hideMark/>
          </w:tcPr>
          <w:p w14:paraId="7B9A1B36"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1.581</w:t>
            </w:r>
          </w:p>
        </w:tc>
        <w:tc>
          <w:tcPr>
            <w:tcW w:w="510" w:type="dxa"/>
            <w:tcBorders>
              <w:top w:val="single" w:sz="2" w:space="0" w:color="auto"/>
              <w:left w:val="nil"/>
              <w:bottom w:val="single" w:sz="2" w:space="0" w:color="auto"/>
              <w:right w:val="nil"/>
            </w:tcBorders>
            <w:shd w:val="clear" w:color="auto" w:fill="auto"/>
            <w:noWrap/>
            <w:vAlign w:val="center"/>
            <w:hideMark/>
          </w:tcPr>
          <w:p w14:paraId="6212D6EF"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1.638</w:t>
            </w:r>
          </w:p>
        </w:tc>
        <w:tc>
          <w:tcPr>
            <w:tcW w:w="510" w:type="dxa"/>
            <w:tcBorders>
              <w:top w:val="single" w:sz="2" w:space="0" w:color="auto"/>
              <w:left w:val="nil"/>
              <w:bottom w:val="single" w:sz="2" w:space="0" w:color="auto"/>
              <w:right w:val="nil"/>
            </w:tcBorders>
            <w:shd w:val="clear" w:color="auto" w:fill="auto"/>
            <w:noWrap/>
            <w:vAlign w:val="center"/>
            <w:hideMark/>
          </w:tcPr>
          <w:p w14:paraId="07CC7375"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1.681</w:t>
            </w:r>
          </w:p>
        </w:tc>
        <w:tc>
          <w:tcPr>
            <w:tcW w:w="510" w:type="dxa"/>
            <w:tcBorders>
              <w:top w:val="single" w:sz="2" w:space="0" w:color="auto"/>
              <w:left w:val="nil"/>
              <w:bottom w:val="single" w:sz="2" w:space="0" w:color="auto"/>
              <w:right w:val="nil"/>
            </w:tcBorders>
            <w:shd w:val="clear" w:color="auto" w:fill="auto"/>
            <w:noWrap/>
            <w:vAlign w:val="center"/>
            <w:hideMark/>
          </w:tcPr>
          <w:p w14:paraId="497600CE"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1.851</w:t>
            </w:r>
          </w:p>
        </w:tc>
        <w:tc>
          <w:tcPr>
            <w:tcW w:w="510" w:type="dxa"/>
            <w:tcBorders>
              <w:top w:val="single" w:sz="2" w:space="0" w:color="auto"/>
              <w:left w:val="nil"/>
              <w:bottom w:val="single" w:sz="2" w:space="0" w:color="auto"/>
              <w:right w:val="nil"/>
            </w:tcBorders>
            <w:shd w:val="clear" w:color="auto" w:fill="auto"/>
            <w:noWrap/>
            <w:vAlign w:val="center"/>
            <w:hideMark/>
          </w:tcPr>
          <w:p w14:paraId="4F09CC9B"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1.916</w:t>
            </w:r>
          </w:p>
        </w:tc>
        <w:tc>
          <w:tcPr>
            <w:tcW w:w="510" w:type="dxa"/>
            <w:tcBorders>
              <w:top w:val="single" w:sz="2" w:space="0" w:color="auto"/>
              <w:left w:val="nil"/>
              <w:bottom w:val="single" w:sz="2" w:space="0" w:color="auto"/>
              <w:right w:val="nil"/>
            </w:tcBorders>
            <w:shd w:val="clear" w:color="auto" w:fill="auto"/>
            <w:noWrap/>
            <w:vAlign w:val="center"/>
            <w:hideMark/>
          </w:tcPr>
          <w:p w14:paraId="45FB341E"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1.951</w:t>
            </w:r>
          </w:p>
        </w:tc>
        <w:tc>
          <w:tcPr>
            <w:tcW w:w="598" w:type="dxa"/>
            <w:tcBorders>
              <w:top w:val="single" w:sz="2" w:space="0" w:color="auto"/>
              <w:left w:val="nil"/>
              <w:bottom w:val="single" w:sz="2" w:space="0" w:color="auto"/>
              <w:right w:val="nil"/>
            </w:tcBorders>
            <w:shd w:val="clear" w:color="auto" w:fill="auto"/>
            <w:noWrap/>
            <w:vAlign w:val="center"/>
            <w:hideMark/>
          </w:tcPr>
          <w:p w14:paraId="510B4C9F"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2.074</w:t>
            </w:r>
          </w:p>
        </w:tc>
        <w:tc>
          <w:tcPr>
            <w:tcW w:w="1276" w:type="dxa"/>
            <w:tcBorders>
              <w:top w:val="single" w:sz="2" w:space="0" w:color="auto"/>
              <w:left w:val="nil"/>
              <w:bottom w:val="single" w:sz="2" w:space="0" w:color="auto"/>
              <w:right w:val="nil"/>
            </w:tcBorders>
            <w:shd w:val="clear" w:color="auto" w:fill="auto"/>
            <w:noWrap/>
            <w:vAlign w:val="center"/>
            <w:hideMark/>
          </w:tcPr>
          <w:p w14:paraId="398754EA"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571</w:t>
            </w:r>
          </w:p>
        </w:tc>
        <w:tc>
          <w:tcPr>
            <w:tcW w:w="1134" w:type="dxa"/>
            <w:tcBorders>
              <w:top w:val="single" w:sz="2" w:space="0" w:color="auto"/>
              <w:left w:val="nil"/>
              <w:bottom w:val="single" w:sz="2" w:space="0" w:color="auto"/>
              <w:right w:val="nil"/>
            </w:tcBorders>
            <w:shd w:val="clear" w:color="auto" w:fill="auto"/>
            <w:noWrap/>
            <w:vAlign w:val="center"/>
            <w:hideMark/>
          </w:tcPr>
          <w:p w14:paraId="17D17717"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38</w:t>
            </w:r>
          </w:p>
        </w:tc>
      </w:tr>
      <w:tr w:rsidR="001B1F5B" w14:paraId="522A2287" w14:textId="77777777" w:rsidTr="00D4552D">
        <w:trPr>
          <w:trHeight w:val="198"/>
        </w:trPr>
        <w:tc>
          <w:tcPr>
            <w:tcW w:w="1843" w:type="dxa"/>
            <w:tcBorders>
              <w:top w:val="single" w:sz="2" w:space="0" w:color="auto"/>
              <w:left w:val="nil"/>
              <w:bottom w:val="single" w:sz="4" w:space="0" w:color="auto"/>
              <w:right w:val="nil"/>
            </w:tcBorders>
            <w:shd w:val="clear" w:color="auto" w:fill="auto"/>
            <w:vAlign w:val="center"/>
            <w:hideMark/>
          </w:tcPr>
          <w:p w14:paraId="7B434A39" w14:textId="77777777" w:rsidR="001B1F5B" w:rsidRDefault="001B1F5B" w:rsidP="00413ADE">
            <w:pPr>
              <w:rPr>
                <w:rFonts w:ascii="Arial Narrow" w:hAnsi="Arial Narrow" w:cs="Calibri"/>
                <w:color w:val="000000"/>
                <w:sz w:val="18"/>
                <w:szCs w:val="18"/>
              </w:rPr>
            </w:pPr>
            <w:r>
              <w:rPr>
                <w:rFonts w:ascii="Arial Narrow" w:hAnsi="Arial Narrow" w:cs="Calibri"/>
                <w:color w:val="000000"/>
                <w:sz w:val="18"/>
                <w:szCs w:val="18"/>
              </w:rPr>
              <w:t>Gasto en educación/hab</w:t>
            </w:r>
            <w:r w:rsidR="00413ADE">
              <w:rPr>
                <w:rFonts w:ascii="Arial Narrow" w:hAnsi="Arial Narrow" w:cs="Calibri"/>
                <w:color w:val="000000"/>
                <w:sz w:val="18"/>
                <w:szCs w:val="18"/>
              </w:rPr>
              <w:t>.</w:t>
            </w:r>
          </w:p>
        </w:tc>
        <w:tc>
          <w:tcPr>
            <w:tcW w:w="510" w:type="dxa"/>
            <w:tcBorders>
              <w:top w:val="single" w:sz="2" w:space="0" w:color="auto"/>
              <w:left w:val="nil"/>
              <w:bottom w:val="single" w:sz="4" w:space="0" w:color="auto"/>
              <w:right w:val="nil"/>
            </w:tcBorders>
            <w:shd w:val="clear" w:color="auto" w:fill="auto"/>
            <w:noWrap/>
            <w:vAlign w:val="center"/>
            <w:hideMark/>
          </w:tcPr>
          <w:p w14:paraId="5F836424"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910</w:t>
            </w:r>
          </w:p>
        </w:tc>
        <w:tc>
          <w:tcPr>
            <w:tcW w:w="510" w:type="dxa"/>
            <w:tcBorders>
              <w:top w:val="single" w:sz="2" w:space="0" w:color="auto"/>
              <w:left w:val="nil"/>
              <w:bottom w:val="single" w:sz="4" w:space="0" w:color="auto"/>
              <w:right w:val="nil"/>
            </w:tcBorders>
            <w:shd w:val="clear" w:color="auto" w:fill="auto"/>
            <w:noWrap/>
            <w:vAlign w:val="center"/>
            <w:hideMark/>
          </w:tcPr>
          <w:p w14:paraId="4EA5A799"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934</w:t>
            </w:r>
          </w:p>
        </w:tc>
        <w:tc>
          <w:tcPr>
            <w:tcW w:w="510" w:type="dxa"/>
            <w:tcBorders>
              <w:top w:val="single" w:sz="2" w:space="0" w:color="auto"/>
              <w:left w:val="nil"/>
              <w:bottom w:val="single" w:sz="4" w:space="0" w:color="auto"/>
              <w:right w:val="nil"/>
            </w:tcBorders>
            <w:shd w:val="clear" w:color="auto" w:fill="auto"/>
            <w:noWrap/>
            <w:vAlign w:val="center"/>
            <w:hideMark/>
          </w:tcPr>
          <w:p w14:paraId="441B6F59"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986</w:t>
            </w:r>
          </w:p>
        </w:tc>
        <w:tc>
          <w:tcPr>
            <w:tcW w:w="510" w:type="dxa"/>
            <w:tcBorders>
              <w:top w:val="single" w:sz="2" w:space="0" w:color="auto"/>
              <w:left w:val="nil"/>
              <w:bottom w:val="single" w:sz="4" w:space="0" w:color="auto"/>
              <w:right w:val="nil"/>
            </w:tcBorders>
            <w:shd w:val="clear" w:color="auto" w:fill="auto"/>
            <w:noWrap/>
            <w:vAlign w:val="center"/>
            <w:hideMark/>
          </w:tcPr>
          <w:p w14:paraId="6B8B9035"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1.003</w:t>
            </w:r>
          </w:p>
        </w:tc>
        <w:tc>
          <w:tcPr>
            <w:tcW w:w="510" w:type="dxa"/>
            <w:tcBorders>
              <w:top w:val="single" w:sz="2" w:space="0" w:color="auto"/>
              <w:left w:val="nil"/>
              <w:bottom w:val="single" w:sz="4" w:space="0" w:color="auto"/>
              <w:right w:val="nil"/>
            </w:tcBorders>
            <w:shd w:val="clear" w:color="auto" w:fill="auto"/>
            <w:noWrap/>
            <w:vAlign w:val="center"/>
            <w:hideMark/>
          </w:tcPr>
          <w:p w14:paraId="64282A27"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1.077</w:t>
            </w:r>
          </w:p>
        </w:tc>
        <w:tc>
          <w:tcPr>
            <w:tcW w:w="510" w:type="dxa"/>
            <w:tcBorders>
              <w:top w:val="single" w:sz="2" w:space="0" w:color="auto"/>
              <w:left w:val="nil"/>
              <w:bottom w:val="single" w:sz="4" w:space="0" w:color="auto"/>
              <w:right w:val="nil"/>
            </w:tcBorders>
            <w:shd w:val="clear" w:color="auto" w:fill="auto"/>
            <w:noWrap/>
            <w:vAlign w:val="center"/>
            <w:hideMark/>
          </w:tcPr>
          <w:p w14:paraId="73E5FF65"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1.171</w:t>
            </w:r>
          </w:p>
        </w:tc>
        <w:tc>
          <w:tcPr>
            <w:tcW w:w="510" w:type="dxa"/>
            <w:tcBorders>
              <w:top w:val="single" w:sz="2" w:space="0" w:color="auto"/>
              <w:left w:val="nil"/>
              <w:bottom w:val="single" w:sz="4" w:space="0" w:color="auto"/>
              <w:right w:val="nil"/>
            </w:tcBorders>
            <w:shd w:val="clear" w:color="auto" w:fill="auto"/>
            <w:noWrap/>
            <w:vAlign w:val="center"/>
            <w:hideMark/>
          </w:tcPr>
          <w:p w14:paraId="5983AEBD"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1.233</w:t>
            </w:r>
          </w:p>
        </w:tc>
        <w:tc>
          <w:tcPr>
            <w:tcW w:w="510" w:type="dxa"/>
            <w:tcBorders>
              <w:top w:val="single" w:sz="2" w:space="0" w:color="auto"/>
              <w:left w:val="nil"/>
              <w:bottom w:val="single" w:sz="4" w:space="0" w:color="auto"/>
              <w:right w:val="nil"/>
            </w:tcBorders>
            <w:shd w:val="clear" w:color="auto" w:fill="auto"/>
            <w:noWrap/>
            <w:vAlign w:val="center"/>
            <w:hideMark/>
          </w:tcPr>
          <w:p w14:paraId="2BD37BFA"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1.294</w:t>
            </w:r>
          </w:p>
        </w:tc>
        <w:tc>
          <w:tcPr>
            <w:tcW w:w="598" w:type="dxa"/>
            <w:tcBorders>
              <w:top w:val="single" w:sz="2" w:space="0" w:color="auto"/>
              <w:left w:val="nil"/>
              <w:bottom w:val="single" w:sz="4" w:space="0" w:color="auto"/>
              <w:right w:val="nil"/>
            </w:tcBorders>
            <w:shd w:val="clear" w:color="auto" w:fill="auto"/>
            <w:noWrap/>
            <w:vAlign w:val="center"/>
            <w:hideMark/>
          </w:tcPr>
          <w:p w14:paraId="6B47EE33"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1.379</w:t>
            </w:r>
          </w:p>
        </w:tc>
        <w:tc>
          <w:tcPr>
            <w:tcW w:w="1276" w:type="dxa"/>
            <w:tcBorders>
              <w:top w:val="single" w:sz="2" w:space="0" w:color="auto"/>
              <w:left w:val="nil"/>
              <w:bottom w:val="single" w:sz="4" w:space="0" w:color="auto"/>
              <w:right w:val="nil"/>
            </w:tcBorders>
            <w:shd w:val="clear" w:color="auto" w:fill="auto"/>
            <w:noWrap/>
            <w:vAlign w:val="center"/>
            <w:hideMark/>
          </w:tcPr>
          <w:p w14:paraId="418A0633"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469</w:t>
            </w:r>
          </w:p>
        </w:tc>
        <w:tc>
          <w:tcPr>
            <w:tcW w:w="1134" w:type="dxa"/>
            <w:tcBorders>
              <w:top w:val="single" w:sz="2" w:space="0" w:color="auto"/>
              <w:left w:val="nil"/>
              <w:bottom w:val="single" w:sz="4" w:space="0" w:color="auto"/>
              <w:right w:val="nil"/>
            </w:tcBorders>
            <w:shd w:val="clear" w:color="auto" w:fill="auto"/>
            <w:noWrap/>
            <w:vAlign w:val="center"/>
            <w:hideMark/>
          </w:tcPr>
          <w:p w14:paraId="671CAD1D" w14:textId="77777777" w:rsidR="001B1F5B" w:rsidRDefault="001B1F5B" w:rsidP="00D4552D">
            <w:pPr>
              <w:jc w:val="right"/>
              <w:rPr>
                <w:rFonts w:ascii="Arial Narrow" w:hAnsi="Arial Narrow" w:cs="Calibri"/>
                <w:color w:val="000000"/>
                <w:sz w:val="18"/>
                <w:szCs w:val="18"/>
              </w:rPr>
            </w:pPr>
            <w:r>
              <w:rPr>
                <w:rFonts w:ascii="Arial Narrow" w:hAnsi="Arial Narrow" w:cs="Calibri"/>
                <w:color w:val="000000"/>
                <w:sz w:val="18"/>
                <w:szCs w:val="18"/>
              </w:rPr>
              <w:t>51</w:t>
            </w:r>
          </w:p>
        </w:tc>
      </w:tr>
    </w:tbl>
    <w:p w14:paraId="357B6B96" w14:textId="77777777" w:rsidR="001B1F5B" w:rsidRPr="00733C55" w:rsidRDefault="001B1F5B" w:rsidP="00286F49">
      <w:pPr>
        <w:pStyle w:val="texto"/>
        <w:spacing w:after="60"/>
        <w:jc w:val="both"/>
        <w:rPr>
          <w:color w:val="FF0000"/>
        </w:rPr>
      </w:pPr>
    </w:p>
    <w:p w14:paraId="5ADB2B76" w14:textId="77777777" w:rsidR="008601F6" w:rsidRDefault="003C4C03" w:rsidP="00273FAC">
      <w:pPr>
        <w:pStyle w:val="texto"/>
        <w:spacing w:after="120"/>
        <w:jc w:val="both"/>
      </w:pPr>
      <w:r>
        <w:t xml:space="preserve">Se observa </w:t>
      </w:r>
      <w:r w:rsidR="00176326">
        <w:t>que e</w:t>
      </w:r>
      <w:r w:rsidR="00F35E2F">
        <w:t>l</w:t>
      </w:r>
      <w:r>
        <w:t xml:space="preserve"> presupuesto en su </w:t>
      </w:r>
      <w:proofErr w:type="gramStart"/>
      <w:r>
        <w:t>conjunto,</w:t>
      </w:r>
      <w:proofErr w:type="gramEnd"/>
      <w:r>
        <w:t xml:space="preserve"> ha aumentado en </w:t>
      </w:r>
      <w:r w:rsidR="00176326">
        <w:t xml:space="preserve">1.868,48 </w:t>
      </w:r>
      <w:r>
        <w:t xml:space="preserve">millones </w:t>
      </w:r>
      <w:r w:rsidR="00F35E2F">
        <w:t xml:space="preserve">lo que significa un incremento del </w:t>
      </w:r>
      <w:r>
        <w:t>48 por ciento</w:t>
      </w:r>
      <w:r w:rsidR="00F35E2F">
        <w:t>.</w:t>
      </w:r>
      <w:r w:rsidR="00176326">
        <w:t xml:space="preserve"> El incremento en el gasto en sanidad ha sido de 449 millones, (un 47 por ciento) y el gasto en educación, que se ha incrementado en 355 millones (un 61 por ciento). </w:t>
      </w:r>
    </w:p>
    <w:p w14:paraId="251F4322" w14:textId="77777777" w:rsidR="00176326" w:rsidRDefault="000C35AC" w:rsidP="00554B3C">
      <w:pPr>
        <w:pStyle w:val="texto"/>
        <w:spacing w:after="120"/>
        <w:jc w:val="both"/>
      </w:pPr>
      <w:r>
        <w:t>Indicamos que, s</w:t>
      </w:r>
      <w:r w:rsidR="008601F6">
        <w:t>i bien es cierto que de</w:t>
      </w:r>
      <w:r>
        <w:t xml:space="preserve">sde el ejercicio 2020, los gastos derivados de la </w:t>
      </w:r>
      <w:r w:rsidR="008601F6">
        <w:t xml:space="preserve">financiación de los Fondos Next </w:t>
      </w:r>
      <w:proofErr w:type="spellStart"/>
      <w:r w:rsidR="008601F6">
        <w:t>Generation</w:t>
      </w:r>
      <w:proofErr w:type="spellEnd"/>
      <w:r w:rsidR="008601F6">
        <w:t xml:space="preserve"> se incluye dentro de las cifras del gasto total, su importe no es significativo en el conjunto de los presupuestos generales de Navarra</w:t>
      </w:r>
      <w:r>
        <w:rPr>
          <w:rStyle w:val="Refdenotaalpie"/>
        </w:rPr>
        <w:footnoteReference w:id="15"/>
      </w:r>
      <w:r w:rsidR="008601F6">
        <w:t xml:space="preserve">. </w:t>
      </w:r>
    </w:p>
    <w:p w14:paraId="3B5F2D18" w14:textId="77777777" w:rsidR="00F35E2F" w:rsidRDefault="00F35E2F" w:rsidP="00E906A4">
      <w:pPr>
        <w:pStyle w:val="texto"/>
        <w:spacing w:after="240"/>
        <w:jc w:val="both"/>
      </w:pPr>
      <w:r>
        <w:t>No obstante, si tenemos en cuenta el efecto de la inflación</w:t>
      </w:r>
      <w:r w:rsidR="00176326">
        <w:t xml:space="preserve">, </w:t>
      </w:r>
      <w:r w:rsidR="00702E3B">
        <w:t xml:space="preserve">en el siguiente cuadro reflejamos los datos en términos nominales y reales: </w:t>
      </w:r>
      <w:r w:rsidR="00176326">
        <w:t xml:space="preserve"> </w:t>
      </w:r>
    </w:p>
    <w:tbl>
      <w:tblPr>
        <w:tblW w:w="0" w:type="auto"/>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276"/>
        <w:gridCol w:w="2977"/>
        <w:gridCol w:w="1843"/>
        <w:gridCol w:w="2693"/>
      </w:tblGrid>
      <w:tr w:rsidR="00176326" w14:paraId="70D4B173" w14:textId="77777777" w:rsidTr="008A2E63">
        <w:trPr>
          <w:trHeight w:val="255"/>
        </w:trPr>
        <w:tc>
          <w:tcPr>
            <w:tcW w:w="1276" w:type="dxa"/>
            <w:tcBorders>
              <w:bottom w:val="single" w:sz="4" w:space="0" w:color="auto"/>
            </w:tcBorders>
            <w:shd w:val="clear" w:color="000000" w:fill="8DB3E2"/>
            <w:vAlign w:val="center"/>
            <w:hideMark/>
          </w:tcPr>
          <w:p w14:paraId="4D51BEF8" w14:textId="77777777" w:rsidR="00176326" w:rsidRDefault="00176326">
            <w:pPr>
              <w:rPr>
                <w:rFonts w:ascii="Arial" w:hAnsi="Arial" w:cs="Arial"/>
                <w:color w:val="000000"/>
                <w:sz w:val="16"/>
                <w:szCs w:val="16"/>
              </w:rPr>
            </w:pPr>
            <w:r>
              <w:rPr>
                <w:rFonts w:ascii="Arial" w:hAnsi="Arial" w:cs="Arial"/>
                <w:color w:val="000000"/>
                <w:sz w:val="16"/>
                <w:szCs w:val="16"/>
              </w:rPr>
              <w:t> </w:t>
            </w:r>
            <w:r w:rsidR="007E13AD">
              <w:rPr>
                <w:rFonts w:ascii="Arial" w:hAnsi="Arial" w:cs="Arial"/>
                <w:color w:val="000000"/>
                <w:sz w:val="16"/>
                <w:szCs w:val="16"/>
              </w:rPr>
              <w:t xml:space="preserve">Gasto </w:t>
            </w:r>
          </w:p>
        </w:tc>
        <w:tc>
          <w:tcPr>
            <w:tcW w:w="2977" w:type="dxa"/>
            <w:tcBorders>
              <w:bottom w:val="single" w:sz="4" w:space="0" w:color="auto"/>
            </w:tcBorders>
            <w:shd w:val="clear" w:color="000000" w:fill="8DB3E2"/>
            <w:vAlign w:val="center"/>
            <w:hideMark/>
          </w:tcPr>
          <w:p w14:paraId="54181459" w14:textId="77777777" w:rsidR="00176326" w:rsidRDefault="008A2E63">
            <w:pPr>
              <w:jc w:val="right"/>
              <w:rPr>
                <w:rFonts w:ascii="Arial" w:hAnsi="Arial" w:cs="Arial"/>
                <w:color w:val="000000"/>
                <w:sz w:val="18"/>
                <w:szCs w:val="18"/>
              </w:rPr>
            </w:pPr>
            <w:r>
              <w:rPr>
                <w:rFonts w:ascii="Arial" w:hAnsi="Arial" w:cs="Arial"/>
                <w:color w:val="000000"/>
                <w:sz w:val="18"/>
                <w:szCs w:val="18"/>
              </w:rPr>
              <w:t xml:space="preserve">% </w:t>
            </w:r>
            <w:r w:rsidR="00176326">
              <w:rPr>
                <w:rFonts w:ascii="Arial" w:hAnsi="Arial" w:cs="Arial"/>
                <w:color w:val="000000"/>
                <w:sz w:val="18"/>
                <w:szCs w:val="18"/>
              </w:rPr>
              <w:t>Variación en términos nominales</w:t>
            </w:r>
          </w:p>
        </w:tc>
        <w:tc>
          <w:tcPr>
            <w:tcW w:w="1843" w:type="dxa"/>
            <w:tcBorders>
              <w:bottom w:val="single" w:sz="4" w:space="0" w:color="auto"/>
            </w:tcBorders>
            <w:shd w:val="clear" w:color="000000" w:fill="8DB3E2"/>
            <w:vAlign w:val="center"/>
            <w:hideMark/>
          </w:tcPr>
          <w:p w14:paraId="3AD17585" w14:textId="77777777" w:rsidR="00176326" w:rsidRDefault="00176326" w:rsidP="00554B3C">
            <w:pPr>
              <w:jc w:val="right"/>
              <w:rPr>
                <w:rFonts w:ascii="Arial" w:hAnsi="Arial" w:cs="Arial"/>
                <w:color w:val="000000"/>
                <w:sz w:val="18"/>
                <w:szCs w:val="18"/>
              </w:rPr>
            </w:pPr>
            <w:r>
              <w:rPr>
                <w:rFonts w:ascii="Arial" w:hAnsi="Arial" w:cs="Arial"/>
                <w:color w:val="000000"/>
                <w:sz w:val="18"/>
                <w:szCs w:val="18"/>
              </w:rPr>
              <w:t>Inflación</w:t>
            </w:r>
            <w:r w:rsidR="00442C60">
              <w:rPr>
                <w:rFonts w:ascii="Arial" w:hAnsi="Arial" w:cs="Arial"/>
                <w:color w:val="000000"/>
                <w:sz w:val="18"/>
                <w:szCs w:val="18"/>
              </w:rPr>
              <w:t xml:space="preserve"> </w:t>
            </w:r>
            <w:r w:rsidR="007E13AD">
              <w:rPr>
                <w:rFonts w:ascii="Arial" w:hAnsi="Arial" w:cs="Arial"/>
                <w:color w:val="000000"/>
                <w:sz w:val="18"/>
                <w:szCs w:val="18"/>
              </w:rPr>
              <w:t>2015-2023</w:t>
            </w:r>
            <w:r>
              <w:rPr>
                <w:rFonts w:ascii="Arial" w:hAnsi="Arial" w:cs="Arial"/>
                <w:color w:val="000000"/>
                <w:sz w:val="18"/>
                <w:szCs w:val="18"/>
              </w:rPr>
              <w:t>*</w:t>
            </w:r>
          </w:p>
        </w:tc>
        <w:tc>
          <w:tcPr>
            <w:tcW w:w="2693" w:type="dxa"/>
            <w:tcBorders>
              <w:bottom w:val="single" w:sz="4" w:space="0" w:color="auto"/>
            </w:tcBorders>
            <w:shd w:val="clear" w:color="000000" w:fill="8DB3E2"/>
            <w:vAlign w:val="center"/>
            <w:hideMark/>
          </w:tcPr>
          <w:p w14:paraId="10964B55" w14:textId="77777777" w:rsidR="00176326" w:rsidRDefault="008A2E63">
            <w:pPr>
              <w:jc w:val="right"/>
              <w:rPr>
                <w:rFonts w:ascii="Arial" w:hAnsi="Arial" w:cs="Arial"/>
                <w:color w:val="000000"/>
                <w:sz w:val="18"/>
                <w:szCs w:val="18"/>
              </w:rPr>
            </w:pPr>
            <w:r>
              <w:rPr>
                <w:rFonts w:ascii="Arial" w:hAnsi="Arial" w:cs="Arial"/>
                <w:color w:val="000000"/>
                <w:sz w:val="18"/>
                <w:szCs w:val="18"/>
              </w:rPr>
              <w:t xml:space="preserve">% </w:t>
            </w:r>
            <w:r w:rsidR="00176326">
              <w:rPr>
                <w:rFonts w:ascii="Arial" w:hAnsi="Arial" w:cs="Arial"/>
                <w:color w:val="000000"/>
                <w:sz w:val="18"/>
                <w:szCs w:val="18"/>
              </w:rPr>
              <w:t>Variación en términos reales</w:t>
            </w:r>
          </w:p>
        </w:tc>
      </w:tr>
      <w:tr w:rsidR="001C71FC" w14:paraId="3FAB1209" w14:textId="77777777" w:rsidTr="008A2E63">
        <w:trPr>
          <w:trHeight w:val="198"/>
        </w:trPr>
        <w:tc>
          <w:tcPr>
            <w:tcW w:w="1276" w:type="dxa"/>
            <w:tcBorders>
              <w:bottom w:val="single" w:sz="2" w:space="0" w:color="auto"/>
            </w:tcBorders>
            <w:shd w:val="clear" w:color="auto" w:fill="auto"/>
            <w:noWrap/>
            <w:vAlign w:val="center"/>
            <w:hideMark/>
          </w:tcPr>
          <w:p w14:paraId="2AA8841C" w14:textId="77777777" w:rsidR="001C71FC" w:rsidRPr="00273FAC" w:rsidRDefault="001C71FC">
            <w:pPr>
              <w:rPr>
                <w:rFonts w:ascii="Arial Narrow" w:hAnsi="Arial Narrow" w:cs="Calibri"/>
                <w:color w:val="000000"/>
                <w:sz w:val="20"/>
                <w:szCs w:val="20"/>
              </w:rPr>
            </w:pPr>
            <w:r>
              <w:rPr>
                <w:rFonts w:ascii="Arial Narrow" w:hAnsi="Arial Narrow" w:cs="Calibri"/>
                <w:color w:val="000000"/>
                <w:sz w:val="20"/>
                <w:szCs w:val="20"/>
              </w:rPr>
              <w:t>Presupuestos</w:t>
            </w:r>
          </w:p>
        </w:tc>
        <w:tc>
          <w:tcPr>
            <w:tcW w:w="2977" w:type="dxa"/>
            <w:tcBorders>
              <w:bottom w:val="single" w:sz="2" w:space="0" w:color="auto"/>
            </w:tcBorders>
            <w:shd w:val="clear" w:color="auto" w:fill="auto"/>
            <w:noWrap/>
            <w:vAlign w:val="center"/>
            <w:hideMark/>
          </w:tcPr>
          <w:p w14:paraId="1DE0FF6A" w14:textId="77777777" w:rsidR="001C71FC" w:rsidRPr="00273FAC" w:rsidRDefault="001C71FC">
            <w:pPr>
              <w:jc w:val="right"/>
              <w:rPr>
                <w:rFonts w:ascii="Arial Narrow" w:hAnsi="Arial Narrow" w:cs="Calibri"/>
                <w:color w:val="000000"/>
                <w:sz w:val="20"/>
                <w:szCs w:val="20"/>
              </w:rPr>
            </w:pPr>
            <w:r w:rsidRPr="00273FAC">
              <w:rPr>
                <w:rFonts w:ascii="Arial Narrow" w:hAnsi="Arial Narrow" w:cs="Calibri"/>
                <w:color w:val="000000"/>
                <w:sz w:val="20"/>
                <w:szCs w:val="20"/>
              </w:rPr>
              <w:t>48</w:t>
            </w:r>
          </w:p>
        </w:tc>
        <w:tc>
          <w:tcPr>
            <w:tcW w:w="1843" w:type="dxa"/>
            <w:tcBorders>
              <w:bottom w:val="single" w:sz="2" w:space="0" w:color="auto"/>
            </w:tcBorders>
            <w:shd w:val="clear" w:color="auto" w:fill="auto"/>
            <w:noWrap/>
            <w:vAlign w:val="center"/>
            <w:hideMark/>
          </w:tcPr>
          <w:p w14:paraId="5BB345CC" w14:textId="77777777" w:rsidR="001C71FC" w:rsidRPr="00273FAC" w:rsidRDefault="001C71FC" w:rsidP="00554B3C">
            <w:pPr>
              <w:jc w:val="right"/>
              <w:rPr>
                <w:rFonts w:ascii="Arial Narrow" w:hAnsi="Arial Narrow"/>
                <w:color w:val="000000"/>
                <w:sz w:val="20"/>
                <w:szCs w:val="20"/>
              </w:rPr>
            </w:pPr>
          </w:p>
        </w:tc>
        <w:tc>
          <w:tcPr>
            <w:tcW w:w="2693" w:type="dxa"/>
            <w:tcBorders>
              <w:bottom w:val="single" w:sz="2" w:space="0" w:color="auto"/>
            </w:tcBorders>
            <w:shd w:val="clear" w:color="auto" w:fill="auto"/>
            <w:noWrap/>
            <w:vAlign w:val="center"/>
            <w:hideMark/>
          </w:tcPr>
          <w:p w14:paraId="0789771C" w14:textId="77777777" w:rsidR="001C71FC" w:rsidRPr="00273FAC" w:rsidRDefault="001C71FC">
            <w:pPr>
              <w:jc w:val="right"/>
              <w:rPr>
                <w:rFonts w:ascii="Arial Narrow" w:hAnsi="Arial Narrow" w:cs="Calibri"/>
                <w:color w:val="000000"/>
                <w:sz w:val="20"/>
                <w:szCs w:val="20"/>
              </w:rPr>
            </w:pPr>
            <w:r w:rsidRPr="00273FAC">
              <w:rPr>
                <w:rFonts w:ascii="Arial Narrow" w:hAnsi="Arial Narrow" w:cs="Calibri"/>
                <w:color w:val="000000"/>
                <w:sz w:val="20"/>
                <w:szCs w:val="20"/>
              </w:rPr>
              <w:t>26,2</w:t>
            </w:r>
          </w:p>
        </w:tc>
      </w:tr>
      <w:tr w:rsidR="001C71FC" w14:paraId="2BB21FEE" w14:textId="77777777" w:rsidTr="008A2E63">
        <w:trPr>
          <w:trHeight w:val="198"/>
        </w:trPr>
        <w:tc>
          <w:tcPr>
            <w:tcW w:w="1276" w:type="dxa"/>
            <w:tcBorders>
              <w:top w:val="single" w:sz="2" w:space="0" w:color="auto"/>
              <w:bottom w:val="single" w:sz="2" w:space="0" w:color="auto"/>
            </w:tcBorders>
            <w:shd w:val="clear" w:color="auto" w:fill="auto"/>
            <w:noWrap/>
            <w:vAlign w:val="center"/>
            <w:hideMark/>
          </w:tcPr>
          <w:p w14:paraId="20DFCB33" w14:textId="77777777" w:rsidR="001C71FC" w:rsidRPr="00273FAC" w:rsidRDefault="001C71FC">
            <w:pPr>
              <w:rPr>
                <w:rFonts w:ascii="Arial Narrow" w:hAnsi="Arial Narrow" w:cs="Calibri"/>
                <w:color w:val="000000"/>
                <w:sz w:val="20"/>
                <w:szCs w:val="20"/>
              </w:rPr>
            </w:pPr>
            <w:r>
              <w:rPr>
                <w:rFonts w:ascii="Arial Narrow" w:hAnsi="Arial Narrow" w:cs="Calibri"/>
                <w:color w:val="000000"/>
                <w:sz w:val="20"/>
                <w:szCs w:val="20"/>
              </w:rPr>
              <w:t>S</w:t>
            </w:r>
            <w:r w:rsidRPr="00273FAC">
              <w:rPr>
                <w:rFonts w:ascii="Arial Narrow" w:hAnsi="Arial Narrow" w:cs="Calibri"/>
                <w:color w:val="000000"/>
                <w:sz w:val="20"/>
                <w:szCs w:val="20"/>
              </w:rPr>
              <w:t>anidad</w:t>
            </w:r>
          </w:p>
        </w:tc>
        <w:tc>
          <w:tcPr>
            <w:tcW w:w="2977" w:type="dxa"/>
            <w:tcBorders>
              <w:top w:val="single" w:sz="2" w:space="0" w:color="auto"/>
              <w:bottom w:val="single" w:sz="2" w:space="0" w:color="auto"/>
            </w:tcBorders>
            <w:shd w:val="clear" w:color="auto" w:fill="auto"/>
            <w:noWrap/>
            <w:vAlign w:val="center"/>
            <w:hideMark/>
          </w:tcPr>
          <w:p w14:paraId="44831488" w14:textId="77777777" w:rsidR="001C71FC" w:rsidRPr="00273FAC" w:rsidRDefault="001C71FC">
            <w:pPr>
              <w:jc w:val="right"/>
              <w:rPr>
                <w:rFonts w:ascii="Arial Narrow" w:hAnsi="Arial Narrow" w:cs="Calibri"/>
                <w:color w:val="000000"/>
                <w:sz w:val="20"/>
                <w:szCs w:val="20"/>
              </w:rPr>
            </w:pPr>
            <w:r w:rsidRPr="00273FAC">
              <w:rPr>
                <w:rFonts w:ascii="Arial Narrow" w:hAnsi="Arial Narrow" w:cs="Calibri"/>
                <w:color w:val="000000"/>
                <w:sz w:val="20"/>
                <w:szCs w:val="20"/>
              </w:rPr>
              <w:t>47</w:t>
            </w:r>
          </w:p>
        </w:tc>
        <w:tc>
          <w:tcPr>
            <w:tcW w:w="1843" w:type="dxa"/>
            <w:tcBorders>
              <w:top w:val="single" w:sz="2" w:space="0" w:color="auto"/>
              <w:bottom w:val="single" w:sz="2" w:space="0" w:color="auto"/>
            </w:tcBorders>
            <w:shd w:val="clear" w:color="auto" w:fill="auto"/>
            <w:vAlign w:val="center"/>
            <w:hideMark/>
          </w:tcPr>
          <w:p w14:paraId="73B7774D" w14:textId="77777777" w:rsidR="001C71FC" w:rsidRPr="00273FAC" w:rsidRDefault="001C71FC" w:rsidP="001C71FC">
            <w:pPr>
              <w:jc w:val="right"/>
              <w:rPr>
                <w:color w:val="000000"/>
                <w:sz w:val="20"/>
                <w:szCs w:val="20"/>
              </w:rPr>
            </w:pPr>
            <w:r w:rsidRPr="00273FAC">
              <w:rPr>
                <w:rFonts w:ascii="Arial Narrow" w:hAnsi="Arial Narrow"/>
                <w:color w:val="000000"/>
                <w:sz w:val="20"/>
                <w:szCs w:val="20"/>
              </w:rPr>
              <w:t>21,8</w:t>
            </w:r>
          </w:p>
        </w:tc>
        <w:tc>
          <w:tcPr>
            <w:tcW w:w="2693" w:type="dxa"/>
            <w:tcBorders>
              <w:top w:val="single" w:sz="2" w:space="0" w:color="auto"/>
              <w:bottom w:val="single" w:sz="2" w:space="0" w:color="auto"/>
            </w:tcBorders>
            <w:shd w:val="clear" w:color="auto" w:fill="auto"/>
            <w:noWrap/>
            <w:vAlign w:val="center"/>
            <w:hideMark/>
          </w:tcPr>
          <w:p w14:paraId="6068B344" w14:textId="77777777" w:rsidR="001C71FC" w:rsidRPr="00273FAC" w:rsidRDefault="001C71FC">
            <w:pPr>
              <w:jc w:val="right"/>
              <w:rPr>
                <w:rFonts w:ascii="Arial Narrow" w:hAnsi="Arial Narrow" w:cs="Calibri"/>
                <w:color w:val="000000"/>
                <w:sz w:val="20"/>
                <w:szCs w:val="20"/>
              </w:rPr>
            </w:pPr>
            <w:r w:rsidRPr="00273FAC">
              <w:rPr>
                <w:rFonts w:ascii="Arial Narrow" w:hAnsi="Arial Narrow" w:cs="Calibri"/>
                <w:color w:val="000000"/>
                <w:sz w:val="20"/>
                <w:szCs w:val="20"/>
              </w:rPr>
              <w:t>25,2</w:t>
            </w:r>
          </w:p>
        </w:tc>
      </w:tr>
      <w:tr w:rsidR="001C71FC" w14:paraId="088ADE9F" w14:textId="77777777" w:rsidTr="008A2E63">
        <w:trPr>
          <w:trHeight w:val="198"/>
        </w:trPr>
        <w:tc>
          <w:tcPr>
            <w:tcW w:w="1276" w:type="dxa"/>
            <w:tcBorders>
              <w:top w:val="single" w:sz="2" w:space="0" w:color="auto"/>
            </w:tcBorders>
            <w:shd w:val="clear" w:color="auto" w:fill="auto"/>
            <w:noWrap/>
            <w:vAlign w:val="center"/>
            <w:hideMark/>
          </w:tcPr>
          <w:p w14:paraId="6B7FBA56" w14:textId="77777777" w:rsidR="001C71FC" w:rsidRPr="00273FAC" w:rsidRDefault="001C71FC">
            <w:pPr>
              <w:rPr>
                <w:rFonts w:ascii="Arial Narrow" w:hAnsi="Arial Narrow" w:cs="Calibri"/>
                <w:color w:val="000000"/>
                <w:sz w:val="20"/>
                <w:szCs w:val="20"/>
              </w:rPr>
            </w:pPr>
            <w:r>
              <w:rPr>
                <w:rFonts w:ascii="Arial Narrow" w:hAnsi="Arial Narrow" w:cs="Calibri"/>
                <w:color w:val="000000"/>
                <w:sz w:val="20"/>
                <w:szCs w:val="20"/>
              </w:rPr>
              <w:t>Educa</w:t>
            </w:r>
            <w:r w:rsidRPr="00273FAC">
              <w:rPr>
                <w:rFonts w:ascii="Arial Narrow" w:hAnsi="Arial Narrow" w:cs="Calibri"/>
                <w:color w:val="000000"/>
                <w:sz w:val="20"/>
                <w:szCs w:val="20"/>
              </w:rPr>
              <w:t>ción</w:t>
            </w:r>
          </w:p>
        </w:tc>
        <w:tc>
          <w:tcPr>
            <w:tcW w:w="2977" w:type="dxa"/>
            <w:tcBorders>
              <w:top w:val="single" w:sz="2" w:space="0" w:color="auto"/>
            </w:tcBorders>
            <w:shd w:val="clear" w:color="auto" w:fill="auto"/>
            <w:noWrap/>
            <w:vAlign w:val="center"/>
            <w:hideMark/>
          </w:tcPr>
          <w:p w14:paraId="1E1C5D05" w14:textId="77777777" w:rsidR="001C71FC" w:rsidRPr="00273FAC" w:rsidRDefault="001C71FC">
            <w:pPr>
              <w:jc w:val="right"/>
              <w:rPr>
                <w:rFonts w:ascii="Arial Narrow" w:hAnsi="Arial Narrow" w:cs="Calibri"/>
                <w:color w:val="000000"/>
                <w:sz w:val="20"/>
                <w:szCs w:val="20"/>
              </w:rPr>
            </w:pPr>
            <w:r w:rsidRPr="00273FAC">
              <w:rPr>
                <w:rFonts w:ascii="Arial Narrow" w:hAnsi="Arial Narrow" w:cs="Calibri"/>
                <w:color w:val="000000"/>
                <w:sz w:val="20"/>
                <w:szCs w:val="20"/>
              </w:rPr>
              <w:t>61</w:t>
            </w:r>
          </w:p>
        </w:tc>
        <w:tc>
          <w:tcPr>
            <w:tcW w:w="1843" w:type="dxa"/>
            <w:tcBorders>
              <w:top w:val="single" w:sz="2" w:space="0" w:color="auto"/>
            </w:tcBorders>
            <w:shd w:val="clear" w:color="auto" w:fill="auto"/>
            <w:vAlign w:val="center"/>
            <w:hideMark/>
          </w:tcPr>
          <w:p w14:paraId="41295252" w14:textId="77777777" w:rsidR="001C71FC" w:rsidRPr="00273FAC" w:rsidRDefault="001C71FC">
            <w:pPr>
              <w:rPr>
                <w:color w:val="000000"/>
                <w:sz w:val="20"/>
                <w:szCs w:val="20"/>
              </w:rPr>
            </w:pPr>
          </w:p>
        </w:tc>
        <w:tc>
          <w:tcPr>
            <w:tcW w:w="2693" w:type="dxa"/>
            <w:tcBorders>
              <w:top w:val="single" w:sz="2" w:space="0" w:color="auto"/>
            </w:tcBorders>
            <w:shd w:val="clear" w:color="auto" w:fill="auto"/>
            <w:vAlign w:val="center"/>
            <w:hideMark/>
          </w:tcPr>
          <w:p w14:paraId="6947F4E5" w14:textId="77777777" w:rsidR="001C71FC" w:rsidRPr="00273FAC" w:rsidRDefault="001C71FC">
            <w:pPr>
              <w:jc w:val="right"/>
              <w:rPr>
                <w:rFonts w:ascii="Arial Narrow" w:hAnsi="Arial Narrow" w:cs="Calibri"/>
                <w:color w:val="000000"/>
                <w:sz w:val="20"/>
                <w:szCs w:val="20"/>
              </w:rPr>
            </w:pPr>
            <w:r w:rsidRPr="00273FAC">
              <w:rPr>
                <w:rFonts w:ascii="Arial Narrow" w:hAnsi="Arial Narrow" w:cs="Calibri"/>
                <w:color w:val="000000"/>
                <w:sz w:val="20"/>
                <w:szCs w:val="20"/>
              </w:rPr>
              <w:t>39,2</w:t>
            </w:r>
          </w:p>
        </w:tc>
      </w:tr>
    </w:tbl>
    <w:p w14:paraId="528B1CAD" w14:textId="77777777" w:rsidR="00442C60" w:rsidRPr="00442C60" w:rsidRDefault="00442C60" w:rsidP="002D69C2">
      <w:pPr>
        <w:pStyle w:val="texto"/>
        <w:spacing w:after="60"/>
        <w:ind w:firstLine="0"/>
        <w:jc w:val="both"/>
        <w:rPr>
          <w:rFonts w:ascii="Arial Narrow" w:hAnsi="Arial Narrow"/>
          <w:sz w:val="18"/>
          <w:szCs w:val="18"/>
        </w:rPr>
      </w:pPr>
      <w:r w:rsidRPr="00442C60">
        <w:rPr>
          <w:rFonts w:ascii="Arial Narrow" w:hAnsi="Arial Narrow"/>
          <w:sz w:val="18"/>
          <w:szCs w:val="18"/>
        </w:rPr>
        <w:t>*</w:t>
      </w:r>
      <w:r w:rsidRPr="00D4552D">
        <w:rPr>
          <w:rFonts w:ascii="Arial" w:hAnsi="Arial" w:cs="Arial"/>
          <w:sz w:val="16"/>
          <w:szCs w:val="16"/>
        </w:rPr>
        <w:t>Variación acumulada 2015-2023 del Índice de Precios al Consumo General (base 2021) de Navarra (</w:t>
      </w:r>
      <w:r w:rsidR="00D4552D">
        <w:rPr>
          <w:rFonts w:ascii="Arial" w:hAnsi="Arial" w:cs="Arial"/>
          <w:sz w:val="16"/>
          <w:szCs w:val="16"/>
        </w:rPr>
        <w:t>f</w:t>
      </w:r>
      <w:r w:rsidRPr="00D4552D">
        <w:rPr>
          <w:rFonts w:ascii="Arial" w:hAnsi="Arial" w:cs="Arial"/>
          <w:sz w:val="16"/>
          <w:szCs w:val="16"/>
        </w:rPr>
        <w:t xml:space="preserve">uente: </w:t>
      </w:r>
      <w:proofErr w:type="spellStart"/>
      <w:r w:rsidRPr="00D4552D">
        <w:rPr>
          <w:rFonts w:ascii="Arial" w:hAnsi="Arial" w:cs="Arial"/>
          <w:sz w:val="16"/>
          <w:szCs w:val="16"/>
        </w:rPr>
        <w:t>Nastat</w:t>
      </w:r>
      <w:proofErr w:type="spellEnd"/>
      <w:r w:rsidRPr="00D4552D">
        <w:rPr>
          <w:rFonts w:ascii="Arial" w:hAnsi="Arial" w:cs="Arial"/>
          <w:sz w:val="16"/>
          <w:szCs w:val="16"/>
          <w:shd w:val="clear" w:color="auto" w:fill="FFFFFF"/>
        </w:rPr>
        <w:t>)</w:t>
      </w:r>
      <w:r w:rsidR="00D4552D">
        <w:rPr>
          <w:rFonts w:ascii="Arial" w:hAnsi="Arial" w:cs="Arial"/>
          <w:sz w:val="16"/>
          <w:szCs w:val="16"/>
          <w:shd w:val="clear" w:color="auto" w:fill="FFFFFF"/>
        </w:rPr>
        <w:t>.</w:t>
      </w:r>
    </w:p>
    <w:p w14:paraId="3DD80B6A" w14:textId="77777777" w:rsidR="0045597A" w:rsidRDefault="003C4C03" w:rsidP="00554B3C">
      <w:pPr>
        <w:pStyle w:val="texto"/>
        <w:spacing w:before="120" w:after="120"/>
        <w:jc w:val="both"/>
        <w:rPr>
          <w:rFonts w:ascii="Arial" w:hAnsi="Arial" w:cs="Arial"/>
          <w:sz w:val="18"/>
          <w:szCs w:val="17"/>
        </w:rPr>
      </w:pPr>
      <w:r>
        <w:t xml:space="preserve">En el </w:t>
      </w:r>
      <w:r w:rsidR="0082265A">
        <w:t xml:space="preserve">siguiente cuadro reflejamos otra </w:t>
      </w:r>
      <w:r w:rsidR="0067536B">
        <w:t>evolución</w:t>
      </w:r>
      <w:r w:rsidR="005C30E8">
        <w:t>, no según la clasificación funcional del gasto, sino de acuerdo a la clasificación económica, que ta</w:t>
      </w:r>
      <w:r w:rsidR="0067536B">
        <w:t>mbién consideramos significativa</w:t>
      </w:r>
      <w:r w:rsidR="005C30E8">
        <w:t xml:space="preserve">: </w:t>
      </w:r>
    </w:p>
    <w:p w14:paraId="243AB0EF" w14:textId="77777777" w:rsidR="001B1F5B" w:rsidRPr="00554B3C" w:rsidRDefault="001B1F5B" w:rsidP="00445FF7">
      <w:pPr>
        <w:pStyle w:val="texto"/>
        <w:spacing w:after="60"/>
        <w:jc w:val="right"/>
        <w:rPr>
          <w:rFonts w:ascii="Arial" w:hAnsi="Arial" w:cs="Arial"/>
          <w:sz w:val="17"/>
          <w:szCs w:val="17"/>
        </w:rPr>
      </w:pPr>
      <w:r w:rsidRPr="00554B3C">
        <w:rPr>
          <w:rFonts w:ascii="Arial" w:hAnsi="Arial" w:cs="Arial"/>
          <w:sz w:val="17"/>
          <w:szCs w:val="17"/>
        </w:rPr>
        <w:t>(en millones)</w:t>
      </w:r>
    </w:p>
    <w:tbl>
      <w:tblPr>
        <w:tblW w:w="0" w:type="auto"/>
        <w:tblCellMar>
          <w:left w:w="70" w:type="dxa"/>
          <w:right w:w="70" w:type="dxa"/>
        </w:tblCellMar>
        <w:tblLook w:val="04A0" w:firstRow="1" w:lastRow="0" w:firstColumn="1" w:lastColumn="0" w:noHBand="0" w:noVBand="1"/>
      </w:tblPr>
      <w:tblGrid>
        <w:gridCol w:w="1601"/>
        <w:gridCol w:w="541"/>
        <w:gridCol w:w="541"/>
        <w:gridCol w:w="541"/>
        <w:gridCol w:w="541"/>
        <w:gridCol w:w="541"/>
        <w:gridCol w:w="541"/>
        <w:gridCol w:w="541"/>
        <w:gridCol w:w="541"/>
        <w:gridCol w:w="541"/>
        <w:gridCol w:w="993"/>
        <w:gridCol w:w="1277"/>
      </w:tblGrid>
      <w:tr w:rsidR="001B1F5B" w14:paraId="3DA99887" w14:textId="77777777" w:rsidTr="00554B3C">
        <w:trPr>
          <w:trHeight w:val="255"/>
        </w:trPr>
        <w:tc>
          <w:tcPr>
            <w:tcW w:w="0" w:type="auto"/>
            <w:tcBorders>
              <w:top w:val="single" w:sz="4" w:space="0" w:color="auto"/>
              <w:left w:val="nil"/>
              <w:bottom w:val="single" w:sz="2" w:space="0" w:color="auto"/>
              <w:right w:val="nil"/>
            </w:tcBorders>
            <w:shd w:val="clear" w:color="000000" w:fill="8DB3E2"/>
            <w:vAlign w:val="center"/>
            <w:hideMark/>
          </w:tcPr>
          <w:p w14:paraId="7AA288FA" w14:textId="77777777" w:rsidR="001B1F5B" w:rsidRDefault="001B1F5B">
            <w:pPr>
              <w:rPr>
                <w:rFonts w:ascii="Arial" w:hAnsi="Arial" w:cs="Arial"/>
                <w:color w:val="000000"/>
                <w:sz w:val="16"/>
                <w:szCs w:val="16"/>
              </w:rPr>
            </w:pPr>
            <w:r>
              <w:rPr>
                <w:rFonts w:ascii="Arial" w:hAnsi="Arial" w:cs="Arial"/>
                <w:color w:val="000000"/>
                <w:sz w:val="16"/>
                <w:szCs w:val="16"/>
              </w:rPr>
              <w:t> </w:t>
            </w:r>
            <w:r w:rsidR="007E13AD">
              <w:rPr>
                <w:rFonts w:ascii="Arial" w:hAnsi="Arial" w:cs="Arial"/>
                <w:color w:val="000000"/>
                <w:sz w:val="16"/>
                <w:szCs w:val="16"/>
              </w:rPr>
              <w:t>Gasto</w:t>
            </w:r>
          </w:p>
        </w:tc>
        <w:tc>
          <w:tcPr>
            <w:tcW w:w="541" w:type="dxa"/>
            <w:tcBorders>
              <w:top w:val="single" w:sz="4" w:space="0" w:color="auto"/>
              <w:left w:val="nil"/>
              <w:bottom w:val="single" w:sz="2" w:space="0" w:color="auto"/>
              <w:right w:val="nil"/>
            </w:tcBorders>
            <w:shd w:val="clear" w:color="000000" w:fill="8DB3E2"/>
            <w:vAlign w:val="center"/>
            <w:hideMark/>
          </w:tcPr>
          <w:p w14:paraId="486DDBF3" w14:textId="77777777" w:rsidR="001B1F5B" w:rsidRDefault="001B1F5B">
            <w:pPr>
              <w:jc w:val="right"/>
              <w:rPr>
                <w:rFonts w:ascii="Arial" w:hAnsi="Arial" w:cs="Arial"/>
                <w:color w:val="000000"/>
                <w:sz w:val="18"/>
                <w:szCs w:val="18"/>
              </w:rPr>
            </w:pPr>
            <w:r>
              <w:rPr>
                <w:rFonts w:ascii="Arial" w:hAnsi="Arial" w:cs="Arial"/>
                <w:color w:val="000000"/>
                <w:sz w:val="18"/>
                <w:szCs w:val="18"/>
              </w:rPr>
              <w:t>2015</w:t>
            </w:r>
          </w:p>
        </w:tc>
        <w:tc>
          <w:tcPr>
            <w:tcW w:w="541" w:type="dxa"/>
            <w:tcBorders>
              <w:top w:val="single" w:sz="4" w:space="0" w:color="auto"/>
              <w:left w:val="nil"/>
              <w:bottom w:val="single" w:sz="2" w:space="0" w:color="auto"/>
              <w:right w:val="nil"/>
            </w:tcBorders>
            <w:shd w:val="clear" w:color="000000" w:fill="8DB3E2"/>
            <w:vAlign w:val="center"/>
            <w:hideMark/>
          </w:tcPr>
          <w:p w14:paraId="399BE04E" w14:textId="77777777" w:rsidR="001B1F5B" w:rsidRDefault="001B1F5B">
            <w:pPr>
              <w:jc w:val="right"/>
              <w:rPr>
                <w:rFonts w:ascii="Arial" w:hAnsi="Arial" w:cs="Arial"/>
                <w:color w:val="000000"/>
                <w:sz w:val="18"/>
                <w:szCs w:val="18"/>
              </w:rPr>
            </w:pPr>
            <w:r>
              <w:rPr>
                <w:rFonts w:ascii="Arial" w:hAnsi="Arial" w:cs="Arial"/>
                <w:color w:val="000000"/>
                <w:sz w:val="18"/>
                <w:szCs w:val="18"/>
              </w:rPr>
              <w:t>2016</w:t>
            </w:r>
          </w:p>
        </w:tc>
        <w:tc>
          <w:tcPr>
            <w:tcW w:w="541" w:type="dxa"/>
            <w:tcBorders>
              <w:top w:val="single" w:sz="4" w:space="0" w:color="auto"/>
              <w:left w:val="nil"/>
              <w:bottom w:val="single" w:sz="2" w:space="0" w:color="auto"/>
              <w:right w:val="nil"/>
            </w:tcBorders>
            <w:shd w:val="clear" w:color="000000" w:fill="8DB3E2"/>
            <w:vAlign w:val="center"/>
            <w:hideMark/>
          </w:tcPr>
          <w:p w14:paraId="2BF8E0CF" w14:textId="77777777" w:rsidR="001B1F5B" w:rsidRDefault="001B1F5B">
            <w:pPr>
              <w:jc w:val="right"/>
              <w:rPr>
                <w:rFonts w:ascii="Arial" w:hAnsi="Arial" w:cs="Arial"/>
                <w:color w:val="000000"/>
                <w:sz w:val="18"/>
                <w:szCs w:val="18"/>
              </w:rPr>
            </w:pPr>
            <w:r>
              <w:rPr>
                <w:rFonts w:ascii="Arial" w:hAnsi="Arial" w:cs="Arial"/>
                <w:color w:val="000000"/>
                <w:sz w:val="18"/>
                <w:szCs w:val="18"/>
              </w:rPr>
              <w:t>2017</w:t>
            </w:r>
          </w:p>
        </w:tc>
        <w:tc>
          <w:tcPr>
            <w:tcW w:w="541" w:type="dxa"/>
            <w:tcBorders>
              <w:top w:val="single" w:sz="4" w:space="0" w:color="auto"/>
              <w:left w:val="nil"/>
              <w:bottom w:val="single" w:sz="2" w:space="0" w:color="auto"/>
              <w:right w:val="nil"/>
            </w:tcBorders>
            <w:shd w:val="clear" w:color="000000" w:fill="8DB3E2"/>
            <w:vAlign w:val="center"/>
            <w:hideMark/>
          </w:tcPr>
          <w:p w14:paraId="05D54230" w14:textId="77777777" w:rsidR="001B1F5B" w:rsidRDefault="001B1F5B">
            <w:pPr>
              <w:jc w:val="right"/>
              <w:rPr>
                <w:rFonts w:ascii="Arial" w:hAnsi="Arial" w:cs="Arial"/>
                <w:color w:val="000000"/>
                <w:sz w:val="18"/>
                <w:szCs w:val="18"/>
              </w:rPr>
            </w:pPr>
            <w:r>
              <w:rPr>
                <w:rFonts w:ascii="Arial" w:hAnsi="Arial" w:cs="Arial"/>
                <w:color w:val="000000"/>
                <w:sz w:val="18"/>
                <w:szCs w:val="18"/>
              </w:rPr>
              <w:t>2018</w:t>
            </w:r>
          </w:p>
        </w:tc>
        <w:tc>
          <w:tcPr>
            <w:tcW w:w="541" w:type="dxa"/>
            <w:tcBorders>
              <w:top w:val="single" w:sz="4" w:space="0" w:color="auto"/>
              <w:left w:val="nil"/>
              <w:bottom w:val="single" w:sz="2" w:space="0" w:color="auto"/>
              <w:right w:val="nil"/>
            </w:tcBorders>
            <w:shd w:val="clear" w:color="000000" w:fill="8DB3E2"/>
            <w:vAlign w:val="center"/>
            <w:hideMark/>
          </w:tcPr>
          <w:p w14:paraId="6158EEDF" w14:textId="77777777" w:rsidR="001B1F5B" w:rsidRDefault="001B1F5B">
            <w:pPr>
              <w:jc w:val="right"/>
              <w:rPr>
                <w:rFonts w:ascii="Arial" w:hAnsi="Arial" w:cs="Arial"/>
                <w:color w:val="000000"/>
                <w:sz w:val="18"/>
                <w:szCs w:val="18"/>
              </w:rPr>
            </w:pPr>
            <w:r>
              <w:rPr>
                <w:rFonts w:ascii="Arial" w:hAnsi="Arial" w:cs="Arial"/>
                <w:color w:val="000000"/>
                <w:sz w:val="18"/>
                <w:szCs w:val="18"/>
              </w:rPr>
              <w:t>2019</w:t>
            </w:r>
          </w:p>
        </w:tc>
        <w:tc>
          <w:tcPr>
            <w:tcW w:w="541" w:type="dxa"/>
            <w:tcBorders>
              <w:top w:val="single" w:sz="4" w:space="0" w:color="auto"/>
              <w:left w:val="nil"/>
              <w:bottom w:val="single" w:sz="2" w:space="0" w:color="auto"/>
              <w:right w:val="nil"/>
            </w:tcBorders>
            <w:shd w:val="clear" w:color="000000" w:fill="8DB3E2"/>
            <w:vAlign w:val="center"/>
            <w:hideMark/>
          </w:tcPr>
          <w:p w14:paraId="2BD0CD23" w14:textId="77777777" w:rsidR="001B1F5B" w:rsidRDefault="001B1F5B">
            <w:pPr>
              <w:jc w:val="right"/>
              <w:rPr>
                <w:rFonts w:ascii="Arial" w:hAnsi="Arial" w:cs="Arial"/>
                <w:color w:val="000000"/>
                <w:sz w:val="18"/>
                <w:szCs w:val="18"/>
              </w:rPr>
            </w:pPr>
            <w:r>
              <w:rPr>
                <w:rFonts w:ascii="Arial" w:hAnsi="Arial" w:cs="Arial"/>
                <w:color w:val="000000"/>
                <w:sz w:val="18"/>
                <w:szCs w:val="18"/>
              </w:rPr>
              <w:t>2020</w:t>
            </w:r>
          </w:p>
        </w:tc>
        <w:tc>
          <w:tcPr>
            <w:tcW w:w="541" w:type="dxa"/>
            <w:tcBorders>
              <w:top w:val="single" w:sz="4" w:space="0" w:color="auto"/>
              <w:left w:val="nil"/>
              <w:bottom w:val="single" w:sz="2" w:space="0" w:color="auto"/>
              <w:right w:val="nil"/>
            </w:tcBorders>
            <w:shd w:val="clear" w:color="000000" w:fill="8DB3E2"/>
            <w:vAlign w:val="center"/>
            <w:hideMark/>
          </w:tcPr>
          <w:p w14:paraId="045A6F51" w14:textId="77777777" w:rsidR="001B1F5B" w:rsidRDefault="001B1F5B">
            <w:pPr>
              <w:jc w:val="right"/>
              <w:rPr>
                <w:rFonts w:ascii="Arial" w:hAnsi="Arial" w:cs="Arial"/>
                <w:color w:val="000000"/>
                <w:sz w:val="18"/>
                <w:szCs w:val="18"/>
              </w:rPr>
            </w:pPr>
            <w:r>
              <w:rPr>
                <w:rFonts w:ascii="Arial" w:hAnsi="Arial" w:cs="Arial"/>
                <w:color w:val="000000"/>
                <w:sz w:val="18"/>
                <w:szCs w:val="18"/>
              </w:rPr>
              <w:t>2021</w:t>
            </w:r>
          </w:p>
        </w:tc>
        <w:tc>
          <w:tcPr>
            <w:tcW w:w="541" w:type="dxa"/>
            <w:tcBorders>
              <w:top w:val="single" w:sz="4" w:space="0" w:color="auto"/>
              <w:left w:val="nil"/>
              <w:bottom w:val="single" w:sz="2" w:space="0" w:color="auto"/>
              <w:right w:val="nil"/>
            </w:tcBorders>
            <w:shd w:val="clear" w:color="000000" w:fill="8DB3E2"/>
            <w:vAlign w:val="center"/>
            <w:hideMark/>
          </w:tcPr>
          <w:p w14:paraId="1C6D215D" w14:textId="77777777" w:rsidR="001B1F5B" w:rsidRDefault="001B1F5B">
            <w:pPr>
              <w:jc w:val="right"/>
              <w:rPr>
                <w:rFonts w:ascii="Arial" w:hAnsi="Arial" w:cs="Arial"/>
                <w:color w:val="000000"/>
                <w:sz w:val="18"/>
                <w:szCs w:val="18"/>
              </w:rPr>
            </w:pPr>
            <w:r>
              <w:rPr>
                <w:rFonts w:ascii="Arial" w:hAnsi="Arial" w:cs="Arial"/>
                <w:color w:val="000000"/>
                <w:sz w:val="18"/>
                <w:szCs w:val="18"/>
              </w:rPr>
              <w:t>2022</w:t>
            </w:r>
          </w:p>
        </w:tc>
        <w:tc>
          <w:tcPr>
            <w:tcW w:w="541" w:type="dxa"/>
            <w:tcBorders>
              <w:top w:val="single" w:sz="4" w:space="0" w:color="auto"/>
              <w:left w:val="nil"/>
              <w:bottom w:val="single" w:sz="2" w:space="0" w:color="auto"/>
              <w:right w:val="nil"/>
            </w:tcBorders>
            <w:shd w:val="clear" w:color="000000" w:fill="8DB3E2"/>
            <w:vAlign w:val="center"/>
            <w:hideMark/>
          </w:tcPr>
          <w:p w14:paraId="21A5A356" w14:textId="77777777" w:rsidR="001B1F5B" w:rsidRDefault="001B1F5B">
            <w:pPr>
              <w:jc w:val="right"/>
              <w:rPr>
                <w:rFonts w:ascii="Arial" w:hAnsi="Arial" w:cs="Arial"/>
                <w:color w:val="000000"/>
                <w:sz w:val="18"/>
                <w:szCs w:val="18"/>
              </w:rPr>
            </w:pPr>
            <w:r>
              <w:rPr>
                <w:rFonts w:ascii="Arial" w:hAnsi="Arial" w:cs="Arial"/>
                <w:color w:val="000000"/>
                <w:sz w:val="18"/>
                <w:szCs w:val="18"/>
              </w:rPr>
              <w:t>2023</w:t>
            </w:r>
          </w:p>
        </w:tc>
        <w:tc>
          <w:tcPr>
            <w:tcW w:w="993" w:type="dxa"/>
            <w:tcBorders>
              <w:top w:val="single" w:sz="4" w:space="0" w:color="auto"/>
              <w:left w:val="nil"/>
              <w:bottom w:val="single" w:sz="2" w:space="0" w:color="auto"/>
              <w:right w:val="nil"/>
            </w:tcBorders>
            <w:shd w:val="clear" w:color="000000" w:fill="8DB3E2"/>
            <w:noWrap/>
            <w:vAlign w:val="center"/>
            <w:hideMark/>
          </w:tcPr>
          <w:p w14:paraId="6A77D6B5" w14:textId="77777777" w:rsidR="001B1F5B" w:rsidRDefault="001B1F5B">
            <w:pPr>
              <w:jc w:val="right"/>
              <w:rPr>
                <w:rFonts w:ascii="Arial" w:hAnsi="Arial" w:cs="Arial"/>
                <w:color w:val="000000"/>
                <w:sz w:val="18"/>
                <w:szCs w:val="18"/>
              </w:rPr>
            </w:pPr>
            <w:r>
              <w:rPr>
                <w:rFonts w:ascii="Arial" w:hAnsi="Arial" w:cs="Arial"/>
                <w:color w:val="000000"/>
                <w:sz w:val="18"/>
                <w:szCs w:val="18"/>
              </w:rPr>
              <w:t xml:space="preserve">Variación </w:t>
            </w:r>
          </w:p>
          <w:p w14:paraId="1274CE00" w14:textId="77777777" w:rsidR="001B1F5B" w:rsidRDefault="001B1F5B">
            <w:pPr>
              <w:jc w:val="right"/>
              <w:rPr>
                <w:rFonts w:ascii="Arial" w:hAnsi="Arial" w:cs="Arial"/>
                <w:color w:val="000000"/>
                <w:sz w:val="18"/>
                <w:szCs w:val="18"/>
              </w:rPr>
            </w:pPr>
            <w:r>
              <w:rPr>
                <w:rFonts w:ascii="Arial" w:hAnsi="Arial" w:cs="Arial"/>
                <w:color w:val="000000"/>
                <w:sz w:val="18"/>
                <w:szCs w:val="18"/>
              </w:rPr>
              <w:t>2023/2015</w:t>
            </w:r>
          </w:p>
        </w:tc>
        <w:tc>
          <w:tcPr>
            <w:tcW w:w="1277" w:type="dxa"/>
            <w:tcBorders>
              <w:top w:val="single" w:sz="4" w:space="0" w:color="auto"/>
              <w:left w:val="nil"/>
              <w:bottom w:val="single" w:sz="2" w:space="0" w:color="auto"/>
              <w:right w:val="nil"/>
            </w:tcBorders>
            <w:shd w:val="clear" w:color="000000" w:fill="8DB3E2"/>
            <w:noWrap/>
            <w:vAlign w:val="center"/>
            <w:hideMark/>
          </w:tcPr>
          <w:p w14:paraId="260F8D39" w14:textId="77777777" w:rsidR="001B1F5B" w:rsidRDefault="001B1F5B" w:rsidP="00554B3C">
            <w:pPr>
              <w:jc w:val="center"/>
              <w:rPr>
                <w:rFonts w:ascii="Arial" w:hAnsi="Arial" w:cs="Arial"/>
                <w:color w:val="000000"/>
                <w:sz w:val="18"/>
                <w:szCs w:val="18"/>
              </w:rPr>
            </w:pPr>
            <w:r>
              <w:rPr>
                <w:rFonts w:ascii="Arial" w:hAnsi="Arial" w:cs="Arial"/>
                <w:color w:val="000000"/>
                <w:sz w:val="18"/>
                <w:szCs w:val="18"/>
              </w:rPr>
              <w:t>%</w:t>
            </w:r>
            <w:r w:rsidR="00702E3B">
              <w:rPr>
                <w:rFonts w:ascii="Arial" w:hAnsi="Arial" w:cs="Arial"/>
                <w:color w:val="000000"/>
                <w:sz w:val="18"/>
                <w:szCs w:val="18"/>
              </w:rPr>
              <w:t>Variación</w:t>
            </w:r>
          </w:p>
        </w:tc>
      </w:tr>
      <w:tr w:rsidR="001B1F5B" w14:paraId="40B2D9A3" w14:textId="77777777" w:rsidTr="00554B3C">
        <w:trPr>
          <w:trHeight w:val="86"/>
        </w:trPr>
        <w:tc>
          <w:tcPr>
            <w:tcW w:w="0" w:type="auto"/>
            <w:tcBorders>
              <w:top w:val="single" w:sz="2" w:space="0" w:color="auto"/>
              <w:left w:val="nil"/>
              <w:bottom w:val="single" w:sz="2" w:space="0" w:color="auto"/>
              <w:right w:val="nil"/>
            </w:tcBorders>
            <w:shd w:val="clear" w:color="auto" w:fill="auto"/>
            <w:noWrap/>
            <w:vAlign w:val="center"/>
            <w:hideMark/>
          </w:tcPr>
          <w:p w14:paraId="2E4D3E33" w14:textId="77777777" w:rsidR="001B1F5B" w:rsidRDefault="007E13AD">
            <w:pPr>
              <w:rPr>
                <w:rFonts w:ascii="Arial Narrow" w:hAnsi="Arial Narrow" w:cs="Calibri"/>
                <w:color w:val="000000"/>
                <w:sz w:val="18"/>
                <w:szCs w:val="18"/>
              </w:rPr>
            </w:pPr>
            <w:r>
              <w:rPr>
                <w:rFonts w:ascii="Arial Narrow" w:hAnsi="Arial Narrow" w:cs="Calibri"/>
                <w:color w:val="000000"/>
                <w:sz w:val="18"/>
                <w:szCs w:val="18"/>
              </w:rPr>
              <w:t>Presupuesto</w:t>
            </w:r>
          </w:p>
        </w:tc>
        <w:tc>
          <w:tcPr>
            <w:tcW w:w="541" w:type="dxa"/>
            <w:tcBorders>
              <w:top w:val="single" w:sz="2" w:space="0" w:color="auto"/>
              <w:left w:val="nil"/>
              <w:bottom w:val="single" w:sz="2" w:space="0" w:color="auto"/>
              <w:right w:val="nil"/>
            </w:tcBorders>
            <w:shd w:val="clear" w:color="auto" w:fill="auto"/>
            <w:noWrap/>
            <w:vAlign w:val="center"/>
            <w:hideMark/>
          </w:tcPr>
          <w:p w14:paraId="6457E51F"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3.914</w:t>
            </w:r>
          </w:p>
        </w:tc>
        <w:tc>
          <w:tcPr>
            <w:tcW w:w="541" w:type="dxa"/>
            <w:tcBorders>
              <w:top w:val="single" w:sz="2" w:space="0" w:color="auto"/>
              <w:left w:val="nil"/>
              <w:bottom w:val="single" w:sz="2" w:space="0" w:color="auto"/>
              <w:right w:val="nil"/>
            </w:tcBorders>
            <w:shd w:val="clear" w:color="auto" w:fill="auto"/>
            <w:noWrap/>
            <w:vAlign w:val="center"/>
            <w:hideMark/>
          </w:tcPr>
          <w:p w14:paraId="1AFDB1C0"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3.967</w:t>
            </w:r>
          </w:p>
        </w:tc>
        <w:tc>
          <w:tcPr>
            <w:tcW w:w="541" w:type="dxa"/>
            <w:tcBorders>
              <w:top w:val="single" w:sz="2" w:space="0" w:color="auto"/>
              <w:left w:val="nil"/>
              <w:bottom w:val="single" w:sz="2" w:space="0" w:color="auto"/>
              <w:right w:val="nil"/>
            </w:tcBorders>
            <w:shd w:val="clear" w:color="auto" w:fill="auto"/>
            <w:noWrap/>
            <w:vAlign w:val="center"/>
            <w:hideMark/>
          </w:tcPr>
          <w:p w14:paraId="1198E446"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3.984</w:t>
            </w:r>
          </w:p>
        </w:tc>
        <w:tc>
          <w:tcPr>
            <w:tcW w:w="541" w:type="dxa"/>
            <w:tcBorders>
              <w:top w:val="single" w:sz="2" w:space="0" w:color="auto"/>
              <w:left w:val="nil"/>
              <w:bottom w:val="single" w:sz="2" w:space="0" w:color="auto"/>
              <w:right w:val="nil"/>
            </w:tcBorders>
            <w:shd w:val="clear" w:color="auto" w:fill="auto"/>
            <w:noWrap/>
            <w:vAlign w:val="center"/>
            <w:hideMark/>
          </w:tcPr>
          <w:p w14:paraId="317A1CE2"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4.180</w:t>
            </w:r>
          </w:p>
        </w:tc>
        <w:tc>
          <w:tcPr>
            <w:tcW w:w="541" w:type="dxa"/>
            <w:tcBorders>
              <w:top w:val="single" w:sz="2" w:space="0" w:color="auto"/>
              <w:left w:val="nil"/>
              <w:bottom w:val="single" w:sz="2" w:space="0" w:color="auto"/>
              <w:right w:val="nil"/>
            </w:tcBorders>
            <w:shd w:val="clear" w:color="auto" w:fill="auto"/>
            <w:noWrap/>
            <w:vAlign w:val="center"/>
            <w:hideMark/>
          </w:tcPr>
          <w:p w14:paraId="34B2E092"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4.396</w:t>
            </w:r>
          </w:p>
        </w:tc>
        <w:tc>
          <w:tcPr>
            <w:tcW w:w="541" w:type="dxa"/>
            <w:tcBorders>
              <w:top w:val="single" w:sz="2" w:space="0" w:color="auto"/>
              <w:left w:val="nil"/>
              <w:bottom w:val="single" w:sz="2" w:space="0" w:color="auto"/>
              <w:right w:val="nil"/>
            </w:tcBorders>
            <w:shd w:val="clear" w:color="auto" w:fill="auto"/>
            <w:noWrap/>
            <w:vAlign w:val="center"/>
            <w:hideMark/>
          </w:tcPr>
          <w:p w14:paraId="4D5E0C0B"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4.587</w:t>
            </w:r>
          </w:p>
        </w:tc>
        <w:tc>
          <w:tcPr>
            <w:tcW w:w="541" w:type="dxa"/>
            <w:tcBorders>
              <w:top w:val="single" w:sz="2" w:space="0" w:color="auto"/>
              <w:left w:val="nil"/>
              <w:bottom w:val="single" w:sz="2" w:space="0" w:color="auto"/>
              <w:right w:val="nil"/>
            </w:tcBorders>
            <w:shd w:val="clear" w:color="auto" w:fill="auto"/>
            <w:noWrap/>
            <w:vAlign w:val="center"/>
            <w:hideMark/>
          </w:tcPr>
          <w:p w14:paraId="2C00D505"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5.064</w:t>
            </w:r>
          </w:p>
        </w:tc>
        <w:tc>
          <w:tcPr>
            <w:tcW w:w="541" w:type="dxa"/>
            <w:tcBorders>
              <w:top w:val="single" w:sz="2" w:space="0" w:color="auto"/>
              <w:left w:val="nil"/>
              <w:bottom w:val="single" w:sz="2" w:space="0" w:color="auto"/>
              <w:right w:val="nil"/>
            </w:tcBorders>
            <w:shd w:val="clear" w:color="auto" w:fill="auto"/>
            <w:noWrap/>
            <w:vAlign w:val="center"/>
            <w:hideMark/>
          </w:tcPr>
          <w:p w14:paraId="36F8DE2F"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5.601</w:t>
            </w:r>
          </w:p>
        </w:tc>
        <w:tc>
          <w:tcPr>
            <w:tcW w:w="541" w:type="dxa"/>
            <w:tcBorders>
              <w:top w:val="single" w:sz="2" w:space="0" w:color="auto"/>
              <w:left w:val="nil"/>
              <w:bottom w:val="single" w:sz="2" w:space="0" w:color="auto"/>
              <w:right w:val="nil"/>
            </w:tcBorders>
            <w:shd w:val="clear" w:color="auto" w:fill="auto"/>
            <w:noWrap/>
            <w:vAlign w:val="center"/>
            <w:hideMark/>
          </w:tcPr>
          <w:p w14:paraId="047081DA"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5.782</w:t>
            </w:r>
          </w:p>
        </w:tc>
        <w:tc>
          <w:tcPr>
            <w:tcW w:w="993" w:type="dxa"/>
            <w:tcBorders>
              <w:top w:val="single" w:sz="2" w:space="0" w:color="auto"/>
              <w:left w:val="nil"/>
              <w:bottom w:val="single" w:sz="2" w:space="0" w:color="auto"/>
              <w:right w:val="nil"/>
            </w:tcBorders>
            <w:shd w:val="clear" w:color="auto" w:fill="auto"/>
            <w:noWrap/>
            <w:vAlign w:val="center"/>
            <w:hideMark/>
          </w:tcPr>
          <w:p w14:paraId="6B323453"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1.868</w:t>
            </w:r>
          </w:p>
        </w:tc>
        <w:tc>
          <w:tcPr>
            <w:tcW w:w="1277" w:type="dxa"/>
            <w:tcBorders>
              <w:top w:val="single" w:sz="2" w:space="0" w:color="auto"/>
              <w:left w:val="nil"/>
              <w:bottom w:val="single" w:sz="2" w:space="0" w:color="auto"/>
              <w:right w:val="nil"/>
            </w:tcBorders>
            <w:shd w:val="clear" w:color="auto" w:fill="auto"/>
            <w:noWrap/>
            <w:vAlign w:val="center"/>
            <w:hideMark/>
          </w:tcPr>
          <w:p w14:paraId="000E53D6"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48</w:t>
            </w:r>
          </w:p>
        </w:tc>
      </w:tr>
      <w:tr w:rsidR="001B1F5B" w14:paraId="7E11D409" w14:textId="77777777" w:rsidTr="00D4552D">
        <w:trPr>
          <w:trHeight w:val="115"/>
        </w:trPr>
        <w:tc>
          <w:tcPr>
            <w:tcW w:w="0" w:type="auto"/>
            <w:tcBorders>
              <w:top w:val="single" w:sz="2" w:space="0" w:color="auto"/>
              <w:left w:val="nil"/>
              <w:bottom w:val="single" w:sz="4" w:space="0" w:color="auto"/>
              <w:right w:val="nil"/>
            </w:tcBorders>
            <w:shd w:val="clear" w:color="auto" w:fill="auto"/>
            <w:noWrap/>
            <w:vAlign w:val="center"/>
            <w:hideMark/>
          </w:tcPr>
          <w:p w14:paraId="28541217" w14:textId="77777777" w:rsidR="001B1F5B" w:rsidRDefault="007E13AD">
            <w:pPr>
              <w:rPr>
                <w:rFonts w:ascii="Arial Narrow" w:hAnsi="Arial Narrow" w:cs="Calibri"/>
                <w:color w:val="000000"/>
                <w:sz w:val="18"/>
                <w:szCs w:val="18"/>
              </w:rPr>
            </w:pPr>
            <w:r>
              <w:rPr>
                <w:rFonts w:ascii="Arial Narrow" w:hAnsi="Arial Narrow" w:cs="Calibri"/>
                <w:color w:val="000000"/>
                <w:sz w:val="18"/>
                <w:szCs w:val="18"/>
              </w:rPr>
              <w:t>P</w:t>
            </w:r>
            <w:r w:rsidR="001B1F5B">
              <w:rPr>
                <w:rFonts w:ascii="Arial Narrow" w:hAnsi="Arial Narrow" w:cs="Calibri"/>
                <w:color w:val="000000"/>
                <w:sz w:val="18"/>
                <w:szCs w:val="18"/>
              </w:rPr>
              <w:t>ersonal</w:t>
            </w:r>
          </w:p>
        </w:tc>
        <w:tc>
          <w:tcPr>
            <w:tcW w:w="541" w:type="dxa"/>
            <w:tcBorders>
              <w:top w:val="single" w:sz="2" w:space="0" w:color="auto"/>
              <w:left w:val="nil"/>
              <w:bottom w:val="single" w:sz="4" w:space="0" w:color="auto"/>
              <w:right w:val="nil"/>
            </w:tcBorders>
            <w:shd w:val="clear" w:color="auto" w:fill="auto"/>
            <w:noWrap/>
            <w:vAlign w:val="center"/>
            <w:hideMark/>
          </w:tcPr>
          <w:p w14:paraId="3C46D598"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1.138</w:t>
            </w:r>
          </w:p>
        </w:tc>
        <w:tc>
          <w:tcPr>
            <w:tcW w:w="541" w:type="dxa"/>
            <w:tcBorders>
              <w:top w:val="single" w:sz="2" w:space="0" w:color="auto"/>
              <w:left w:val="nil"/>
              <w:bottom w:val="single" w:sz="4" w:space="0" w:color="auto"/>
              <w:right w:val="nil"/>
            </w:tcBorders>
            <w:shd w:val="clear" w:color="auto" w:fill="auto"/>
            <w:noWrap/>
            <w:vAlign w:val="center"/>
            <w:hideMark/>
          </w:tcPr>
          <w:p w14:paraId="047D0EE0"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1.172</w:t>
            </w:r>
          </w:p>
        </w:tc>
        <w:tc>
          <w:tcPr>
            <w:tcW w:w="541" w:type="dxa"/>
            <w:tcBorders>
              <w:top w:val="single" w:sz="2" w:space="0" w:color="auto"/>
              <w:left w:val="nil"/>
              <w:bottom w:val="single" w:sz="4" w:space="0" w:color="auto"/>
              <w:right w:val="nil"/>
            </w:tcBorders>
            <w:shd w:val="clear" w:color="auto" w:fill="auto"/>
            <w:noWrap/>
            <w:vAlign w:val="center"/>
            <w:hideMark/>
          </w:tcPr>
          <w:p w14:paraId="4CB05502"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1.238</w:t>
            </w:r>
          </w:p>
        </w:tc>
        <w:tc>
          <w:tcPr>
            <w:tcW w:w="541" w:type="dxa"/>
            <w:tcBorders>
              <w:top w:val="single" w:sz="2" w:space="0" w:color="auto"/>
              <w:left w:val="nil"/>
              <w:bottom w:val="single" w:sz="4" w:space="0" w:color="auto"/>
              <w:right w:val="nil"/>
            </w:tcBorders>
            <w:shd w:val="clear" w:color="auto" w:fill="auto"/>
            <w:noWrap/>
            <w:vAlign w:val="center"/>
            <w:hideMark/>
          </w:tcPr>
          <w:p w14:paraId="23B9F8F5"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1.253</w:t>
            </w:r>
          </w:p>
        </w:tc>
        <w:tc>
          <w:tcPr>
            <w:tcW w:w="541" w:type="dxa"/>
            <w:tcBorders>
              <w:top w:val="single" w:sz="2" w:space="0" w:color="auto"/>
              <w:left w:val="nil"/>
              <w:bottom w:val="single" w:sz="4" w:space="0" w:color="auto"/>
              <w:right w:val="nil"/>
            </w:tcBorders>
            <w:shd w:val="clear" w:color="auto" w:fill="auto"/>
            <w:noWrap/>
            <w:vAlign w:val="center"/>
            <w:hideMark/>
          </w:tcPr>
          <w:p w14:paraId="30909091"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1.406</w:t>
            </w:r>
          </w:p>
        </w:tc>
        <w:tc>
          <w:tcPr>
            <w:tcW w:w="541" w:type="dxa"/>
            <w:tcBorders>
              <w:top w:val="single" w:sz="2" w:space="0" w:color="auto"/>
              <w:left w:val="nil"/>
              <w:bottom w:val="single" w:sz="4" w:space="0" w:color="auto"/>
              <w:right w:val="nil"/>
            </w:tcBorders>
            <w:shd w:val="clear" w:color="auto" w:fill="auto"/>
            <w:noWrap/>
            <w:vAlign w:val="center"/>
            <w:hideMark/>
          </w:tcPr>
          <w:p w14:paraId="3506E20B"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1.469</w:t>
            </w:r>
          </w:p>
        </w:tc>
        <w:tc>
          <w:tcPr>
            <w:tcW w:w="541" w:type="dxa"/>
            <w:tcBorders>
              <w:top w:val="single" w:sz="2" w:space="0" w:color="auto"/>
              <w:left w:val="nil"/>
              <w:bottom w:val="single" w:sz="4" w:space="0" w:color="auto"/>
              <w:right w:val="nil"/>
            </w:tcBorders>
            <w:shd w:val="clear" w:color="auto" w:fill="auto"/>
            <w:noWrap/>
            <w:vAlign w:val="center"/>
            <w:hideMark/>
          </w:tcPr>
          <w:p w14:paraId="641A91E4"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1.549</w:t>
            </w:r>
          </w:p>
        </w:tc>
        <w:tc>
          <w:tcPr>
            <w:tcW w:w="541" w:type="dxa"/>
            <w:tcBorders>
              <w:top w:val="single" w:sz="2" w:space="0" w:color="auto"/>
              <w:left w:val="nil"/>
              <w:bottom w:val="single" w:sz="4" w:space="0" w:color="auto"/>
              <w:right w:val="nil"/>
            </w:tcBorders>
            <w:shd w:val="clear" w:color="auto" w:fill="auto"/>
            <w:noWrap/>
            <w:vAlign w:val="center"/>
            <w:hideMark/>
          </w:tcPr>
          <w:p w14:paraId="6A5BC61F"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1.610</w:t>
            </w:r>
          </w:p>
        </w:tc>
        <w:tc>
          <w:tcPr>
            <w:tcW w:w="541" w:type="dxa"/>
            <w:tcBorders>
              <w:top w:val="single" w:sz="2" w:space="0" w:color="auto"/>
              <w:left w:val="nil"/>
              <w:bottom w:val="single" w:sz="4" w:space="0" w:color="auto"/>
              <w:right w:val="nil"/>
            </w:tcBorders>
            <w:shd w:val="clear" w:color="auto" w:fill="auto"/>
            <w:noWrap/>
            <w:vAlign w:val="center"/>
            <w:hideMark/>
          </w:tcPr>
          <w:p w14:paraId="5DCC7B7C"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1.734</w:t>
            </w:r>
          </w:p>
        </w:tc>
        <w:tc>
          <w:tcPr>
            <w:tcW w:w="993" w:type="dxa"/>
            <w:tcBorders>
              <w:top w:val="single" w:sz="2" w:space="0" w:color="auto"/>
              <w:left w:val="nil"/>
              <w:bottom w:val="single" w:sz="4" w:space="0" w:color="auto"/>
              <w:right w:val="nil"/>
            </w:tcBorders>
            <w:shd w:val="clear" w:color="auto" w:fill="auto"/>
            <w:noWrap/>
            <w:vAlign w:val="center"/>
            <w:hideMark/>
          </w:tcPr>
          <w:p w14:paraId="08AA374A"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596</w:t>
            </w:r>
          </w:p>
        </w:tc>
        <w:tc>
          <w:tcPr>
            <w:tcW w:w="1277" w:type="dxa"/>
            <w:tcBorders>
              <w:top w:val="single" w:sz="2" w:space="0" w:color="auto"/>
              <w:left w:val="nil"/>
              <w:bottom w:val="single" w:sz="4" w:space="0" w:color="auto"/>
              <w:right w:val="nil"/>
            </w:tcBorders>
            <w:shd w:val="clear" w:color="auto" w:fill="auto"/>
            <w:noWrap/>
            <w:vAlign w:val="center"/>
            <w:hideMark/>
          </w:tcPr>
          <w:p w14:paraId="0517D34D"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52</w:t>
            </w:r>
          </w:p>
        </w:tc>
      </w:tr>
      <w:tr w:rsidR="001B1F5B" w14:paraId="4F2D7561" w14:textId="77777777" w:rsidTr="001C71FC">
        <w:trPr>
          <w:trHeight w:val="175"/>
        </w:trPr>
        <w:tc>
          <w:tcPr>
            <w:tcW w:w="0" w:type="auto"/>
            <w:tcBorders>
              <w:top w:val="single" w:sz="4" w:space="0" w:color="auto"/>
              <w:left w:val="nil"/>
              <w:bottom w:val="single" w:sz="4" w:space="0" w:color="auto"/>
              <w:right w:val="nil"/>
            </w:tcBorders>
            <w:shd w:val="clear" w:color="auto" w:fill="auto"/>
            <w:noWrap/>
            <w:vAlign w:val="center"/>
            <w:hideMark/>
          </w:tcPr>
          <w:p w14:paraId="0D005DC6" w14:textId="77777777" w:rsidR="001B1F5B" w:rsidRDefault="001B1F5B" w:rsidP="008A2E63">
            <w:pPr>
              <w:rPr>
                <w:rFonts w:ascii="Arial Narrow" w:hAnsi="Arial Narrow" w:cs="Calibri"/>
                <w:color w:val="000000"/>
                <w:sz w:val="18"/>
                <w:szCs w:val="18"/>
              </w:rPr>
            </w:pPr>
            <w:r>
              <w:rPr>
                <w:rFonts w:ascii="Arial Narrow" w:hAnsi="Arial Narrow" w:cs="Calibri"/>
                <w:color w:val="000000"/>
                <w:sz w:val="18"/>
                <w:szCs w:val="18"/>
              </w:rPr>
              <w:t>% personal/gasto total</w:t>
            </w:r>
          </w:p>
        </w:tc>
        <w:tc>
          <w:tcPr>
            <w:tcW w:w="541" w:type="dxa"/>
            <w:tcBorders>
              <w:top w:val="single" w:sz="4" w:space="0" w:color="auto"/>
              <w:left w:val="nil"/>
              <w:bottom w:val="single" w:sz="4" w:space="0" w:color="auto"/>
              <w:right w:val="nil"/>
            </w:tcBorders>
            <w:shd w:val="clear" w:color="auto" w:fill="auto"/>
            <w:noWrap/>
            <w:vAlign w:val="center"/>
            <w:hideMark/>
          </w:tcPr>
          <w:p w14:paraId="621A3C2F"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29%</w:t>
            </w:r>
          </w:p>
        </w:tc>
        <w:tc>
          <w:tcPr>
            <w:tcW w:w="541" w:type="dxa"/>
            <w:tcBorders>
              <w:top w:val="single" w:sz="4" w:space="0" w:color="auto"/>
              <w:left w:val="nil"/>
              <w:bottom w:val="single" w:sz="4" w:space="0" w:color="auto"/>
              <w:right w:val="nil"/>
            </w:tcBorders>
            <w:shd w:val="clear" w:color="auto" w:fill="auto"/>
            <w:noWrap/>
            <w:vAlign w:val="center"/>
            <w:hideMark/>
          </w:tcPr>
          <w:p w14:paraId="2383CD50"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30%</w:t>
            </w:r>
          </w:p>
        </w:tc>
        <w:tc>
          <w:tcPr>
            <w:tcW w:w="541" w:type="dxa"/>
            <w:tcBorders>
              <w:top w:val="single" w:sz="4" w:space="0" w:color="auto"/>
              <w:left w:val="nil"/>
              <w:bottom w:val="single" w:sz="4" w:space="0" w:color="auto"/>
              <w:right w:val="nil"/>
            </w:tcBorders>
            <w:shd w:val="clear" w:color="auto" w:fill="auto"/>
            <w:noWrap/>
            <w:vAlign w:val="center"/>
            <w:hideMark/>
          </w:tcPr>
          <w:p w14:paraId="126841AB"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31%</w:t>
            </w:r>
          </w:p>
        </w:tc>
        <w:tc>
          <w:tcPr>
            <w:tcW w:w="541" w:type="dxa"/>
            <w:tcBorders>
              <w:top w:val="single" w:sz="4" w:space="0" w:color="auto"/>
              <w:left w:val="nil"/>
              <w:bottom w:val="single" w:sz="4" w:space="0" w:color="auto"/>
              <w:right w:val="nil"/>
            </w:tcBorders>
            <w:shd w:val="clear" w:color="auto" w:fill="auto"/>
            <w:noWrap/>
            <w:vAlign w:val="center"/>
            <w:hideMark/>
          </w:tcPr>
          <w:p w14:paraId="44ABFB29"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30%</w:t>
            </w:r>
          </w:p>
        </w:tc>
        <w:tc>
          <w:tcPr>
            <w:tcW w:w="541" w:type="dxa"/>
            <w:tcBorders>
              <w:top w:val="single" w:sz="4" w:space="0" w:color="auto"/>
              <w:left w:val="nil"/>
              <w:bottom w:val="single" w:sz="4" w:space="0" w:color="auto"/>
              <w:right w:val="nil"/>
            </w:tcBorders>
            <w:shd w:val="clear" w:color="auto" w:fill="auto"/>
            <w:noWrap/>
            <w:vAlign w:val="center"/>
            <w:hideMark/>
          </w:tcPr>
          <w:p w14:paraId="14CF3D06"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32%</w:t>
            </w:r>
          </w:p>
        </w:tc>
        <w:tc>
          <w:tcPr>
            <w:tcW w:w="541" w:type="dxa"/>
            <w:tcBorders>
              <w:top w:val="single" w:sz="4" w:space="0" w:color="auto"/>
              <w:left w:val="nil"/>
              <w:bottom w:val="single" w:sz="4" w:space="0" w:color="auto"/>
              <w:right w:val="nil"/>
            </w:tcBorders>
            <w:shd w:val="clear" w:color="auto" w:fill="auto"/>
            <w:noWrap/>
            <w:vAlign w:val="center"/>
            <w:hideMark/>
          </w:tcPr>
          <w:p w14:paraId="6D64BC95"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32%</w:t>
            </w:r>
          </w:p>
        </w:tc>
        <w:tc>
          <w:tcPr>
            <w:tcW w:w="541" w:type="dxa"/>
            <w:tcBorders>
              <w:top w:val="single" w:sz="4" w:space="0" w:color="auto"/>
              <w:left w:val="nil"/>
              <w:bottom w:val="single" w:sz="4" w:space="0" w:color="auto"/>
              <w:right w:val="nil"/>
            </w:tcBorders>
            <w:shd w:val="clear" w:color="auto" w:fill="auto"/>
            <w:noWrap/>
            <w:vAlign w:val="center"/>
            <w:hideMark/>
          </w:tcPr>
          <w:p w14:paraId="4CA3A32E"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31%</w:t>
            </w:r>
          </w:p>
        </w:tc>
        <w:tc>
          <w:tcPr>
            <w:tcW w:w="541" w:type="dxa"/>
            <w:tcBorders>
              <w:top w:val="single" w:sz="4" w:space="0" w:color="auto"/>
              <w:left w:val="nil"/>
              <w:bottom w:val="single" w:sz="4" w:space="0" w:color="auto"/>
              <w:right w:val="nil"/>
            </w:tcBorders>
            <w:shd w:val="clear" w:color="auto" w:fill="auto"/>
            <w:vAlign w:val="center"/>
            <w:hideMark/>
          </w:tcPr>
          <w:p w14:paraId="3CB7E9B6"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29%</w:t>
            </w:r>
          </w:p>
        </w:tc>
        <w:tc>
          <w:tcPr>
            <w:tcW w:w="541" w:type="dxa"/>
            <w:tcBorders>
              <w:top w:val="single" w:sz="4" w:space="0" w:color="auto"/>
              <w:left w:val="nil"/>
              <w:bottom w:val="single" w:sz="4" w:space="0" w:color="auto"/>
              <w:right w:val="nil"/>
            </w:tcBorders>
            <w:shd w:val="clear" w:color="auto" w:fill="auto"/>
            <w:vAlign w:val="center"/>
            <w:hideMark/>
          </w:tcPr>
          <w:p w14:paraId="768DC853"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30%</w:t>
            </w:r>
          </w:p>
        </w:tc>
        <w:tc>
          <w:tcPr>
            <w:tcW w:w="993" w:type="dxa"/>
            <w:tcBorders>
              <w:top w:val="single" w:sz="4" w:space="0" w:color="auto"/>
              <w:left w:val="nil"/>
              <w:bottom w:val="single" w:sz="4" w:space="0" w:color="auto"/>
              <w:right w:val="nil"/>
            </w:tcBorders>
            <w:shd w:val="clear" w:color="auto" w:fill="auto"/>
            <w:noWrap/>
            <w:vAlign w:val="center"/>
            <w:hideMark/>
          </w:tcPr>
          <w:p w14:paraId="384B16DB"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 </w:t>
            </w:r>
          </w:p>
        </w:tc>
        <w:tc>
          <w:tcPr>
            <w:tcW w:w="1277" w:type="dxa"/>
            <w:tcBorders>
              <w:top w:val="single" w:sz="4" w:space="0" w:color="auto"/>
              <w:left w:val="nil"/>
              <w:bottom w:val="single" w:sz="4" w:space="0" w:color="auto"/>
              <w:right w:val="nil"/>
            </w:tcBorders>
            <w:shd w:val="clear" w:color="auto" w:fill="auto"/>
            <w:noWrap/>
            <w:vAlign w:val="center"/>
            <w:hideMark/>
          </w:tcPr>
          <w:p w14:paraId="33B8AF65" w14:textId="77777777" w:rsidR="001B1F5B" w:rsidRDefault="001B1F5B">
            <w:pPr>
              <w:jc w:val="right"/>
              <w:rPr>
                <w:rFonts w:ascii="Arial Narrow" w:hAnsi="Arial Narrow" w:cs="Calibri"/>
                <w:color w:val="000000"/>
                <w:sz w:val="18"/>
                <w:szCs w:val="18"/>
              </w:rPr>
            </w:pPr>
            <w:r>
              <w:rPr>
                <w:rFonts w:ascii="Arial Narrow" w:hAnsi="Arial Narrow" w:cs="Calibri"/>
                <w:color w:val="000000"/>
                <w:sz w:val="18"/>
                <w:szCs w:val="18"/>
              </w:rPr>
              <w:t> </w:t>
            </w:r>
          </w:p>
        </w:tc>
      </w:tr>
    </w:tbl>
    <w:p w14:paraId="1DFCF337" w14:textId="77777777" w:rsidR="001B1F5B" w:rsidRDefault="001B1F5B" w:rsidP="00286F49">
      <w:pPr>
        <w:pStyle w:val="texto"/>
        <w:spacing w:after="60"/>
        <w:jc w:val="both"/>
      </w:pPr>
    </w:p>
    <w:p w14:paraId="0C0B4AD1" w14:textId="77777777" w:rsidR="00176326" w:rsidRDefault="00176326" w:rsidP="00E906A4">
      <w:pPr>
        <w:pStyle w:val="texto"/>
        <w:spacing w:after="120"/>
        <w:jc w:val="both"/>
      </w:pPr>
      <w:r>
        <w:t xml:space="preserve">Teniendo en cuenta la inflación, indicamos que el aumento </w:t>
      </w:r>
      <w:r w:rsidR="00AD35B9">
        <w:t xml:space="preserve">del gasto en personal, </w:t>
      </w:r>
      <w:r>
        <w:t xml:space="preserve">en términos reales, </w:t>
      </w:r>
      <w:r w:rsidR="00F77F09">
        <w:t>ha s</w:t>
      </w:r>
      <w:r>
        <w:t xml:space="preserve">ido del 30,2 por ciento. </w:t>
      </w:r>
    </w:p>
    <w:p w14:paraId="2841F27E" w14:textId="77777777" w:rsidR="005C30E8" w:rsidRDefault="00B84F13" w:rsidP="00286F49">
      <w:pPr>
        <w:pStyle w:val="texto"/>
        <w:spacing w:after="60"/>
        <w:jc w:val="both"/>
      </w:pPr>
      <w:r>
        <w:lastRenderedPageBreak/>
        <w:t>S</w:t>
      </w:r>
      <w:r w:rsidR="005C30E8">
        <w:t xml:space="preserve">i bien, tal y como se desprende del estado de liquidación del presupuesto reflejado en el Apéndice 1 del informe, el capítulo presupuestario más significativo es el de transferencias corrientes que supone el 40 por ciento del presupuesto, </w:t>
      </w:r>
      <w:r w:rsidR="00733C55">
        <w:t xml:space="preserve">indicamos </w:t>
      </w:r>
      <w:r w:rsidR="005C30E8">
        <w:t xml:space="preserve">que </w:t>
      </w:r>
      <w:r w:rsidR="0054095E">
        <w:t xml:space="preserve">la información de este capítulo debe contextualizarse, </w:t>
      </w:r>
      <w:r w:rsidR="00733C55">
        <w:t xml:space="preserve">dado que </w:t>
      </w:r>
      <w:r w:rsidR="005C30E8">
        <w:t xml:space="preserve">se incluye la aportación al Estado resultante del Convenio Económico, </w:t>
      </w:r>
      <w:r w:rsidR="0054095E">
        <w:t xml:space="preserve">y otro tipo de transferencias </w:t>
      </w:r>
      <w:r w:rsidR="00733C55">
        <w:t xml:space="preserve">de obligada </w:t>
      </w:r>
      <w:r w:rsidR="00E70AD2">
        <w:t>financiación, como por ejemplo la dotación d</w:t>
      </w:r>
      <w:r w:rsidR="0054095E">
        <w:t xml:space="preserve">el Fondo de participación </w:t>
      </w:r>
      <w:r w:rsidR="0082265A">
        <w:t>de las entidades locales en los tributos de Navarra</w:t>
      </w:r>
      <w:r w:rsidR="00E70AD2">
        <w:t xml:space="preserve">. </w:t>
      </w:r>
    </w:p>
    <w:p w14:paraId="050098F4" w14:textId="77777777" w:rsidR="0054095E" w:rsidRPr="00442C60" w:rsidRDefault="00442C60" w:rsidP="00442C60">
      <w:pPr>
        <w:pStyle w:val="texto"/>
        <w:spacing w:after="60"/>
        <w:jc w:val="both"/>
      </w:pPr>
      <w:r w:rsidRPr="00442C60">
        <w:t xml:space="preserve">Excluyendo dichos gastos por transferencias, </w:t>
      </w:r>
      <w:r w:rsidR="0054095E" w:rsidRPr="00442C60">
        <w:t xml:space="preserve">el capítulo de </w:t>
      </w:r>
      <w:proofErr w:type="gramStart"/>
      <w:r w:rsidR="0054095E" w:rsidRPr="00442C60">
        <w:t>personal,</w:t>
      </w:r>
      <w:proofErr w:type="gramEnd"/>
      <w:r w:rsidR="0054095E" w:rsidRPr="00442C60">
        <w:t xml:space="preserve"> realmente es el gasto más relevante en importancia relativa respecto al presupuesto en su totalidad. </w:t>
      </w:r>
    </w:p>
    <w:p w14:paraId="02F87F91" w14:textId="77777777" w:rsidR="00B84F13" w:rsidRDefault="0082265A" w:rsidP="00286F49">
      <w:pPr>
        <w:pStyle w:val="texto"/>
        <w:spacing w:after="60"/>
        <w:jc w:val="both"/>
      </w:pPr>
      <w:r>
        <w:t>S</w:t>
      </w:r>
      <w:r w:rsidR="00B84F13">
        <w:t>obre la evolución de los presupuestos públicos en la ACFN, destacamos lo siguiente:</w:t>
      </w:r>
    </w:p>
    <w:p w14:paraId="124296A0" w14:textId="77777777" w:rsidR="007D6783" w:rsidRDefault="007D6783" w:rsidP="008C2B8E">
      <w:pPr>
        <w:pStyle w:val="texto"/>
        <w:numPr>
          <w:ilvl w:val="0"/>
          <w:numId w:val="20"/>
        </w:numPr>
        <w:tabs>
          <w:tab w:val="num" w:pos="300"/>
          <w:tab w:val="left" w:pos="480"/>
          <w:tab w:val="num" w:pos="600"/>
        </w:tabs>
        <w:spacing w:before="120"/>
        <w:ind w:left="0" w:firstLine="289"/>
        <w:jc w:val="both"/>
      </w:pPr>
      <w:r>
        <w:t xml:space="preserve">Tal y como se </w:t>
      </w:r>
      <w:r w:rsidR="00D77F97">
        <w:t>detalla</w:t>
      </w:r>
      <w:r w:rsidR="00616B9E">
        <w:t xml:space="preserve"> </w:t>
      </w:r>
      <w:r>
        <w:t xml:space="preserve">en el apartado 5.3 de este </w:t>
      </w:r>
      <w:r w:rsidR="0082265A">
        <w:t>A</w:t>
      </w:r>
      <w:r>
        <w:t>péndice, la A</w:t>
      </w:r>
      <w:r w:rsidR="00F77F09">
        <w:t>utoridad Independiente de Responsabilidad Fiscal (en adelante A</w:t>
      </w:r>
      <w:r>
        <w:t>IREF</w:t>
      </w:r>
      <w:r w:rsidR="00F77F09">
        <w:t>)</w:t>
      </w:r>
      <w:r>
        <w:t xml:space="preserve"> ha puesto de manifiesto el riesgo de incumplimiento de la regla de gasto en todas las CCAA, incluida la Comunidad Foral de Navarra.</w:t>
      </w:r>
    </w:p>
    <w:p w14:paraId="1F992D67" w14:textId="77777777" w:rsidR="007D6783" w:rsidRDefault="007D6783" w:rsidP="00B84F13">
      <w:pPr>
        <w:pStyle w:val="texto"/>
        <w:tabs>
          <w:tab w:val="left" w:pos="480"/>
        </w:tabs>
        <w:spacing w:before="120"/>
        <w:jc w:val="both"/>
      </w:pPr>
      <w:r w:rsidRPr="007D6783">
        <w:t xml:space="preserve">La reactivación de las reglas fiscales tras el fin de la vigencia de la cláusula de </w:t>
      </w:r>
      <w:proofErr w:type="gramStart"/>
      <w:r w:rsidRPr="007D6783">
        <w:t>salvaguarda,</w:t>
      </w:r>
      <w:proofErr w:type="gramEnd"/>
      <w:r w:rsidRPr="007D6783">
        <w:t xml:space="preserve"> </w:t>
      </w:r>
      <w:r w:rsidR="00327402">
        <w:t>supone que los presupuesto</w:t>
      </w:r>
      <w:r w:rsidR="00616B9E">
        <w:t xml:space="preserve">s para 2025 serán los primeros </w:t>
      </w:r>
      <w:r w:rsidR="00327402">
        <w:t xml:space="preserve">en el que el cumplimiento de la senda de gasto aparece como la regla fiscal principal. Este nuevo escenario, </w:t>
      </w:r>
      <w:r w:rsidR="00044423">
        <w:t xml:space="preserve">va a </w:t>
      </w:r>
      <w:r w:rsidR="00327402">
        <w:t>limitar el nivel de crecimiento expansivo, que han tenido los presupuestos generales de la ACFN</w:t>
      </w:r>
      <w:r w:rsidR="00044423">
        <w:t xml:space="preserve">. </w:t>
      </w:r>
    </w:p>
    <w:p w14:paraId="526F9884" w14:textId="77777777" w:rsidR="0041691B" w:rsidRDefault="00914AA9" w:rsidP="00E906A4">
      <w:pPr>
        <w:pStyle w:val="texto"/>
        <w:numPr>
          <w:ilvl w:val="0"/>
          <w:numId w:val="20"/>
        </w:numPr>
        <w:tabs>
          <w:tab w:val="num" w:pos="300"/>
          <w:tab w:val="left" w:pos="480"/>
          <w:tab w:val="num" w:pos="600"/>
        </w:tabs>
        <w:spacing w:before="120" w:after="120"/>
        <w:ind w:left="0" w:firstLine="289"/>
        <w:jc w:val="both"/>
      </w:pPr>
      <w:r>
        <w:t>El artículo 30 de la LFH</w:t>
      </w:r>
      <w:r w:rsidR="00F77F09">
        <w:t>PN</w:t>
      </w:r>
      <w:r>
        <w:t xml:space="preserve"> regula los presupuestos por programas en la ACFN. </w:t>
      </w:r>
      <w:r w:rsidR="00A9549F">
        <w:t>c</w:t>
      </w:r>
      <w:r w:rsidR="00FE31F2">
        <w:t>onstituye un programa presupuestario el conjunto de recursos a disposición de unidades orgánicas</w:t>
      </w:r>
      <w:r w:rsidR="00FE31F2">
        <w:rPr>
          <w:rStyle w:val="Refdenotaalpie"/>
        </w:rPr>
        <w:footnoteReference w:id="16"/>
      </w:r>
      <w:r w:rsidR="00FE31F2">
        <w:t xml:space="preserve">, destinados a la consecución de objetivos. </w:t>
      </w:r>
    </w:p>
    <w:p w14:paraId="1E3AE077" w14:textId="77777777" w:rsidR="0041691B" w:rsidRDefault="009B60B2" w:rsidP="0041691B">
      <w:pPr>
        <w:pStyle w:val="texto"/>
        <w:spacing w:after="60"/>
        <w:jc w:val="both"/>
      </w:pPr>
      <w:r>
        <w:t>Por lo tanto, los presupuesto</w:t>
      </w:r>
      <w:r w:rsidR="00E7479E">
        <w:t>s</w:t>
      </w:r>
      <w:r>
        <w:t xml:space="preserve"> por programas constituyen la planificación financiera de las distintas políticas públicas, </w:t>
      </w:r>
      <w:r w:rsidR="00F77F09">
        <w:t xml:space="preserve">y </w:t>
      </w:r>
      <w:r>
        <w:t xml:space="preserve">su consecuente asignación de recursos </w:t>
      </w:r>
      <w:r w:rsidRPr="00914AA9">
        <w:t>en relación con los objetivos previamente definidos</w:t>
      </w:r>
      <w:r w:rsidR="0041691B">
        <w:t>. P</w:t>
      </w:r>
      <w:r>
        <w:t xml:space="preserve">osteriormente, </w:t>
      </w:r>
      <w:r w:rsidR="00F77F09">
        <w:t xml:space="preserve">cada programa presupuestario, </w:t>
      </w:r>
      <w:r w:rsidR="0041691B">
        <w:t xml:space="preserve">debe ser </w:t>
      </w:r>
      <w:r w:rsidR="00D77F97">
        <w:t>objeto de evaluación de su</w:t>
      </w:r>
      <w:r>
        <w:t xml:space="preserve"> eficacia y eficiencia</w:t>
      </w:r>
      <w:r w:rsidR="0041691B">
        <w:t xml:space="preserve">, de tal forma que permita acreditar que las asignaciones presupuestarias a los centros gestores de </w:t>
      </w:r>
      <w:proofErr w:type="gramStart"/>
      <w:r w:rsidR="0041691B">
        <w:t>gasto,</w:t>
      </w:r>
      <w:proofErr w:type="gramEnd"/>
      <w:r w:rsidR="0041691B">
        <w:t xml:space="preserve"> tomen en cuenta, entre otras circunstancias el nivel de cumplimiento de los objetivos de ejercicios anteriores. </w:t>
      </w:r>
    </w:p>
    <w:p w14:paraId="53C1E6E8" w14:textId="77777777" w:rsidR="00FE31F2" w:rsidRDefault="00FE31F2" w:rsidP="00FE31F2">
      <w:pPr>
        <w:pStyle w:val="texto"/>
        <w:tabs>
          <w:tab w:val="left" w:pos="480"/>
        </w:tabs>
        <w:spacing w:before="120"/>
        <w:jc w:val="both"/>
      </w:pPr>
      <w:r>
        <w:t>En la ACFN, t</w:t>
      </w:r>
      <w:r w:rsidRPr="000E7972">
        <w:t xml:space="preserve">anto para la elaboración de los presupuestos como </w:t>
      </w:r>
      <w:r>
        <w:t xml:space="preserve">para </w:t>
      </w:r>
      <w:r w:rsidRPr="000E7972">
        <w:t>las Cuentas Generales, se incluyen unos documentos de todos y cada uno de los programas presupuestarios. Se confecci</w:t>
      </w:r>
      <w:r>
        <w:t xml:space="preserve">onan </w:t>
      </w:r>
      <w:r w:rsidRPr="000E7972">
        <w:t>con distintas categorías de datos</w:t>
      </w:r>
      <w:r w:rsidRPr="000E7972">
        <w:rPr>
          <w:rStyle w:val="Refdenotaalpie"/>
        </w:rPr>
        <w:footnoteReference w:id="17"/>
      </w:r>
      <w:r w:rsidRPr="000E7972">
        <w:t xml:space="preserve"> con la finalidad de poder comparar </w:t>
      </w:r>
      <w:r>
        <w:t xml:space="preserve">en </w:t>
      </w:r>
      <w:r w:rsidRPr="000E7972">
        <w:t xml:space="preserve">los diversos programas </w:t>
      </w:r>
      <w:r>
        <w:t xml:space="preserve">los objetivos proyectados y los realmente obtenidos, al objeto de poder determinar </w:t>
      </w:r>
      <w:r w:rsidR="009867E8">
        <w:t xml:space="preserve">y analizar </w:t>
      </w:r>
      <w:r>
        <w:t>la</w:t>
      </w:r>
      <w:r w:rsidR="009867E8">
        <w:t>s desviaciones</w:t>
      </w:r>
      <w:r w:rsidR="00F43C32">
        <w:t xml:space="preserve"> que se producen. </w:t>
      </w:r>
    </w:p>
    <w:p w14:paraId="50C43C87" w14:textId="77777777" w:rsidR="009867E8" w:rsidRDefault="00F77F09" w:rsidP="00A872CE">
      <w:pPr>
        <w:pStyle w:val="texto"/>
        <w:tabs>
          <w:tab w:val="left" w:pos="480"/>
        </w:tabs>
        <w:spacing w:after="120"/>
        <w:jc w:val="both"/>
      </w:pPr>
      <w:r>
        <w:lastRenderedPageBreak/>
        <w:t>L</w:t>
      </w:r>
      <w:r w:rsidR="009867E8">
        <w:t>os citados documentos, a juicio de esta Cámara adolecen</w:t>
      </w:r>
      <w:r>
        <w:t xml:space="preserve">, en general, </w:t>
      </w:r>
      <w:r w:rsidR="009867E8">
        <w:t>de las siguientes debilidades:</w:t>
      </w:r>
    </w:p>
    <w:p w14:paraId="1352F69D" w14:textId="77777777" w:rsidR="009867E8" w:rsidRDefault="009867E8" w:rsidP="00A872CE">
      <w:pPr>
        <w:pStyle w:val="texto"/>
        <w:tabs>
          <w:tab w:val="left" w:pos="480"/>
        </w:tabs>
        <w:spacing w:after="120"/>
        <w:jc w:val="both"/>
      </w:pPr>
      <w:r>
        <w:t xml:space="preserve">a) </w:t>
      </w:r>
      <w:r w:rsidR="0036258B">
        <w:t xml:space="preserve">No permite evidenciar la evolución real de los presupuestos de gastos respecto al ejercicio anterior, o anteriores. </w:t>
      </w:r>
      <w:r>
        <w:t xml:space="preserve"> </w:t>
      </w:r>
    </w:p>
    <w:p w14:paraId="70CBAA44" w14:textId="77777777" w:rsidR="00A124A2" w:rsidRDefault="009867E8" w:rsidP="00A872CE">
      <w:pPr>
        <w:pStyle w:val="texto"/>
        <w:tabs>
          <w:tab w:val="left" w:pos="480"/>
        </w:tabs>
        <w:spacing w:after="120"/>
        <w:jc w:val="both"/>
      </w:pPr>
      <w:r>
        <w:t xml:space="preserve">b) </w:t>
      </w:r>
      <w:r w:rsidR="00A124A2">
        <w:t>Los indicadores previstos no miden el resultado de los objetivos en términos de eficacia y eficiencia, sino el nivel de actividad de cada órgano gestor.</w:t>
      </w:r>
      <w:r w:rsidR="00F43C32">
        <w:t xml:space="preserve"> </w:t>
      </w:r>
    </w:p>
    <w:p w14:paraId="504FEC9C" w14:textId="77777777" w:rsidR="00A124A2" w:rsidRDefault="00A124A2" w:rsidP="00A872CE">
      <w:pPr>
        <w:pStyle w:val="texto"/>
        <w:tabs>
          <w:tab w:val="left" w:pos="480"/>
        </w:tabs>
        <w:spacing w:after="120"/>
        <w:jc w:val="both"/>
      </w:pPr>
      <w:r>
        <w:t xml:space="preserve">c) La </w:t>
      </w:r>
      <w:r w:rsidR="0036258B">
        <w:t xml:space="preserve">configuración de los objetivos, acciones e indicadores de los programas presupuestarios, </w:t>
      </w:r>
      <w:r>
        <w:t>resulta más bien en una aplicación más formal que real, dado que no consta un sistema po</w:t>
      </w:r>
      <w:r w:rsidR="00EE472F">
        <w:t xml:space="preserve">sterior de efectivo de evaluación. </w:t>
      </w:r>
    </w:p>
    <w:p w14:paraId="25350AE5" w14:textId="77777777" w:rsidR="00FE10A4" w:rsidRPr="00FE10A4" w:rsidRDefault="00A9549F" w:rsidP="00A872CE">
      <w:pPr>
        <w:pStyle w:val="texto"/>
        <w:tabs>
          <w:tab w:val="left" w:pos="480"/>
        </w:tabs>
        <w:spacing w:after="120"/>
        <w:jc w:val="both"/>
      </w:pPr>
      <w:r w:rsidRPr="00FE10A4">
        <w:t xml:space="preserve">Consecuentemente, si no se evalúan </w:t>
      </w:r>
      <w:r w:rsidR="00E030E2" w:rsidRPr="00FE10A4">
        <w:t xml:space="preserve">adecuadamente </w:t>
      </w:r>
      <w:r w:rsidR="00442C60" w:rsidRPr="00FE10A4">
        <w:t>los programas presupuestarios,</w:t>
      </w:r>
      <w:r w:rsidR="00344B37" w:rsidRPr="00FE10A4">
        <w:t xml:space="preserve"> la utilidad de esta fuente d</w:t>
      </w:r>
      <w:r w:rsidR="00FE10A4">
        <w:t>e información es escasa o nula.</w:t>
      </w:r>
    </w:p>
    <w:p w14:paraId="7EEFAE15" w14:textId="77777777" w:rsidR="00FE10A4" w:rsidRPr="00FE10A4" w:rsidRDefault="00FE10A4" w:rsidP="00FE10A4">
      <w:pPr>
        <w:pStyle w:val="texto"/>
        <w:tabs>
          <w:tab w:val="left" w:pos="480"/>
        </w:tabs>
        <w:spacing w:before="120"/>
        <w:ind w:left="289" w:firstLine="0"/>
        <w:jc w:val="both"/>
      </w:pPr>
      <w:r w:rsidRPr="00FE10A4">
        <w:t xml:space="preserve">Por todo lo anterior, efectuamos las siguientes </w:t>
      </w:r>
      <w:r w:rsidRPr="00A872CE">
        <w:rPr>
          <w:i/>
        </w:rPr>
        <w:t>recomendaciones</w:t>
      </w:r>
      <w:r w:rsidRPr="00FE10A4">
        <w:t xml:space="preserve">: </w:t>
      </w:r>
    </w:p>
    <w:p w14:paraId="4BF652FD" w14:textId="77777777" w:rsidR="00D54214" w:rsidRPr="00FE10A4" w:rsidRDefault="00D54214" w:rsidP="00D54214">
      <w:pPr>
        <w:pStyle w:val="texto"/>
        <w:numPr>
          <w:ilvl w:val="0"/>
          <w:numId w:val="20"/>
        </w:numPr>
        <w:tabs>
          <w:tab w:val="num" w:pos="300"/>
          <w:tab w:val="left" w:pos="480"/>
          <w:tab w:val="num" w:pos="600"/>
        </w:tabs>
        <w:spacing w:before="120"/>
        <w:ind w:left="0" w:firstLine="289"/>
        <w:jc w:val="both"/>
        <w:rPr>
          <w:i/>
        </w:rPr>
      </w:pPr>
      <w:r w:rsidRPr="00FE10A4">
        <w:rPr>
          <w:i/>
        </w:rPr>
        <w:t>Llevar a cabo un seguimiento, control y evaluació</w:t>
      </w:r>
      <w:r w:rsidR="00344B37" w:rsidRPr="00FE10A4">
        <w:rPr>
          <w:i/>
        </w:rPr>
        <w:t xml:space="preserve">n efectiva </w:t>
      </w:r>
      <w:r w:rsidRPr="00FE10A4">
        <w:rPr>
          <w:i/>
        </w:rPr>
        <w:t xml:space="preserve">de los programas presupuestarios, de forma que sirvan </w:t>
      </w:r>
      <w:r w:rsidR="00344B37" w:rsidRPr="00FE10A4">
        <w:rPr>
          <w:i/>
        </w:rPr>
        <w:t>para analizar la eficacia y eficiencia en la asignación de</w:t>
      </w:r>
      <w:r w:rsidR="00FE10A4">
        <w:rPr>
          <w:i/>
        </w:rPr>
        <w:t xml:space="preserve"> los recursos presupuestarios.</w:t>
      </w:r>
      <w:r w:rsidR="007C2AF4" w:rsidRPr="00FE10A4">
        <w:rPr>
          <w:i/>
        </w:rPr>
        <w:t xml:space="preserve"> </w:t>
      </w:r>
    </w:p>
    <w:p w14:paraId="43DA9B63" w14:textId="77777777" w:rsidR="009867E8" w:rsidRPr="00D54214" w:rsidRDefault="00D54214" w:rsidP="00D54214">
      <w:pPr>
        <w:pStyle w:val="texto"/>
        <w:numPr>
          <w:ilvl w:val="0"/>
          <w:numId w:val="20"/>
        </w:numPr>
        <w:tabs>
          <w:tab w:val="num" w:pos="300"/>
          <w:tab w:val="left" w:pos="480"/>
          <w:tab w:val="num" w:pos="600"/>
        </w:tabs>
        <w:spacing w:before="120"/>
        <w:ind w:left="0" w:firstLine="289"/>
        <w:jc w:val="both"/>
        <w:rPr>
          <w:i/>
        </w:rPr>
      </w:pPr>
      <w:r w:rsidRPr="00D54214">
        <w:rPr>
          <w:i/>
        </w:rPr>
        <w:t>C</w:t>
      </w:r>
      <w:r w:rsidR="009867E8" w:rsidRPr="00D54214">
        <w:rPr>
          <w:i/>
        </w:rPr>
        <w:t xml:space="preserve">ontemplar la programación y evaluación de los programas presupuestarios de forma conjunta </w:t>
      </w:r>
      <w:r w:rsidR="00E7479E" w:rsidRPr="00D54214">
        <w:rPr>
          <w:i/>
        </w:rPr>
        <w:t xml:space="preserve">entre </w:t>
      </w:r>
      <w:r w:rsidR="009867E8" w:rsidRPr="00D54214">
        <w:rPr>
          <w:i/>
        </w:rPr>
        <w:t xml:space="preserve">el Departamento de Economía y Hacienda con la </w:t>
      </w:r>
      <w:bookmarkStart w:id="102" w:name="10010735"/>
      <w:r w:rsidR="009867E8" w:rsidRPr="00D54214">
        <w:rPr>
          <w:i/>
        </w:rPr>
        <w:t>Dirección General de Planificación, Coordinación, Innovación y Evaluación de Políticas Públicas</w:t>
      </w:r>
      <w:bookmarkEnd w:id="102"/>
      <w:r w:rsidR="009867E8" w:rsidRPr="00D54214">
        <w:rPr>
          <w:i/>
        </w:rPr>
        <w:t xml:space="preserve">, del Departamento de Presidencia e Igualdad. </w:t>
      </w:r>
    </w:p>
    <w:p w14:paraId="3487F8E3" w14:textId="77777777" w:rsidR="00FE6FAF" w:rsidRDefault="00FE6FAF" w:rsidP="00A872CE">
      <w:pPr>
        <w:pStyle w:val="atitulo3"/>
        <w:spacing w:before="240"/>
      </w:pPr>
      <w:r>
        <w:t>Indicadores de liquidación presupuestaria</w:t>
      </w:r>
    </w:p>
    <w:p w14:paraId="5F63E0B9" w14:textId="77777777" w:rsidR="00614DC4" w:rsidRDefault="00614DC4" w:rsidP="00286F49">
      <w:pPr>
        <w:pStyle w:val="texto"/>
        <w:spacing w:after="60"/>
        <w:jc w:val="both"/>
      </w:pPr>
      <w:r>
        <w:t xml:space="preserve">El </w:t>
      </w:r>
      <w:r w:rsidR="003D09D7">
        <w:t xml:space="preserve">siguiente </w:t>
      </w:r>
      <w:r w:rsidR="00131A5E">
        <w:t xml:space="preserve">cuadro, </w:t>
      </w:r>
      <w:r>
        <w:t xml:space="preserve">muestra la comparativa de un conjunto de indicadores relacionados con la liquidación presupuestaria de los gastos e ingresos para los </w:t>
      </w:r>
      <w:r w:rsidR="00253F91">
        <w:t>ejercicios 2</w:t>
      </w:r>
      <w:r>
        <w:t>02</w:t>
      </w:r>
      <w:r w:rsidR="00253F91">
        <w:t>2 y 2023</w:t>
      </w:r>
      <w:r>
        <w:t>:</w:t>
      </w:r>
    </w:p>
    <w:tbl>
      <w:tblPr>
        <w:tblW w:w="5034" w:type="pct"/>
        <w:tblLayout w:type="fixed"/>
        <w:tblCellMar>
          <w:left w:w="70" w:type="dxa"/>
          <w:right w:w="70" w:type="dxa"/>
        </w:tblCellMar>
        <w:tblLook w:val="04A0" w:firstRow="1" w:lastRow="0" w:firstColumn="1" w:lastColumn="0" w:noHBand="0" w:noVBand="1"/>
      </w:tblPr>
      <w:tblGrid>
        <w:gridCol w:w="4852"/>
        <w:gridCol w:w="1426"/>
        <w:gridCol w:w="1284"/>
        <w:gridCol w:w="1287"/>
      </w:tblGrid>
      <w:tr w:rsidR="00614DC4" w:rsidRPr="00554B3C" w14:paraId="4323659B" w14:textId="77777777" w:rsidTr="006A52D7">
        <w:trPr>
          <w:trHeight w:val="258"/>
        </w:trPr>
        <w:tc>
          <w:tcPr>
            <w:tcW w:w="8849" w:type="dxa"/>
            <w:gridSpan w:val="4"/>
            <w:tcBorders>
              <w:top w:val="nil"/>
              <w:left w:val="nil"/>
              <w:bottom w:val="single" w:sz="4" w:space="0" w:color="auto"/>
              <w:right w:val="nil"/>
            </w:tcBorders>
            <w:shd w:val="clear" w:color="auto" w:fill="FFFFFF" w:themeFill="background1"/>
            <w:noWrap/>
            <w:vAlign w:val="center"/>
            <w:hideMark/>
          </w:tcPr>
          <w:p w14:paraId="15B10542" w14:textId="77777777" w:rsidR="00614DC4" w:rsidRPr="00554B3C" w:rsidRDefault="00614DC4">
            <w:pPr>
              <w:keepLines/>
              <w:tabs>
                <w:tab w:val="right" w:pos="2835"/>
                <w:tab w:val="right" w:pos="3969"/>
                <w:tab w:val="right" w:pos="5103"/>
                <w:tab w:val="right" w:pos="6237"/>
                <w:tab w:val="right" w:pos="7371"/>
              </w:tabs>
              <w:ind w:right="-56"/>
              <w:jc w:val="right"/>
              <w:rPr>
                <w:rFonts w:ascii="Arial" w:hAnsi="Arial" w:cs="Arial"/>
                <w:spacing w:val="6"/>
                <w:sz w:val="17"/>
                <w:szCs w:val="17"/>
              </w:rPr>
            </w:pPr>
            <w:r w:rsidRPr="00554B3C">
              <w:rPr>
                <w:rFonts w:ascii="Arial" w:hAnsi="Arial" w:cs="Arial"/>
                <w:spacing w:val="6"/>
                <w:sz w:val="17"/>
                <w:szCs w:val="17"/>
              </w:rPr>
              <w:t>(en miles)</w:t>
            </w:r>
          </w:p>
        </w:tc>
      </w:tr>
      <w:tr w:rsidR="00614DC4" w:rsidRPr="008E1ED9" w14:paraId="3982E9F4" w14:textId="77777777" w:rsidTr="006A52D7">
        <w:trPr>
          <w:trHeight w:hRule="exact" w:val="258"/>
        </w:trPr>
        <w:tc>
          <w:tcPr>
            <w:tcW w:w="4852" w:type="dxa"/>
            <w:tcBorders>
              <w:top w:val="single" w:sz="4" w:space="0" w:color="auto"/>
              <w:left w:val="nil"/>
              <w:bottom w:val="single" w:sz="4" w:space="0" w:color="auto"/>
              <w:right w:val="nil"/>
            </w:tcBorders>
            <w:shd w:val="clear" w:color="auto" w:fill="8DB3E2" w:themeFill="text2" w:themeFillTint="66"/>
            <w:noWrap/>
            <w:vAlign w:val="center"/>
            <w:hideMark/>
          </w:tcPr>
          <w:p w14:paraId="3FFDC0BA" w14:textId="77777777" w:rsidR="00614DC4" w:rsidRPr="008E1ED9" w:rsidRDefault="00614DC4" w:rsidP="001B69FC">
            <w:pPr>
              <w:pStyle w:val="cuadroCabe"/>
            </w:pPr>
            <w:r w:rsidRPr="008E1ED9">
              <w:t xml:space="preserve">Indicador </w:t>
            </w:r>
          </w:p>
        </w:tc>
        <w:tc>
          <w:tcPr>
            <w:tcW w:w="1426" w:type="dxa"/>
            <w:tcBorders>
              <w:top w:val="single" w:sz="4" w:space="0" w:color="auto"/>
              <w:left w:val="nil"/>
              <w:bottom w:val="single" w:sz="4" w:space="0" w:color="auto"/>
              <w:right w:val="nil"/>
            </w:tcBorders>
            <w:shd w:val="clear" w:color="auto" w:fill="8DB3E2" w:themeFill="text2" w:themeFillTint="66"/>
            <w:vAlign w:val="center"/>
            <w:hideMark/>
          </w:tcPr>
          <w:p w14:paraId="04D77C1C" w14:textId="77777777" w:rsidR="00614DC4" w:rsidRPr="008E1ED9" w:rsidRDefault="00614DC4" w:rsidP="001B69FC">
            <w:pPr>
              <w:pStyle w:val="cuadroCabe"/>
              <w:jc w:val="right"/>
            </w:pPr>
            <w:r w:rsidRPr="008E1ED9">
              <w:t>202</w:t>
            </w:r>
            <w:r w:rsidR="001A379E">
              <w:t>2</w:t>
            </w:r>
          </w:p>
        </w:tc>
        <w:tc>
          <w:tcPr>
            <w:tcW w:w="1284" w:type="dxa"/>
            <w:tcBorders>
              <w:top w:val="single" w:sz="4" w:space="0" w:color="auto"/>
              <w:left w:val="nil"/>
              <w:bottom w:val="single" w:sz="4" w:space="0" w:color="auto"/>
              <w:right w:val="nil"/>
            </w:tcBorders>
            <w:shd w:val="clear" w:color="auto" w:fill="8DB3E2" w:themeFill="text2" w:themeFillTint="66"/>
            <w:noWrap/>
            <w:vAlign w:val="center"/>
            <w:hideMark/>
          </w:tcPr>
          <w:p w14:paraId="59C0FE29" w14:textId="77777777" w:rsidR="00614DC4" w:rsidRPr="008E1ED9" w:rsidRDefault="00614DC4" w:rsidP="001B69FC">
            <w:pPr>
              <w:pStyle w:val="cuadroCabe"/>
              <w:jc w:val="right"/>
            </w:pPr>
            <w:r w:rsidRPr="008E1ED9">
              <w:t>202</w:t>
            </w:r>
            <w:r w:rsidR="001A379E">
              <w:t>3</w:t>
            </w:r>
          </w:p>
        </w:tc>
        <w:tc>
          <w:tcPr>
            <w:tcW w:w="1284" w:type="dxa"/>
            <w:tcBorders>
              <w:top w:val="single" w:sz="4" w:space="0" w:color="auto"/>
              <w:left w:val="nil"/>
              <w:bottom w:val="single" w:sz="4" w:space="0" w:color="auto"/>
              <w:right w:val="nil"/>
            </w:tcBorders>
            <w:shd w:val="clear" w:color="auto" w:fill="8DB3E2" w:themeFill="text2" w:themeFillTint="66"/>
            <w:noWrap/>
            <w:vAlign w:val="center"/>
            <w:hideMark/>
          </w:tcPr>
          <w:p w14:paraId="5BE34961" w14:textId="77777777" w:rsidR="00614DC4" w:rsidRPr="008E1ED9" w:rsidRDefault="00614DC4" w:rsidP="00131A5E">
            <w:pPr>
              <w:pStyle w:val="cuadroCabe"/>
              <w:jc w:val="right"/>
            </w:pPr>
            <w:r w:rsidRPr="008E1ED9">
              <w:t xml:space="preserve">% </w:t>
            </w:r>
            <w:proofErr w:type="gramStart"/>
            <w:r w:rsidRPr="008E1ED9">
              <w:t>Variación  202</w:t>
            </w:r>
            <w:r w:rsidR="00131A5E">
              <w:t>3</w:t>
            </w:r>
            <w:proofErr w:type="gramEnd"/>
            <w:r w:rsidRPr="008E1ED9">
              <w:t>/202</w:t>
            </w:r>
            <w:r w:rsidR="00131A5E">
              <w:t>2</w:t>
            </w:r>
          </w:p>
        </w:tc>
      </w:tr>
      <w:tr w:rsidR="00D741DF" w:rsidRPr="003D09D7" w14:paraId="7E1FBBD4" w14:textId="77777777" w:rsidTr="006A52D7">
        <w:trPr>
          <w:trHeight w:val="200"/>
        </w:trPr>
        <w:tc>
          <w:tcPr>
            <w:tcW w:w="4852" w:type="dxa"/>
            <w:tcBorders>
              <w:top w:val="single" w:sz="4" w:space="0" w:color="auto"/>
              <w:left w:val="nil"/>
              <w:bottom w:val="single" w:sz="2" w:space="0" w:color="auto"/>
              <w:right w:val="nil"/>
            </w:tcBorders>
            <w:noWrap/>
            <w:vAlign w:val="center"/>
            <w:hideMark/>
          </w:tcPr>
          <w:p w14:paraId="6E55F5B4" w14:textId="77777777" w:rsidR="00D741DF" w:rsidRPr="00554B3C" w:rsidRDefault="00D741DF" w:rsidP="001B69FC">
            <w:pPr>
              <w:pStyle w:val="cuatexto"/>
              <w:rPr>
                <w:szCs w:val="20"/>
              </w:rPr>
            </w:pPr>
            <w:r w:rsidRPr="00554B3C">
              <w:rPr>
                <w:szCs w:val="20"/>
              </w:rPr>
              <w:t xml:space="preserve">Gasto total </w:t>
            </w:r>
          </w:p>
        </w:tc>
        <w:tc>
          <w:tcPr>
            <w:tcW w:w="1426" w:type="dxa"/>
            <w:tcBorders>
              <w:top w:val="single" w:sz="4" w:space="0" w:color="auto"/>
              <w:left w:val="nil"/>
              <w:bottom w:val="single" w:sz="2" w:space="0" w:color="auto"/>
              <w:right w:val="nil"/>
            </w:tcBorders>
            <w:vAlign w:val="center"/>
          </w:tcPr>
          <w:p w14:paraId="72BFDFD7" w14:textId="77777777" w:rsidR="00D741DF" w:rsidRPr="00554B3C" w:rsidRDefault="00D741DF" w:rsidP="001B69FC">
            <w:pPr>
              <w:pStyle w:val="cuatexto"/>
              <w:jc w:val="right"/>
              <w:rPr>
                <w:rFonts w:cs="Calibri"/>
                <w:szCs w:val="20"/>
              </w:rPr>
            </w:pPr>
            <w:r w:rsidRPr="00554B3C">
              <w:rPr>
                <w:rFonts w:cs="Calibri"/>
                <w:szCs w:val="20"/>
              </w:rPr>
              <w:t>5.600.514</w:t>
            </w:r>
          </w:p>
        </w:tc>
        <w:tc>
          <w:tcPr>
            <w:tcW w:w="1284" w:type="dxa"/>
            <w:tcBorders>
              <w:top w:val="single" w:sz="4" w:space="0" w:color="auto"/>
              <w:left w:val="nil"/>
              <w:bottom w:val="single" w:sz="2" w:space="0" w:color="auto"/>
              <w:right w:val="nil"/>
            </w:tcBorders>
            <w:shd w:val="clear" w:color="auto" w:fill="auto"/>
            <w:noWrap/>
            <w:vAlign w:val="center"/>
          </w:tcPr>
          <w:p w14:paraId="45FB3936" w14:textId="77777777" w:rsidR="00D741DF" w:rsidRPr="00554B3C" w:rsidRDefault="00D741DF" w:rsidP="001B69FC">
            <w:pPr>
              <w:pStyle w:val="cuatexto"/>
              <w:jc w:val="right"/>
              <w:rPr>
                <w:rFonts w:cs="Calibri"/>
                <w:szCs w:val="20"/>
              </w:rPr>
            </w:pPr>
            <w:r w:rsidRPr="00554B3C">
              <w:rPr>
                <w:rFonts w:cs="Calibri"/>
                <w:szCs w:val="20"/>
              </w:rPr>
              <w:t>5.781.904</w:t>
            </w:r>
          </w:p>
        </w:tc>
        <w:tc>
          <w:tcPr>
            <w:tcW w:w="1284" w:type="dxa"/>
            <w:tcBorders>
              <w:top w:val="single" w:sz="4" w:space="0" w:color="auto"/>
              <w:left w:val="nil"/>
              <w:bottom w:val="single" w:sz="2" w:space="0" w:color="auto"/>
              <w:right w:val="nil"/>
            </w:tcBorders>
            <w:shd w:val="clear" w:color="auto" w:fill="auto"/>
            <w:noWrap/>
            <w:vAlign w:val="center"/>
          </w:tcPr>
          <w:p w14:paraId="51CE9B11" w14:textId="77777777" w:rsidR="00D741DF" w:rsidRPr="00554B3C" w:rsidRDefault="00D741DF" w:rsidP="001B69FC">
            <w:pPr>
              <w:pStyle w:val="cuatexto"/>
              <w:jc w:val="right"/>
              <w:rPr>
                <w:rFonts w:cs="Calibri"/>
                <w:szCs w:val="20"/>
              </w:rPr>
            </w:pPr>
            <w:r w:rsidRPr="00554B3C">
              <w:rPr>
                <w:rFonts w:cs="Calibri"/>
                <w:szCs w:val="20"/>
              </w:rPr>
              <w:t>3</w:t>
            </w:r>
          </w:p>
        </w:tc>
      </w:tr>
      <w:tr w:rsidR="00D741DF" w:rsidRPr="003D09D7" w14:paraId="36039266" w14:textId="77777777" w:rsidTr="006A52D7">
        <w:trPr>
          <w:trHeight w:val="200"/>
        </w:trPr>
        <w:tc>
          <w:tcPr>
            <w:tcW w:w="4852" w:type="dxa"/>
            <w:tcBorders>
              <w:top w:val="single" w:sz="2" w:space="0" w:color="auto"/>
              <w:left w:val="nil"/>
              <w:bottom w:val="single" w:sz="2" w:space="0" w:color="auto"/>
              <w:right w:val="nil"/>
            </w:tcBorders>
            <w:noWrap/>
            <w:vAlign w:val="center"/>
            <w:hideMark/>
          </w:tcPr>
          <w:p w14:paraId="2275C05C" w14:textId="77777777" w:rsidR="00D741DF" w:rsidRPr="00554B3C" w:rsidRDefault="00D741DF" w:rsidP="001B69FC">
            <w:pPr>
              <w:pStyle w:val="cuatexto"/>
              <w:rPr>
                <w:szCs w:val="20"/>
              </w:rPr>
            </w:pPr>
            <w:r w:rsidRPr="00554B3C">
              <w:rPr>
                <w:szCs w:val="20"/>
              </w:rPr>
              <w:t>Gastos corrientes (cap. 1 a 4)</w:t>
            </w:r>
          </w:p>
        </w:tc>
        <w:tc>
          <w:tcPr>
            <w:tcW w:w="1426" w:type="dxa"/>
            <w:tcBorders>
              <w:top w:val="single" w:sz="2" w:space="0" w:color="auto"/>
              <w:left w:val="nil"/>
              <w:bottom w:val="single" w:sz="2" w:space="0" w:color="auto"/>
              <w:right w:val="nil"/>
            </w:tcBorders>
            <w:vAlign w:val="center"/>
          </w:tcPr>
          <w:p w14:paraId="1A614524" w14:textId="77777777" w:rsidR="00D741DF" w:rsidRPr="00554B3C" w:rsidRDefault="00D741DF" w:rsidP="001B69FC">
            <w:pPr>
              <w:pStyle w:val="cuatexto"/>
              <w:jc w:val="right"/>
              <w:rPr>
                <w:rFonts w:cs="Calibri"/>
                <w:szCs w:val="20"/>
              </w:rPr>
            </w:pPr>
            <w:r w:rsidRPr="00554B3C">
              <w:rPr>
                <w:rFonts w:cs="Calibri"/>
                <w:szCs w:val="20"/>
              </w:rPr>
              <w:t>4.779.481</w:t>
            </w:r>
          </w:p>
        </w:tc>
        <w:tc>
          <w:tcPr>
            <w:tcW w:w="1284" w:type="dxa"/>
            <w:tcBorders>
              <w:top w:val="single" w:sz="2" w:space="0" w:color="auto"/>
              <w:left w:val="nil"/>
              <w:bottom w:val="single" w:sz="2" w:space="0" w:color="auto"/>
              <w:right w:val="nil"/>
            </w:tcBorders>
            <w:shd w:val="clear" w:color="auto" w:fill="auto"/>
            <w:vAlign w:val="center"/>
          </w:tcPr>
          <w:p w14:paraId="20A64701" w14:textId="77777777" w:rsidR="00D741DF" w:rsidRPr="00554B3C" w:rsidRDefault="00D741DF" w:rsidP="001B69FC">
            <w:pPr>
              <w:pStyle w:val="cuatexto"/>
              <w:jc w:val="right"/>
              <w:rPr>
                <w:rFonts w:cs="Calibri"/>
                <w:szCs w:val="20"/>
              </w:rPr>
            </w:pPr>
            <w:r w:rsidRPr="00554B3C">
              <w:rPr>
                <w:rFonts w:cs="Calibri"/>
                <w:szCs w:val="20"/>
              </w:rPr>
              <w:t>5.015.609</w:t>
            </w:r>
          </w:p>
        </w:tc>
        <w:tc>
          <w:tcPr>
            <w:tcW w:w="1284" w:type="dxa"/>
            <w:tcBorders>
              <w:top w:val="single" w:sz="2" w:space="0" w:color="auto"/>
              <w:left w:val="nil"/>
              <w:bottom w:val="single" w:sz="2" w:space="0" w:color="auto"/>
              <w:right w:val="nil"/>
            </w:tcBorders>
            <w:shd w:val="clear" w:color="auto" w:fill="auto"/>
            <w:noWrap/>
            <w:vAlign w:val="center"/>
          </w:tcPr>
          <w:p w14:paraId="25FEAB6F" w14:textId="77777777" w:rsidR="00D741DF" w:rsidRPr="00554B3C" w:rsidRDefault="00D741DF" w:rsidP="001B69FC">
            <w:pPr>
              <w:pStyle w:val="cuatexto"/>
              <w:jc w:val="right"/>
              <w:rPr>
                <w:rFonts w:cs="Calibri"/>
                <w:szCs w:val="20"/>
              </w:rPr>
            </w:pPr>
            <w:r w:rsidRPr="00554B3C">
              <w:rPr>
                <w:rFonts w:cs="Calibri"/>
                <w:szCs w:val="20"/>
              </w:rPr>
              <w:t>5</w:t>
            </w:r>
          </w:p>
        </w:tc>
      </w:tr>
      <w:tr w:rsidR="00D741DF" w:rsidRPr="003D09D7" w14:paraId="0E74DED6" w14:textId="77777777" w:rsidTr="006A52D7">
        <w:trPr>
          <w:trHeight w:val="200"/>
        </w:trPr>
        <w:tc>
          <w:tcPr>
            <w:tcW w:w="4852" w:type="dxa"/>
            <w:tcBorders>
              <w:top w:val="single" w:sz="2" w:space="0" w:color="auto"/>
              <w:left w:val="nil"/>
              <w:bottom w:val="single" w:sz="2" w:space="0" w:color="auto"/>
              <w:right w:val="nil"/>
            </w:tcBorders>
            <w:noWrap/>
            <w:vAlign w:val="center"/>
            <w:hideMark/>
          </w:tcPr>
          <w:p w14:paraId="42141B10" w14:textId="77777777" w:rsidR="00D741DF" w:rsidRPr="00554B3C" w:rsidRDefault="00D741DF" w:rsidP="001B69FC">
            <w:pPr>
              <w:pStyle w:val="cuatexto"/>
              <w:rPr>
                <w:szCs w:val="20"/>
              </w:rPr>
            </w:pPr>
            <w:r w:rsidRPr="00554B3C">
              <w:rPr>
                <w:szCs w:val="20"/>
              </w:rPr>
              <w:t>Gastos de funcionamiento (cap. 1,2 y 4)</w:t>
            </w:r>
          </w:p>
        </w:tc>
        <w:tc>
          <w:tcPr>
            <w:tcW w:w="1426" w:type="dxa"/>
            <w:tcBorders>
              <w:top w:val="single" w:sz="2" w:space="0" w:color="auto"/>
              <w:left w:val="nil"/>
              <w:bottom w:val="single" w:sz="2" w:space="0" w:color="auto"/>
              <w:right w:val="nil"/>
            </w:tcBorders>
            <w:vAlign w:val="center"/>
          </w:tcPr>
          <w:p w14:paraId="185EFDA5" w14:textId="77777777" w:rsidR="00D741DF" w:rsidRPr="00554B3C" w:rsidRDefault="00D741DF" w:rsidP="001B69FC">
            <w:pPr>
              <w:pStyle w:val="cuatexto"/>
              <w:jc w:val="right"/>
              <w:rPr>
                <w:rFonts w:cs="Calibri"/>
                <w:szCs w:val="20"/>
              </w:rPr>
            </w:pPr>
            <w:r w:rsidRPr="00554B3C">
              <w:rPr>
                <w:rFonts w:cs="Calibri"/>
                <w:szCs w:val="20"/>
              </w:rPr>
              <w:t>4.735.802</w:t>
            </w:r>
          </w:p>
        </w:tc>
        <w:tc>
          <w:tcPr>
            <w:tcW w:w="1284" w:type="dxa"/>
            <w:tcBorders>
              <w:top w:val="single" w:sz="2" w:space="0" w:color="auto"/>
              <w:left w:val="nil"/>
              <w:bottom w:val="single" w:sz="2" w:space="0" w:color="auto"/>
              <w:right w:val="nil"/>
            </w:tcBorders>
            <w:shd w:val="clear" w:color="auto" w:fill="auto"/>
            <w:vAlign w:val="center"/>
          </w:tcPr>
          <w:p w14:paraId="0F356BB3" w14:textId="77777777" w:rsidR="00D741DF" w:rsidRPr="00554B3C" w:rsidRDefault="00D741DF" w:rsidP="001B69FC">
            <w:pPr>
              <w:pStyle w:val="cuatexto"/>
              <w:jc w:val="right"/>
              <w:rPr>
                <w:rFonts w:cs="Calibri"/>
                <w:szCs w:val="20"/>
              </w:rPr>
            </w:pPr>
            <w:r w:rsidRPr="00554B3C">
              <w:rPr>
                <w:rFonts w:cs="Calibri"/>
                <w:szCs w:val="20"/>
              </w:rPr>
              <w:t>4.973.473</w:t>
            </w:r>
          </w:p>
        </w:tc>
        <w:tc>
          <w:tcPr>
            <w:tcW w:w="1284" w:type="dxa"/>
            <w:tcBorders>
              <w:top w:val="single" w:sz="2" w:space="0" w:color="auto"/>
              <w:left w:val="nil"/>
              <w:bottom w:val="single" w:sz="2" w:space="0" w:color="auto"/>
              <w:right w:val="nil"/>
            </w:tcBorders>
            <w:shd w:val="clear" w:color="auto" w:fill="auto"/>
            <w:noWrap/>
            <w:vAlign w:val="center"/>
          </w:tcPr>
          <w:p w14:paraId="0F7173D1" w14:textId="77777777" w:rsidR="00D741DF" w:rsidRPr="00554B3C" w:rsidRDefault="00D741DF" w:rsidP="001B69FC">
            <w:pPr>
              <w:pStyle w:val="cuatexto"/>
              <w:jc w:val="right"/>
              <w:rPr>
                <w:rFonts w:cs="Calibri"/>
                <w:szCs w:val="20"/>
              </w:rPr>
            </w:pPr>
            <w:r w:rsidRPr="00554B3C">
              <w:rPr>
                <w:rFonts w:cs="Calibri"/>
                <w:szCs w:val="20"/>
              </w:rPr>
              <w:t>5</w:t>
            </w:r>
          </w:p>
        </w:tc>
      </w:tr>
      <w:tr w:rsidR="00D741DF" w:rsidRPr="003D09D7" w14:paraId="2CDF1F59" w14:textId="77777777" w:rsidTr="006A52D7">
        <w:trPr>
          <w:trHeight w:val="200"/>
        </w:trPr>
        <w:tc>
          <w:tcPr>
            <w:tcW w:w="4852" w:type="dxa"/>
            <w:tcBorders>
              <w:top w:val="single" w:sz="2" w:space="0" w:color="auto"/>
              <w:left w:val="nil"/>
              <w:bottom w:val="single" w:sz="2" w:space="0" w:color="auto"/>
              <w:right w:val="nil"/>
            </w:tcBorders>
            <w:noWrap/>
            <w:vAlign w:val="center"/>
            <w:hideMark/>
          </w:tcPr>
          <w:p w14:paraId="34957D47" w14:textId="77777777" w:rsidR="00D741DF" w:rsidRPr="00554B3C" w:rsidRDefault="00D741DF" w:rsidP="001B69FC">
            <w:pPr>
              <w:pStyle w:val="cuatexto"/>
              <w:rPr>
                <w:szCs w:val="20"/>
              </w:rPr>
            </w:pPr>
            <w:r w:rsidRPr="00554B3C">
              <w:rPr>
                <w:szCs w:val="20"/>
              </w:rPr>
              <w:t>Gastos de capital (cap. 6 y 7)</w:t>
            </w:r>
          </w:p>
        </w:tc>
        <w:tc>
          <w:tcPr>
            <w:tcW w:w="1426" w:type="dxa"/>
            <w:tcBorders>
              <w:top w:val="single" w:sz="2" w:space="0" w:color="auto"/>
              <w:left w:val="nil"/>
              <w:bottom w:val="single" w:sz="2" w:space="0" w:color="auto"/>
              <w:right w:val="nil"/>
            </w:tcBorders>
            <w:vAlign w:val="center"/>
          </w:tcPr>
          <w:p w14:paraId="65F3D5D9" w14:textId="77777777" w:rsidR="00D741DF" w:rsidRPr="00554B3C" w:rsidRDefault="00D741DF" w:rsidP="001B69FC">
            <w:pPr>
              <w:pStyle w:val="cuatexto"/>
              <w:jc w:val="right"/>
              <w:rPr>
                <w:rFonts w:cs="Calibri"/>
                <w:szCs w:val="20"/>
              </w:rPr>
            </w:pPr>
            <w:r w:rsidRPr="00554B3C">
              <w:rPr>
                <w:rFonts w:cs="Calibri"/>
                <w:szCs w:val="20"/>
              </w:rPr>
              <w:t>405.716</w:t>
            </w:r>
          </w:p>
        </w:tc>
        <w:tc>
          <w:tcPr>
            <w:tcW w:w="1284" w:type="dxa"/>
            <w:tcBorders>
              <w:top w:val="single" w:sz="2" w:space="0" w:color="auto"/>
              <w:left w:val="nil"/>
              <w:bottom w:val="single" w:sz="2" w:space="0" w:color="auto"/>
              <w:right w:val="nil"/>
            </w:tcBorders>
            <w:shd w:val="clear" w:color="auto" w:fill="auto"/>
            <w:vAlign w:val="center"/>
          </w:tcPr>
          <w:p w14:paraId="565FC37E" w14:textId="77777777" w:rsidR="00D741DF" w:rsidRPr="00554B3C" w:rsidRDefault="00D741DF" w:rsidP="001B69FC">
            <w:pPr>
              <w:pStyle w:val="cuatexto"/>
              <w:jc w:val="right"/>
              <w:rPr>
                <w:rFonts w:cs="Calibri"/>
                <w:szCs w:val="20"/>
              </w:rPr>
            </w:pPr>
            <w:r w:rsidRPr="00554B3C">
              <w:rPr>
                <w:rFonts w:cs="Calibri"/>
                <w:szCs w:val="20"/>
              </w:rPr>
              <w:t>509.211</w:t>
            </w:r>
          </w:p>
        </w:tc>
        <w:tc>
          <w:tcPr>
            <w:tcW w:w="1284" w:type="dxa"/>
            <w:tcBorders>
              <w:top w:val="single" w:sz="2" w:space="0" w:color="auto"/>
              <w:left w:val="nil"/>
              <w:bottom w:val="single" w:sz="2" w:space="0" w:color="auto"/>
              <w:right w:val="nil"/>
            </w:tcBorders>
            <w:shd w:val="clear" w:color="auto" w:fill="auto"/>
            <w:noWrap/>
            <w:vAlign w:val="center"/>
          </w:tcPr>
          <w:p w14:paraId="32DB9490" w14:textId="77777777" w:rsidR="00D741DF" w:rsidRPr="00554B3C" w:rsidRDefault="00D741DF" w:rsidP="001B69FC">
            <w:pPr>
              <w:pStyle w:val="cuatexto"/>
              <w:jc w:val="right"/>
              <w:rPr>
                <w:rFonts w:cs="Calibri"/>
                <w:szCs w:val="20"/>
              </w:rPr>
            </w:pPr>
            <w:r w:rsidRPr="00554B3C">
              <w:rPr>
                <w:rFonts w:cs="Calibri"/>
                <w:szCs w:val="20"/>
              </w:rPr>
              <w:t>26</w:t>
            </w:r>
          </w:p>
        </w:tc>
      </w:tr>
      <w:tr w:rsidR="00D741DF" w:rsidRPr="003D09D7" w14:paraId="52106D98" w14:textId="77777777" w:rsidTr="006A52D7">
        <w:trPr>
          <w:trHeight w:val="200"/>
        </w:trPr>
        <w:tc>
          <w:tcPr>
            <w:tcW w:w="4852" w:type="dxa"/>
            <w:tcBorders>
              <w:top w:val="single" w:sz="2" w:space="0" w:color="auto"/>
              <w:left w:val="nil"/>
              <w:bottom w:val="single" w:sz="2" w:space="0" w:color="auto"/>
              <w:right w:val="nil"/>
            </w:tcBorders>
            <w:noWrap/>
            <w:vAlign w:val="center"/>
            <w:hideMark/>
          </w:tcPr>
          <w:p w14:paraId="06C2544E" w14:textId="77777777" w:rsidR="00D741DF" w:rsidRPr="00554B3C" w:rsidRDefault="00D741DF" w:rsidP="001B69FC">
            <w:pPr>
              <w:pStyle w:val="cuatexto"/>
              <w:rPr>
                <w:szCs w:val="20"/>
              </w:rPr>
            </w:pPr>
            <w:r w:rsidRPr="00554B3C">
              <w:rPr>
                <w:szCs w:val="20"/>
              </w:rPr>
              <w:t>Gastos operaciones financieras (cap. 8 y 9)</w:t>
            </w:r>
          </w:p>
        </w:tc>
        <w:tc>
          <w:tcPr>
            <w:tcW w:w="1426" w:type="dxa"/>
            <w:tcBorders>
              <w:top w:val="single" w:sz="2" w:space="0" w:color="auto"/>
              <w:left w:val="nil"/>
              <w:bottom w:val="single" w:sz="2" w:space="0" w:color="auto"/>
              <w:right w:val="nil"/>
            </w:tcBorders>
            <w:vAlign w:val="center"/>
          </w:tcPr>
          <w:p w14:paraId="6828E5F0" w14:textId="77777777" w:rsidR="00D741DF" w:rsidRPr="00554B3C" w:rsidRDefault="00D741DF" w:rsidP="001B69FC">
            <w:pPr>
              <w:pStyle w:val="cuatexto"/>
              <w:jc w:val="right"/>
              <w:rPr>
                <w:rFonts w:cs="Calibri"/>
                <w:szCs w:val="20"/>
              </w:rPr>
            </w:pPr>
            <w:r w:rsidRPr="00554B3C">
              <w:rPr>
                <w:rFonts w:cs="Calibri"/>
                <w:szCs w:val="20"/>
              </w:rPr>
              <w:t>415.317</w:t>
            </w:r>
          </w:p>
        </w:tc>
        <w:tc>
          <w:tcPr>
            <w:tcW w:w="1284" w:type="dxa"/>
            <w:tcBorders>
              <w:top w:val="single" w:sz="2" w:space="0" w:color="auto"/>
              <w:left w:val="nil"/>
              <w:bottom w:val="single" w:sz="2" w:space="0" w:color="auto"/>
              <w:right w:val="nil"/>
            </w:tcBorders>
            <w:shd w:val="clear" w:color="auto" w:fill="auto"/>
            <w:vAlign w:val="center"/>
          </w:tcPr>
          <w:p w14:paraId="040A0B79" w14:textId="77777777" w:rsidR="00D741DF" w:rsidRPr="00554B3C" w:rsidRDefault="00D741DF" w:rsidP="001B69FC">
            <w:pPr>
              <w:pStyle w:val="cuatexto"/>
              <w:jc w:val="right"/>
              <w:rPr>
                <w:rFonts w:cs="Calibri"/>
                <w:szCs w:val="20"/>
              </w:rPr>
            </w:pPr>
            <w:r w:rsidRPr="00554B3C">
              <w:rPr>
                <w:rFonts w:cs="Calibri"/>
                <w:szCs w:val="20"/>
              </w:rPr>
              <w:t>257.084</w:t>
            </w:r>
          </w:p>
        </w:tc>
        <w:tc>
          <w:tcPr>
            <w:tcW w:w="1284" w:type="dxa"/>
            <w:tcBorders>
              <w:top w:val="single" w:sz="2" w:space="0" w:color="auto"/>
              <w:left w:val="nil"/>
              <w:bottom w:val="single" w:sz="2" w:space="0" w:color="auto"/>
              <w:right w:val="nil"/>
            </w:tcBorders>
            <w:shd w:val="clear" w:color="auto" w:fill="auto"/>
            <w:noWrap/>
            <w:vAlign w:val="center"/>
          </w:tcPr>
          <w:p w14:paraId="1066C7EC" w14:textId="77777777" w:rsidR="00D741DF" w:rsidRPr="00554B3C" w:rsidRDefault="00D741DF" w:rsidP="001B69FC">
            <w:pPr>
              <w:pStyle w:val="cuatexto"/>
              <w:jc w:val="right"/>
              <w:rPr>
                <w:rFonts w:cs="Calibri"/>
                <w:szCs w:val="20"/>
              </w:rPr>
            </w:pPr>
            <w:r w:rsidRPr="00554B3C">
              <w:rPr>
                <w:rFonts w:cs="Calibri"/>
                <w:szCs w:val="20"/>
              </w:rPr>
              <w:t>-38</w:t>
            </w:r>
          </w:p>
        </w:tc>
      </w:tr>
      <w:tr w:rsidR="00D741DF" w:rsidRPr="003D09D7" w14:paraId="59999D4A" w14:textId="77777777" w:rsidTr="006A52D7">
        <w:trPr>
          <w:trHeight w:val="200"/>
        </w:trPr>
        <w:tc>
          <w:tcPr>
            <w:tcW w:w="4852" w:type="dxa"/>
            <w:tcBorders>
              <w:top w:val="single" w:sz="2" w:space="0" w:color="auto"/>
              <w:left w:val="nil"/>
              <w:bottom w:val="single" w:sz="2" w:space="0" w:color="auto"/>
              <w:right w:val="nil"/>
            </w:tcBorders>
            <w:noWrap/>
            <w:vAlign w:val="center"/>
            <w:hideMark/>
          </w:tcPr>
          <w:p w14:paraId="5B493749" w14:textId="77777777" w:rsidR="00D741DF" w:rsidRPr="00554B3C" w:rsidRDefault="00D741DF" w:rsidP="001B69FC">
            <w:pPr>
              <w:pStyle w:val="cuatexto"/>
              <w:rPr>
                <w:szCs w:val="20"/>
              </w:rPr>
            </w:pPr>
            <w:r w:rsidRPr="00554B3C">
              <w:rPr>
                <w:szCs w:val="20"/>
              </w:rPr>
              <w:t>Ingreso total</w:t>
            </w:r>
          </w:p>
        </w:tc>
        <w:tc>
          <w:tcPr>
            <w:tcW w:w="1426" w:type="dxa"/>
            <w:tcBorders>
              <w:top w:val="single" w:sz="2" w:space="0" w:color="auto"/>
              <w:left w:val="nil"/>
              <w:bottom w:val="single" w:sz="2" w:space="0" w:color="auto"/>
              <w:right w:val="nil"/>
            </w:tcBorders>
            <w:vAlign w:val="center"/>
          </w:tcPr>
          <w:p w14:paraId="22DAC7E9" w14:textId="77777777" w:rsidR="00D741DF" w:rsidRPr="00554B3C" w:rsidRDefault="00D741DF" w:rsidP="001B69FC">
            <w:pPr>
              <w:pStyle w:val="cuatexto"/>
              <w:jc w:val="right"/>
              <w:rPr>
                <w:rFonts w:cs="Calibri"/>
                <w:szCs w:val="20"/>
              </w:rPr>
            </w:pPr>
            <w:r w:rsidRPr="00554B3C">
              <w:rPr>
                <w:rFonts w:cs="Calibri"/>
                <w:szCs w:val="20"/>
              </w:rPr>
              <w:t>5.916.577</w:t>
            </w:r>
          </w:p>
        </w:tc>
        <w:tc>
          <w:tcPr>
            <w:tcW w:w="1284" w:type="dxa"/>
            <w:tcBorders>
              <w:top w:val="single" w:sz="2" w:space="0" w:color="auto"/>
              <w:left w:val="nil"/>
              <w:bottom w:val="single" w:sz="2" w:space="0" w:color="auto"/>
              <w:right w:val="nil"/>
            </w:tcBorders>
            <w:shd w:val="clear" w:color="auto" w:fill="auto"/>
            <w:vAlign w:val="center"/>
          </w:tcPr>
          <w:p w14:paraId="3E33E7B2" w14:textId="77777777" w:rsidR="00D741DF" w:rsidRPr="00554B3C" w:rsidRDefault="00D741DF" w:rsidP="001B69FC">
            <w:pPr>
              <w:pStyle w:val="cuatexto"/>
              <w:jc w:val="right"/>
              <w:rPr>
                <w:rFonts w:cs="Calibri"/>
                <w:szCs w:val="20"/>
              </w:rPr>
            </w:pPr>
            <w:r w:rsidRPr="00554B3C">
              <w:rPr>
                <w:rFonts w:cs="Calibri"/>
                <w:szCs w:val="20"/>
              </w:rPr>
              <w:t>5.925.483</w:t>
            </w:r>
          </w:p>
        </w:tc>
        <w:tc>
          <w:tcPr>
            <w:tcW w:w="1284" w:type="dxa"/>
            <w:tcBorders>
              <w:top w:val="single" w:sz="2" w:space="0" w:color="auto"/>
              <w:left w:val="nil"/>
              <w:bottom w:val="single" w:sz="2" w:space="0" w:color="auto"/>
              <w:right w:val="nil"/>
            </w:tcBorders>
            <w:shd w:val="clear" w:color="auto" w:fill="auto"/>
            <w:noWrap/>
            <w:vAlign w:val="center"/>
          </w:tcPr>
          <w:p w14:paraId="684C7E63" w14:textId="77777777" w:rsidR="00D741DF" w:rsidRPr="00554B3C" w:rsidRDefault="00D741DF" w:rsidP="001B69FC">
            <w:pPr>
              <w:pStyle w:val="cuatexto"/>
              <w:jc w:val="right"/>
              <w:rPr>
                <w:rFonts w:cs="Calibri"/>
                <w:szCs w:val="20"/>
              </w:rPr>
            </w:pPr>
            <w:r w:rsidRPr="00554B3C">
              <w:rPr>
                <w:rFonts w:cs="Calibri"/>
                <w:szCs w:val="20"/>
              </w:rPr>
              <w:t>0</w:t>
            </w:r>
          </w:p>
        </w:tc>
      </w:tr>
      <w:tr w:rsidR="00D741DF" w:rsidRPr="003D09D7" w14:paraId="6D790868" w14:textId="77777777" w:rsidTr="006A52D7">
        <w:trPr>
          <w:trHeight w:val="200"/>
        </w:trPr>
        <w:tc>
          <w:tcPr>
            <w:tcW w:w="4852" w:type="dxa"/>
            <w:tcBorders>
              <w:top w:val="single" w:sz="2" w:space="0" w:color="auto"/>
              <w:left w:val="nil"/>
              <w:bottom w:val="single" w:sz="2" w:space="0" w:color="auto"/>
              <w:right w:val="nil"/>
            </w:tcBorders>
            <w:noWrap/>
            <w:vAlign w:val="center"/>
            <w:hideMark/>
          </w:tcPr>
          <w:p w14:paraId="75340D5A" w14:textId="77777777" w:rsidR="00D741DF" w:rsidRPr="00554B3C" w:rsidRDefault="00D741DF" w:rsidP="001B69FC">
            <w:pPr>
              <w:pStyle w:val="cuatexto"/>
              <w:rPr>
                <w:szCs w:val="20"/>
              </w:rPr>
            </w:pPr>
            <w:r w:rsidRPr="00554B3C">
              <w:rPr>
                <w:szCs w:val="20"/>
              </w:rPr>
              <w:t>Ingresos corrientes (cap. 1 a 5)</w:t>
            </w:r>
          </w:p>
        </w:tc>
        <w:tc>
          <w:tcPr>
            <w:tcW w:w="1426" w:type="dxa"/>
            <w:tcBorders>
              <w:top w:val="single" w:sz="2" w:space="0" w:color="auto"/>
              <w:left w:val="nil"/>
              <w:bottom w:val="single" w:sz="2" w:space="0" w:color="auto"/>
              <w:right w:val="nil"/>
            </w:tcBorders>
            <w:vAlign w:val="center"/>
          </w:tcPr>
          <w:p w14:paraId="68F11DFE" w14:textId="77777777" w:rsidR="00D741DF" w:rsidRPr="00554B3C" w:rsidRDefault="00D741DF" w:rsidP="001B69FC">
            <w:pPr>
              <w:pStyle w:val="cuatexto"/>
              <w:jc w:val="right"/>
              <w:rPr>
                <w:rFonts w:cs="Calibri"/>
                <w:szCs w:val="20"/>
              </w:rPr>
            </w:pPr>
            <w:r w:rsidRPr="00554B3C">
              <w:rPr>
                <w:rFonts w:cs="Calibri"/>
                <w:szCs w:val="20"/>
              </w:rPr>
              <w:t>5.289.367</w:t>
            </w:r>
          </w:p>
        </w:tc>
        <w:tc>
          <w:tcPr>
            <w:tcW w:w="1284" w:type="dxa"/>
            <w:tcBorders>
              <w:top w:val="single" w:sz="2" w:space="0" w:color="auto"/>
              <w:left w:val="nil"/>
              <w:bottom w:val="single" w:sz="2" w:space="0" w:color="auto"/>
              <w:right w:val="nil"/>
            </w:tcBorders>
            <w:shd w:val="clear" w:color="auto" w:fill="auto"/>
            <w:vAlign w:val="center"/>
          </w:tcPr>
          <w:p w14:paraId="0518937C" w14:textId="77777777" w:rsidR="00D741DF" w:rsidRPr="00554B3C" w:rsidRDefault="00D741DF" w:rsidP="001B69FC">
            <w:pPr>
              <w:pStyle w:val="cuatexto"/>
              <w:jc w:val="right"/>
              <w:rPr>
                <w:rFonts w:cs="Calibri"/>
                <w:szCs w:val="20"/>
              </w:rPr>
            </w:pPr>
            <w:r w:rsidRPr="00554B3C">
              <w:rPr>
                <w:rFonts w:cs="Calibri"/>
                <w:szCs w:val="20"/>
              </w:rPr>
              <w:t>5.661.013</w:t>
            </w:r>
          </w:p>
        </w:tc>
        <w:tc>
          <w:tcPr>
            <w:tcW w:w="1284" w:type="dxa"/>
            <w:tcBorders>
              <w:top w:val="single" w:sz="2" w:space="0" w:color="auto"/>
              <w:left w:val="nil"/>
              <w:bottom w:val="single" w:sz="2" w:space="0" w:color="auto"/>
              <w:right w:val="nil"/>
            </w:tcBorders>
            <w:shd w:val="clear" w:color="auto" w:fill="auto"/>
            <w:noWrap/>
            <w:vAlign w:val="center"/>
          </w:tcPr>
          <w:p w14:paraId="1ADEB957" w14:textId="77777777" w:rsidR="00D741DF" w:rsidRPr="00554B3C" w:rsidRDefault="00D741DF" w:rsidP="001B69FC">
            <w:pPr>
              <w:pStyle w:val="cuatexto"/>
              <w:jc w:val="right"/>
              <w:rPr>
                <w:rFonts w:cs="Calibri"/>
                <w:szCs w:val="20"/>
              </w:rPr>
            </w:pPr>
            <w:r w:rsidRPr="00554B3C">
              <w:rPr>
                <w:rFonts w:cs="Calibri"/>
                <w:szCs w:val="20"/>
              </w:rPr>
              <w:t>7</w:t>
            </w:r>
          </w:p>
        </w:tc>
      </w:tr>
      <w:tr w:rsidR="00D741DF" w:rsidRPr="003D09D7" w14:paraId="2E71204F" w14:textId="77777777" w:rsidTr="006A52D7">
        <w:trPr>
          <w:trHeight w:val="200"/>
        </w:trPr>
        <w:tc>
          <w:tcPr>
            <w:tcW w:w="4852" w:type="dxa"/>
            <w:tcBorders>
              <w:top w:val="single" w:sz="2" w:space="0" w:color="auto"/>
              <w:left w:val="nil"/>
              <w:bottom w:val="single" w:sz="2" w:space="0" w:color="auto"/>
              <w:right w:val="nil"/>
            </w:tcBorders>
            <w:noWrap/>
            <w:vAlign w:val="center"/>
            <w:hideMark/>
          </w:tcPr>
          <w:p w14:paraId="57447AC3" w14:textId="77777777" w:rsidR="00D741DF" w:rsidRPr="00554B3C" w:rsidRDefault="00D741DF" w:rsidP="001B69FC">
            <w:pPr>
              <w:pStyle w:val="cuatexto"/>
              <w:rPr>
                <w:szCs w:val="20"/>
              </w:rPr>
            </w:pPr>
            <w:r w:rsidRPr="00554B3C">
              <w:rPr>
                <w:szCs w:val="20"/>
              </w:rPr>
              <w:t xml:space="preserve">Ingresos tributarios (impuestos, tasas y </w:t>
            </w:r>
            <w:proofErr w:type="spellStart"/>
            <w:r w:rsidRPr="00554B3C">
              <w:rPr>
                <w:szCs w:val="20"/>
              </w:rPr>
              <w:t>contrib</w:t>
            </w:r>
            <w:proofErr w:type="spellEnd"/>
            <w:r w:rsidRPr="00554B3C">
              <w:rPr>
                <w:szCs w:val="20"/>
              </w:rPr>
              <w:t xml:space="preserve">. especiales) </w:t>
            </w:r>
          </w:p>
        </w:tc>
        <w:tc>
          <w:tcPr>
            <w:tcW w:w="1426" w:type="dxa"/>
            <w:tcBorders>
              <w:top w:val="single" w:sz="2" w:space="0" w:color="auto"/>
              <w:left w:val="nil"/>
              <w:bottom w:val="single" w:sz="2" w:space="0" w:color="auto"/>
              <w:right w:val="nil"/>
            </w:tcBorders>
            <w:vAlign w:val="center"/>
          </w:tcPr>
          <w:p w14:paraId="792663C7" w14:textId="77777777" w:rsidR="00D741DF" w:rsidRPr="00554B3C" w:rsidRDefault="00D741DF" w:rsidP="001B69FC">
            <w:pPr>
              <w:pStyle w:val="cuatexto"/>
              <w:jc w:val="right"/>
              <w:rPr>
                <w:rFonts w:cs="Calibri"/>
                <w:szCs w:val="20"/>
              </w:rPr>
            </w:pPr>
            <w:r w:rsidRPr="00554B3C">
              <w:rPr>
                <w:rFonts w:cs="Calibri"/>
                <w:szCs w:val="20"/>
              </w:rPr>
              <w:t>4.926.642</w:t>
            </w:r>
          </w:p>
        </w:tc>
        <w:tc>
          <w:tcPr>
            <w:tcW w:w="1284" w:type="dxa"/>
            <w:tcBorders>
              <w:top w:val="single" w:sz="2" w:space="0" w:color="auto"/>
              <w:left w:val="nil"/>
              <w:bottom w:val="single" w:sz="2" w:space="0" w:color="auto"/>
              <w:right w:val="nil"/>
            </w:tcBorders>
            <w:shd w:val="clear" w:color="auto" w:fill="auto"/>
            <w:vAlign w:val="center"/>
          </w:tcPr>
          <w:p w14:paraId="50CEBA6F" w14:textId="77777777" w:rsidR="00D741DF" w:rsidRPr="00554B3C" w:rsidRDefault="00D741DF" w:rsidP="001B69FC">
            <w:pPr>
              <w:pStyle w:val="cuatexto"/>
              <w:jc w:val="right"/>
              <w:rPr>
                <w:rFonts w:cs="Calibri"/>
                <w:szCs w:val="20"/>
              </w:rPr>
            </w:pPr>
            <w:r w:rsidRPr="00554B3C">
              <w:rPr>
                <w:rFonts w:cs="Calibri"/>
                <w:szCs w:val="20"/>
              </w:rPr>
              <w:t>5.162.063</w:t>
            </w:r>
          </w:p>
        </w:tc>
        <w:tc>
          <w:tcPr>
            <w:tcW w:w="1284" w:type="dxa"/>
            <w:tcBorders>
              <w:top w:val="single" w:sz="2" w:space="0" w:color="auto"/>
              <w:left w:val="nil"/>
              <w:bottom w:val="single" w:sz="2" w:space="0" w:color="auto"/>
              <w:right w:val="nil"/>
            </w:tcBorders>
            <w:shd w:val="clear" w:color="auto" w:fill="auto"/>
            <w:noWrap/>
            <w:vAlign w:val="center"/>
          </w:tcPr>
          <w:p w14:paraId="25D318F4" w14:textId="77777777" w:rsidR="00D741DF" w:rsidRPr="00554B3C" w:rsidRDefault="00D741DF" w:rsidP="001B69FC">
            <w:pPr>
              <w:pStyle w:val="cuatexto"/>
              <w:jc w:val="right"/>
              <w:rPr>
                <w:rFonts w:cs="Calibri"/>
                <w:szCs w:val="20"/>
              </w:rPr>
            </w:pPr>
            <w:r w:rsidRPr="00554B3C">
              <w:rPr>
                <w:rFonts w:cs="Calibri"/>
                <w:szCs w:val="20"/>
              </w:rPr>
              <w:t>5</w:t>
            </w:r>
          </w:p>
        </w:tc>
      </w:tr>
      <w:tr w:rsidR="00D741DF" w:rsidRPr="003D09D7" w14:paraId="68728088" w14:textId="77777777" w:rsidTr="006A52D7">
        <w:trPr>
          <w:trHeight w:val="200"/>
        </w:trPr>
        <w:tc>
          <w:tcPr>
            <w:tcW w:w="4852" w:type="dxa"/>
            <w:tcBorders>
              <w:top w:val="single" w:sz="2" w:space="0" w:color="auto"/>
              <w:left w:val="nil"/>
              <w:bottom w:val="single" w:sz="2" w:space="0" w:color="auto"/>
              <w:right w:val="nil"/>
            </w:tcBorders>
            <w:noWrap/>
            <w:vAlign w:val="center"/>
            <w:hideMark/>
          </w:tcPr>
          <w:p w14:paraId="44F13E1B" w14:textId="77777777" w:rsidR="00D741DF" w:rsidRPr="00554B3C" w:rsidRDefault="00D741DF" w:rsidP="001B69FC">
            <w:pPr>
              <w:pStyle w:val="cuatexto"/>
              <w:rPr>
                <w:szCs w:val="20"/>
              </w:rPr>
            </w:pPr>
            <w:r w:rsidRPr="00554B3C">
              <w:rPr>
                <w:szCs w:val="20"/>
              </w:rPr>
              <w:t xml:space="preserve">Porcentaje ingresos tributarios sobre gastos corrientes </w:t>
            </w:r>
          </w:p>
        </w:tc>
        <w:tc>
          <w:tcPr>
            <w:tcW w:w="1426" w:type="dxa"/>
            <w:tcBorders>
              <w:top w:val="single" w:sz="2" w:space="0" w:color="auto"/>
              <w:left w:val="nil"/>
              <w:bottom w:val="single" w:sz="2" w:space="0" w:color="auto"/>
              <w:right w:val="nil"/>
            </w:tcBorders>
            <w:vAlign w:val="center"/>
          </w:tcPr>
          <w:p w14:paraId="75E86F9E" w14:textId="77777777" w:rsidR="00D741DF" w:rsidRPr="00554B3C" w:rsidRDefault="00D741DF" w:rsidP="001B69FC">
            <w:pPr>
              <w:pStyle w:val="cuatexto"/>
              <w:jc w:val="right"/>
              <w:rPr>
                <w:rFonts w:cs="Calibri"/>
                <w:szCs w:val="20"/>
              </w:rPr>
            </w:pPr>
            <w:r w:rsidRPr="00554B3C">
              <w:rPr>
                <w:rFonts w:cs="Calibri"/>
                <w:szCs w:val="20"/>
              </w:rPr>
              <w:t>103</w:t>
            </w:r>
          </w:p>
        </w:tc>
        <w:tc>
          <w:tcPr>
            <w:tcW w:w="1284" w:type="dxa"/>
            <w:tcBorders>
              <w:top w:val="single" w:sz="2" w:space="0" w:color="auto"/>
              <w:left w:val="nil"/>
              <w:bottom w:val="single" w:sz="2" w:space="0" w:color="auto"/>
              <w:right w:val="nil"/>
            </w:tcBorders>
            <w:shd w:val="clear" w:color="auto" w:fill="auto"/>
            <w:vAlign w:val="center"/>
          </w:tcPr>
          <w:p w14:paraId="710EEA1F" w14:textId="77777777" w:rsidR="00D741DF" w:rsidRPr="00554B3C" w:rsidRDefault="00D741DF" w:rsidP="001B69FC">
            <w:pPr>
              <w:pStyle w:val="cuatexto"/>
              <w:jc w:val="right"/>
              <w:rPr>
                <w:rFonts w:cs="Calibri"/>
                <w:szCs w:val="20"/>
              </w:rPr>
            </w:pPr>
            <w:r w:rsidRPr="00554B3C">
              <w:rPr>
                <w:rFonts w:cs="Calibri"/>
                <w:szCs w:val="20"/>
              </w:rPr>
              <w:t>103</w:t>
            </w:r>
          </w:p>
        </w:tc>
        <w:tc>
          <w:tcPr>
            <w:tcW w:w="1284" w:type="dxa"/>
            <w:tcBorders>
              <w:top w:val="single" w:sz="2" w:space="0" w:color="auto"/>
              <w:left w:val="nil"/>
              <w:bottom w:val="single" w:sz="2" w:space="0" w:color="auto"/>
              <w:right w:val="nil"/>
            </w:tcBorders>
            <w:shd w:val="clear" w:color="auto" w:fill="auto"/>
            <w:noWrap/>
            <w:vAlign w:val="center"/>
          </w:tcPr>
          <w:p w14:paraId="64388C7D" w14:textId="77777777" w:rsidR="00D741DF" w:rsidRPr="00554B3C" w:rsidRDefault="00F43C32" w:rsidP="001B69FC">
            <w:pPr>
              <w:pStyle w:val="cuatexto"/>
              <w:jc w:val="right"/>
              <w:rPr>
                <w:rFonts w:cs="Calibri"/>
                <w:szCs w:val="20"/>
              </w:rPr>
            </w:pPr>
            <w:r w:rsidRPr="00554B3C">
              <w:rPr>
                <w:rFonts w:cs="Calibri"/>
                <w:szCs w:val="20"/>
              </w:rPr>
              <w:t>0</w:t>
            </w:r>
          </w:p>
        </w:tc>
      </w:tr>
      <w:tr w:rsidR="000D7CCD" w:rsidRPr="000D7CCD" w14:paraId="05771E2C" w14:textId="77777777" w:rsidTr="006A52D7">
        <w:trPr>
          <w:trHeight w:val="200"/>
        </w:trPr>
        <w:tc>
          <w:tcPr>
            <w:tcW w:w="4852" w:type="dxa"/>
            <w:tcBorders>
              <w:top w:val="single" w:sz="2" w:space="0" w:color="auto"/>
              <w:left w:val="nil"/>
              <w:bottom w:val="single" w:sz="2" w:space="0" w:color="auto"/>
              <w:right w:val="nil"/>
            </w:tcBorders>
            <w:noWrap/>
            <w:vAlign w:val="center"/>
            <w:hideMark/>
          </w:tcPr>
          <w:p w14:paraId="0BB9DB8B" w14:textId="77777777" w:rsidR="00D741DF" w:rsidRPr="00554B3C" w:rsidRDefault="00D741DF" w:rsidP="001B69FC">
            <w:pPr>
              <w:pStyle w:val="cuatexto"/>
              <w:rPr>
                <w:szCs w:val="20"/>
              </w:rPr>
            </w:pPr>
            <w:r w:rsidRPr="00554B3C">
              <w:rPr>
                <w:szCs w:val="20"/>
              </w:rPr>
              <w:t>Recaudación líquida tributaria</w:t>
            </w:r>
            <w:r w:rsidRPr="00554B3C">
              <w:rPr>
                <w:szCs w:val="20"/>
                <w:vertAlign w:val="superscript"/>
              </w:rPr>
              <w:t>*</w:t>
            </w:r>
          </w:p>
        </w:tc>
        <w:tc>
          <w:tcPr>
            <w:tcW w:w="1426" w:type="dxa"/>
            <w:tcBorders>
              <w:top w:val="single" w:sz="2" w:space="0" w:color="auto"/>
              <w:left w:val="nil"/>
              <w:bottom w:val="single" w:sz="2" w:space="0" w:color="auto"/>
              <w:right w:val="nil"/>
            </w:tcBorders>
            <w:vAlign w:val="center"/>
          </w:tcPr>
          <w:p w14:paraId="742819D1" w14:textId="77777777" w:rsidR="00D741DF" w:rsidRPr="00554B3C" w:rsidRDefault="00D741DF" w:rsidP="001B69FC">
            <w:pPr>
              <w:pStyle w:val="cuatexto"/>
              <w:jc w:val="right"/>
              <w:rPr>
                <w:rFonts w:cs="Calibri"/>
                <w:szCs w:val="20"/>
              </w:rPr>
            </w:pPr>
            <w:r w:rsidRPr="00554B3C">
              <w:rPr>
                <w:rFonts w:cs="Calibri"/>
                <w:szCs w:val="20"/>
              </w:rPr>
              <w:t>4.979.457</w:t>
            </w:r>
          </w:p>
        </w:tc>
        <w:tc>
          <w:tcPr>
            <w:tcW w:w="1284" w:type="dxa"/>
            <w:tcBorders>
              <w:top w:val="single" w:sz="2" w:space="0" w:color="auto"/>
              <w:left w:val="nil"/>
              <w:bottom w:val="single" w:sz="2" w:space="0" w:color="auto"/>
              <w:right w:val="nil"/>
            </w:tcBorders>
            <w:shd w:val="clear" w:color="auto" w:fill="auto"/>
            <w:noWrap/>
            <w:vAlign w:val="center"/>
          </w:tcPr>
          <w:p w14:paraId="41735B37" w14:textId="77777777" w:rsidR="00D741DF" w:rsidRPr="00554B3C" w:rsidRDefault="004D66AC" w:rsidP="001B69FC">
            <w:pPr>
              <w:pStyle w:val="cuatexto"/>
              <w:jc w:val="right"/>
              <w:rPr>
                <w:rFonts w:cs="Calibri"/>
                <w:szCs w:val="20"/>
              </w:rPr>
            </w:pPr>
            <w:r w:rsidRPr="00554B3C">
              <w:rPr>
                <w:rFonts w:cs="Calibri"/>
                <w:szCs w:val="20"/>
              </w:rPr>
              <w:t>5.104.566</w:t>
            </w:r>
            <w:r w:rsidR="00D741DF" w:rsidRPr="00554B3C">
              <w:rPr>
                <w:rFonts w:cs="Calibri"/>
                <w:szCs w:val="20"/>
              </w:rPr>
              <w:t> </w:t>
            </w:r>
          </w:p>
        </w:tc>
        <w:tc>
          <w:tcPr>
            <w:tcW w:w="1284" w:type="dxa"/>
            <w:tcBorders>
              <w:top w:val="single" w:sz="2" w:space="0" w:color="auto"/>
              <w:left w:val="nil"/>
              <w:bottom w:val="single" w:sz="2" w:space="0" w:color="auto"/>
              <w:right w:val="nil"/>
            </w:tcBorders>
            <w:shd w:val="clear" w:color="auto" w:fill="auto"/>
            <w:noWrap/>
            <w:vAlign w:val="center"/>
          </w:tcPr>
          <w:p w14:paraId="017F233A" w14:textId="77777777" w:rsidR="00D741DF" w:rsidRPr="00554B3C" w:rsidRDefault="004D66AC" w:rsidP="001B69FC">
            <w:pPr>
              <w:pStyle w:val="cuatexto"/>
              <w:jc w:val="right"/>
              <w:rPr>
                <w:rFonts w:cs="Calibri"/>
                <w:szCs w:val="20"/>
              </w:rPr>
            </w:pPr>
            <w:r w:rsidRPr="00554B3C">
              <w:rPr>
                <w:rFonts w:cs="Calibri"/>
                <w:szCs w:val="20"/>
              </w:rPr>
              <w:t>3</w:t>
            </w:r>
          </w:p>
        </w:tc>
      </w:tr>
      <w:tr w:rsidR="000D7CCD" w:rsidRPr="000D7CCD" w14:paraId="04849E6B" w14:textId="77777777" w:rsidTr="006A52D7">
        <w:trPr>
          <w:trHeight w:val="200"/>
        </w:trPr>
        <w:tc>
          <w:tcPr>
            <w:tcW w:w="4852" w:type="dxa"/>
            <w:tcBorders>
              <w:top w:val="single" w:sz="2" w:space="0" w:color="auto"/>
              <w:left w:val="nil"/>
              <w:bottom w:val="single" w:sz="2" w:space="0" w:color="auto"/>
              <w:right w:val="nil"/>
            </w:tcBorders>
            <w:noWrap/>
            <w:vAlign w:val="center"/>
            <w:hideMark/>
          </w:tcPr>
          <w:p w14:paraId="45CD3702" w14:textId="77777777" w:rsidR="00D741DF" w:rsidRPr="00554B3C" w:rsidRDefault="00D741DF" w:rsidP="001B69FC">
            <w:pPr>
              <w:pStyle w:val="cuatexto"/>
              <w:rPr>
                <w:szCs w:val="20"/>
              </w:rPr>
            </w:pPr>
            <w:r w:rsidRPr="00554B3C">
              <w:rPr>
                <w:szCs w:val="20"/>
              </w:rPr>
              <w:t xml:space="preserve">Porcentaje recaudación líquida tributaria sobre el PIB </w:t>
            </w:r>
          </w:p>
        </w:tc>
        <w:tc>
          <w:tcPr>
            <w:tcW w:w="1426" w:type="dxa"/>
            <w:tcBorders>
              <w:top w:val="single" w:sz="2" w:space="0" w:color="auto"/>
              <w:left w:val="nil"/>
              <w:bottom w:val="single" w:sz="2" w:space="0" w:color="auto"/>
              <w:right w:val="nil"/>
            </w:tcBorders>
            <w:noWrap/>
            <w:vAlign w:val="center"/>
          </w:tcPr>
          <w:p w14:paraId="6CC40F77" w14:textId="77777777" w:rsidR="00D741DF" w:rsidRPr="00554B3C" w:rsidRDefault="00D741DF" w:rsidP="001B69FC">
            <w:pPr>
              <w:pStyle w:val="cuatexto"/>
              <w:jc w:val="right"/>
              <w:rPr>
                <w:rFonts w:cs="Calibri"/>
                <w:szCs w:val="20"/>
              </w:rPr>
            </w:pPr>
            <w:r w:rsidRPr="00554B3C">
              <w:rPr>
                <w:rFonts w:cs="Calibri"/>
                <w:szCs w:val="20"/>
              </w:rPr>
              <w:t>21,22</w:t>
            </w:r>
          </w:p>
        </w:tc>
        <w:tc>
          <w:tcPr>
            <w:tcW w:w="1284" w:type="dxa"/>
            <w:tcBorders>
              <w:top w:val="single" w:sz="2" w:space="0" w:color="auto"/>
              <w:left w:val="nil"/>
              <w:bottom w:val="single" w:sz="2" w:space="0" w:color="auto"/>
              <w:right w:val="nil"/>
            </w:tcBorders>
            <w:shd w:val="clear" w:color="auto" w:fill="auto"/>
            <w:noWrap/>
            <w:vAlign w:val="center"/>
          </w:tcPr>
          <w:p w14:paraId="38922A9D" w14:textId="77777777" w:rsidR="00D741DF" w:rsidRPr="00554B3C" w:rsidRDefault="000D7CCD" w:rsidP="001B69FC">
            <w:pPr>
              <w:pStyle w:val="cuatexto"/>
              <w:jc w:val="right"/>
              <w:rPr>
                <w:rFonts w:cs="Calibri"/>
                <w:szCs w:val="20"/>
              </w:rPr>
            </w:pPr>
            <w:r w:rsidRPr="00554B3C">
              <w:rPr>
                <w:rFonts w:cs="Calibri"/>
                <w:szCs w:val="20"/>
              </w:rPr>
              <w:t>20,86</w:t>
            </w:r>
            <w:r w:rsidR="00D741DF" w:rsidRPr="00554B3C">
              <w:rPr>
                <w:rFonts w:cs="Calibri"/>
                <w:szCs w:val="20"/>
              </w:rPr>
              <w:t> </w:t>
            </w:r>
          </w:p>
        </w:tc>
        <w:tc>
          <w:tcPr>
            <w:tcW w:w="1284" w:type="dxa"/>
            <w:tcBorders>
              <w:top w:val="single" w:sz="2" w:space="0" w:color="auto"/>
              <w:left w:val="nil"/>
              <w:bottom w:val="single" w:sz="2" w:space="0" w:color="auto"/>
              <w:right w:val="nil"/>
            </w:tcBorders>
            <w:shd w:val="clear" w:color="auto" w:fill="auto"/>
            <w:noWrap/>
            <w:vAlign w:val="center"/>
          </w:tcPr>
          <w:p w14:paraId="5A798F8B" w14:textId="77777777" w:rsidR="00D741DF" w:rsidRPr="00554B3C" w:rsidRDefault="000D7CCD" w:rsidP="001B69FC">
            <w:pPr>
              <w:pStyle w:val="cuatexto"/>
              <w:jc w:val="right"/>
              <w:rPr>
                <w:rFonts w:cs="Calibri"/>
                <w:szCs w:val="20"/>
              </w:rPr>
            </w:pPr>
            <w:r w:rsidRPr="00554B3C">
              <w:rPr>
                <w:rFonts w:cs="Calibri"/>
                <w:szCs w:val="20"/>
              </w:rPr>
              <w:t>-2</w:t>
            </w:r>
          </w:p>
        </w:tc>
      </w:tr>
      <w:tr w:rsidR="00D741DF" w:rsidRPr="003D09D7" w14:paraId="460D1C0D" w14:textId="77777777" w:rsidTr="006A52D7">
        <w:trPr>
          <w:trHeight w:val="200"/>
        </w:trPr>
        <w:tc>
          <w:tcPr>
            <w:tcW w:w="4852" w:type="dxa"/>
            <w:tcBorders>
              <w:top w:val="single" w:sz="2" w:space="0" w:color="auto"/>
              <w:left w:val="nil"/>
              <w:bottom w:val="single" w:sz="2" w:space="0" w:color="auto"/>
              <w:right w:val="nil"/>
            </w:tcBorders>
            <w:noWrap/>
            <w:vAlign w:val="center"/>
            <w:hideMark/>
          </w:tcPr>
          <w:p w14:paraId="6EBE16F5" w14:textId="77777777" w:rsidR="00D741DF" w:rsidRPr="00554B3C" w:rsidRDefault="00D741DF" w:rsidP="001B69FC">
            <w:pPr>
              <w:pStyle w:val="cuatexto"/>
              <w:rPr>
                <w:szCs w:val="20"/>
              </w:rPr>
            </w:pPr>
            <w:r w:rsidRPr="00554B3C">
              <w:rPr>
                <w:szCs w:val="20"/>
              </w:rPr>
              <w:t>Ingresos de capital (cap.6 y 7)</w:t>
            </w:r>
          </w:p>
        </w:tc>
        <w:tc>
          <w:tcPr>
            <w:tcW w:w="1426" w:type="dxa"/>
            <w:tcBorders>
              <w:top w:val="single" w:sz="2" w:space="0" w:color="auto"/>
              <w:left w:val="nil"/>
              <w:bottom w:val="single" w:sz="2" w:space="0" w:color="auto"/>
              <w:right w:val="nil"/>
            </w:tcBorders>
            <w:vAlign w:val="center"/>
          </w:tcPr>
          <w:p w14:paraId="0D8395AA" w14:textId="77777777" w:rsidR="00D741DF" w:rsidRPr="00554B3C" w:rsidRDefault="00D741DF" w:rsidP="001B69FC">
            <w:pPr>
              <w:pStyle w:val="cuatexto"/>
              <w:jc w:val="right"/>
              <w:rPr>
                <w:rFonts w:cs="Calibri"/>
                <w:szCs w:val="20"/>
              </w:rPr>
            </w:pPr>
            <w:r w:rsidRPr="00554B3C">
              <w:rPr>
                <w:rFonts w:cs="Calibri"/>
                <w:szCs w:val="20"/>
              </w:rPr>
              <w:t>199.689</w:t>
            </w:r>
          </w:p>
        </w:tc>
        <w:tc>
          <w:tcPr>
            <w:tcW w:w="1284" w:type="dxa"/>
            <w:tcBorders>
              <w:top w:val="single" w:sz="2" w:space="0" w:color="auto"/>
              <w:left w:val="nil"/>
              <w:bottom w:val="single" w:sz="2" w:space="0" w:color="auto"/>
              <w:right w:val="nil"/>
            </w:tcBorders>
            <w:shd w:val="clear" w:color="auto" w:fill="auto"/>
            <w:vAlign w:val="center"/>
          </w:tcPr>
          <w:p w14:paraId="0C115A86" w14:textId="77777777" w:rsidR="00D741DF" w:rsidRPr="00554B3C" w:rsidRDefault="00D741DF" w:rsidP="001B69FC">
            <w:pPr>
              <w:pStyle w:val="cuatexto"/>
              <w:jc w:val="right"/>
              <w:rPr>
                <w:rFonts w:cs="Calibri"/>
                <w:szCs w:val="20"/>
              </w:rPr>
            </w:pPr>
            <w:r w:rsidRPr="00554B3C">
              <w:rPr>
                <w:rFonts w:cs="Calibri"/>
                <w:szCs w:val="20"/>
              </w:rPr>
              <w:t>192.813</w:t>
            </w:r>
          </w:p>
        </w:tc>
        <w:tc>
          <w:tcPr>
            <w:tcW w:w="1284" w:type="dxa"/>
            <w:tcBorders>
              <w:top w:val="single" w:sz="2" w:space="0" w:color="auto"/>
              <w:left w:val="nil"/>
              <w:bottom w:val="single" w:sz="2" w:space="0" w:color="auto"/>
              <w:right w:val="nil"/>
            </w:tcBorders>
            <w:shd w:val="clear" w:color="auto" w:fill="auto"/>
            <w:noWrap/>
            <w:vAlign w:val="center"/>
          </w:tcPr>
          <w:p w14:paraId="10CA9043" w14:textId="77777777" w:rsidR="00D741DF" w:rsidRPr="00554B3C" w:rsidRDefault="00D741DF" w:rsidP="001B69FC">
            <w:pPr>
              <w:pStyle w:val="cuatexto"/>
              <w:jc w:val="right"/>
              <w:rPr>
                <w:rFonts w:cs="Calibri"/>
                <w:szCs w:val="20"/>
              </w:rPr>
            </w:pPr>
            <w:r w:rsidRPr="00554B3C">
              <w:rPr>
                <w:rFonts w:cs="Calibri"/>
                <w:szCs w:val="20"/>
              </w:rPr>
              <w:t>-3</w:t>
            </w:r>
          </w:p>
        </w:tc>
      </w:tr>
      <w:tr w:rsidR="00D741DF" w:rsidRPr="003D09D7" w14:paraId="6CD14D9B" w14:textId="77777777" w:rsidTr="006A52D7">
        <w:trPr>
          <w:trHeight w:val="200"/>
        </w:trPr>
        <w:tc>
          <w:tcPr>
            <w:tcW w:w="4852" w:type="dxa"/>
            <w:tcBorders>
              <w:top w:val="single" w:sz="2" w:space="0" w:color="auto"/>
              <w:left w:val="nil"/>
              <w:bottom w:val="single" w:sz="4" w:space="0" w:color="auto"/>
              <w:right w:val="nil"/>
            </w:tcBorders>
            <w:noWrap/>
            <w:vAlign w:val="center"/>
            <w:hideMark/>
          </w:tcPr>
          <w:p w14:paraId="7FFA0406" w14:textId="77777777" w:rsidR="00D741DF" w:rsidRPr="00554B3C" w:rsidRDefault="00D741DF" w:rsidP="001B69FC">
            <w:pPr>
              <w:pStyle w:val="cuatexto"/>
              <w:rPr>
                <w:szCs w:val="20"/>
              </w:rPr>
            </w:pPr>
            <w:r w:rsidRPr="00554B3C">
              <w:rPr>
                <w:szCs w:val="20"/>
              </w:rPr>
              <w:t>Ingresos operaciones financieras (cap.8 y 9)</w:t>
            </w:r>
          </w:p>
        </w:tc>
        <w:tc>
          <w:tcPr>
            <w:tcW w:w="1426" w:type="dxa"/>
            <w:tcBorders>
              <w:top w:val="single" w:sz="2" w:space="0" w:color="auto"/>
              <w:left w:val="nil"/>
              <w:bottom w:val="single" w:sz="4" w:space="0" w:color="auto"/>
              <w:right w:val="nil"/>
            </w:tcBorders>
            <w:vAlign w:val="center"/>
          </w:tcPr>
          <w:p w14:paraId="35794A33" w14:textId="77777777" w:rsidR="00D741DF" w:rsidRPr="00554B3C" w:rsidRDefault="00D741DF" w:rsidP="001B69FC">
            <w:pPr>
              <w:pStyle w:val="cuatexto"/>
              <w:jc w:val="right"/>
              <w:rPr>
                <w:rFonts w:cs="Calibri"/>
                <w:szCs w:val="20"/>
              </w:rPr>
            </w:pPr>
            <w:r w:rsidRPr="00554B3C">
              <w:rPr>
                <w:rFonts w:cs="Calibri"/>
                <w:szCs w:val="20"/>
              </w:rPr>
              <w:t>427.523</w:t>
            </w:r>
          </w:p>
        </w:tc>
        <w:tc>
          <w:tcPr>
            <w:tcW w:w="1284" w:type="dxa"/>
            <w:tcBorders>
              <w:top w:val="single" w:sz="2" w:space="0" w:color="auto"/>
              <w:left w:val="nil"/>
              <w:bottom w:val="single" w:sz="4" w:space="0" w:color="auto"/>
              <w:right w:val="nil"/>
            </w:tcBorders>
            <w:shd w:val="clear" w:color="auto" w:fill="auto"/>
            <w:vAlign w:val="center"/>
          </w:tcPr>
          <w:p w14:paraId="09204F49" w14:textId="77777777" w:rsidR="00D741DF" w:rsidRPr="00554B3C" w:rsidRDefault="00D741DF" w:rsidP="001B69FC">
            <w:pPr>
              <w:pStyle w:val="cuatexto"/>
              <w:jc w:val="right"/>
              <w:rPr>
                <w:rFonts w:cs="Calibri"/>
                <w:szCs w:val="20"/>
              </w:rPr>
            </w:pPr>
            <w:r w:rsidRPr="00554B3C">
              <w:rPr>
                <w:rFonts w:cs="Calibri"/>
                <w:szCs w:val="20"/>
              </w:rPr>
              <w:t>71.654</w:t>
            </w:r>
          </w:p>
        </w:tc>
        <w:tc>
          <w:tcPr>
            <w:tcW w:w="1284" w:type="dxa"/>
            <w:tcBorders>
              <w:top w:val="single" w:sz="2" w:space="0" w:color="auto"/>
              <w:left w:val="nil"/>
              <w:bottom w:val="single" w:sz="4" w:space="0" w:color="auto"/>
              <w:right w:val="nil"/>
            </w:tcBorders>
            <w:shd w:val="clear" w:color="auto" w:fill="auto"/>
            <w:noWrap/>
            <w:vAlign w:val="center"/>
          </w:tcPr>
          <w:p w14:paraId="378E654F" w14:textId="77777777" w:rsidR="00D741DF" w:rsidRPr="00554B3C" w:rsidRDefault="00D741DF" w:rsidP="001B69FC">
            <w:pPr>
              <w:pStyle w:val="cuatexto"/>
              <w:jc w:val="right"/>
              <w:rPr>
                <w:rFonts w:cs="Calibri"/>
                <w:szCs w:val="20"/>
              </w:rPr>
            </w:pPr>
            <w:r w:rsidRPr="00554B3C">
              <w:rPr>
                <w:rFonts w:cs="Calibri"/>
                <w:szCs w:val="20"/>
              </w:rPr>
              <w:t>-83</w:t>
            </w:r>
          </w:p>
        </w:tc>
      </w:tr>
      <w:tr w:rsidR="00A61E1D" w:rsidRPr="008E1ED9" w14:paraId="3E08FD4F" w14:textId="77777777" w:rsidTr="006A52D7">
        <w:trPr>
          <w:trHeight w:val="423"/>
        </w:trPr>
        <w:tc>
          <w:tcPr>
            <w:tcW w:w="8849" w:type="dxa"/>
            <w:gridSpan w:val="4"/>
            <w:tcBorders>
              <w:top w:val="single" w:sz="4" w:space="0" w:color="auto"/>
              <w:left w:val="nil"/>
              <w:bottom w:val="nil"/>
              <w:right w:val="nil"/>
            </w:tcBorders>
            <w:noWrap/>
            <w:vAlign w:val="center"/>
            <w:hideMark/>
          </w:tcPr>
          <w:p w14:paraId="349B1F35" w14:textId="77777777" w:rsidR="00A61E1D" w:rsidRPr="008E1ED9" w:rsidRDefault="00A61E1D" w:rsidP="006A52D7">
            <w:pPr>
              <w:spacing w:before="80"/>
              <w:rPr>
                <w:rFonts w:ascii="Arial" w:hAnsi="Arial" w:cs="Arial"/>
                <w:sz w:val="18"/>
                <w:szCs w:val="18"/>
              </w:rPr>
            </w:pPr>
            <w:r w:rsidRPr="008E1ED9">
              <w:rPr>
                <w:rFonts w:ascii="Arial" w:hAnsi="Arial" w:cs="Arial"/>
                <w:sz w:val="18"/>
                <w:szCs w:val="18"/>
              </w:rPr>
              <w:t xml:space="preserve">* </w:t>
            </w:r>
            <w:r w:rsidRPr="00A61E1D">
              <w:rPr>
                <w:rFonts w:ascii="Arial" w:hAnsi="Arial" w:cs="Arial"/>
                <w:sz w:val="18"/>
                <w:szCs w:val="18"/>
              </w:rPr>
              <w:t>Se entiende por recaudación líquida los cobros en efectivo del ejercicio corriente y de cerrados más las formalizaciones y compensaciones menos las devoluciones.</w:t>
            </w:r>
          </w:p>
        </w:tc>
      </w:tr>
    </w:tbl>
    <w:p w14:paraId="79EA9D5B" w14:textId="77777777" w:rsidR="006A52D7" w:rsidRDefault="006A52D7" w:rsidP="009604B1">
      <w:pPr>
        <w:pStyle w:val="texto"/>
        <w:spacing w:before="240" w:after="120"/>
        <w:jc w:val="both"/>
      </w:pPr>
    </w:p>
    <w:p w14:paraId="38A3AE36" w14:textId="77777777" w:rsidR="00614DC4" w:rsidRDefault="006A52D7" w:rsidP="009604B1">
      <w:pPr>
        <w:pStyle w:val="texto"/>
        <w:spacing w:before="240" w:after="120"/>
        <w:jc w:val="both"/>
      </w:pPr>
      <w:r>
        <w:lastRenderedPageBreak/>
        <w:t>De</w:t>
      </w:r>
      <w:r w:rsidR="00614DC4">
        <w:t xml:space="preserve"> los datos anteriores destacamos los siguientes aspectos: </w:t>
      </w:r>
    </w:p>
    <w:p w14:paraId="7A5F14B9"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En 202</w:t>
      </w:r>
      <w:r w:rsidR="001A379E" w:rsidRPr="003D09D7">
        <w:rPr>
          <w:rFonts w:cs="Arial"/>
          <w:lang w:val="es-ES_tradnl" w:eastAsia="en-US"/>
        </w:rPr>
        <w:t>3</w:t>
      </w:r>
      <w:r w:rsidRPr="003D09D7">
        <w:rPr>
          <w:rFonts w:cs="Arial"/>
          <w:lang w:val="es-ES_tradnl" w:eastAsia="en-US"/>
        </w:rPr>
        <w:t>, los gastos totales ascienden a 5.</w:t>
      </w:r>
      <w:r w:rsidR="007C2256" w:rsidRPr="003D09D7">
        <w:rPr>
          <w:rFonts w:cs="Arial"/>
          <w:lang w:val="es-ES_tradnl" w:eastAsia="en-US"/>
        </w:rPr>
        <w:t>78</w:t>
      </w:r>
      <w:r w:rsidR="00253F91" w:rsidRPr="003D09D7">
        <w:rPr>
          <w:rFonts w:cs="Arial"/>
          <w:lang w:val="es-ES_tradnl" w:eastAsia="en-US"/>
        </w:rPr>
        <w:t>1,9</w:t>
      </w:r>
      <w:r w:rsidRPr="003D09D7">
        <w:rPr>
          <w:rFonts w:cs="Arial"/>
          <w:lang w:val="es-ES_tradnl" w:eastAsia="en-US"/>
        </w:rPr>
        <w:t xml:space="preserve"> millones y se han incrementado un </w:t>
      </w:r>
      <w:r w:rsidR="007C2256" w:rsidRPr="003D09D7">
        <w:rPr>
          <w:rFonts w:cs="Arial"/>
          <w:lang w:val="es-ES_tradnl" w:eastAsia="en-US"/>
        </w:rPr>
        <w:t xml:space="preserve">tres </w:t>
      </w:r>
      <w:r w:rsidRPr="003D09D7">
        <w:rPr>
          <w:rFonts w:cs="Arial"/>
          <w:lang w:val="es-ES_tradnl" w:eastAsia="en-US"/>
        </w:rPr>
        <w:t>por ciento (</w:t>
      </w:r>
      <w:r w:rsidR="007C2256" w:rsidRPr="003D09D7">
        <w:rPr>
          <w:rFonts w:cs="Arial"/>
          <w:lang w:val="es-ES_tradnl" w:eastAsia="en-US"/>
        </w:rPr>
        <w:t>181,39</w:t>
      </w:r>
      <w:r w:rsidRPr="003D09D7">
        <w:rPr>
          <w:rFonts w:cs="Arial"/>
          <w:lang w:val="es-ES_tradnl" w:eastAsia="en-US"/>
        </w:rPr>
        <w:t xml:space="preserve"> millones) respecto a 202</w:t>
      </w:r>
      <w:r w:rsidR="007C2256" w:rsidRPr="003D09D7">
        <w:rPr>
          <w:rFonts w:cs="Arial"/>
          <w:lang w:val="es-ES_tradnl" w:eastAsia="en-US"/>
        </w:rPr>
        <w:t>2</w:t>
      </w:r>
      <w:r w:rsidRPr="003D09D7">
        <w:rPr>
          <w:rFonts w:cs="Arial"/>
          <w:lang w:val="es-ES_tradnl" w:eastAsia="en-US"/>
        </w:rPr>
        <w:t xml:space="preserve">. </w:t>
      </w:r>
    </w:p>
    <w:p w14:paraId="2CAAE582"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Atendiendo a su naturaleza, los gastos corrientes suponen el 8</w:t>
      </w:r>
      <w:r w:rsidR="007C2256" w:rsidRPr="003D09D7">
        <w:rPr>
          <w:rFonts w:cs="Arial"/>
          <w:lang w:val="es-ES_tradnl" w:eastAsia="en-US"/>
        </w:rPr>
        <w:t>7</w:t>
      </w:r>
      <w:r w:rsidRPr="003D09D7">
        <w:rPr>
          <w:rFonts w:cs="Arial"/>
          <w:lang w:val="es-ES_tradnl" w:eastAsia="en-US"/>
        </w:rPr>
        <w:t xml:space="preserve"> por ciento del </w:t>
      </w:r>
      <w:r w:rsidR="007C2256" w:rsidRPr="003D09D7">
        <w:rPr>
          <w:rFonts w:cs="Arial"/>
          <w:lang w:val="es-ES_tradnl" w:eastAsia="en-US"/>
        </w:rPr>
        <w:t>total y se han incrementado un cinco</w:t>
      </w:r>
      <w:r w:rsidRPr="003D09D7">
        <w:rPr>
          <w:rFonts w:cs="Arial"/>
          <w:lang w:val="es-ES_tradnl" w:eastAsia="en-US"/>
        </w:rPr>
        <w:t xml:space="preserve"> por ciento; los correspondientes a operacio</w:t>
      </w:r>
      <w:r w:rsidR="007C2256" w:rsidRPr="003D09D7">
        <w:rPr>
          <w:rFonts w:cs="Arial"/>
          <w:lang w:val="es-ES_tradnl" w:eastAsia="en-US"/>
        </w:rPr>
        <w:t xml:space="preserve">nes financieras representan el cuatro </w:t>
      </w:r>
      <w:r w:rsidRPr="003D09D7">
        <w:rPr>
          <w:rFonts w:cs="Arial"/>
          <w:lang w:val="es-ES_tradnl" w:eastAsia="en-US"/>
        </w:rPr>
        <w:t>por ciento y han disminuido un 3</w:t>
      </w:r>
      <w:r w:rsidR="007C2256" w:rsidRPr="003D09D7">
        <w:rPr>
          <w:rFonts w:cs="Arial"/>
          <w:lang w:val="es-ES_tradnl" w:eastAsia="en-US"/>
        </w:rPr>
        <w:t>8</w:t>
      </w:r>
      <w:r w:rsidRPr="003D09D7">
        <w:rPr>
          <w:rFonts w:cs="Arial"/>
          <w:lang w:val="es-ES_tradnl" w:eastAsia="en-US"/>
        </w:rPr>
        <w:t xml:space="preserve"> por ciento respecto a 202</w:t>
      </w:r>
      <w:r w:rsidR="007C2256" w:rsidRPr="003D09D7">
        <w:rPr>
          <w:rFonts w:cs="Arial"/>
          <w:lang w:val="es-ES_tradnl" w:eastAsia="en-US"/>
        </w:rPr>
        <w:t>2</w:t>
      </w:r>
      <w:r w:rsidRPr="003D09D7">
        <w:rPr>
          <w:rFonts w:cs="Arial"/>
          <w:lang w:val="es-ES_tradnl" w:eastAsia="en-US"/>
        </w:rPr>
        <w:t xml:space="preserve"> (</w:t>
      </w:r>
      <w:r w:rsidRPr="00524FB9">
        <w:rPr>
          <w:rFonts w:cs="Arial"/>
          <w:lang w:val="es-ES_tradnl" w:eastAsia="en-US"/>
        </w:rPr>
        <w:t xml:space="preserve">debido principalmente </w:t>
      </w:r>
      <w:r w:rsidR="003D09D7" w:rsidRPr="00524FB9">
        <w:rPr>
          <w:rFonts w:cs="Arial"/>
          <w:lang w:val="es-ES_tradnl" w:eastAsia="en-US"/>
        </w:rPr>
        <w:t>que en el ejercicio 2023 no se han realizado amortizaciones anticipadas a diferencia del ejercicio anterior que se amortizaron anticipadamente préstamos por 146,5 millones</w:t>
      </w:r>
      <w:r w:rsidR="003D09D7" w:rsidRPr="003D09D7">
        <w:rPr>
          <w:rFonts w:cs="Arial"/>
          <w:lang w:val="es-ES_tradnl" w:eastAsia="en-US"/>
        </w:rPr>
        <w:t>). P</w:t>
      </w:r>
      <w:r w:rsidRPr="003D09D7">
        <w:rPr>
          <w:rFonts w:cs="Arial"/>
          <w:lang w:val="es-ES_tradnl" w:eastAsia="en-US"/>
        </w:rPr>
        <w:t xml:space="preserve">or su parte, los gastos de capital representan el </w:t>
      </w:r>
      <w:r w:rsidR="007C2256" w:rsidRPr="003D09D7">
        <w:rPr>
          <w:rFonts w:cs="Arial"/>
          <w:lang w:val="es-ES_tradnl" w:eastAsia="en-US"/>
        </w:rPr>
        <w:t xml:space="preserve">nueve </w:t>
      </w:r>
      <w:r w:rsidRPr="003D09D7">
        <w:rPr>
          <w:rFonts w:cs="Arial"/>
          <w:lang w:val="es-ES_tradnl" w:eastAsia="en-US"/>
        </w:rPr>
        <w:t xml:space="preserve">por </w:t>
      </w:r>
      <w:proofErr w:type="gramStart"/>
      <w:r w:rsidRPr="003D09D7">
        <w:rPr>
          <w:rFonts w:cs="Arial"/>
          <w:lang w:val="es-ES_tradnl" w:eastAsia="en-US"/>
        </w:rPr>
        <w:t>ciento restante</w:t>
      </w:r>
      <w:proofErr w:type="gramEnd"/>
      <w:r w:rsidRPr="003D09D7">
        <w:rPr>
          <w:rFonts w:cs="Arial"/>
          <w:lang w:val="es-ES_tradnl" w:eastAsia="en-US"/>
        </w:rPr>
        <w:t xml:space="preserve"> y han aumentado en </w:t>
      </w:r>
      <w:r w:rsidR="007C2256" w:rsidRPr="003D09D7">
        <w:rPr>
          <w:rFonts w:cs="Arial"/>
          <w:lang w:val="es-ES_tradnl" w:eastAsia="en-US"/>
        </w:rPr>
        <w:t>103,49</w:t>
      </w:r>
      <w:r w:rsidRPr="003D09D7">
        <w:rPr>
          <w:rFonts w:cs="Arial"/>
          <w:lang w:val="es-ES_tradnl" w:eastAsia="en-US"/>
        </w:rPr>
        <w:t xml:space="preserve"> millones, un 2</w:t>
      </w:r>
      <w:r w:rsidR="007C2256" w:rsidRPr="003D09D7">
        <w:rPr>
          <w:rFonts w:cs="Arial"/>
          <w:lang w:val="es-ES_tradnl" w:eastAsia="en-US"/>
        </w:rPr>
        <w:t>6</w:t>
      </w:r>
      <w:r w:rsidRPr="003D09D7">
        <w:rPr>
          <w:rFonts w:cs="Arial"/>
          <w:lang w:val="es-ES_tradnl" w:eastAsia="en-US"/>
        </w:rPr>
        <w:t xml:space="preserve"> por ciento.</w:t>
      </w:r>
    </w:p>
    <w:p w14:paraId="33338013" w14:textId="77777777" w:rsidR="00614DC4" w:rsidRPr="003D09D7"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3D09D7">
        <w:rPr>
          <w:rFonts w:cs="Arial"/>
          <w:lang w:val="es-ES_tradnl" w:eastAsia="en-US"/>
        </w:rPr>
        <w:t>Los ingresos de 202</w:t>
      </w:r>
      <w:r w:rsidR="001A379E" w:rsidRPr="003D09D7">
        <w:rPr>
          <w:rFonts w:cs="Arial"/>
          <w:lang w:val="es-ES_tradnl" w:eastAsia="en-US"/>
        </w:rPr>
        <w:t>3</w:t>
      </w:r>
      <w:r w:rsidRPr="003D09D7">
        <w:rPr>
          <w:rFonts w:cs="Arial"/>
          <w:lang w:val="es-ES_tradnl" w:eastAsia="en-US"/>
        </w:rPr>
        <w:t>, que ascienden a 5.9</w:t>
      </w:r>
      <w:r w:rsidR="007C2256" w:rsidRPr="003D09D7">
        <w:rPr>
          <w:rFonts w:cs="Arial"/>
          <w:lang w:val="es-ES_tradnl" w:eastAsia="en-US"/>
        </w:rPr>
        <w:t>25,48</w:t>
      </w:r>
      <w:r w:rsidRPr="003D09D7">
        <w:rPr>
          <w:rFonts w:cs="Arial"/>
          <w:lang w:val="es-ES_tradnl" w:eastAsia="en-US"/>
        </w:rPr>
        <w:t xml:space="preserve"> millones, </w:t>
      </w:r>
      <w:r w:rsidR="007C2256" w:rsidRPr="003D09D7">
        <w:rPr>
          <w:rFonts w:cs="Arial"/>
          <w:lang w:val="es-ES_tradnl" w:eastAsia="en-US"/>
        </w:rPr>
        <w:t xml:space="preserve">apenas </w:t>
      </w:r>
      <w:r w:rsidRPr="003D09D7">
        <w:rPr>
          <w:rFonts w:cs="Arial"/>
          <w:lang w:val="es-ES_tradnl" w:eastAsia="en-US"/>
        </w:rPr>
        <w:t xml:space="preserve">han aumentado </w:t>
      </w:r>
      <w:r w:rsidR="007C2256" w:rsidRPr="003D09D7">
        <w:rPr>
          <w:rFonts w:cs="Arial"/>
          <w:lang w:val="es-ES_tradnl" w:eastAsia="en-US"/>
        </w:rPr>
        <w:t>respecto a los de 2022 (8,9</w:t>
      </w:r>
      <w:r w:rsidRPr="003D09D7">
        <w:rPr>
          <w:rFonts w:cs="Arial"/>
          <w:lang w:val="es-ES_tradnl" w:eastAsia="en-US"/>
        </w:rPr>
        <w:t xml:space="preserve"> millones). </w:t>
      </w:r>
    </w:p>
    <w:p w14:paraId="59C51631" w14:textId="77777777" w:rsidR="00614DC4" w:rsidRDefault="00614DC4" w:rsidP="00AF3506">
      <w:pPr>
        <w:pStyle w:val="texto"/>
        <w:spacing w:after="120"/>
        <w:jc w:val="both"/>
      </w:pPr>
      <w:r>
        <w:t>Los ingresos que más se han incrementado, son los corrientes al haber aumentado en</w:t>
      </w:r>
      <w:r w:rsidR="007C2256">
        <w:t xml:space="preserve"> un siete </w:t>
      </w:r>
      <w:r>
        <w:t>por ciento</w:t>
      </w:r>
      <w:r w:rsidR="00253F91">
        <w:t xml:space="preserve"> (371,65 millones)</w:t>
      </w:r>
      <w:r>
        <w:t xml:space="preserve">, </w:t>
      </w:r>
      <w:r w:rsidR="007C2256">
        <w:t>principalmente por los ingresos tributarios que han aumentado en 235,42 millones, un cinco por ciento.</w:t>
      </w:r>
      <w:r>
        <w:t xml:space="preserve"> </w:t>
      </w:r>
    </w:p>
    <w:p w14:paraId="78F145F7" w14:textId="77777777" w:rsidR="00614DC4" w:rsidRPr="005F2EA9" w:rsidRDefault="00614DC4" w:rsidP="00AF3506">
      <w:pPr>
        <w:pStyle w:val="texto"/>
        <w:spacing w:after="120"/>
        <w:jc w:val="both"/>
      </w:pPr>
      <w:r>
        <w:t xml:space="preserve">Por otro lado, los ingresos derivados de operaciones financieras han </w:t>
      </w:r>
      <w:r w:rsidR="007C2256">
        <w:t>dismi</w:t>
      </w:r>
      <w:r w:rsidR="007C2256" w:rsidRPr="005F2EA9">
        <w:t xml:space="preserve">nuido en 355,87 millones, un 83 </w:t>
      </w:r>
      <w:r w:rsidRPr="005F2EA9">
        <w:t xml:space="preserve">por ciento, al haber concertado en 2022 </w:t>
      </w:r>
      <w:r w:rsidR="005F2EA9" w:rsidRPr="005F2EA9">
        <w:t xml:space="preserve">únicamente </w:t>
      </w:r>
      <w:r w:rsidRPr="005F2EA9">
        <w:t xml:space="preserve">préstamos </w:t>
      </w:r>
      <w:r w:rsidR="00D54214">
        <w:t xml:space="preserve">con entidades </w:t>
      </w:r>
      <w:r w:rsidRPr="005F2EA9">
        <w:t>financier</w:t>
      </w:r>
      <w:r w:rsidR="00D54214">
        <w:t>a</w:t>
      </w:r>
      <w:r w:rsidRPr="005F2EA9">
        <w:t>s</w:t>
      </w:r>
      <w:r w:rsidR="005F2EA9" w:rsidRPr="005F2EA9">
        <w:t xml:space="preserve">. No se emitió deuda pública a diferencia del ejercicio anterior. </w:t>
      </w:r>
    </w:p>
    <w:p w14:paraId="5B1611B6" w14:textId="77777777" w:rsidR="00614DC4" w:rsidRPr="004D66AC"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4D66AC">
        <w:rPr>
          <w:rFonts w:cs="Arial"/>
          <w:lang w:val="es-ES_tradnl" w:eastAsia="en-US"/>
        </w:rPr>
        <w:t>La recaudación tributaria líquida ascendió en 202</w:t>
      </w:r>
      <w:r w:rsidR="001A379E" w:rsidRPr="004D66AC">
        <w:rPr>
          <w:rFonts w:cs="Arial"/>
          <w:lang w:val="es-ES_tradnl" w:eastAsia="en-US"/>
        </w:rPr>
        <w:t>3</w:t>
      </w:r>
      <w:r w:rsidRPr="004D66AC">
        <w:rPr>
          <w:rFonts w:cs="Arial"/>
          <w:lang w:val="es-ES_tradnl" w:eastAsia="en-US"/>
        </w:rPr>
        <w:t xml:space="preserve"> a </w:t>
      </w:r>
      <w:r w:rsidR="004D66AC" w:rsidRPr="004D66AC">
        <w:rPr>
          <w:rFonts w:cs="Arial"/>
          <w:lang w:val="es-ES_tradnl" w:eastAsia="en-US"/>
        </w:rPr>
        <w:t xml:space="preserve">5.104,56 </w:t>
      </w:r>
      <w:r w:rsidRPr="004D66AC">
        <w:rPr>
          <w:rFonts w:cs="Arial"/>
          <w:lang w:val="es-ES_tradnl" w:eastAsia="en-US"/>
        </w:rPr>
        <w:t>millones, importe superior al de 202</w:t>
      </w:r>
      <w:r w:rsidR="004D66AC" w:rsidRPr="004D66AC">
        <w:rPr>
          <w:rFonts w:cs="Arial"/>
          <w:lang w:val="es-ES_tradnl" w:eastAsia="en-US"/>
        </w:rPr>
        <w:t>2</w:t>
      </w:r>
      <w:r w:rsidRPr="004D66AC">
        <w:rPr>
          <w:rFonts w:cs="Arial"/>
          <w:lang w:val="es-ES_tradnl" w:eastAsia="en-US"/>
        </w:rPr>
        <w:t xml:space="preserve"> en un </w:t>
      </w:r>
      <w:r w:rsidR="004D66AC" w:rsidRPr="004D66AC">
        <w:rPr>
          <w:rFonts w:cs="Arial"/>
          <w:lang w:val="es-ES_tradnl" w:eastAsia="en-US"/>
        </w:rPr>
        <w:t xml:space="preserve">tres </w:t>
      </w:r>
      <w:r w:rsidRPr="004D66AC">
        <w:rPr>
          <w:rFonts w:cs="Arial"/>
          <w:lang w:val="es-ES_tradnl" w:eastAsia="en-US"/>
        </w:rPr>
        <w:t>por ciento (</w:t>
      </w:r>
      <w:r w:rsidR="004D66AC" w:rsidRPr="004D66AC">
        <w:rPr>
          <w:rFonts w:cs="Arial"/>
          <w:lang w:val="es-ES_tradnl" w:eastAsia="en-US"/>
        </w:rPr>
        <w:t>125,11</w:t>
      </w:r>
      <w:r w:rsidRPr="004D66AC">
        <w:rPr>
          <w:rFonts w:cs="Arial"/>
          <w:lang w:val="es-ES_tradnl" w:eastAsia="en-US"/>
        </w:rPr>
        <w:t xml:space="preserve"> millones). </w:t>
      </w:r>
    </w:p>
    <w:p w14:paraId="78B24C0E" w14:textId="77777777" w:rsidR="000D7CCD" w:rsidRPr="00AC70EF" w:rsidRDefault="00614DC4" w:rsidP="000D7CCD">
      <w:pPr>
        <w:pStyle w:val="texto"/>
        <w:spacing w:before="240"/>
        <w:jc w:val="both"/>
      </w:pPr>
      <w:r w:rsidRPr="007C2256">
        <w:rPr>
          <w:color w:val="FF0000"/>
        </w:rPr>
        <w:tab/>
      </w:r>
      <w:r w:rsidR="000D7CCD" w:rsidRPr="00AC70EF">
        <w:t>Esta recaudación supone un 20,86 por ciento del PIB de Navarra, (estimado en 24.475 millones), porcentaje inferior al de 2022 e</w:t>
      </w:r>
      <w:r w:rsidR="0041691B">
        <w:t>n un dos por ciento.</w:t>
      </w:r>
    </w:p>
    <w:p w14:paraId="6B1CA63A" w14:textId="77777777" w:rsidR="000F75B2" w:rsidRDefault="000F75B2">
      <w:pPr>
        <w:rPr>
          <w:rFonts w:ascii="Arial" w:hAnsi="Arial"/>
          <w:spacing w:val="10"/>
          <w:kern w:val="28"/>
          <w:sz w:val="25"/>
          <w:szCs w:val="26"/>
        </w:rPr>
      </w:pPr>
      <w:bookmarkStart w:id="103" w:name="_Toc52267368"/>
      <w:bookmarkStart w:id="104" w:name="_Toc525907439"/>
      <w:bookmarkStart w:id="105" w:name="_Toc494270383"/>
      <w:bookmarkStart w:id="106" w:name="_Toc463350249"/>
      <w:bookmarkStart w:id="107" w:name="_Toc146471244"/>
      <w:r>
        <w:rPr>
          <w:bCs/>
          <w:iCs/>
        </w:rPr>
        <w:br w:type="page"/>
      </w:r>
    </w:p>
    <w:p w14:paraId="4521E3B3" w14:textId="77777777" w:rsidR="00614DC4" w:rsidRDefault="00614DC4" w:rsidP="00614DC4">
      <w:pPr>
        <w:pStyle w:val="atitulo2"/>
        <w:spacing w:before="240"/>
        <w:rPr>
          <w:color w:val="auto"/>
          <w:spacing w:val="6"/>
          <w:sz w:val="26"/>
          <w:szCs w:val="24"/>
        </w:rPr>
      </w:pPr>
      <w:bookmarkStart w:id="108" w:name="_Toc182464280"/>
      <w:r>
        <w:rPr>
          <w:bCs w:val="0"/>
          <w:iCs w:val="0"/>
          <w:color w:val="auto"/>
        </w:rPr>
        <w:lastRenderedPageBreak/>
        <w:t xml:space="preserve">5.2 Situación económico-financiera de la ACFN y sus OOAA a 31 de diciembre de </w:t>
      </w:r>
      <w:bookmarkEnd w:id="103"/>
      <w:bookmarkEnd w:id="104"/>
      <w:bookmarkEnd w:id="105"/>
      <w:bookmarkEnd w:id="106"/>
      <w:r>
        <w:rPr>
          <w:bCs w:val="0"/>
          <w:iCs w:val="0"/>
          <w:color w:val="auto"/>
        </w:rPr>
        <w:t>202</w:t>
      </w:r>
      <w:bookmarkEnd w:id="107"/>
      <w:r w:rsidR="001A379E">
        <w:rPr>
          <w:bCs w:val="0"/>
          <w:iCs w:val="0"/>
          <w:color w:val="auto"/>
        </w:rPr>
        <w:t>3</w:t>
      </w:r>
      <w:bookmarkEnd w:id="108"/>
    </w:p>
    <w:p w14:paraId="402921C5" w14:textId="77777777" w:rsidR="00614DC4" w:rsidRDefault="00614DC4" w:rsidP="00CD47DD">
      <w:pPr>
        <w:pStyle w:val="texto"/>
        <w:spacing w:after="120"/>
        <w:jc w:val="both"/>
      </w:pPr>
      <w:r>
        <w:t>En el cuadro siguiente se muestra la evolución de un conjunto de indicadores relacionados con la situación económico-financiera de la ACFN y sus OOAA en 202</w:t>
      </w:r>
      <w:r w:rsidR="00253F91">
        <w:t>2</w:t>
      </w:r>
      <w:r>
        <w:t xml:space="preserve"> y 202</w:t>
      </w:r>
      <w:r w:rsidR="00253F91">
        <w:t>3</w:t>
      </w:r>
      <w:r>
        <w:t xml:space="preserve">: </w:t>
      </w:r>
    </w:p>
    <w:tbl>
      <w:tblPr>
        <w:tblW w:w="5050" w:type="pct"/>
        <w:tblLayout w:type="fixed"/>
        <w:tblCellMar>
          <w:left w:w="70" w:type="dxa"/>
          <w:right w:w="70" w:type="dxa"/>
        </w:tblCellMar>
        <w:tblLook w:val="04A0" w:firstRow="1" w:lastRow="0" w:firstColumn="1" w:lastColumn="0" w:noHBand="0" w:noVBand="1"/>
      </w:tblPr>
      <w:tblGrid>
        <w:gridCol w:w="4253"/>
        <w:gridCol w:w="1297"/>
        <w:gridCol w:w="16"/>
        <w:gridCol w:w="1634"/>
        <w:gridCol w:w="21"/>
        <w:gridCol w:w="1568"/>
        <w:gridCol w:w="62"/>
        <w:gridCol w:w="26"/>
      </w:tblGrid>
      <w:tr w:rsidR="00614DC4" w:rsidRPr="00554B3C" w14:paraId="1E8B073E" w14:textId="77777777" w:rsidTr="00A872CE">
        <w:trPr>
          <w:gridAfter w:val="2"/>
          <w:wAfter w:w="88" w:type="dxa"/>
          <w:trHeight w:val="198"/>
        </w:trPr>
        <w:tc>
          <w:tcPr>
            <w:tcW w:w="8789" w:type="dxa"/>
            <w:gridSpan w:val="6"/>
            <w:tcBorders>
              <w:top w:val="nil"/>
              <w:left w:val="nil"/>
              <w:bottom w:val="single" w:sz="2" w:space="0" w:color="auto"/>
              <w:right w:val="nil"/>
            </w:tcBorders>
            <w:noWrap/>
            <w:vAlign w:val="center"/>
            <w:hideMark/>
          </w:tcPr>
          <w:p w14:paraId="050150F2" w14:textId="77777777" w:rsidR="00614DC4" w:rsidRPr="00554B3C" w:rsidRDefault="00614DC4" w:rsidP="00A872CE">
            <w:pPr>
              <w:keepLines/>
              <w:tabs>
                <w:tab w:val="right" w:pos="2835"/>
                <w:tab w:val="right" w:pos="3969"/>
                <w:tab w:val="right" w:pos="5103"/>
                <w:tab w:val="right" w:pos="6237"/>
                <w:tab w:val="right" w:pos="7371"/>
              </w:tabs>
              <w:ind w:right="-92"/>
              <w:jc w:val="right"/>
              <w:rPr>
                <w:rFonts w:ascii="Arial Narrow" w:hAnsi="Arial Narrow" w:cs="Arial"/>
                <w:spacing w:val="6"/>
                <w:sz w:val="17"/>
                <w:szCs w:val="17"/>
              </w:rPr>
            </w:pPr>
            <w:r w:rsidRPr="00554B3C">
              <w:rPr>
                <w:rFonts w:ascii="Arial Narrow" w:hAnsi="Arial Narrow" w:cs="Arial"/>
                <w:spacing w:val="6"/>
                <w:sz w:val="17"/>
                <w:szCs w:val="17"/>
              </w:rPr>
              <w:t xml:space="preserve"> (en miles)</w:t>
            </w:r>
          </w:p>
        </w:tc>
      </w:tr>
      <w:tr w:rsidR="00614DC4" w14:paraId="2E3280B4" w14:textId="77777777" w:rsidTr="00554B3C">
        <w:trPr>
          <w:trHeight w:val="255"/>
        </w:trPr>
        <w:tc>
          <w:tcPr>
            <w:tcW w:w="4253" w:type="dxa"/>
            <w:tcBorders>
              <w:top w:val="single" w:sz="4" w:space="0" w:color="auto"/>
              <w:left w:val="nil"/>
              <w:bottom w:val="single" w:sz="4" w:space="0" w:color="auto"/>
              <w:right w:val="nil"/>
            </w:tcBorders>
            <w:shd w:val="clear" w:color="auto" w:fill="8DB3E2" w:themeFill="text2" w:themeFillTint="66"/>
            <w:noWrap/>
            <w:vAlign w:val="center"/>
            <w:hideMark/>
          </w:tcPr>
          <w:p w14:paraId="56A19942" w14:textId="77777777" w:rsidR="00614DC4" w:rsidRDefault="00614DC4" w:rsidP="005E65C2">
            <w:pPr>
              <w:pStyle w:val="cuadroCabe"/>
            </w:pPr>
            <w:r>
              <w:t>Indicadores</w:t>
            </w:r>
          </w:p>
        </w:tc>
        <w:tc>
          <w:tcPr>
            <w:tcW w:w="1313" w:type="dxa"/>
            <w:gridSpan w:val="2"/>
            <w:tcBorders>
              <w:top w:val="single" w:sz="4" w:space="0" w:color="auto"/>
              <w:left w:val="nil"/>
              <w:bottom w:val="single" w:sz="4" w:space="0" w:color="auto"/>
              <w:right w:val="nil"/>
            </w:tcBorders>
            <w:shd w:val="clear" w:color="auto" w:fill="8DB3E2" w:themeFill="text2" w:themeFillTint="66"/>
            <w:vAlign w:val="center"/>
            <w:hideMark/>
          </w:tcPr>
          <w:p w14:paraId="10815A9D" w14:textId="77777777" w:rsidR="00614DC4" w:rsidRDefault="00614DC4" w:rsidP="005E65C2">
            <w:pPr>
              <w:pStyle w:val="cuadroCabe"/>
              <w:jc w:val="right"/>
            </w:pPr>
            <w:r>
              <w:t>202</w:t>
            </w:r>
            <w:r w:rsidR="001A379E">
              <w:t>2</w:t>
            </w:r>
          </w:p>
        </w:tc>
        <w:tc>
          <w:tcPr>
            <w:tcW w:w="1655" w:type="dxa"/>
            <w:gridSpan w:val="2"/>
            <w:tcBorders>
              <w:top w:val="single" w:sz="4" w:space="0" w:color="auto"/>
              <w:left w:val="nil"/>
              <w:bottom w:val="single" w:sz="4" w:space="0" w:color="auto"/>
              <w:right w:val="nil"/>
            </w:tcBorders>
            <w:shd w:val="clear" w:color="auto" w:fill="8DB3E2" w:themeFill="text2" w:themeFillTint="66"/>
            <w:noWrap/>
            <w:vAlign w:val="center"/>
            <w:hideMark/>
          </w:tcPr>
          <w:p w14:paraId="4D7DE026" w14:textId="77777777" w:rsidR="00614DC4" w:rsidRDefault="00614DC4" w:rsidP="005E65C2">
            <w:pPr>
              <w:pStyle w:val="cuadroCabe"/>
              <w:jc w:val="right"/>
            </w:pPr>
            <w:r>
              <w:t>202</w:t>
            </w:r>
            <w:r w:rsidR="001A379E">
              <w:t>3</w:t>
            </w:r>
          </w:p>
        </w:tc>
        <w:tc>
          <w:tcPr>
            <w:tcW w:w="1656" w:type="dxa"/>
            <w:gridSpan w:val="3"/>
            <w:tcBorders>
              <w:top w:val="single" w:sz="4" w:space="0" w:color="auto"/>
              <w:left w:val="nil"/>
              <w:bottom w:val="single" w:sz="4" w:space="0" w:color="auto"/>
              <w:right w:val="nil"/>
            </w:tcBorders>
            <w:shd w:val="clear" w:color="auto" w:fill="8DB3E2" w:themeFill="text2" w:themeFillTint="66"/>
            <w:noWrap/>
            <w:vAlign w:val="center"/>
            <w:hideMark/>
          </w:tcPr>
          <w:p w14:paraId="710CE499" w14:textId="77777777" w:rsidR="00614DC4" w:rsidRDefault="00614DC4" w:rsidP="005E65C2">
            <w:pPr>
              <w:pStyle w:val="cuadroCabe"/>
              <w:jc w:val="right"/>
            </w:pPr>
            <w:r>
              <w:t xml:space="preserve">% Variación </w:t>
            </w:r>
          </w:p>
          <w:p w14:paraId="16AAB6C6" w14:textId="77777777" w:rsidR="00614DC4" w:rsidRDefault="00614DC4" w:rsidP="005E65C2">
            <w:pPr>
              <w:pStyle w:val="cuadroCabe"/>
              <w:jc w:val="right"/>
            </w:pPr>
            <w:r>
              <w:t>202</w:t>
            </w:r>
            <w:r w:rsidR="001A379E">
              <w:t>3</w:t>
            </w:r>
            <w:r>
              <w:t>/202</w:t>
            </w:r>
            <w:r w:rsidR="001A379E">
              <w:t>2</w:t>
            </w:r>
          </w:p>
        </w:tc>
      </w:tr>
      <w:tr w:rsidR="001A379E" w:rsidRPr="00F56DF5" w14:paraId="4C75EE3E" w14:textId="77777777" w:rsidTr="00554B3C">
        <w:trPr>
          <w:gridAfter w:val="1"/>
          <w:wAfter w:w="26" w:type="dxa"/>
          <w:trHeight w:val="198"/>
        </w:trPr>
        <w:tc>
          <w:tcPr>
            <w:tcW w:w="4253" w:type="dxa"/>
            <w:tcBorders>
              <w:top w:val="single" w:sz="2" w:space="0" w:color="auto"/>
              <w:left w:val="nil"/>
              <w:bottom w:val="single" w:sz="2" w:space="0" w:color="auto"/>
              <w:right w:val="nil"/>
            </w:tcBorders>
            <w:noWrap/>
            <w:vAlign w:val="center"/>
            <w:hideMark/>
          </w:tcPr>
          <w:p w14:paraId="62804AC3" w14:textId="77777777" w:rsidR="001A379E" w:rsidRPr="00F56DF5" w:rsidRDefault="001A379E" w:rsidP="005E65C2">
            <w:pPr>
              <w:pStyle w:val="cuatexto"/>
            </w:pPr>
            <w:r w:rsidRPr="00F56DF5">
              <w:t>Saldo presupuestario no financiero</w:t>
            </w:r>
          </w:p>
        </w:tc>
        <w:tc>
          <w:tcPr>
            <w:tcW w:w="1297" w:type="dxa"/>
            <w:tcBorders>
              <w:top w:val="nil"/>
              <w:left w:val="nil"/>
              <w:bottom w:val="single" w:sz="2" w:space="0" w:color="auto"/>
              <w:right w:val="nil"/>
            </w:tcBorders>
            <w:vAlign w:val="center"/>
          </w:tcPr>
          <w:p w14:paraId="6EC0FEB7" w14:textId="77777777" w:rsidR="001A379E" w:rsidRPr="00F56DF5" w:rsidRDefault="001A379E" w:rsidP="005E65C2">
            <w:pPr>
              <w:pStyle w:val="cuatexto"/>
              <w:jc w:val="right"/>
              <w:rPr>
                <w:rFonts w:cs="Calibri"/>
                <w:color w:val="000000"/>
              </w:rPr>
            </w:pPr>
            <w:r w:rsidRPr="00F56DF5">
              <w:rPr>
                <w:rFonts w:cs="Calibri"/>
                <w:color w:val="000000"/>
              </w:rPr>
              <w:t>303.857</w:t>
            </w:r>
          </w:p>
        </w:tc>
        <w:tc>
          <w:tcPr>
            <w:tcW w:w="1650" w:type="dxa"/>
            <w:gridSpan w:val="2"/>
            <w:tcBorders>
              <w:top w:val="nil"/>
              <w:left w:val="nil"/>
              <w:bottom w:val="single" w:sz="2" w:space="0" w:color="auto"/>
              <w:right w:val="nil"/>
            </w:tcBorders>
            <w:noWrap/>
            <w:vAlign w:val="center"/>
          </w:tcPr>
          <w:p w14:paraId="7CF8B78D" w14:textId="77777777" w:rsidR="001A379E" w:rsidRPr="00F56DF5" w:rsidRDefault="00BF5CA7" w:rsidP="005E65C2">
            <w:pPr>
              <w:pStyle w:val="cuatexto"/>
              <w:jc w:val="right"/>
              <w:rPr>
                <w:rFonts w:cs="Calibri"/>
                <w:color w:val="000000"/>
              </w:rPr>
            </w:pPr>
            <w:r w:rsidRPr="00F56DF5">
              <w:rPr>
                <w:rFonts w:cs="Calibri"/>
                <w:color w:val="000000"/>
              </w:rPr>
              <w:t>329.006</w:t>
            </w:r>
          </w:p>
        </w:tc>
        <w:tc>
          <w:tcPr>
            <w:tcW w:w="1651" w:type="dxa"/>
            <w:gridSpan w:val="3"/>
            <w:tcBorders>
              <w:top w:val="nil"/>
              <w:left w:val="nil"/>
              <w:bottom w:val="single" w:sz="2" w:space="0" w:color="auto"/>
              <w:right w:val="nil"/>
            </w:tcBorders>
            <w:noWrap/>
          </w:tcPr>
          <w:p w14:paraId="6CA68CD6" w14:textId="77777777" w:rsidR="001A379E" w:rsidRPr="00F56DF5" w:rsidRDefault="00BF5CA7" w:rsidP="005E65C2">
            <w:pPr>
              <w:pStyle w:val="cuatexto"/>
              <w:jc w:val="right"/>
              <w:rPr>
                <w:rFonts w:cs="Calibri"/>
              </w:rPr>
            </w:pPr>
            <w:r w:rsidRPr="00F56DF5">
              <w:rPr>
                <w:rFonts w:cs="Calibri"/>
              </w:rPr>
              <w:t>8</w:t>
            </w:r>
          </w:p>
        </w:tc>
      </w:tr>
      <w:tr w:rsidR="001A379E" w:rsidRPr="00F56DF5" w14:paraId="15FCD90B" w14:textId="77777777" w:rsidTr="00512F56">
        <w:trPr>
          <w:gridAfter w:val="1"/>
          <w:wAfter w:w="26" w:type="dxa"/>
          <w:trHeight w:val="198"/>
        </w:trPr>
        <w:tc>
          <w:tcPr>
            <w:tcW w:w="4253" w:type="dxa"/>
            <w:tcBorders>
              <w:top w:val="single" w:sz="2" w:space="0" w:color="auto"/>
              <w:left w:val="nil"/>
              <w:bottom w:val="single" w:sz="2" w:space="0" w:color="auto"/>
              <w:right w:val="nil"/>
            </w:tcBorders>
            <w:noWrap/>
            <w:vAlign w:val="center"/>
            <w:hideMark/>
          </w:tcPr>
          <w:p w14:paraId="6341AE24" w14:textId="77777777" w:rsidR="001A379E" w:rsidRPr="00F56DF5" w:rsidRDefault="001A379E" w:rsidP="005E65C2">
            <w:pPr>
              <w:pStyle w:val="cuatexto"/>
            </w:pPr>
            <w:r w:rsidRPr="00F56DF5">
              <w:t>Resultado presupuestario ajustado</w:t>
            </w:r>
          </w:p>
        </w:tc>
        <w:tc>
          <w:tcPr>
            <w:tcW w:w="1297" w:type="dxa"/>
            <w:tcBorders>
              <w:top w:val="single" w:sz="2" w:space="0" w:color="auto"/>
              <w:left w:val="nil"/>
              <w:bottom w:val="single" w:sz="2" w:space="0" w:color="auto"/>
              <w:right w:val="nil"/>
            </w:tcBorders>
            <w:vAlign w:val="center"/>
          </w:tcPr>
          <w:p w14:paraId="69C29150" w14:textId="77777777" w:rsidR="001A379E" w:rsidRPr="00F56DF5" w:rsidRDefault="001A379E" w:rsidP="005E65C2">
            <w:pPr>
              <w:pStyle w:val="cuatexto"/>
              <w:jc w:val="right"/>
              <w:rPr>
                <w:rFonts w:cs="Calibri"/>
                <w:color w:val="000000"/>
              </w:rPr>
            </w:pPr>
            <w:r w:rsidRPr="00F56DF5">
              <w:rPr>
                <w:rFonts w:cs="Calibri"/>
                <w:color w:val="000000"/>
              </w:rPr>
              <w:t>295.271</w:t>
            </w:r>
          </w:p>
        </w:tc>
        <w:tc>
          <w:tcPr>
            <w:tcW w:w="1650" w:type="dxa"/>
            <w:gridSpan w:val="2"/>
            <w:tcBorders>
              <w:top w:val="single" w:sz="2" w:space="0" w:color="auto"/>
              <w:left w:val="nil"/>
              <w:bottom w:val="single" w:sz="2" w:space="0" w:color="auto"/>
              <w:right w:val="nil"/>
            </w:tcBorders>
            <w:noWrap/>
            <w:vAlign w:val="center"/>
          </w:tcPr>
          <w:p w14:paraId="684D9C07" w14:textId="77777777" w:rsidR="001A379E" w:rsidRPr="00F56DF5" w:rsidRDefault="00FA5CB9" w:rsidP="005E65C2">
            <w:pPr>
              <w:pStyle w:val="cuatexto"/>
              <w:jc w:val="right"/>
              <w:rPr>
                <w:rFonts w:cs="Calibri"/>
                <w:color w:val="000000"/>
              </w:rPr>
            </w:pPr>
            <w:r w:rsidRPr="00F56DF5">
              <w:rPr>
                <w:rFonts w:cs="Calibri"/>
                <w:color w:val="000000"/>
              </w:rPr>
              <w:t>96.473</w:t>
            </w:r>
          </w:p>
        </w:tc>
        <w:tc>
          <w:tcPr>
            <w:tcW w:w="1651" w:type="dxa"/>
            <w:gridSpan w:val="3"/>
            <w:tcBorders>
              <w:top w:val="single" w:sz="2" w:space="0" w:color="auto"/>
              <w:left w:val="nil"/>
              <w:bottom w:val="single" w:sz="2" w:space="0" w:color="auto"/>
              <w:right w:val="nil"/>
            </w:tcBorders>
            <w:noWrap/>
          </w:tcPr>
          <w:p w14:paraId="04679CF3" w14:textId="77777777" w:rsidR="001A379E" w:rsidRPr="00F56DF5" w:rsidRDefault="00253F91" w:rsidP="005E65C2">
            <w:pPr>
              <w:pStyle w:val="cuatexto"/>
              <w:jc w:val="right"/>
              <w:rPr>
                <w:rFonts w:cs="Calibri"/>
              </w:rPr>
            </w:pPr>
            <w:r w:rsidRPr="00F56DF5">
              <w:rPr>
                <w:rFonts w:cs="Calibri"/>
              </w:rPr>
              <w:t>-67</w:t>
            </w:r>
          </w:p>
        </w:tc>
      </w:tr>
      <w:tr w:rsidR="001A379E" w:rsidRPr="00F56DF5" w14:paraId="3037C998" w14:textId="77777777" w:rsidTr="00512F56">
        <w:trPr>
          <w:gridAfter w:val="1"/>
          <w:wAfter w:w="26" w:type="dxa"/>
          <w:trHeight w:val="198"/>
        </w:trPr>
        <w:tc>
          <w:tcPr>
            <w:tcW w:w="4253" w:type="dxa"/>
            <w:tcBorders>
              <w:top w:val="single" w:sz="2" w:space="0" w:color="auto"/>
              <w:left w:val="nil"/>
              <w:bottom w:val="single" w:sz="2" w:space="0" w:color="auto"/>
              <w:right w:val="nil"/>
            </w:tcBorders>
            <w:noWrap/>
            <w:vAlign w:val="center"/>
            <w:hideMark/>
          </w:tcPr>
          <w:p w14:paraId="201F2868" w14:textId="77777777" w:rsidR="001A379E" w:rsidRPr="00F56DF5" w:rsidRDefault="001A379E" w:rsidP="005E65C2">
            <w:pPr>
              <w:pStyle w:val="cuatexto"/>
            </w:pPr>
            <w:r w:rsidRPr="00F56DF5">
              <w:t>Ahorro Bruto</w:t>
            </w:r>
          </w:p>
        </w:tc>
        <w:tc>
          <w:tcPr>
            <w:tcW w:w="1297" w:type="dxa"/>
            <w:tcBorders>
              <w:top w:val="single" w:sz="2" w:space="0" w:color="auto"/>
              <w:left w:val="nil"/>
              <w:bottom w:val="single" w:sz="2" w:space="0" w:color="auto"/>
              <w:right w:val="nil"/>
            </w:tcBorders>
            <w:vAlign w:val="center"/>
          </w:tcPr>
          <w:p w14:paraId="665DD41A" w14:textId="77777777" w:rsidR="001A379E" w:rsidRPr="00F56DF5" w:rsidRDefault="001A379E" w:rsidP="005E65C2">
            <w:pPr>
              <w:pStyle w:val="cuatexto"/>
              <w:jc w:val="right"/>
              <w:rPr>
                <w:rFonts w:cs="Calibri"/>
                <w:color w:val="000000"/>
              </w:rPr>
            </w:pPr>
            <w:r w:rsidRPr="00F56DF5">
              <w:rPr>
                <w:rFonts w:cs="Calibri"/>
                <w:color w:val="000000"/>
              </w:rPr>
              <w:t>553.565</w:t>
            </w:r>
          </w:p>
        </w:tc>
        <w:tc>
          <w:tcPr>
            <w:tcW w:w="1650" w:type="dxa"/>
            <w:gridSpan w:val="2"/>
            <w:tcBorders>
              <w:top w:val="single" w:sz="2" w:space="0" w:color="auto"/>
              <w:left w:val="nil"/>
              <w:bottom w:val="single" w:sz="2" w:space="0" w:color="auto"/>
              <w:right w:val="nil"/>
            </w:tcBorders>
            <w:noWrap/>
            <w:vAlign w:val="center"/>
          </w:tcPr>
          <w:p w14:paraId="389EDDBC" w14:textId="77777777" w:rsidR="001A379E" w:rsidRPr="00F56DF5" w:rsidRDefault="00BF5CA7" w:rsidP="005E65C2">
            <w:pPr>
              <w:pStyle w:val="cuatexto"/>
              <w:jc w:val="right"/>
              <w:rPr>
                <w:rFonts w:cs="Calibri"/>
                <w:color w:val="000000"/>
              </w:rPr>
            </w:pPr>
            <w:r w:rsidRPr="00F56DF5">
              <w:rPr>
                <w:rFonts w:cs="Calibri"/>
                <w:color w:val="000000"/>
              </w:rPr>
              <w:t>687.540</w:t>
            </w:r>
          </w:p>
        </w:tc>
        <w:tc>
          <w:tcPr>
            <w:tcW w:w="1651" w:type="dxa"/>
            <w:gridSpan w:val="3"/>
            <w:tcBorders>
              <w:top w:val="single" w:sz="2" w:space="0" w:color="auto"/>
              <w:left w:val="nil"/>
              <w:bottom w:val="single" w:sz="2" w:space="0" w:color="auto"/>
              <w:right w:val="nil"/>
            </w:tcBorders>
            <w:noWrap/>
          </w:tcPr>
          <w:p w14:paraId="41AD4B8A" w14:textId="77777777" w:rsidR="001A379E" w:rsidRPr="00F56DF5" w:rsidRDefault="00BF5CA7" w:rsidP="005E65C2">
            <w:pPr>
              <w:pStyle w:val="cuatexto"/>
              <w:jc w:val="right"/>
              <w:rPr>
                <w:rFonts w:cs="Calibri"/>
              </w:rPr>
            </w:pPr>
            <w:r w:rsidRPr="00F56DF5">
              <w:rPr>
                <w:rFonts w:cs="Calibri"/>
              </w:rPr>
              <w:t>24</w:t>
            </w:r>
          </w:p>
        </w:tc>
      </w:tr>
      <w:tr w:rsidR="001A379E" w:rsidRPr="00F56DF5" w14:paraId="53572B66" w14:textId="77777777" w:rsidTr="00512F56">
        <w:trPr>
          <w:gridAfter w:val="1"/>
          <w:wAfter w:w="26" w:type="dxa"/>
          <w:trHeight w:val="198"/>
        </w:trPr>
        <w:tc>
          <w:tcPr>
            <w:tcW w:w="4253" w:type="dxa"/>
            <w:tcBorders>
              <w:top w:val="single" w:sz="2" w:space="0" w:color="auto"/>
              <w:left w:val="nil"/>
              <w:bottom w:val="single" w:sz="2" w:space="0" w:color="auto"/>
              <w:right w:val="nil"/>
            </w:tcBorders>
            <w:noWrap/>
            <w:vAlign w:val="center"/>
            <w:hideMark/>
          </w:tcPr>
          <w:p w14:paraId="673DAB9A" w14:textId="77777777" w:rsidR="001A379E" w:rsidRPr="00F56DF5" w:rsidRDefault="001A379E" w:rsidP="005E65C2">
            <w:pPr>
              <w:pStyle w:val="cuatexto"/>
            </w:pPr>
            <w:r w:rsidRPr="00F56DF5">
              <w:t>Carga Financiera (cap. 3 y 9)</w:t>
            </w:r>
          </w:p>
        </w:tc>
        <w:tc>
          <w:tcPr>
            <w:tcW w:w="1297" w:type="dxa"/>
            <w:tcBorders>
              <w:top w:val="single" w:sz="2" w:space="0" w:color="auto"/>
              <w:left w:val="nil"/>
              <w:bottom w:val="single" w:sz="2" w:space="0" w:color="auto"/>
              <w:right w:val="nil"/>
            </w:tcBorders>
            <w:vAlign w:val="center"/>
          </w:tcPr>
          <w:p w14:paraId="43ED158D" w14:textId="77777777" w:rsidR="001A379E" w:rsidRPr="00F56DF5" w:rsidRDefault="001A379E" w:rsidP="005E65C2">
            <w:pPr>
              <w:pStyle w:val="cuatexto"/>
              <w:jc w:val="right"/>
              <w:rPr>
                <w:rFonts w:cs="Calibri"/>
                <w:color w:val="000000"/>
              </w:rPr>
            </w:pPr>
            <w:r w:rsidRPr="00F56DF5">
              <w:rPr>
                <w:rFonts w:cs="Calibri"/>
                <w:color w:val="000000"/>
              </w:rPr>
              <w:t>425.108</w:t>
            </w:r>
          </w:p>
        </w:tc>
        <w:tc>
          <w:tcPr>
            <w:tcW w:w="1650" w:type="dxa"/>
            <w:gridSpan w:val="2"/>
            <w:tcBorders>
              <w:top w:val="single" w:sz="2" w:space="0" w:color="auto"/>
              <w:left w:val="nil"/>
              <w:bottom w:val="single" w:sz="2" w:space="0" w:color="auto"/>
              <w:right w:val="nil"/>
            </w:tcBorders>
            <w:noWrap/>
            <w:vAlign w:val="center"/>
          </w:tcPr>
          <w:p w14:paraId="79609D8F" w14:textId="77777777" w:rsidR="001A379E" w:rsidRPr="00F56DF5" w:rsidRDefault="00BF5CA7" w:rsidP="005E65C2">
            <w:pPr>
              <w:pStyle w:val="cuatexto"/>
              <w:jc w:val="right"/>
              <w:rPr>
                <w:rFonts w:cs="Calibri"/>
                <w:color w:val="000000"/>
              </w:rPr>
            </w:pPr>
            <w:r w:rsidRPr="00F56DF5">
              <w:rPr>
                <w:rFonts w:cs="Calibri"/>
                <w:color w:val="000000"/>
              </w:rPr>
              <w:t>266.351</w:t>
            </w:r>
          </w:p>
        </w:tc>
        <w:tc>
          <w:tcPr>
            <w:tcW w:w="1651" w:type="dxa"/>
            <w:gridSpan w:val="3"/>
            <w:tcBorders>
              <w:top w:val="single" w:sz="2" w:space="0" w:color="auto"/>
              <w:left w:val="nil"/>
              <w:bottom w:val="single" w:sz="2" w:space="0" w:color="auto"/>
              <w:right w:val="nil"/>
            </w:tcBorders>
            <w:noWrap/>
          </w:tcPr>
          <w:p w14:paraId="0A8960E7" w14:textId="77777777" w:rsidR="001A379E" w:rsidRPr="00F56DF5" w:rsidRDefault="00BF5CA7" w:rsidP="005E65C2">
            <w:pPr>
              <w:pStyle w:val="cuatexto"/>
              <w:jc w:val="right"/>
              <w:rPr>
                <w:rFonts w:cs="Calibri"/>
              </w:rPr>
            </w:pPr>
            <w:r w:rsidRPr="00F56DF5">
              <w:rPr>
                <w:rFonts w:cs="Calibri"/>
              </w:rPr>
              <w:t>-37</w:t>
            </w:r>
          </w:p>
        </w:tc>
      </w:tr>
      <w:tr w:rsidR="001A379E" w:rsidRPr="00F56DF5" w14:paraId="250C0A00" w14:textId="77777777" w:rsidTr="00512F56">
        <w:trPr>
          <w:gridAfter w:val="1"/>
          <w:wAfter w:w="26" w:type="dxa"/>
          <w:trHeight w:val="198"/>
        </w:trPr>
        <w:tc>
          <w:tcPr>
            <w:tcW w:w="4253" w:type="dxa"/>
            <w:tcBorders>
              <w:top w:val="single" w:sz="2" w:space="0" w:color="auto"/>
              <w:left w:val="nil"/>
              <w:bottom w:val="single" w:sz="2" w:space="0" w:color="auto"/>
              <w:right w:val="nil"/>
            </w:tcBorders>
            <w:noWrap/>
            <w:vAlign w:val="center"/>
            <w:hideMark/>
          </w:tcPr>
          <w:p w14:paraId="5228CBB5" w14:textId="77777777" w:rsidR="001A379E" w:rsidRPr="00F56DF5" w:rsidRDefault="001A379E" w:rsidP="005E65C2">
            <w:pPr>
              <w:pStyle w:val="cuatexto"/>
            </w:pPr>
            <w:r w:rsidRPr="00F56DF5">
              <w:t xml:space="preserve">Ahorro Neto </w:t>
            </w:r>
          </w:p>
        </w:tc>
        <w:tc>
          <w:tcPr>
            <w:tcW w:w="1297" w:type="dxa"/>
            <w:tcBorders>
              <w:top w:val="single" w:sz="2" w:space="0" w:color="auto"/>
              <w:left w:val="nil"/>
              <w:bottom w:val="single" w:sz="2" w:space="0" w:color="auto"/>
              <w:right w:val="nil"/>
            </w:tcBorders>
            <w:vAlign w:val="center"/>
          </w:tcPr>
          <w:p w14:paraId="021BCEED" w14:textId="77777777" w:rsidR="001A379E" w:rsidRPr="00F56DF5" w:rsidRDefault="001A379E" w:rsidP="005E65C2">
            <w:pPr>
              <w:pStyle w:val="cuatexto"/>
              <w:jc w:val="right"/>
              <w:rPr>
                <w:rFonts w:cs="Calibri"/>
                <w:color w:val="000000"/>
              </w:rPr>
            </w:pPr>
            <w:r w:rsidRPr="00F56DF5">
              <w:rPr>
                <w:rFonts w:cs="Calibri"/>
                <w:color w:val="000000"/>
              </w:rPr>
              <w:t>128.457</w:t>
            </w:r>
          </w:p>
        </w:tc>
        <w:tc>
          <w:tcPr>
            <w:tcW w:w="1650" w:type="dxa"/>
            <w:gridSpan w:val="2"/>
            <w:tcBorders>
              <w:top w:val="single" w:sz="2" w:space="0" w:color="auto"/>
              <w:left w:val="nil"/>
              <w:bottom w:val="single" w:sz="2" w:space="0" w:color="auto"/>
              <w:right w:val="nil"/>
            </w:tcBorders>
            <w:noWrap/>
            <w:vAlign w:val="center"/>
          </w:tcPr>
          <w:p w14:paraId="7FDE0A59" w14:textId="77777777" w:rsidR="001A379E" w:rsidRPr="00F56DF5" w:rsidRDefault="00BF5CA7" w:rsidP="005E65C2">
            <w:pPr>
              <w:pStyle w:val="cuatexto"/>
              <w:jc w:val="right"/>
              <w:rPr>
                <w:rFonts w:cs="Calibri"/>
                <w:color w:val="000000"/>
              </w:rPr>
            </w:pPr>
            <w:r w:rsidRPr="00F56DF5">
              <w:rPr>
                <w:rFonts w:cs="Calibri"/>
                <w:color w:val="000000"/>
              </w:rPr>
              <w:t>421.189</w:t>
            </w:r>
          </w:p>
        </w:tc>
        <w:tc>
          <w:tcPr>
            <w:tcW w:w="1651" w:type="dxa"/>
            <w:gridSpan w:val="3"/>
            <w:tcBorders>
              <w:top w:val="single" w:sz="2" w:space="0" w:color="auto"/>
              <w:left w:val="nil"/>
              <w:bottom w:val="single" w:sz="2" w:space="0" w:color="auto"/>
              <w:right w:val="nil"/>
            </w:tcBorders>
            <w:noWrap/>
          </w:tcPr>
          <w:p w14:paraId="043FF7A4" w14:textId="77777777" w:rsidR="001A379E" w:rsidRPr="00F56DF5" w:rsidRDefault="00BF5CA7" w:rsidP="005E65C2">
            <w:pPr>
              <w:pStyle w:val="cuatexto"/>
              <w:jc w:val="right"/>
              <w:rPr>
                <w:rFonts w:cs="Calibri"/>
              </w:rPr>
            </w:pPr>
            <w:r w:rsidRPr="00F56DF5">
              <w:rPr>
                <w:rFonts w:cs="Calibri"/>
              </w:rPr>
              <w:t>228</w:t>
            </w:r>
          </w:p>
        </w:tc>
      </w:tr>
      <w:tr w:rsidR="001A379E" w:rsidRPr="00CD47DD" w14:paraId="68D7D80C" w14:textId="77777777" w:rsidTr="00512F56">
        <w:trPr>
          <w:gridAfter w:val="1"/>
          <w:wAfter w:w="26" w:type="dxa"/>
          <w:trHeight w:val="198"/>
        </w:trPr>
        <w:tc>
          <w:tcPr>
            <w:tcW w:w="4253" w:type="dxa"/>
            <w:tcBorders>
              <w:top w:val="single" w:sz="2" w:space="0" w:color="auto"/>
              <w:left w:val="nil"/>
              <w:bottom w:val="single" w:sz="2" w:space="0" w:color="auto"/>
              <w:right w:val="nil"/>
            </w:tcBorders>
            <w:noWrap/>
            <w:vAlign w:val="center"/>
            <w:hideMark/>
          </w:tcPr>
          <w:p w14:paraId="59E8570C" w14:textId="77777777" w:rsidR="001A379E" w:rsidRPr="00CD47DD" w:rsidRDefault="001A379E" w:rsidP="005E65C2">
            <w:pPr>
              <w:pStyle w:val="cuatexto"/>
            </w:pPr>
            <w:r w:rsidRPr="00CD47DD">
              <w:t>Deuda financiera *</w:t>
            </w:r>
          </w:p>
        </w:tc>
        <w:tc>
          <w:tcPr>
            <w:tcW w:w="1297" w:type="dxa"/>
            <w:tcBorders>
              <w:top w:val="single" w:sz="2" w:space="0" w:color="auto"/>
              <w:left w:val="nil"/>
              <w:bottom w:val="single" w:sz="2" w:space="0" w:color="auto"/>
              <w:right w:val="nil"/>
            </w:tcBorders>
            <w:vAlign w:val="center"/>
          </w:tcPr>
          <w:p w14:paraId="41605847" w14:textId="77777777" w:rsidR="001A379E" w:rsidRPr="00CD47DD" w:rsidRDefault="001A379E" w:rsidP="005E65C2">
            <w:pPr>
              <w:pStyle w:val="cuatexto"/>
              <w:jc w:val="right"/>
              <w:rPr>
                <w:rFonts w:cs="Calibri"/>
              </w:rPr>
            </w:pPr>
            <w:r w:rsidRPr="00CD47DD">
              <w:rPr>
                <w:rFonts w:cs="Calibri"/>
              </w:rPr>
              <w:t>2.867.732</w:t>
            </w:r>
          </w:p>
        </w:tc>
        <w:tc>
          <w:tcPr>
            <w:tcW w:w="1650" w:type="dxa"/>
            <w:gridSpan w:val="2"/>
            <w:tcBorders>
              <w:top w:val="single" w:sz="2" w:space="0" w:color="auto"/>
              <w:left w:val="nil"/>
              <w:bottom w:val="single" w:sz="2" w:space="0" w:color="auto"/>
              <w:right w:val="nil"/>
            </w:tcBorders>
            <w:noWrap/>
            <w:vAlign w:val="center"/>
          </w:tcPr>
          <w:p w14:paraId="28276B5E" w14:textId="77777777" w:rsidR="001A379E" w:rsidRPr="00CD47DD" w:rsidRDefault="00C00C3B" w:rsidP="005E65C2">
            <w:pPr>
              <w:pStyle w:val="cuatexto"/>
              <w:jc w:val="right"/>
              <w:rPr>
                <w:rFonts w:cs="Calibri"/>
              </w:rPr>
            </w:pPr>
            <w:r>
              <w:rPr>
                <w:rFonts w:cs="Calibri"/>
              </w:rPr>
              <w:t>2.695.268</w:t>
            </w:r>
          </w:p>
        </w:tc>
        <w:tc>
          <w:tcPr>
            <w:tcW w:w="1651" w:type="dxa"/>
            <w:gridSpan w:val="3"/>
            <w:tcBorders>
              <w:top w:val="single" w:sz="2" w:space="0" w:color="auto"/>
              <w:left w:val="nil"/>
              <w:bottom w:val="single" w:sz="2" w:space="0" w:color="auto"/>
              <w:right w:val="nil"/>
            </w:tcBorders>
            <w:noWrap/>
          </w:tcPr>
          <w:p w14:paraId="0B4ECB3F" w14:textId="77777777" w:rsidR="001A379E" w:rsidRPr="00CD47DD" w:rsidRDefault="00CD47DD" w:rsidP="005E65C2">
            <w:pPr>
              <w:pStyle w:val="cuatexto"/>
              <w:jc w:val="right"/>
              <w:rPr>
                <w:rFonts w:cs="Calibri"/>
              </w:rPr>
            </w:pPr>
            <w:r w:rsidRPr="00CD47DD">
              <w:rPr>
                <w:rFonts w:cs="Calibri"/>
              </w:rPr>
              <w:t>-6</w:t>
            </w:r>
          </w:p>
        </w:tc>
      </w:tr>
      <w:tr w:rsidR="001A379E" w:rsidRPr="00F56DF5" w14:paraId="6A192719" w14:textId="77777777" w:rsidTr="00512F56">
        <w:trPr>
          <w:gridAfter w:val="1"/>
          <w:wAfter w:w="26" w:type="dxa"/>
          <w:trHeight w:val="198"/>
        </w:trPr>
        <w:tc>
          <w:tcPr>
            <w:tcW w:w="4253" w:type="dxa"/>
            <w:tcBorders>
              <w:top w:val="single" w:sz="2" w:space="0" w:color="auto"/>
              <w:left w:val="nil"/>
              <w:bottom w:val="single" w:sz="2" w:space="0" w:color="auto"/>
              <w:right w:val="nil"/>
            </w:tcBorders>
            <w:noWrap/>
            <w:vAlign w:val="center"/>
            <w:hideMark/>
          </w:tcPr>
          <w:p w14:paraId="3B882BFC" w14:textId="77777777" w:rsidR="001A379E" w:rsidRPr="00F56DF5" w:rsidRDefault="001A379E" w:rsidP="005E65C2">
            <w:pPr>
              <w:pStyle w:val="cuatexto"/>
            </w:pPr>
            <w:r w:rsidRPr="00F56DF5">
              <w:t>Porcentaje deuda sobre ingresos corrientes</w:t>
            </w:r>
          </w:p>
        </w:tc>
        <w:tc>
          <w:tcPr>
            <w:tcW w:w="1297" w:type="dxa"/>
            <w:tcBorders>
              <w:top w:val="single" w:sz="2" w:space="0" w:color="auto"/>
              <w:left w:val="nil"/>
              <w:bottom w:val="single" w:sz="2" w:space="0" w:color="auto"/>
              <w:right w:val="nil"/>
            </w:tcBorders>
            <w:vAlign w:val="center"/>
          </w:tcPr>
          <w:p w14:paraId="720C4467" w14:textId="77777777" w:rsidR="001A379E" w:rsidRPr="00F56DF5" w:rsidRDefault="001A379E" w:rsidP="005E65C2">
            <w:pPr>
              <w:pStyle w:val="cuatexto"/>
              <w:jc w:val="right"/>
              <w:rPr>
                <w:rFonts w:cs="Calibri"/>
                <w:color w:val="000000"/>
              </w:rPr>
            </w:pPr>
            <w:r w:rsidRPr="00F56DF5">
              <w:rPr>
                <w:rFonts w:cs="Calibri"/>
                <w:color w:val="000000"/>
              </w:rPr>
              <w:t>54</w:t>
            </w:r>
          </w:p>
        </w:tc>
        <w:tc>
          <w:tcPr>
            <w:tcW w:w="1650" w:type="dxa"/>
            <w:gridSpan w:val="2"/>
            <w:tcBorders>
              <w:top w:val="single" w:sz="2" w:space="0" w:color="auto"/>
              <w:left w:val="nil"/>
              <w:bottom w:val="single" w:sz="2" w:space="0" w:color="auto"/>
              <w:right w:val="nil"/>
            </w:tcBorders>
            <w:noWrap/>
            <w:vAlign w:val="center"/>
          </w:tcPr>
          <w:p w14:paraId="5BA905CC" w14:textId="77777777" w:rsidR="001A379E" w:rsidRPr="00F56DF5" w:rsidRDefault="00CD47DD" w:rsidP="005E65C2">
            <w:pPr>
              <w:pStyle w:val="cuatexto"/>
              <w:jc w:val="right"/>
              <w:rPr>
                <w:rFonts w:cs="Calibri"/>
                <w:color w:val="000000"/>
              </w:rPr>
            </w:pPr>
            <w:r>
              <w:rPr>
                <w:rFonts w:cs="Calibri"/>
                <w:color w:val="000000"/>
              </w:rPr>
              <w:t>48</w:t>
            </w:r>
          </w:p>
        </w:tc>
        <w:tc>
          <w:tcPr>
            <w:tcW w:w="1651" w:type="dxa"/>
            <w:gridSpan w:val="3"/>
            <w:tcBorders>
              <w:top w:val="single" w:sz="2" w:space="0" w:color="auto"/>
              <w:left w:val="nil"/>
              <w:bottom w:val="single" w:sz="2" w:space="0" w:color="auto"/>
              <w:right w:val="nil"/>
            </w:tcBorders>
            <w:noWrap/>
          </w:tcPr>
          <w:p w14:paraId="7E504FFA" w14:textId="77777777" w:rsidR="001A379E" w:rsidRPr="00F56DF5" w:rsidRDefault="00CD47DD" w:rsidP="005E65C2">
            <w:pPr>
              <w:pStyle w:val="cuatexto"/>
              <w:jc w:val="right"/>
              <w:rPr>
                <w:rFonts w:cs="Calibri"/>
              </w:rPr>
            </w:pPr>
            <w:r>
              <w:rPr>
                <w:rFonts w:cs="Calibri"/>
              </w:rPr>
              <w:t>-11</w:t>
            </w:r>
          </w:p>
        </w:tc>
      </w:tr>
      <w:tr w:rsidR="001A379E" w:rsidRPr="00F56DF5" w14:paraId="20041336" w14:textId="77777777" w:rsidTr="002410BC">
        <w:trPr>
          <w:gridAfter w:val="1"/>
          <w:wAfter w:w="26" w:type="dxa"/>
          <w:trHeight w:val="198"/>
        </w:trPr>
        <w:tc>
          <w:tcPr>
            <w:tcW w:w="4253" w:type="dxa"/>
            <w:tcBorders>
              <w:top w:val="single" w:sz="2" w:space="0" w:color="auto"/>
              <w:left w:val="nil"/>
              <w:bottom w:val="single" w:sz="2" w:space="0" w:color="auto"/>
              <w:right w:val="nil"/>
            </w:tcBorders>
            <w:noWrap/>
            <w:vAlign w:val="center"/>
            <w:hideMark/>
          </w:tcPr>
          <w:p w14:paraId="61FDDEE5" w14:textId="77777777" w:rsidR="001A379E" w:rsidRPr="00F56DF5" w:rsidRDefault="001A379E" w:rsidP="005E65C2">
            <w:pPr>
              <w:pStyle w:val="cuatexto"/>
            </w:pPr>
            <w:r w:rsidRPr="00F56DF5">
              <w:t>Remanente de tesorería para gastos generales</w:t>
            </w:r>
          </w:p>
        </w:tc>
        <w:tc>
          <w:tcPr>
            <w:tcW w:w="1297" w:type="dxa"/>
            <w:tcBorders>
              <w:top w:val="single" w:sz="2" w:space="0" w:color="auto"/>
              <w:left w:val="nil"/>
              <w:bottom w:val="single" w:sz="2" w:space="0" w:color="auto"/>
              <w:right w:val="nil"/>
            </w:tcBorders>
            <w:vAlign w:val="center"/>
          </w:tcPr>
          <w:p w14:paraId="635CD7D9" w14:textId="77777777" w:rsidR="001A379E" w:rsidRPr="00F56DF5" w:rsidRDefault="001A379E" w:rsidP="005E65C2">
            <w:pPr>
              <w:pStyle w:val="cuatexto"/>
              <w:jc w:val="right"/>
              <w:rPr>
                <w:rFonts w:cs="Calibri"/>
                <w:color w:val="000000"/>
              </w:rPr>
            </w:pPr>
            <w:r w:rsidRPr="00F56DF5">
              <w:rPr>
                <w:rFonts w:cs="Calibri"/>
                <w:color w:val="000000"/>
              </w:rPr>
              <w:t>113.698</w:t>
            </w:r>
          </w:p>
        </w:tc>
        <w:tc>
          <w:tcPr>
            <w:tcW w:w="1650" w:type="dxa"/>
            <w:gridSpan w:val="2"/>
            <w:tcBorders>
              <w:top w:val="single" w:sz="2" w:space="0" w:color="auto"/>
              <w:left w:val="nil"/>
              <w:bottom w:val="single" w:sz="2" w:space="0" w:color="auto"/>
              <w:right w:val="nil"/>
            </w:tcBorders>
            <w:noWrap/>
            <w:vAlign w:val="center"/>
          </w:tcPr>
          <w:p w14:paraId="7BD185CE" w14:textId="77777777" w:rsidR="001A379E" w:rsidRPr="00F56DF5" w:rsidRDefault="00C00C3B" w:rsidP="005E65C2">
            <w:pPr>
              <w:pStyle w:val="cuatexto"/>
              <w:jc w:val="right"/>
              <w:rPr>
                <w:rFonts w:cs="Calibri"/>
                <w:color w:val="000000"/>
              </w:rPr>
            </w:pPr>
            <w:r w:rsidRPr="00234477">
              <w:rPr>
                <w:rFonts w:cs="Calibri"/>
                <w:color w:val="000000"/>
              </w:rPr>
              <w:t>196.463</w:t>
            </w:r>
          </w:p>
        </w:tc>
        <w:tc>
          <w:tcPr>
            <w:tcW w:w="1651" w:type="dxa"/>
            <w:gridSpan w:val="3"/>
            <w:tcBorders>
              <w:top w:val="single" w:sz="2" w:space="0" w:color="auto"/>
              <w:left w:val="nil"/>
              <w:bottom w:val="single" w:sz="2" w:space="0" w:color="auto"/>
              <w:right w:val="nil"/>
            </w:tcBorders>
            <w:noWrap/>
          </w:tcPr>
          <w:p w14:paraId="30073835" w14:textId="77777777" w:rsidR="001A379E" w:rsidRPr="00F56DF5" w:rsidRDefault="00234477" w:rsidP="005E65C2">
            <w:pPr>
              <w:pStyle w:val="cuatexto"/>
              <w:jc w:val="right"/>
              <w:rPr>
                <w:rFonts w:cs="Calibri"/>
              </w:rPr>
            </w:pPr>
            <w:r>
              <w:rPr>
                <w:rFonts w:cs="Calibri"/>
              </w:rPr>
              <w:t>73</w:t>
            </w:r>
          </w:p>
        </w:tc>
      </w:tr>
      <w:tr w:rsidR="001A379E" w:rsidRPr="00CD47DD" w14:paraId="0896AA10" w14:textId="77777777" w:rsidTr="002410BC">
        <w:trPr>
          <w:gridAfter w:val="1"/>
          <w:wAfter w:w="26" w:type="dxa"/>
          <w:trHeight w:val="198"/>
        </w:trPr>
        <w:tc>
          <w:tcPr>
            <w:tcW w:w="4253" w:type="dxa"/>
            <w:tcBorders>
              <w:top w:val="single" w:sz="2" w:space="0" w:color="auto"/>
              <w:left w:val="nil"/>
              <w:bottom w:val="single" w:sz="2" w:space="0" w:color="auto"/>
              <w:right w:val="nil"/>
            </w:tcBorders>
            <w:noWrap/>
            <w:vAlign w:val="center"/>
            <w:hideMark/>
          </w:tcPr>
          <w:p w14:paraId="5761BCCE" w14:textId="77777777" w:rsidR="001A379E" w:rsidRPr="00CD47DD" w:rsidRDefault="001A379E" w:rsidP="005E65C2">
            <w:pPr>
              <w:pStyle w:val="cuatexto"/>
            </w:pPr>
            <w:r w:rsidRPr="00CD47DD">
              <w:t>Avales constituidos (saldo vivo)</w:t>
            </w:r>
          </w:p>
        </w:tc>
        <w:tc>
          <w:tcPr>
            <w:tcW w:w="1297" w:type="dxa"/>
            <w:tcBorders>
              <w:top w:val="single" w:sz="2" w:space="0" w:color="auto"/>
              <w:left w:val="nil"/>
              <w:bottom w:val="single" w:sz="2" w:space="0" w:color="auto"/>
              <w:right w:val="nil"/>
            </w:tcBorders>
            <w:vAlign w:val="center"/>
          </w:tcPr>
          <w:p w14:paraId="5B9521E5" w14:textId="77777777" w:rsidR="001A379E" w:rsidRPr="00CD47DD" w:rsidRDefault="001A379E" w:rsidP="00C00C3B">
            <w:pPr>
              <w:pStyle w:val="cuatexto"/>
              <w:jc w:val="right"/>
              <w:rPr>
                <w:rFonts w:cs="Calibri"/>
              </w:rPr>
            </w:pPr>
            <w:r w:rsidRPr="00CD47DD">
              <w:rPr>
                <w:rFonts w:cs="Calibri"/>
              </w:rPr>
              <w:t>42.11</w:t>
            </w:r>
            <w:r w:rsidR="00C00C3B">
              <w:rPr>
                <w:rFonts w:cs="Calibri"/>
              </w:rPr>
              <w:t>8</w:t>
            </w:r>
          </w:p>
        </w:tc>
        <w:tc>
          <w:tcPr>
            <w:tcW w:w="1650" w:type="dxa"/>
            <w:gridSpan w:val="2"/>
            <w:tcBorders>
              <w:top w:val="single" w:sz="2" w:space="0" w:color="auto"/>
              <w:left w:val="nil"/>
              <w:bottom w:val="single" w:sz="2" w:space="0" w:color="auto"/>
              <w:right w:val="nil"/>
            </w:tcBorders>
            <w:noWrap/>
            <w:vAlign w:val="center"/>
          </w:tcPr>
          <w:p w14:paraId="03424016" w14:textId="77777777" w:rsidR="001A379E" w:rsidRPr="00CD47DD" w:rsidRDefault="00CD47DD" w:rsidP="005E65C2">
            <w:pPr>
              <w:pStyle w:val="cuatexto"/>
              <w:jc w:val="right"/>
              <w:rPr>
                <w:rFonts w:cs="Calibri"/>
              </w:rPr>
            </w:pPr>
            <w:r w:rsidRPr="00CD47DD">
              <w:rPr>
                <w:rFonts w:cs="Calibri"/>
              </w:rPr>
              <w:t>43.836</w:t>
            </w:r>
          </w:p>
        </w:tc>
        <w:tc>
          <w:tcPr>
            <w:tcW w:w="1651" w:type="dxa"/>
            <w:gridSpan w:val="3"/>
            <w:tcBorders>
              <w:top w:val="single" w:sz="2" w:space="0" w:color="auto"/>
              <w:left w:val="nil"/>
              <w:bottom w:val="single" w:sz="2" w:space="0" w:color="auto"/>
              <w:right w:val="nil"/>
            </w:tcBorders>
            <w:noWrap/>
          </w:tcPr>
          <w:p w14:paraId="1FA14311" w14:textId="77777777" w:rsidR="001A379E" w:rsidRPr="00CD47DD" w:rsidRDefault="00CD47DD" w:rsidP="005E65C2">
            <w:pPr>
              <w:pStyle w:val="cuatexto"/>
              <w:jc w:val="right"/>
              <w:rPr>
                <w:rFonts w:cs="Calibri"/>
              </w:rPr>
            </w:pPr>
            <w:r w:rsidRPr="00CD47DD">
              <w:rPr>
                <w:rFonts w:cs="Calibri"/>
              </w:rPr>
              <w:t>4</w:t>
            </w:r>
          </w:p>
        </w:tc>
      </w:tr>
      <w:tr w:rsidR="001A379E" w:rsidRPr="00F56DF5" w14:paraId="6647C866" w14:textId="77777777" w:rsidTr="002410BC">
        <w:trPr>
          <w:gridAfter w:val="1"/>
          <w:wAfter w:w="26" w:type="dxa"/>
          <w:trHeight w:val="255"/>
        </w:trPr>
        <w:tc>
          <w:tcPr>
            <w:tcW w:w="4253" w:type="dxa"/>
            <w:tcBorders>
              <w:top w:val="single" w:sz="2" w:space="0" w:color="auto"/>
              <w:left w:val="nil"/>
              <w:bottom w:val="single" w:sz="4" w:space="0" w:color="auto"/>
              <w:right w:val="nil"/>
            </w:tcBorders>
            <w:noWrap/>
            <w:vAlign w:val="center"/>
            <w:hideMark/>
          </w:tcPr>
          <w:p w14:paraId="1706EBDA" w14:textId="77777777" w:rsidR="001A379E" w:rsidRPr="00F56DF5" w:rsidRDefault="001A379E" w:rsidP="005E65C2">
            <w:pPr>
              <w:pStyle w:val="cuatexto"/>
            </w:pPr>
            <w:r w:rsidRPr="00F56DF5">
              <w:t xml:space="preserve">Compromisos de gastos </w:t>
            </w:r>
            <w:proofErr w:type="spellStart"/>
            <w:r w:rsidRPr="00F56DF5">
              <w:t>presup</w:t>
            </w:r>
            <w:proofErr w:type="spellEnd"/>
            <w:r w:rsidRPr="00F56DF5">
              <w:t>. ejercicios futuros</w:t>
            </w:r>
          </w:p>
        </w:tc>
        <w:tc>
          <w:tcPr>
            <w:tcW w:w="1297" w:type="dxa"/>
            <w:tcBorders>
              <w:top w:val="single" w:sz="2" w:space="0" w:color="auto"/>
              <w:left w:val="nil"/>
              <w:bottom w:val="single" w:sz="4" w:space="0" w:color="auto"/>
              <w:right w:val="nil"/>
            </w:tcBorders>
            <w:vAlign w:val="center"/>
          </w:tcPr>
          <w:p w14:paraId="7F92BAF8" w14:textId="77777777" w:rsidR="001A379E" w:rsidRPr="00554B3C" w:rsidRDefault="001A379E" w:rsidP="005E65C2">
            <w:pPr>
              <w:pStyle w:val="cuatexto"/>
              <w:jc w:val="right"/>
            </w:pPr>
            <w:r w:rsidRPr="00554B3C">
              <w:t>3.889.519</w:t>
            </w:r>
          </w:p>
        </w:tc>
        <w:tc>
          <w:tcPr>
            <w:tcW w:w="1650" w:type="dxa"/>
            <w:gridSpan w:val="2"/>
            <w:tcBorders>
              <w:top w:val="single" w:sz="2" w:space="0" w:color="auto"/>
              <w:left w:val="nil"/>
              <w:bottom w:val="single" w:sz="4" w:space="0" w:color="auto"/>
              <w:right w:val="nil"/>
            </w:tcBorders>
            <w:noWrap/>
            <w:vAlign w:val="center"/>
          </w:tcPr>
          <w:p w14:paraId="3B1BC5D0" w14:textId="77777777" w:rsidR="001A379E" w:rsidRPr="00554B3C" w:rsidRDefault="005F2EA9" w:rsidP="005E65C2">
            <w:pPr>
              <w:pStyle w:val="cuatexto"/>
              <w:jc w:val="right"/>
            </w:pPr>
            <w:r w:rsidRPr="00554B3C">
              <w:rPr>
                <w:rFonts w:cs="Arial"/>
                <w:color w:val="000000"/>
              </w:rPr>
              <w:t>3.720.465</w:t>
            </w:r>
          </w:p>
        </w:tc>
        <w:tc>
          <w:tcPr>
            <w:tcW w:w="1651" w:type="dxa"/>
            <w:gridSpan w:val="3"/>
            <w:tcBorders>
              <w:top w:val="single" w:sz="2" w:space="0" w:color="auto"/>
              <w:left w:val="nil"/>
              <w:bottom w:val="single" w:sz="4" w:space="0" w:color="auto"/>
              <w:right w:val="nil"/>
            </w:tcBorders>
            <w:noWrap/>
            <w:vAlign w:val="center"/>
          </w:tcPr>
          <w:p w14:paraId="33809102" w14:textId="77777777" w:rsidR="001A379E" w:rsidRPr="00554B3C" w:rsidRDefault="005F2EA9" w:rsidP="005E65C2">
            <w:pPr>
              <w:pStyle w:val="cuatexto"/>
              <w:jc w:val="right"/>
            </w:pPr>
            <w:r w:rsidRPr="00554B3C">
              <w:t>-4</w:t>
            </w:r>
          </w:p>
        </w:tc>
      </w:tr>
      <w:tr w:rsidR="00614DC4" w14:paraId="2A9F1504" w14:textId="77777777" w:rsidTr="001A379E">
        <w:trPr>
          <w:gridAfter w:val="1"/>
          <w:wAfter w:w="26" w:type="dxa"/>
          <w:trHeight w:val="198"/>
        </w:trPr>
        <w:tc>
          <w:tcPr>
            <w:tcW w:w="8851" w:type="dxa"/>
            <w:gridSpan w:val="7"/>
            <w:tcBorders>
              <w:top w:val="single" w:sz="4" w:space="0" w:color="auto"/>
              <w:left w:val="nil"/>
              <w:bottom w:val="nil"/>
              <w:right w:val="nil"/>
            </w:tcBorders>
            <w:noWrap/>
            <w:vAlign w:val="center"/>
            <w:hideMark/>
          </w:tcPr>
          <w:p w14:paraId="6ADFE69D" w14:textId="77777777" w:rsidR="00614DC4" w:rsidRPr="00853173" w:rsidRDefault="00614DC4">
            <w:pPr>
              <w:spacing w:before="60"/>
              <w:rPr>
                <w:rFonts w:ascii="Arial" w:hAnsi="Arial" w:cs="Arial"/>
                <w:sz w:val="16"/>
                <w:szCs w:val="16"/>
              </w:rPr>
            </w:pPr>
            <w:r w:rsidRPr="00853173">
              <w:rPr>
                <w:rFonts w:ascii="Arial" w:hAnsi="Arial" w:cs="Arial"/>
                <w:sz w:val="16"/>
                <w:szCs w:val="16"/>
              </w:rPr>
              <w:t>*A coste amortizado.</w:t>
            </w:r>
          </w:p>
        </w:tc>
      </w:tr>
    </w:tbl>
    <w:p w14:paraId="33F5F739" w14:textId="77777777" w:rsidR="00614DC4" w:rsidRPr="00CD47DD" w:rsidRDefault="00614DC4" w:rsidP="005F5001">
      <w:pPr>
        <w:pStyle w:val="texto"/>
        <w:spacing w:before="120" w:after="120"/>
      </w:pPr>
      <w:r w:rsidRPr="00CD47DD">
        <w:t xml:space="preserve">De la evolución anterior destacamos: </w:t>
      </w:r>
    </w:p>
    <w:p w14:paraId="7E1A0518" w14:textId="77777777" w:rsidR="00614DC4" w:rsidRPr="00D54214"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D54214">
        <w:rPr>
          <w:rFonts w:cs="Arial"/>
          <w:lang w:val="es-ES_tradnl" w:eastAsia="en-US"/>
        </w:rPr>
        <w:t>El saldo presupuestario no financiero en 202</w:t>
      </w:r>
      <w:r w:rsidR="00234477" w:rsidRPr="00D54214">
        <w:rPr>
          <w:rFonts w:cs="Arial"/>
          <w:lang w:val="es-ES_tradnl" w:eastAsia="en-US"/>
        </w:rPr>
        <w:t>3</w:t>
      </w:r>
      <w:r w:rsidRPr="00D54214">
        <w:rPr>
          <w:rFonts w:cs="Arial"/>
          <w:lang w:val="es-ES_tradnl" w:eastAsia="en-US"/>
        </w:rPr>
        <w:t xml:space="preserve"> </w:t>
      </w:r>
      <w:r w:rsidR="004244EE" w:rsidRPr="00D54214">
        <w:rPr>
          <w:rFonts w:cs="Arial"/>
          <w:lang w:val="es-ES_tradnl" w:eastAsia="en-US"/>
        </w:rPr>
        <w:t xml:space="preserve">si bien </w:t>
      </w:r>
      <w:r w:rsidR="00253F91" w:rsidRPr="00D54214">
        <w:rPr>
          <w:rFonts w:cs="Arial"/>
          <w:lang w:val="es-ES_tradnl" w:eastAsia="en-US"/>
        </w:rPr>
        <w:t xml:space="preserve">aumentó </w:t>
      </w:r>
      <w:r w:rsidRPr="00D54214">
        <w:rPr>
          <w:rFonts w:cs="Arial"/>
          <w:lang w:val="es-ES_tradnl" w:eastAsia="en-US"/>
        </w:rPr>
        <w:t xml:space="preserve">en </w:t>
      </w:r>
      <w:r w:rsidR="004244EE" w:rsidRPr="00D54214">
        <w:rPr>
          <w:rFonts w:cs="Arial"/>
          <w:lang w:val="es-ES_tradnl" w:eastAsia="en-US"/>
        </w:rPr>
        <w:t xml:space="preserve">un ocho por ciento, el incremento supuso </w:t>
      </w:r>
      <w:r w:rsidR="00253F91" w:rsidRPr="00D54214">
        <w:rPr>
          <w:rFonts w:cs="Arial"/>
          <w:lang w:val="es-ES_tradnl" w:eastAsia="en-US"/>
        </w:rPr>
        <w:t xml:space="preserve">25,15 </w:t>
      </w:r>
      <w:r w:rsidR="004244EE" w:rsidRPr="00D54214">
        <w:rPr>
          <w:rFonts w:cs="Arial"/>
          <w:lang w:val="es-ES_tradnl" w:eastAsia="en-US"/>
        </w:rPr>
        <w:t xml:space="preserve">millones; cuantía no significativa </w:t>
      </w:r>
      <w:r w:rsidR="00D54214" w:rsidRPr="00D54214">
        <w:rPr>
          <w:rFonts w:cs="Arial"/>
          <w:lang w:val="es-ES_tradnl" w:eastAsia="en-US"/>
        </w:rPr>
        <w:t>respecto al gasto total</w:t>
      </w:r>
      <w:r w:rsidR="004244EE" w:rsidRPr="00D54214">
        <w:rPr>
          <w:rFonts w:cs="Arial"/>
          <w:lang w:val="es-ES_tradnl" w:eastAsia="en-US"/>
        </w:rPr>
        <w:t xml:space="preserve">. </w:t>
      </w:r>
      <w:r w:rsidRPr="00D54214">
        <w:rPr>
          <w:rFonts w:cs="Arial"/>
          <w:lang w:val="es-ES_tradnl" w:eastAsia="en-US"/>
        </w:rPr>
        <w:t xml:space="preserve">Sin embargo, el resultado presupuestario ajustado </w:t>
      </w:r>
      <w:r w:rsidR="00234477" w:rsidRPr="00D54214">
        <w:rPr>
          <w:rFonts w:cs="Arial"/>
          <w:lang w:val="es-ES_tradnl" w:eastAsia="en-US"/>
        </w:rPr>
        <w:t>disminuyó un 67</w:t>
      </w:r>
      <w:r w:rsidR="004244EE" w:rsidRPr="00D54214">
        <w:rPr>
          <w:rFonts w:cs="Arial"/>
          <w:lang w:val="es-ES_tradnl" w:eastAsia="en-US"/>
        </w:rPr>
        <w:t xml:space="preserve"> por ciento (198,79 millones)</w:t>
      </w:r>
      <w:r w:rsidRPr="00D54214">
        <w:rPr>
          <w:rFonts w:cs="Arial"/>
          <w:lang w:val="es-ES_tradnl" w:eastAsia="en-US"/>
        </w:rPr>
        <w:t>, debido principalmente a la variación neta de los pasivos financieros</w:t>
      </w:r>
      <w:r w:rsidR="005F2EA9" w:rsidRPr="00D54214">
        <w:rPr>
          <w:rFonts w:cs="Arial"/>
          <w:lang w:val="es-ES_tradnl" w:eastAsia="en-US"/>
        </w:rPr>
        <w:t xml:space="preserve"> (los gastos por pasivos financieros superaron los ingresos por pasivos financieros), </w:t>
      </w:r>
      <w:r w:rsidRPr="00D54214">
        <w:rPr>
          <w:rFonts w:cs="Arial"/>
          <w:lang w:val="es-ES_tradnl" w:eastAsia="en-US"/>
        </w:rPr>
        <w:t>que en 202</w:t>
      </w:r>
      <w:r w:rsidR="004244EE" w:rsidRPr="00D54214">
        <w:rPr>
          <w:rFonts w:cs="Arial"/>
          <w:lang w:val="es-ES_tradnl" w:eastAsia="en-US"/>
        </w:rPr>
        <w:t>3</w:t>
      </w:r>
      <w:r w:rsidRPr="00D54214">
        <w:rPr>
          <w:rFonts w:cs="Arial"/>
          <w:lang w:val="es-ES_tradnl" w:eastAsia="en-US"/>
        </w:rPr>
        <w:t xml:space="preserve"> tuvo un valor </w:t>
      </w:r>
      <w:r w:rsidR="004244EE" w:rsidRPr="00D54214">
        <w:rPr>
          <w:rFonts w:cs="Arial"/>
          <w:lang w:val="es-ES_tradnl" w:eastAsia="en-US"/>
        </w:rPr>
        <w:t xml:space="preserve">negativo de 174,21 millones, </w:t>
      </w:r>
      <w:r w:rsidRPr="00D54214">
        <w:rPr>
          <w:rFonts w:cs="Arial"/>
          <w:lang w:val="es-ES_tradnl" w:eastAsia="en-US"/>
        </w:rPr>
        <w:t xml:space="preserve">frente al valor </w:t>
      </w:r>
      <w:r w:rsidR="004244EE" w:rsidRPr="00D54214">
        <w:rPr>
          <w:rFonts w:cs="Arial"/>
          <w:lang w:val="es-ES_tradnl" w:eastAsia="en-US"/>
        </w:rPr>
        <w:t>positivo de 24,76 millones d</w:t>
      </w:r>
      <w:r w:rsidRPr="00D54214">
        <w:rPr>
          <w:rFonts w:cs="Arial"/>
          <w:lang w:val="es-ES_tradnl" w:eastAsia="en-US"/>
        </w:rPr>
        <w:t>el ejercicio 202</w:t>
      </w:r>
      <w:r w:rsidR="004244EE" w:rsidRPr="00D54214">
        <w:rPr>
          <w:rFonts w:cs="Arial"/>
          <w:lang w:val="es-ES_tradnl" w:eastAsia="en-US"/>
        </w:rPr>
        <w:t>2</w:t>
      </w:r>
      <w:r w:rsidR="005F2EA9" w:rsidRPr="00D54214">
        <w:rPr>
          <w:rFonts w:cs="Arial"/>
          <w:lang w:val="es-ES_tradnl" w:eastAsia="en-US"/>
        </w:rPr>
        <w:t>.</w:t>
      </w:r>
    </w:p>
    <w:p w14:paraId="47425D2F" w14:textId="77777777" w:rsidR="005D2A42" w:rsidRPr="00F56DF5"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F56DF5">
        <w:rPr>
          <w:rFonts w:cs="Arial"/>
          <w:lang w:val="es-ES_tradnl" w:eastAsia="en-US"/>
        </w:rPr>
        <w:t>El ahorro bruto de 202</w:t>
      </w:r>
      <w:r w:rsidR="004244EE" w:rsidRPr="00F56DF5">
        <w:rPr>
          <w:rFonts w:cs="Arial"/>
          <w:lang w:val="es-ES_tradnl" w:eastAsia="en-US"/>
        </w:rPr>
        <w:t>3</w:t>
      </w:r>
      <w:r w:rsidRPr="00F56DF5">
        <w:rPr>
          <w:rFonts w:cs="Arial"/>
          <w:lang w:val="es-ES_tradnl" w:eastAsia="en-US"/>
        </w:rPr>
        <w:t xml:space="preserve"> </w:t>
      </w:r>
      <w:r w:rsidR="004244EE" w:rsidRPr="00F56DF5">
        <w:rPr>
          <w:rFonts w:cs="Arial"/>
          <w:lang w:val="es-ES_tradnl" w:eastAsia="en-US"/>
        </w:rPr>
        <w:t>aumentó un 24</w:t>
      </w:r>
      <w:r w:rsidRPr="00F56DF5">
        <w:rPr>
          <w:rFonts w:cs="Arial"/>
          <w:lang w:val="es-ES_tradnl" w:eastAsia="en-US"/>
        </w:rPr>
        <w:t xml:space="preserve"> por ciento respecto al ejercicio anterior, debido a un </w:t>
      </w:r>
      <w:r w:rsidR="00C15FEE">
        <w:rPr>
          <w:rFonts w:cs="Arial"/>
          <w:lang w:val="es-ES_tradnl" w:eastAsia="en-US"/>
        </w:rPr>
        <w:t xml:space="preserve">incremento </w:t>
      </w:r>
      <w:r w:rsidRPr="00F56DF5">
        <w:rPr>
          <w:rFonts w:cs="Arial"/>
          <w:lang w:val="es-ES_tradnl" w:eastAsia="en-US"/>
        </w:rPr>
        <w:t xml:space="preserve">de los </w:t>
      </w:r>
      <w:r w:rsidR="005D2A42" w:rsidRPr="00F56DF5">
        <w:rPr>
          <w:rFonts w:cs="Arial"/>
          <w:lang w:val="es-ES_tradnl" w:eastAsia="en-US"/>
        </w:rPr>
        <w:t xml:space="preserve">ingresos </w:t>
      </w:r>
      <w:r w:rsidRPr="00F56DF5">
        <w:rPr>
          <w:rFonts w:cs="Arial"/>
          <w:lang w:val="es-ES_tradnl" w:eastAsia="en-US"/>
        </w:rPr>
        <w:t>corrientes</w:t>
      </w:r>
      <w:r w:rsidR="005F2EA9" w:rsidRPr="00F56DF5">
        <w:rPr>
          <w:rFonts w:cs="Arial"/>
          <w:lang w:val="es-ES_tradnl" w:eastAsia="en-US"/>
        </w:rPr>
        <w:t xml:space="preserve"> (un siete por ciento)</w:t>
      </w:r>
      <w:r w:rsidRPr="00F56DF5">
        <w:rPr>
          <w:rFonts w:cs="Arial"/>
          <w:lang w:val="es-ES_tradnl" w:eastAsia="en-US"/>
        </w:rPr>
        <w:t xml:space="preserve"> superior a</w:t>
      </w:r>
      <w:r w:rsidR="00524FB9">
        <w:rPr>
          <w:rFonts w:cs="Arial"/>
          <w:lang w:val="es-ES_tradnl" w:eastAsia="en-US"/>
        </w:rPr>
        <w:t>l de</w:t>
      </w:r>
      <w:r w:rsidRPr="00F56DF5">
        <w:rPr>
          <w:rFonts w:cs="Arial"/>
          <w:lang w:val="es-ES_tradnl" w:eastAsia="en-US"/>
        </w:rPr>
        <w:t xml:space="preserve"> los </w:t>
      </w:r>
      <w:r w:rsidR="005D2A42" w:rsidRPr="00F56DF5">
        <w:rPr>
          <w:rFonts w:cs="Arial"/>
          <w:lang w:val="es-ES_tradnl" w:eastAsia="en-US"/>
        </w:rPr>
        <w:t>gastos corrientes</w:t>
      </w:r>
      <w:r w:rsidR="005F2EA9" w:rsidRPr="00F56DF5">
        <w:rPr>
          <w:rFonts w:cs="Arial"/>
          <w:lang w:val="es-ES_tradnl" w:eastAsia="en-US"/>
        </w:rPr>
        <w:t xml:space="preserve"> (un cinco por ciento)</w:t>
      </w:r>
      <w:r w:rsidRPr="00F56DF5">
        <w:rPr>
          <w:rFonts w:cs="Arial"/>
          <w:lang w:val="es-ES_tradnl" w:eastAsia="en-US"/>
        </w:rPr>
        <w:t>. La carga financiera disminuyó un 3</w:t>
      </w:r>
      <w:r w:rsidR="005D2A42" w:rsidRPr="00F56DF5">
        <w:rPr>
          <w:rFonts w:cs="Arial"/>
          <w:lang w:val="es-ES_tradnl" w:eastAsia="en-US"/>
        </w:rPr>
        <w:t>7</w:t>
      </w:r>
      <w:r w:rsidRPr="00F56DF5">
        <w:rPr>
          <w:rFonts w:cs="Arial"/>
          <w:lang w:val="es-ES_tradnl" w:eastAsia="en-US"/>
        </w:rPr>
        <w:t xml:space="preserve"> por ciento, lo que ha supuesto un aumento en el ahorro neto de </w:t>
      </w:r>
      <w:r w:rsidR="005D2A42" w:rsidRPr="00F56DF5">
        <w:rPr>
          <w:rFonts w:cs="Arial"/>
          <w:lang w:val="es-ES_tradnl" w:eastAsia="en-US"/>
        </w:rPr>
        <w:t xml:space="preserve">292,73 millones (un 228 </w:t>
      </w:r>
      <w:r w:rsidRPr="00F56DF5">
        <w:rPr>
          <w:rFonts w:cs="Arial"/>
          <w:lang w:val="es-ES_tradnl" w:eastAsia="en-US"/>
        </w:rPr>
        <w:t>por ciento</w:t>
      </w:r>
      <w:r w:rsidR="005D2A42" w:rsidRPr="00F56DF5">
        <w:rPr>
          <w:rFonts w:cs="Arial"/>
          <w:lang w:val="es-ES_tradnl" w:eastAsia="en-US"/>
        </w:rPr>
        <w:t>).</w:t>
      </w:r>
    </w:p>
    <w:p w14:paraId="57FDAA77" w14:textId="77777777" w:rsidR="00CD47DD" w:rsidRPr="00CD47DD"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CD47DD">
        <w:rPr>
          <w:rFonts w:cs="Arial"/>
          <w:lang w:val="es-ES_tradnl" w:eastAsia="en-US"/>
        </w:rPr>
        <w:t xml:space="preserve">La deuda financiera refleja </w:t>
      </w:r>
      <w:r w:rsidR="00CD47DD" w:rsidRPr="00CD47DD">
        <w:rPr>
          <w:rFonts w:cs="Arial"/>
          <w:lang w:val="es-ES_tradnl" w:eastAsia="en-US"/>
        </w:rPr>
        <w:t>una disminución de 17</w:t>
      </w:r>
      <w:r w:rsidR="00234477">
        <w:rPr>
          <w:rFonts w:cs="Arial"/>
          <w:lang w:val="es-ES_tradnl" w:eastAsia="en-US"/>
        </w:rPr>
        <w:t>2</w:t>
      </w:r>
      <w:r w:rsidR="00CD47DD" w:rsidRPr="00CD47DD">
        <w:rPr>
          <w:rFonts w:cs="Arial"/>
          <w:lang w:val="es-ES_tradnl" w:eastAsia="en-US"/>
        </w:rPr>
        <w:t>,</w:t>
      </w:r>
      <w:r w:rsidR="00234477">
        <w:rPr>
          <w:rFonts w:cs="Arial"/>
          <w:lang w:val="es-ES_tradnl" w:eastAsia="en-US"/>
        </w:rPr>
        <w:t>46</w:t>
      </w:r>
      <w:r w:rsidR="00CD47DD" w:rsidRPr="00CD47DD">
        <w:rPr>
          <w:rFonts w:cs="Arial"/>
          <w:lang w:val="es-ES_tradnl" w:eastAsia="en-US"/>
        </w:rPr>
        <w:t xml:space="preserve"> millones, lo que supone una </w:t>
      </w:r>
      <w:r w:rsidRPr="00CD47DD">
        <w:rPr>
          <w:rFonts w:cs="Arial"/>
          <w:lang w:val="es-ES_tradnl" w:eastAsia="en-US"/>
        </w:rPr>
        <w:t>variación</w:t>
      </w:r>
      <w:r w:rsidR="00CD47DD" w:rsidRPr="00CD47DD">
        <w:rPr>
          <w:rFonts w:cs="Arial"/>
          <w:lang w:val="es-ES_tradnl" w:eastAsia="en-US"/>
        </w:rPr>
        <w:t xml:space="preserve"> negativa de un seis por ciento. Representa el 48 por ciento de los ingresos corrientes, frente al 54 por ciento del ejercicio anterior.</w:t>
      </w:r>
    </w:p>
    <w:p w14:paraId="398181A1" w14:textId="77777777" w:rsidR="000F75B2" w:rsidRDefault="00614DC4" w:rsidP="008C2B8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F56DF5">
        <w:rPr>
          <w:rFonts w:cs="Arial"/>
          <w:lang w:val="es-ES_tradnl" w:eastAsia="en-US"/>
        </w:rPr>
        <w:t xml:space="preserve">El remanente de tesorería para gastos generales aumentó de forma significativa un </w:t>
      </w:r>
      <w:r w:rsidR="00234477">
        <w:rPr>
          <w:rFonts w:cs="Arial"/>
          <w:lang w:val="es-ES_tradnl" w:eastAsia="en-US"/>
        </w:rPr>
        <w:t>73</w:t>
      </w:r>
      <w:r w:rsidR="005D2A42" w:rsidRPr="00F56DF5">
        <w:rPr>
          <w:rFonts w:cs="Arial"/>
          <w:lang w:val="es-ES_tradnl" w:eastAsia="en-US"/>
        </w:rPr>
        <w:t xml:space="preserve"> </w:t>
      </w:r>
      <w:r w:rsidRPr="00F56DF5">
        <w:rPr>
          <w:rFonts w:cs="Arial"/>
          <w:lang w:val="es-ES_tradnl" w:eastAsia="en-US"/>
        </w:rPr>
        <w:t xml:space="preserve">por ciento al </w:t>
      </w:r>
      <w:r w:rsidR="00C15FEE">
        <w:rPr>
          <w:rFonts w:cs="Arial"/>
          <w:lang w:val="es-ES_tradnl" w:eastAsia="en-US"/>
        </w:rPr>
        <w:t>incrementarse e</w:t>
      </w:r>
      <w:r w:rsidRPr="00F56DF5">
        <w:rPr>
          <w:rFonts w:cs="Arial"/>
          <w:lang w:val="es-ES_tradnl" w:eastAsia="en-US"/>
        </w:rPr>
        <w:t xml:space="preserve">n </w:t>
      </w:r>
      <w:r w:rsidR="00234477">
        <w:rPr>
          <w:rFonts w:cs="Arial"/>
          <w:lang w:val="es-ES_tradnl" w:eastAsia="en-US"/>
        </w:rPr>
        <w:t>82,76</w:t>
      </w:r>
      <w:r w:rsidR="005D2A42" w:rsidRPr="00F56DF5">
        <w:rPr>
          <w:rFonts w:cs="Arial"/>
          <w:lang w:val="es-ES_tradnl" w:eastAsia="en-US"/>
        </w:rPr>
        <w:t xml:space="preserve"> </w:t>
      </w:r>
      <w:r w:rsidRPr="00F56DF5">
        <w:rPr>
          <w:rFonts w:cs="Arial"/>
          <w:lang w:val="es-ES_tradnl" w:eastAsia="en-US"/>
        </w:rPr>
        <w:t xml:space="preserve">millones, fundamentalmente por </w:t>
      </w:r>
      <w:r w:rsidR="005D2A42" w:rsidRPr="00F56DF5">
        <w:rPr>
          <w:rFonts w:cs="Arial"/>
          <w:lang w:val="es-ES_tradnl" w:eastAsia="en-US"/>
        </w:rPr>
        <w:t xml:space="preserve">la </w:t>
      </w:r>
      <w:r w:rsidR="00234477">
        <w:rPr>
          <w:rFonts w:cs="Arial"/>
          <w:lang w:val="es-ES_tradnl" w:eastAsia="en-US"/>
        </w:rPr>
        <w:t xml:space="preserve">disminución en 31,27 </w:t>
      </w:r>
      <w:r w:rsidR="005D2A42" w:rsidRPr="00F56DF5">
        <w:rPr>
          <w:rFonts w:cs="Arial"/>
          <w:lang w:val="es-ES_tradnl" w:eastAsia="en-US"/>
        </w:rPr>
        <w:t>millones de las obligaciones pendientes d</w:t>
      </w:r>
      <w:r w:rsidR="00234477">
        <w:rPr>
          <w:rFonts w:cs="Arial"/>
          <w:lang w:val="es-ES_tradnl" w:eastAsia="en-US"/>
        </w:rPr>
        <w:t xml:space="preserve">e pago al cierre del ejercicio, así como el aumento en los fondos líquidos en 58,26 millones. </w:t>
      </w:r>
    </w:p>
    <w:p w14:paraId="3856D4A1" w14:textId="77777777" w:rsidR="000C35AC" w:rsidRPr="000F75B2" w:rsidRDefault="000F75B2" w:rsidP="000F75B2">
      <w:pPr>
        <w:rPr>
          <w:rFonts w:cs="Arial"/>
          <w:spacing w:val="6"/>
          <w:sz w:val="26"/>
          <w:lang w:val="es-ES_tradnl" w:eastAsia="en-US"/>
        </w:rPr>
      </w:pPr>
      <w:r>
        <w:rPr>
          <w:rFonts w:cs="Arial"/>
          <w:lang w:val="es-ES_tradnl" w:eastAsia="en-US"/>
        </w:rPr>
        <w:br w:type="page"/>
      </w:r>
    </w:p>
    <w:p w14:paraId="762807D7" w14:textId="77777777" w:rsidR="00614DC4" w:rsidRPr="00F56DF5" w:rsidRDefault="00614DC4" w:rsidP="00D4552D">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240"/>
        <w:ind w:left="0" w:firstLine="289"/>
        <w:jc w:val="both"/>
        <w:rPr>
          <w:rFonts w:cs="Arial"/>
          <w:lang w:val="es-ES_tradnl" w:eastAsia="en-US"/>
        </w:rPr>
      </w:pPr>
      <w:r w:rsidRPr="00F56DF5">
        <w:rPr>
          <w:rFonts w:cs="Arial"/>
          <w:lang w:val="es-ES_tradnl" w:eastAsia="en-US"/>
        </w:rPr>
        <w:lastRenderedPageBreak/>
        <w:t>La evolución presupuestaria de la variación de la deuda en millones (deuda concertada menos deuda amortizada) para el periodo 201</w:t>
      </w:r>
      <w:r w:rsidR="00E03A92" w:rsidRPr="00F56DF5">
        <w:rPr>
          <w:rFonts w:cs="Arial"/>
          <w:lang w:val="es-ES_tradnl" w:eastAsia="en-US"/>
        </w:rPr>
        <w:t>4</w:t>
      </w:r>
      <w:r w:rsidRPr="00F56DF5">
        <w:rPr>
          <w:rFonts w:cs="Arial"/>
          <w:lang w:val="es-ES_tradnl" w:eastAsia="en-US"/>
        </w:rPr>
        <w:t>-202</w:t>
      </w:r>
      <w:r w:rsidR="00E03A92" w:rsidRPr="00F56DF5">
        <w:rPr>
          <w:rFonts w:cs="Arial"/>
          <w:lang w:val="es-ES_tradnl" w:eastAsia="en-US"/>
        </w:rPr>
        <w:t>3</w:t>
      </w:r>
      <w:r w:rsidRPr="00F56DF5">
        <w:rPr>
          <w:rFonts w:cs="Arial"/>
          <w:lang w:val="es-ES_tradnl" w:eastAsia="en-US"/>
        </w:rPr>
        <w:t xml:space="preserve"> es la siguiente:</w:t>
      </w:r>
    </w:p>
    <w:tbl>
      <w:tblPr>
        <w:tblW w:w="5081" w:type="pct"/>
        <w:jc w:val="center"/>
        <w:tblLayout w:type="fixed"/>
        <w:tblCellMar>
          <w:left w:w="70" w:type="dxa"/>
          <w:right w:w="70" w:type="dxa"/>
        </w:tblCellMar>
        <w:tblLook w:val="04A0" w:firstRow="1" w:lastRow="0" w:firstColumn="1" w:lastColumn="0" w:noHBand="0" w:noVBand="1"/>
      </w:tblPr>
      <w:tblGrid>
        <w:gridCol w:w="1516"/>
        <w:gridCol w:w="742"/>
        <w:gridCol w:w="742"/>
        <w:gridCol w:w="742"/>
        <w:gridCol w:w="742"/>
        <w:gridCol w:w="742"/>
        <w:gridCol w:w="741"/>
        <w:gridCol w:w="741"/>
        <w:gridCol w:w="741"/>
        <w:gridCol w:w="741"/>
        <w:gridCol w:w="741"/>
      </w:tblGrid>
      <w:tr w:rsidR="002410BC" w:rsidRPr="00D4552D" w14:paraId="60FD88A9" w14:textId="77777777" w:rsidTr="002410BC">
        <w:trPr>
          <w:trHeight w:val="255"/>
          <w:jc w:val="center"/>
        </w:trPr>
        <w:tc>
          <w:tcPr>
            <w:tcW w:w="848" w:type="pct"/>
            <w:tcBorders>
              <w:top w:val="single" w:sz="4" w:space="0" w:color="auto"/>
              <w:left w:val="nil"/>
              <w:bottom w:val="single" w:sz="4" w:space="0" w:color="auto"/>
              <w:right w:val="nil"/>
            </w:tcBorders>
            <w:shd w:val="clear" w:color="auto" w:fill="8DB3E2"/>
            <w:noWrap/>
            <w:vAlign w:val="center"/>
          </w:tcPr>
          <w:p w14:paraId="78C1BDC3" w14:textId="77777777" w:rsidR="00614DC4" w:rsidRPr="00D4552D" w:rsidRDefault="00614DC4" w:rsidP="00731B30">
            <w:pPr>
              <w:pStyle w:val="cuadroCabe"/>
              <w:rPr>
                <w:sz w:val="16"/>
                <w:szCs w:val="16"/>
              </w:rPr>
            </w:pPr>
          </w:p>
        </w:tc>
        <w:tc>
          <w:tcPr>
            <w:tcW w:w="415" w:type="pct"/>
            <w:tcBorders>
              <w:top w:val="single" w:sz="4" w:space="0" w:color="auto"/>
              <w:left w:val="nil"/>
              <w:bottom w:val="single" w:sz="4" w:space="0" w:color="auto"/>
              <w:right w:val="nil"/>
            </w:tcBorders>
            <w:shd w:val="clear" w:color="auto" w:fill="8DB3E2"/>
            <w:noWrap/>
            <w:vAlign w:val="center"/>
            <w:hideMark/>
          </w:tcPr>
          <w:p w14:paraId="3B99C904" w14:textId="77777777" w:rsidR="00614DC4" w:rsidRPr="00D4552D" w:rsidRDefault="00614DC4" w:rsidP="009604B1">
            <w:pPr>
              <w:pStyle w:val="cuadroCabe"/>
              <w:jc w:val="right"/>
              <w:rPr>
                <w:sz w:val="16"/>
                <w:szCs w:val="16"/>
              </w:rPr>
            </w:pPr>
            <w:r w:rsidRPr="00D4552D">
              <w:rPr>
                <w:sz w:val="16"/>
                <w:szCs w:val="16"/>
              </w:rPr>
              <w:t>201</w:t>
            </w:r>
            <w:r w:rsidR="00E03A92" w:rsidRPr="00D4552D">
              <w:rPr>
                <w:sz w:val="16"/>
                <w:szCs w:val="16"/>
              </w:rPr>
              <w:t>4</w:t>
            </w:r>
          </w:p>
        </w:tc>
        <w:tc>
          <w:tcPr>
            <w:tcW w:w="415" w:type="pct"/>
            <w:tcBorders>
              <w:top w:val="single" w:sz="4" w:space="0" w:color="auto"/>
              <w:left w:val="nil"/>
              <w:bottom w:val="single" w:sz="4" w:space="0" w:color="auto"/>
              <w:right w:val="nil"/>
            </w:tcBorders>
            <w:shd w:val="clear" w:color="auto" w:fill="8DB3E2"/>
            <w:vAlign w:val="center"/>
            <w:hideMark/>
          </w:tcPr>
          <w:p w14:paraId="15C17CF1" w14:textId="77777777" w:rsidR="00614DC4" w:rsidRPr="00D4552D" w:rsidRDefault="00E03A92" w:rsidP="009604B1">
            <w:pPr>
              <w:pStyle w:val="cuadroCabe"/>
              <w:jc w:val="right"/>
              <w:rPr>
                <w:sz w:val="16"/>
                <w:szCs w:val="16"/>
              </w:rPr>
            </w:pPr>
            <w:r w:rsidRPr="00D4552D">
              <w:rPr>
                <w:sz w:val="16"/>
                <w:szCs w:val="16"/>
              </w:rPr>
              <w:t>2015</w:t>
            </w:r>
          </w:p>
        </w:tc>
        <w:tc>
          <w:tcPr>
            <w:tcW w:w="415" w:type="pct"/>
            <w:tcBorders>
              <w:top w:val="single" w:sz="4" w:space="0" w:color="auto"/>
              <w:left w:val="nil"/>
              <w:bottom w:val="single" w:sz="4" w:space="0" w:color="auto"/>
              <w:right w:val="nil"/>
            </w:tcBorders>
            <w:shd w:val="clear" w:color="auto" w:fill="8DB3E2"/>
            <w:vAlign w:val="center"/>
            <w:hideMark/>
          </w:tcPr>
          <w:p w14:paraId="3AE2DEE6" w14:textId="77777777" w:rsidR="00614DC4" w:rsidRPr="00D4552D" w:rsidRDefault="00E03A92" w:rsidP="009604B1">
            <w:pPr>
              <w:pStyle w:val="cuadroCabe"/>
              <w:jc w:val="right"/>
              <w:rPr>
                <w:sz w:val="16"/>
                <w:szCs w:val="16"/>
              </w:rPr>
            </w:pPr>
            <w:r w:rsidRPr="00D4552D">
              <w:rPr>
                <w:sz w:val="16"/>
                <w:szCs w:val="16"/>
              </w:rPr>
              <w:t>2016</w:t>
            </w:r>
          </w:p>
        </w:tc>
        <w:tc>
          <w:tcPr>
            <w:tcW w:w="415" w:type="pct"/>
            <w:tcBorders>
              <w:top w:val="single" w:sz="4" w:space="0" w:color="auto"/>
              <w:left w:val="nil"/>
              <w:bottom w:val="single" w:sz="4" w:space="0" w:color="auto"/>
              <w:right w:val="nil"/>
            </w:tcBorders>
            <w:shd w:val="clear" w:color="auto" w:fill="8DB3E2"/>
            <w:vAlign w:val="center"/>
            <w:hideMark/>
          </w:tcPr>
          <w:p w14:paraId="2C8E03FC" w14:textId="77777777" w:rsidR="00614DC4" w:rsidRPr="00D4552D" w:rsidRDefault="00E03A92" w:rsidP="009604B1">
            <w:pPr>
              <w:pStyle w:val="cuadroCabe"/>
              <w:jc w:val="right"/>
              <w:rPr>
                <w:sz w:val="16"/>
                <w:szCs w:val="16"/>
              </w:rPr>
            </w:pPr>
            <w:r w:rsidRPr="00D4552D">
              <w:rPr>
                <w:sz w:val="16"/>
                <w:szCs w:val="16"/>
              </w:rPr>
              <w:t>2017</w:t>
            </w:r>
          </w:p>
        </w:tc>
        <w:tc>
          <w:tcPr>
            <w:tcW w:w="415" w:type="pct"/>
            <w:tcBorders>
              <w:top w:val="single" w:sz="4" w:space="0" w:color="auto"/>
              <w:left w:val="nil"/>
              <w:bottom w:val="single" w:sz="4" w:space="0" w:color="auto"/>
              <w:right w:val="nil"/>
            </w:tcBorders>
            <w:shd w:val="clear" w:color="auto" w:fill="8DB3E2"/>
            <w:vAlign w:val="center"/>
            <w:hideMark/>
          </w:tcPr>
          <w:p w14:paraId="5F3B99A3" w14:textId="77777777" w:rsidR="00614DC4" w:rsidRPr="00D4552D" w:rsidRDefault="00E03A92" w:rsidP="009604B1">
            <w:pPr>
              <w:pStyle w:val="cuadroCabe"/>
              <w:jc w:val="right"/>
              <w:rPr>
                <w:sz w:val="16"/>
                <w:szCs w:val="16"/>
              </w:rPr>
            </w:pPr>
            <w:r w:rsidRPr="00D4552D">
              <w:rPr>
                <w:sz w:val="16"/>
                <w:szCs w:val="16"/>
              </w:rPr>
              <w:t>2018</w:t>
            </w:r>
          </w:p>
        </w:tc>
        <w:tc>
          <w:tcPr>
            <w:tcW w:w="415" w:type="pct"/>
            <w:tcBorders>
              <w:top w:val="single" w:sz="4" w:space="0" w:color="auto"/>
              <w:left w:val="nil"/>
              <w:bottom w:val="single" w:sz="4" w:space="0" w:color="auto"/>
              <w:right w:val="nil"/>
            </w:tcBorders>
            <w:shd w:val="clear" w:color="auto" w:fill="8DB3E2"/>
            <w:vAlign w:val="center"/>
            <w:hideMark/>
          </w:tcPr>
          <w:p w14:paraId="0C81D9CF" w14:textId="77777777" w:rsidR="00614DC4" w:rsidRPr="00D4552D" w:rsidRDefault="00E03A92" w:rsidP="009604B1">
            <w:pPr>
              <w:pStyle w:val="cuadroCabe"/>
              <w:jc w:val="right"/>
              <w:rPr>
                <w:sz w:val="16"/>
                <w:szCs w:val="16"/>
              </w:rPr>
            </w:pPr>
            <w:r w:rsidRPr="00D4552D">
              <w:rPr>
                <w:sz w:val="16"/>
                <w:szCs w:val="16"/>
              </w:rPr>
              <w:t>2019</w:t>
            </w:r>
          </w:p>
        </w:tc>
        <w:tc>
          <w:tcPr>
            <w:tcW w:w="415" w:type="pct"/>
            <w:tcBorders>
              <w:top w:val="single" w:sz="4" w:space="0" w:color="auto"/>
              <w:left w:val="nil"/>
              <w:bottom w:val="single" w:sz="4" w:space="0" w:color="auto"/>
              <w:right w:val="nil"/>
            </w:tcBorders>
            <w:shd w:val="clear" w:color="auto" w:fill="8DB3E2"/>
            <w:vAlign w:val="center"/>
            <w:hideMark/>
          </w:tcPr>
          <w:p w14:paraId="6C8D9AA3" w14:textId="77777777" w:rsidR="00614DC4" w:rsidRPr="00D4552D" w:rsidRDefault="00E03A92" w:rsidP="009604B1">
            <w:pPr>
              <w:pStyle w:val="cuadroCabe"/>
              <w:jc w:val="right"/>
              <w:rPr>
                <w:sz w:val="16"/>
                <w:szCs w:val="16"/>
              </w:rPr>
            </w:pPr>
            <w:r w:rsidRPr="00D4552D">
              <w:rPr>
                <w:sz w:val="16"/>
                <w:szCs w:val="16"/>
              </w:rPr>
              <w:t>2020</w:t>
            </w:r>
          </w:p>
        </w:tc>
        <w:tc>
          <w:tcPr>
            <w:tcW w:w="415" w:type="pct"/>
            <w:tcBorders>
              <w:top w:val="single" w:sz="4" w:space="0" w:color="auto"/>
              <w:left w:val="nil"/>
              <w:bottom w:val="single" w:sz="4" w:space="0" w:color="auto"/>
              <w:right w:val="nil"/>
            </w:tcBorders>
            <w:shd w:val="clear" w:color="auto" w:fill="8DB3E2"/>
            <w:vAlign w:val="center"/>
            <w:hideMark/>
          </w:tcPr>
          <w:p w14:paraId="0F724126" w14:textId="77777777" w:rsidR="00614DC4" w:rsidRPr="00D4552D" w:rsidRDefault="00E03A92" w:rsidP="009604B1">
            <w:pPr>
              <w:pStyle w:val="cuadroCabe"/>
              <w:jc w:val="right"/>
              <w:rPr>
                <w:sz w:val="16"/>
                <w:szCs w:val="16"/>
              </w:rPr>
            </w:pPr>
            <w:r w:rsidRPr="00D4552D">
              <w:rPr>
                <w:sz w:val="16"/>
                <w:szCs w:val="16"/>
              </w:rPr>
              <w:t>2021</w:t>
            </w:r>
          </w:p>
        </w:tc>
        <w:tc>
          <w:tcPr>
            <w:tcW w:w="415" w:type="pct"/>
            <w:tcBorders>
              <w:top w:val="single" w:sz="4" w:space="0" w:color="auto"/>
              <w:left w:val="nil"/>
              <w:bottom w:val="single" w:sz="4" w:space="0" w:color="auto"/>
              <w:right w:val="nil"/>
            </w:tcBorders>
            <w:shd w:val="clear" w:color="auto" w:fill="8DB3E2"/>
            <w:vAlign w:val="center"/>
            <w:hideMark/>
          </w:tcPr>
          <w:p w14:paraId="2D3A11DE" w14:textId="77777777" w:rsidR="00614DC4" w:rsidRPr="00D4552D" w:rsidRDefault="00E03A92" w:rsidP="009604B1">
            <w:pPr>
              <w:pStyle w:val="cuadroCabe"/>
              <w:jc w:val="right"/>
              <w:rPr>
                <w:sz w:val="16"/>
                <w:szCs w:val="16"/>
              </w:rPr>
            </w:pPr>
            <w:r w:rsidRPr="00D4552D">
              <w:rPr>
                <w:sz w:val="16"/>
                <w:szCs w:val="16"/>
              </w:rPr>
              <w:t>2022</w:t>
            </w:r>
          </w:p>
        </w:tc>
        <w:tc>
          <w:tcPr>
            <w:tcW w:w="415" w:type="pct"/>
            <w:tcBorders>
              <w:top w:val="single" w:sz="4" w:space="0" w:color="auto"/>
              <w:left w:val="nil"/>
              <w:bottom w:val="single" w:sz="4" w:space="0" w:color="auto"/>
              <w:right w:val="nil"/>
            </w:tcBorders>
            <w:shd w:val="clear" w:color="auto" w:fill="8DB3E2"/>
            <w:vAlign w:val="center"/>
            <w:hideMark/>
          </w:tcPr>
          <w:p w14:paraId="27CC3AEE" w14:textId="77777777" w:rsidR="00614DC4" w:rsidRPr="00D4552D" w:rsidRDefault="00E03A92" w:rsidP="009604B1">
            <w:pPr>
              <w:pStyle w:val="cuadroCabe"/>
              <w:jc w:val="right"/>
              <w:rPr>
                <w:sz w:val="16"/>
                <w:szCs w:val="16"/>
              </w:rPr>
            </w:pPr>
            <w:r w:rsidRPr="00D4552D">
              <w:rPr>
                <w:sz w:val="16"/>
                <w:szCs w:val="16"/>
              </w:rPr>
              <w:t>2023</w:t>
            </w:r>
          </w:p>
        </w:tc>
      </w:tr>
      <w:tr w:rsidR="002410BC" w14:paraId="4E9B9D73" w14:textId="77777777" w:rsidTr="002410BC">
        <w:trPr>
          <w:trHeight w:val="198"/>
          <w:jc w:val="center"/>
        </w:trPr>
        <w:tc>
          <w:tcPr>
            <w:tcW w:w="848" w:type="pct"/>
            <w:tcBorders>
              <w:top w:val="single" w:sz="4" w:space="0" w:color="auto"/>
              <w:left w:val="nil"/>
              <w:bottom w:val="single" w:sz="2" w:space="0" w:color="auto"/>
              <w:right w:val="nil"/>
            </w:tcBorders>
            <w:noWrap/>
            <w:vAlign w:val="center"/>
            <w:hideMark/>
          </w:tcPr>
          <w:p w14:paraId="7970B12E" w14:textId="77777777" w:rsidR="00E03A92" w:rsidRDefault="00E03A92" w:rsidP="00E03A92">
            <w:pPr>
              <w:ind w:right="-47"/>
              <w:rPr>
                <w:rFonts w:ascii="Arial Narrow" w:hAnsi="Arial Narrow" w:cs="Arial"/>
                <w:sz w:val="18"/>
                <w:szCs w:val="18"/>
              </w:rPr>
            </w:pPr>
            <w:r>
              <w:rPr>
                <w:rFonts w:ascii="Arial Narrow" w:hAnsi="Arial Narrow" w:cs="Arial"/>
                <w:sz w:val="18"/>
                <w:szCs w:val="18"/>
              </w:rPr>
              <w:t>Deuda concertada</w:t>
            </w:r>
          </w:p>
        </w:tc>
        <w:tc>
          <w:tcPr>
            <w:tcW w:w="415" w:type="pct"/>
            <w:tcBorders>
              <w:top w:val="single" w:sz="4" w:space="0" w:color="auto"/>
              <w:left w:val="nil"/>
              <w:bottom w:val="single" w:sz="2" w:space="0" w:color="auto"/>
              <w:right w:val="nil"/>
            </w:tcBorders>
            <w:noWrap/>
            <w:vAlign w:val="center"/>
          </w:tcPr>
          <w:p w14:paraId="734A203A" w14:textId="77777777" w:rsidR="00E03A92" w:rsidRPr="008024E2" w:rsidRDefault="00E03A92" w:rsidP="009604B1">
            <w:pPr>
              <w:jc w:val="right"/>
              <w:rPr>
                <w:rFonts w:ascii="Arial Narrow" w:hAnsi="Arial Narrow" w:cs="Arial"/>
                <w:sz w:val="16"/>
                <w:szCs w:val="16"/>
              </w:rPr>
            </w:pPr>
            <w:r w:rsidRPr="008024E2">
              <w:rPr>
                <w:rFonts w:ascii="Arial Narrow" w:hAnsi="Arial Narrow" w:cs="Arial"/>
                <w:sz w:val="16"/>
                <w:szCs w:val="16"/>
              </w:rPr>
              <w:t>492,58</w:t>
            </w:r>
          </w:p>
        </w:tc>
        <w:tc>
          <w:tcPr>
            <w:tcW w:w="415" w:type="pct"/>
            <w:tcBorders>
              <w:top w:val="single" w:sz="4" w:space="0" w:color="auto"/>
              <w:left w:val="nil"/>
              <w:bottom w:val="single" w:sz="2" w:space="0" w:color="auto"/>
              <w:right w:val="nil"/>
            </w:tcBorders>
            <w:vAlign w:val="center"/>
          </w:tcPr>
          <w:p w14:paraId="7DC34E46" w14:textId="77777777" w:rsidR="00E03A92" w:rsidRPr="008024E2" w:rsidRDefault="00E03A92" w:rsidP="009604B1">
            <w:pPr>
              <w:jc w:val="right"/>
              <w:rPr>
                <w:rFonts w:ascii="Arial Narrow" w:hAnsi="Arial Narrow" w:cs="Arial"/>
                <w:sz w:val="16"/>
                <w:szCs w:val="16"/>
              </w:rPr>
            </w:pPr>
            <w:r w:rsidRPr="008024E2">
              <w:rPr>
                <w:rFonts w:ascii="Arial Narrow" w:hAnsi="Arial Narrow" w:cs="Arial"/>
                <w:sz w:val="16"/>
                <w:szCs w:val="16"/>
              </w:rPr>
              <w:t>446,94</w:t>
            </w:r>
          </w:p>
        </w:tc>
        <w:tc>
          <w:tcPr>
            <w:tcW w:w="415" w:type="pct"/>
            <w:tcBorders>
              <w:top w:val="single" w:sz="4" w:space="0" w:color="auto"/>
              <w:left w:val="nil"/>
              <w:bottom w:val="single" w:sz="2" w:space="0" w:color="auto"/>
              <w:right w:val="nil"/>
            </w:tcBorders>
            <w:vAlign w:val="center"/>
          </w:tcPr>
          <w:p w14:paraId="489EC159" w14:textId="77777777" w:rsidR="00E03A92" w:rsidRPr="008024E2" w:rsidRDefault="00E03A92" w:rsidP="009604B1">
            <w:pPr>
              <w:jc w:val="right"/>
              <w:rPr>
                <w:rFonts w:ascii="Arial Narrow" w:hAnsi="Arial Narrow" w:cs="Arial"/>
                <w:sz w:val="16"/>
                <w:szCs w:val="16"/>
              </w:rPr>
            </w:pPr>
            <w:r w:rsidRPr="008024E2">
              <w:rPr>
                <w:rFonts w:ascii="Arial Narrow" w:hAnsi="Arial Narrow" w:cs="Arial"/>
                <w:sz w:val="16"/>
                <w:szCs w:val="16"/>
              </w:rPr>
              <w:t>579,70</w:t>
            </w:r>
          </w:p>
        </w:tc>
        <w:tc>
          <w:tcPr>
            <w:tcW w:w="415" w:type="pct"/>
            <w:tcBorders>
              <w:top w:val="single" w:sz="4" w:space="0" w:color="auto"/>
              <w:left w:val="nil"/>
              <w:bottom w:val="single" w:sz="2" w:space="0" w:color="auto"/>
              <w:right w:val="nil"/>
            </w:tcBorders>
            <w:vAlign w:val="center"/>
          </w:tcPr>
          <w:p w14:paraId="0D6C5F28" w14:textId="77777777" w:rsidR="00E03A92" w:rsidRPr="008024E2" w:rsidRDefault="00E03A92" w:rsidP="009604B1">
            <w:pPr>
              <w:jc w:val="right"/>
              <w:rPr>
                <w:rFonts w:ascii="Arial Narrow" w:hAnsi="Arial Narrow" w:cs="Arial"/>
                <w:sz w:val="16"/>
                <w:szCs w:val="16"/>
              </w:rPr>
            </w:pPr>
            <w:r w:rsidRPr="008024E2">
              <w:rPr>
                <w:rFonts w:ascii="Arial Narrow" w:hAnsi="Arial Narrow" w:cs="Arial"/>
                <w:sz w:val="16"/>
                <w:szCs w:val="16"/>
              </w:rPr>
              <w:t>498,01</w:t>
            </w:r>
          </w:p>
        </w:tc>
        <w:tc>
          <w:tcPr>
            <w:tcW w:w="415" w:type="pct"/>
            <w:tcBorders>
              <w:top w:val="single" w:sz="4" w:space="0" w:color="auto"/>
              <w:left w:val="nil"/>
              <w:bottom w:val="single" w:sz="2" w:space="0" w:color="auto"/>
              <w:right w:val="nil"/>
            </w:tcBorders>
            <w:vAlign w:val="center"/>
          </w:tcPr>
          <w:p w14:paraId="118B439F" w14:textId="77777777" w:rsidR="00E03A92" w:rsidRPr="008024E2" w:rsidRDefault="00E03A92" w:rsidP="009604B1">
            <w:pPr>
              <w:jc w:val="right"/>
              <w:rPr>
                <w:rFonts w:ascii="Arial Narrow" w:hAnsi="Arial Narrow" w:cs="Arial"/>
                <w:sz w:val="16"/>
                <w:szCs w:val="16"/>
              </w:rPr>
            </w:pPr>
            <w:r w:rsidRPr="008024E2">
              <w:rPr>
                <w:rFonts w:ascii="Arial Narrow" w:hAnsi="Arial Narrow" w:cs="Arial"/>
                <w:sz w:val="16"/>
                <w:szCs w:val="16"/>
              </w:rPr>
              <w:t>208,06</w:t>
            </w:r>
          </w:p>
        </w:tc>
        <w:tc>
          <w:tcPr>
            <w:tcW w:w="415" w:type="pct"/>
            <w:tcBorders>
              <w:top w:val="single" w:sz="4" w:space="0" w:color="auto"/>
              <w:left w:val="nil"/>
              <w:bottom w:val="single" w:sz="2" w:space="0" w:color="auto"/>
              <w:right w:val="nil"/>
            </w:tcBorders>
            <w:vAlign w:val="center"/>
          </w:tcPr>
          <w:p w14:paraId="26ADE62F" w14:textId="77777777" w:rsidR="00E03A92" w:rsidRPr="008024E2" w:rsidRDefault="00E03A92" w:rsidP="009604B1">
            <w:pPr>
              <w:jc w:val="right"/>
              <w:rPr>
                <w:rFonts w:ascii="Arial Narrow" w:hAnsi="Arial Narrow" w:cs="Arial"/>
                <w:sz w:val="16"/>
                <w:szCs w:val="16"/>
              </w:rPr>
            </w:pPr>
            <w:r w:rsidRPr="008024E2">
              <w:rPr>
                <w:rFonts w:ascii="Arial Narrow" w:hAnsi="Arial Narrow" w:cs="Arial"/>
                <w:sz w:val="16"/>
                <w:szCs w:val="16"/>
              </w:rPr>
              <w:t>214,46</w:t>
            </w:r>
          </w:p>
        </w:tc>
        <w:tc>
          <w:tcPr>
            <w:tcW w:w="415" w:type="pct"/>
            <w:tcBorders>
              <w:top w:val="single" w:sz="4" w:space="0" w:color="auto"/>
              <w:left w:val="nil"/>
              <w:bottom w:val="single" w:sz="2" w:space="0" w:color="auto"/>
              <w:right w:val="nil"/>
            </w:tcBorders>
            <w:vAlign w:val="center"/>
          </w:tcPr>
          <w:p w14:paraId="78644E1F" w14:textId="77777777" w:rsidR="00E03A92" w:rsidRPr="008024E2" w:rsidRDefault="00E03A92" w:rsidP="009604B1">
            <w:pPr>
              <w:jc w:val="right"/>
              <w:rPr>
                <w:rFonts w:ascii="Arial Narrow" w:hAnsi="Arial Narrow" w:cs="Arial"/>
                <w:sz w:val="16"/>
                <w:szCs w:val="16"/>
              </w:rPr>
            </w:pPr>
            <w:r w:rsidRPr="008024E2">
              <w:rPr>
                <w:rFonts w:ascii="Arial Narrow" w:hAnsi="Arial Narrow" w:cs="Arial"/>
                <w:sz w:val="16"/>
                <w:szCs w:val="16"/>
              </w:rPr>
              <w:t>648,37</w:t>
            </w:r>
          </w:p>
        </w:tc>
        <w:tc>
          <w:tcPr>
            <w:tcW w:w="415" w:type="pct"/>
            <w:tcBorders>
              <w:top w:val="single" w:sz="4" w:space="0" w:color="auto"/>
              <w:left w:val="nil"/>
              <w:bottom w:val="single" w:sz="2" w:space="0" w:color="auto"/>
              <w:right w:val="nil"/>
            </w:tcBorders>
            <w:vAlign w:val="center"/>
          </w:tcPr>
          <w:p w14:paraId="3B15EC2E" w14:textId="77777777" w:rsidR="00E03A92" w:rsidRPr="008024E2" w:rsidRDefault="00E03A92" w:rsidP="009604B1">
            <w:pPr>
              <w:jc w:val="right"/>
              <w:rPr>
                <w:rFonts w:ascii="Arial Narrow" w:hAnsi="Arial Narrow" w:cs="Arial"/>
                <w:sz w:val="16"/>
                <w:szCs w:val="16"/>
              </w:rPr>
            </w:pPr>
            <w:r w:rsidRPr="008024E2">
              <w:rPr>
                <w:rFonts w:ascii="Arial Narrow" w:hAnsi="Arial Narrow" w:cs="Arial"/>
                <w:sz w:val="16"/>
                <w:szCs w:val="16"/>
              </w:rPr>
              <w:t>149,44</w:t>
            </w:r>
          </w:p>
        </w:tc>
        <w:tc>
          <w:tcPr>
            <w:tcW w:w="415" w:type="pct"/>
            <w:tcBorders>
              <w:top w:val="single" w:sz="4" w:space="0" w:color="auto"/>
              <w:left w:val="nil"/>
              <w:bottom w:val="single" w:sz="2" w:space="0" w:color="auto"/>
              <w:right w:val="nil"/>
            </w:tcBorders>
            <w:vAlign w:val="center"/>
          </w:tcPr>
          <w:p w14:paraId="5312705C" w14:textId="77777777" w:rsidR="00E03A92" w:rsidRPr="008024E2" w:rsidRDefault="00E03A92" w:rsidP="009604B1">
            <w:pPr>
              <w:jc w:val="right"/>
              <w:rPr>
                <w:rFonts w:ascii="Arial Narrow" w:hAnsi="Arial Narrow" w:cs="Arial"/>
                <w:sz w:val="16"/>
                <w:szCs w:val="16"/>
              </w:rPr>
            </w:pPr>
            <w:r w:rsidRPr="008024E2">
              <w:rPr>
                <w:rFonts w:ascii="Arial Narrow" w:hAnsi="Arial Narrow" w:cs="Arial"/>
                <w:sz w:val="16"/>
                <w:szCs w:val="16"/>
              </w:rPr>
              <w:t>406,19</w:t>
            </w:r>
          </w:p>
        </w:tc>
        <w:tc>
          <w:tcPr>
            <w:tcW w:w="415" w:type="pct"/>
            <w:tcBorders>
              <w:top w:val="single" w:sz="4" w:space="0" w:color="auto"/>
              <w:left w:val="nil"/>
              <w:bottom w:val="single" w:sz="2" w:space="0" w:color="auto"/>
              <w:right w:val="nil"/>
            </w:tcBorders>
            <w:vAlign w:val="center"/>
          </w:tcPr>
          <w:p w14:paraId="056D567D" w14:textId="77777777" w:rsidR="00E03A92" w:rsidRPr="008024E2" w:rsidRDefault="00E03A92" w:rsidP="009604B1">
            <w:pPr>
              <w:jc w:val="right"/>
              <w:rPr>
                <w:rFonts w:ascii="Arial Narrow" w:hAnsi="Arial Narrow" w:cs="Arial"/>
                <w:sz w:val="16"/>
                <w:szCs w:val="16"/>
              </w:rPr>
            </w:pPr>
            <w:r w:rsidRPr="008024E2">
              <w:rPr>
                <w:rFonts w:ascii="Arial Narrow" w:hAnsi="Arial Narrow" w:cs="Arial"/>
                <w:sz w:val="16"/>
                <w:szCs w:val="16"/>
              </w:rPr>
              <w:t>50</w:t>
            </w:r>
          </w:p>
        </w:tc>
      </w:tr>
      <w:tr w:rsidR="002410BC" w14:paraId="56F75749" w14:textId="77777777" w:rsidTr="002410BC">
        <w:trPr>
          <w:trHeight w:val="198"/>
          <w:jc w:val="center"/>
        </w:trPr>
        <w:tc>
          <w:tcPr>
            <w:tcW w:w="848" w:type="pct"/>
            <w:tcBorders>
              <w:top w:val="single" w:sz="2" w:space="0" w:color="auto"/>
              <w:left w:val="nil"/>
              <w:bottom w:val="single" w:sz="4" w:space="0" w:color="auto"/>
              <w:right w:val="nil"/>
            </w:tcBorders>
            <w:noWrap/>
            <w:vAlign w:val="center"/>
            <w:hideMark/>
          </w:tcPr>
          <w:p w14:paraId="42F42CC7" w14:textId="77777777" w:rsidR="00E03A92" w:rsidRDefault="00E03A92" w:rsidP="00E03A92">
            <w:pPr>
              <w:ind w:right="-47"/>
              <w:rPr>
                <w:rFonts w:ascii="Arial Narrow" w:hAnsi="Arial Narrow" w:cs="Arial"/>
                <w:sz w:val="18"/>
                <w:szCs w:val="18"/>
              </w:rPr>
            </w:pPr>
            <w:r>
              <w:rPr>
                <w:rFonts w:ascii="Arial Narrow" w:hAnsi="Arial Narrow" w:cs="Arial"/>
                <w:sz w:val="18"/>
                <w:szCs w:val="18"/>
              </w:rPr>
              <w:t>Deuda amortizada</w:t>
            </w:r>
          </w:p>
        </w:tc>
        <w:tc>
          <w:tcPr>
            <w:tcW w:w="415" w:type="pct"/>
            <w:tcBorders>
              <w:top w:val="single" w:sz="2" w:space="0" w:color="auto"/>
              <w:left w:val="nil"/>
              <w:bottom w:val="single" w:sz="4" w:space="0" w:color="auto"/>
              <w:right w:val="nil"/>
            </w:tcBorders>
            <w:noWrap/>
            <w:vAlign w:val="center"/>
          </w:tcPr>
          <w:p w14:paraId="2C66ACA1" w14:textId="77777777" w:rsidR="00E03A92" w:rsidRPr="008024E2" w:rsidRDefault="00E03A92" w:rsidP="009604B1">
            <w:pPr>
              <w:jc w:val="right"/>
              <w:rPr>
                <w:rFonts w:ascii="Arial Narrow" w:hAnsi="Arial Narrow" w:cs="Arial"/>
                <w:sz w:val="16"/>
                <w:szCs w:val="16"/>
              </w:rPr>
            </w:pPr>
            <w:r w:rsidRPr="008024E2">
              <w:rPr>
                <w:rFonts w:ascii="Arial Narrow" w:hAnsi="Arial Narrow" w:cs="Arial"/>
                <w:sz w:val="16"/>
                <w:szCs w:val="16"/>
              </w:rPr>
              <w:t>296,53</w:t>
            </w:r>
          </w:p>
        </w:tc>
        <w:tc>
          <w:tcPr>
            <w:tcW w:w="415" w:type="pct"/>
            <w:tcBorders>
              <w:top w:val="single" w:sz="2" w:space="0" w:color="auto"/>
              <w:left w:val="nil"/>
              <w:bottom w:val="single" w:sz="4" w:space="0" w:color="auto"/>
              <w:right w:val="nil"/>
            </w:tcBorders>
            <w:vAlign w:val="center"/>
          </w:tcPr>
          <w:p w14:paraId="79F96A43" w14:textId="77777777" w:rsidR="00E03A92" w:rsidRPr="008024E2" w:rsidRDefault="00E03A92" w:rsidP="009604B1">
            <w:pPr>
              <w:jc w:val="right"/>
              <w:rPr>
                <w:rFonts w:ascii="Arial Narrow" w:hAnsi="Arial Narrow" w:cs="Arial"/>
                <w:sz w:val="16"/>
                <w:szCs w:val="16"/>
              </w:rPr>
            </w:pPr>
            <w:r w:rsidRPr="008024E2">
              <w:rPr>
                <w:rFonts w:ascii="Arial Narrow" w:hAnsi="Arial Narrow" w:cs="Arial"/>
                <w:sz w:val="16"/>
                <w:szCs w:val="16"/>
              </w:rPr>
              <w:t>307,23</w:t>
            </w:r>
          </w:p>
        </w:tc>
        <w:tc>
          <w:tcPr>
            <w:tcW w:w="415" w:type="pct"/>
            <w:tcBorders>
              <w:top w:val="single" w:sz="2" w:space="0" w:color="auto"/>
              <w:left w:val="nil"/>
              <w:bottom w:val="single" w:sz="4" w:space="0" w:color="auto"/>
              <w:right w:val="nil"/>
            </w:tcBorders>
            <w:vAlign w:val="center"/>
          </w:tcPr>
          <w:p w14:paraId="706E7B02" w14:textId="77777777" w:rsidR="00E03A92" w:rsidRPr="008024E2" w:rsidRDefault="00E03A92" w:rsidP="009604B1">
            <w:pPr>
              <w:jc w:val="right"/>
              <w:rPr>
                <w:rFonts w:ascii="Arial Narrow" w:hAnsi="Arial Narrow" w:cs="Arial"/>
                <w:sz w:val="16"/>
                <w:szCs w:val="16"/>
              </w:rPr>
            </w:pPr>
            <w:r w:rsidRPr="008024E2">
              <w:rPr>
                <w:rFonts w:ascii="Arial Narrow" w:hAnsi="Arial Narrow" w:cs="Arial"/>
                <w:sz w:val="16"/>
                <w:szCs w:val="16"/>
              </w:rPr>
              <w:t>416,08</w:t>
            </w:r>
          </w:p>
        </w:tc>
        <w:tc>
          <w:tcPr>
            <w:tcW w:w="415" w:type="pct"/>
            <w:tcBorders>
              <w:top w:val="single" w:sz="2" w:space="0" w:color="auto"/>
              <w:left w:val="nil"/>
              <w:bottom w:val="single" w:sz="4" w:space="0" w:color="auto"/>
              <w:right w:val="nil"/>
            </w:tcBorders>
            <w:vAlign w:val="center"/>
          </w:tcPr>
          <w:p w14:paraId="5971E081" w14:textId="77777777" w:rsidR="00E03A92" w:rsidRPr="008024E2" w:rsidRDefault="00E03A92" w:rsidP="009604B1">
            <w:pPr>
              <w:jc w:val="right"/>
              <w:rPr>
                <w:rFonts w:ascii="Arial Narrow" w:hAnsi="Arial Narrow" w:cs="Arial"/>
                <w:sz w:val="16"/>
                <w:szCs w:val="16"/>
              </w:rPr>
            </w:pPr>
            <w:r w:rsidRPr="008024E2">
              <w:rPr>
                <w:rFonts w:ascii="Arial Narrow" w:hAnsi="Arial Narrow" w:cs="Arial"/>
                <w:sz w:val="16"/>
                <w:szCs w:val="16"/>
              </w:rPr>
              <w:t>293,93</w:t>
            </w:r>
          </w:p>
        </w:tc>
        <w:tc>
          <w:tcPr>
            <w:tcW w:w="415" w:type="pct"/>
            <w:tcBorders>
              <w:top w:val="single" w:sz="2" w:space="0" w:color="auto"/>
              <w:left w:val="nil"/>
              <w:bottom w:val="single" w:sz="4" w:space="0" w:color="auto"/>
              <w:right w:val="nil"/>
            </w:tcBorders>
            <w:vAlign w:val="center"/>
          </w:tcPr>
          <w:p w14:paraId="00BE9A8C" w14:textId="77777777" w:rsidR="00E03A92" w:rsidRPr="008024E2" w:rsidRDefault="00E03A92" w:rsidP="009604B1">
            <w:pPr>
              <w:jc w:val="right"/>
              <w:rPr>
                <w:rFonts w:ascii="Arial Narrow" w:hAnsi="Arial Narrow" w:cs="Arial"/>
                <w:sz w:val="16"/>
                <w:szCs w:val="16"/>
              </w:rPr>
            </w:pPr>
            <w:r w:rsidRPr="008024E2">
              <w:rPr>
                <w:rFonts w:ascii="Arial Narrow" w:hAnsi="Arial Narrow" w:cs="Arial"/>
                <w:sz w:val="16"/>
                <w:szCs w:val="16"/>
              </w:rPr>
              <w:t>373,15</w:t>
            </w:r>
          </w:p>
        </w:tc>
        <w:tc>
          <w:tcPr>
            <w:tcW w:w="415" w:type="pct"/>
            <w:tcBorders>
              <w:top w:val="single" w:sz="2" w:space="0" w:color="auto"/>
              <w:left w:val="nil"/>
              <w:bottom w:val="single" w:sz="4" w:space="0" w:color="auto"/>
              <w:right w:val="nil"/>
            </w:tcBorders>
            <w:vAlign w:val="center"/>
          </w:tcPr>
          <w:p w14:paraId="2B3B8CA1" w14:textId="77777777" w:rsidR="00E03A92" w:rsidRPr="008024E2" w:rsidRDefault="00E03A92" w:rsidP="009604B1">
            <w:pPr>
              <w:jc w:val="right"/>
              <w:rPr>
                <w:rFonts w:ascii="Arial Narrow" w:hAnsi="Arial Narrow" w:cs="Arial"/>
                <w:sz w:val="16"/>
                <w:szCs w:val="16"/>
              </w:rPr>
            </w:pPr>
            <w:r w:rsidRPr="008024E2">
              <w:rPr>
                <w:rFonts w:ascii="Arial Narrow" w:hAnsi="Arial Narrow" w:cs="Arial"/>
                <w:sz w:val="16"/>
                <w:szCs w:val="16"/>
              </w:rPr>
              <w:t>336,99</w:t>
            </w:r>
          </w:p>
        </w:tc>
        <w:tc>
          <w:tcPr>
            <w:tcW w:w="415" w:type="pct"/>
            <w:tcBorders>
              <w:top w:val="single" w:sz="2" w:space="0" w:color="auto"/>
              <w:left w:val="nil"/>
              <w:bottom w:val="single" w:sz="4" w:space="0" w:color="auto"/>
              <w:right w:val="nil"/>
            </w:tcBorders>
            <w:vAlign w:val="center"/>
          </w:tcPr>
          <w:p w14:paraId="268ED6EE" w14:textId="77777777" w:rsidR="00E03A92" w:rsidRPr="008024E2" w:rsidRDefault="00E03A92" w:rsidP="009604B1">
            <w:pPr>
              <w:jc w:val="right"/>
              <w:rPr>
                <w:rFonts w:ascii="Arial Narrow" w:hAnsi="Arial Narrow" w:cs="Arial"/>
                <w:sz w:val="16"/>
                <w:szCs w:val="16"/>
              </w:rPr>
            </w:pPr>
            <w:r w:rsidRPr="008024E2">
              <w:rPr>
                <w:rFonts w:ascii="Arial Narrow" w:hAnsi="Arial Narrow" w:cs="Arial"/>
                <w:sz w:val="16"/>
                <w:szCs w:val="16"/>
              </w:rPr>
              <w:t>289,94</w:t>
            </w:r>
          </w:p>
        </w:tc>
        <w:tc>
          <w:tcPr>
            <w:tcW w:w="415" w:type="pct"/>
            <w:tcBorders>
              <w:top w:val="single" w:sz="2" w:space="0" w:color="auto"/>
              <w:left w:val="nil"/>
              <w:bottom w:val="single" w:sz="4" w:space="0" w:color="auto"/>
              <w:right w:val="nil"/>
            </w:tcBorders>
            <w:vAlign w:val="center"/>
          </w:tcPr>
          <w:p w14:paraId="50D830A7" w14:textId="77777777" w:rsidR="00E03A92" w:rsidRPr="008024E2" w:rsidRDefault="00E03A92" w:rsidP="009604B1">
            <w:pPr>
              <w:jc w:val="right"/>
              <w:rPr>
                <w:rFonts w:ascii="Arial Narrow" w:hAnsi="Arial Narrow" w:cs="Arial"/>
                <w:sz w:val="16"/>
                <w:szCs w:val="16"/>
              </w:rPr>
            </w:pPr>
            <w:r w:rsidRPr="008024E2">
              <w:rPr>
                <w:rFonts w:ascii="Arial Narrow" w:hAnsi="Arial Narrow" w:cs="Arial"/>
                <w:sz w:val="16"/>
                <w:szCs w:val="16"/>
              </w:rPr>
              <w:t>606,62</w:t>
            </w:r>
          </w:p>
        </w:tc>
        <w:tc>
          <w:tcPr>
            <w:tcW w:w="415" w:type="pct"/>
            <w:tcBorders>
              <w:top w:val="single" w:sz="2" w:space="0" w:color="auto"/>
              <w:left w:val="nil"/>
              <w:bottom w:val="single" w:sz="4" w:space="0" w:color="auto"/>
              <w:right w:val="nil"/>
            </w:tcBorders>
            <w:vAlign w:val="center"/>
          </w:tcPr>
          <w:p w14:paraId="10CF641B" w14:textId="77777777" w:rsidR="00E03A92" w:rsidRPr="008024E2" w:rsidRDefault="00E03A92" w:rsidP="009604B1">
            <w:pPr>
              <w:jc w:val="right"/>
              <w:rPr>
                <w:rFonts w:ascii="Arial Narrow" w:hAnsi="Arial Narrow" w:cs="Arial"/>
                <w:sz w:val="16"/>
                <w:szCs w:val="16"/>
              </w:rPr>
            </w:pPr>
            <w:r w:rsidRPr="008024E2">
              <w:rPr>
                <w:rFonts w:ascii="Arial Narrow" w:hAnsi="Arial Narrow" w:cs="Arial"/>
                <w:sz w:val="16"/>
                <w:szCs w:val="16"/>
              </w:rPr>
              <w:t>381,43</w:t>
            </w:r>
          </w:p>
        </w:tc>
        <w:tc>
          <w:tcPr>
            <w:tcW w:w="415" w:type="pct"/>
            <w:tcBorders>
              <w:top w:val="single" w:sz="2" w:space="0" w:color="auto"/>
              <w:left w:val="nil"/>
              <w:bottom w:val="single" w:sz="4" w:space="0" w:color="auto"/>
              <w:right w:val="nil"/>
            </w:tcBorders>
            <w:vAlign w:val="center"/>
          </w:tcPr>
          <w:p w14:paraId="7F400B1D" w14:textId="77777777" w:rsidR="00E03A92" w:rsidRPr="008024E2" w:rsidRDefault="00E03A92" w:rsidP="009604B1">
            <w:pPr>
              <w:jc w:val="right"/>
              <w:rPr>
                <w:rFonts w:ascii="Arial Narrow" w:hAnsi="Arial Narrow" w:cs="Arial"/>
                <w:sz w:val="16"/>
                <w:szCs w:val="16"/>
              </w:rPr>
            </w:pPr>
            <w:r w:rsidRPr="008024E2">
              <w:rPr>
                <w:rFonts w:ascii="Arial Narrow" w:hAnsi="Arial Narrow" w:cs="Arial"/>
                <w:sz w:val="16"/>
                <w:szCs w:val="16"/>
              </w:rPr>
              <w:t>224,21</w:t>
            </w:r>
          </w:p>
        </w:tc>
      </w:tr>
      <w:tr w:rsidR="002410BC" w:rsidRPr="00D4552D" w14:paraId="4F9D2F1F" w14:textId="77777777" w:rsidTr="002410BC">
        <w:trPr>
          <w:trHeight w:val="255"/>
          <w:jc w:val="center"/>
        </w:trPr>
        <w:tc>
          <w:tcPr>
            <w:tcW w:w="848" w:type="pct"/>
            <w:tcBorders>
              <w:top w:val="single" w:sz="4" w:space="0" w:color="auto"/>
              <w:left w:val="nil"/>
              <w:bottom w:val="single" w:sz="4" w:space="0" w:color="auto"/>
              <w:right w:val="nil"/>
            </w:tcBorders>
            <w:shd w:val="clear" w:color="auto" w:fill="8DB3E2" w:themeFill="text2" w:themeFillTint="66"/>
            <w:noWrap/>
            <w:vAlign w:val="center"/>
            <w:hideMark/>
          </w:tcPr>
          <w:p w14:paraId="69DC802E" w14:textId="77777777" w:rsidR="00E03A92" w:rsidRPr="00D4552D" w:rsidRDefault="00E03A92" w:rsidP="00C15FEE">
            <w:pPr>
              <w:pStyle w:val="cuadroCabe"/>
              <w:rPr>
                <w:sz w:val="16"/>
                <w:szCs w:val="16"/>
                <w:highlight w:val="yellow"/>
              </w:rPr>
            </w:pPr>
            <w:r w:rsidRPr="00D4552D">
              <w:rPr>
                <w:sz w:val="16"/>
                <w:szCs w:val="16"/>
              </w:rPr>
              <w:t>Variación deuda</w:t>
            </w:r>
          </w:p>
        </w:tc>
        <w:tc>
          <w:tcPr>
            <w:tcW w:w="415" w:type="pct"/>
            <w:tcBorders>
              <w:top w:val="single" w:sz="4" w:space="0" w:color="auto"/>
              <w:left w:val="nil"/>
              <w:bottom w:val="single" w:sz="4" w:space="0" w:color="auto"/>
              <w:right w:val="nil"/>
            </w:tcBorders>
            <w:shd w:val="clear" w:color="auto" w:fill="8DB3E2" w:themeFill="text2" w:themeFillTint="66"/>
            <w:noWrap/>
            <w:vAlign w:val="center"/>
          </w:tcPr>
          <w:p w14:paraId="4B2E5DCB" w14:textId="77777777" w:rsidR="00E03A92" w:rsidRPr="00D4552D" w:rsidRDefault="00E03A92" w:rsidP="009604B1">
            <w:pPr>
              <w:pStyle w:val="cuadroCabe"/>
              <w:jc w:val="right"/>
              <w:rPr>
                <w:sz w:val="16"/>
                <w:szCs w:val="16"/>
              </w:rPr>
            </w:pPr>
            <w:r w:rsidRPr="00D4552D">
              <w:rPr>
                <w:sz w:val="16"/>
                <w:szCs w:val="16"/>
              </w:rPr>
              <w:t>196,05</w:t>
            </w:r>
          </w:p>
        </w:tc>
        <w:tc>
          <w:tcPr>
            <w:tcW w:w="415" w:type="pct"/>
            <w:tcBorders>
              <w:top w:val="single" w:sz="4" w:space="0" w:color="auto"/>
              <w:left w:val="nil"/>
              <w:bottom w:val="single" w:sz="4" w:space="0" w:color="auto"/>
              <w:right w:val="nil"/>
            </w:tcBorders>
            <w:shd w:val="clear" w:color="auto" w:fill="8DB3E2" w:themeFill="text2" w:themeFillTint="66"/>
            <w:vAlign w:val="center"/>
          </w:tcPr>
          <w:p w14:paraId="4CD122F7" w14:textId="77777777" w:rsidR="00E03A92" w:rsidRPr="00D4552D" w:rsidRDefault="00E03A92" w:rsidP="009604B1">
            <w:pPr>
              <w:pStyle w:val="cuadroCabe"/>
              <w:jc w:val="right"/>
              <w:rPr>
                <w:sz w:val="16"/>
                <w:szCs w:val="16"/>
              </w:rPr>
            </w:pPr>
            <w:r w:rsidRPr="00D4552D">
              <w:rPr>
                <w:sz w:val="16"/>
                <w:szCs w:val="16"/>
              </w:rPr>
              <w:t>139,71</w:t>
            </w:r>
          </w:p>
        </w:tc>
        <w:tc>
          <w:tcPr>
            <w:tcW w:w="415" w:type="pct"/>
            <w:tcBorders>
              <w:top w:val="single" w:sz="4" w:space="0" w:color="auto"/>
              <w:left w:val="nil"/>
              <w:bottom w:val="single" w:sz="4" w:space="0" w:color="auto"/>
              <w:right w:val="nil"/>
            </w:tcBorders>
            <w:shd w:val="clear" w:color="auto" w:fill="8DB3E2" w:themeFill="text2" w:themeFillTint="66"/>
            <w:vAlign w:val="center"/>
          </w:tcPr>
          <w:p w14:paraId="0E373EFE" w14:textId="77777777" w:rsidR="00E03A92" w:rsidRPr="00D4552D" w:rsidRDefault="00E03A92" w:rsidP="009604B1">
            <w:pPr>
              <w:pStyle w:val="cuadroCabe"/>
              <w:jc w:val="right"/>
              <w:rPr>
                <w:sz w:val="16"/>
                <w:szCs w:val="16"/>
              </w:rPr>
            </w:pPr>
            <w:r w:rsidRPr="00D4552D">
              <w:rPr>
                <w:sz w:val="16"/>
                <w:szCs w:val="16"/>
              </w:rPr>
              <w:t>163,62</w:t>
            </w:r>
          </w:p>
        </w:tc>
        <w:tc>
          <w:tcPr>
            <w:tcW w:w="415" w:type="pct"/>
            <w:tcBorders>
              <w:top w:val="single" w:sz="4" w:space="0" w:color="auto"/>
              <w:left w:val="nil"/>
              <w:bottom w:val="single" w:sz="4" w:space="0" w:color="auto"/>
              <w:right w:val="nil"/>
            </w:tcBorders>
            <w:shd w:val="clear" w:color="auto" w:fill="8DB3E2" w:themeFill="text2" w:themeFillTint="66"/>
            <w:vAlign w:val="center"/>
          </w:tcPr>
          <w:p w14:paraId="787840E8" w14:textId="77777777" w:rsidR="00E03A92" w:rsidRPr="00D4552D" w:rsidRDefault="00E03A92" w:rsidP="009604B1">
            <w:pPr>
              <w:pStyle w:val="cuadroCabe"/>
              <w:jc w:val="right"/>
              <w:rPr>
                <w:sz w:val="16"/>
                <w:szCs w:val="16"/>
              </w:rPr>
            </w:pPr>
            <w:r w:rsidRPr="00D4552D">
              <w:rPr>
                <w:sz w:val="16"/>
                <w:szCs w:val="16"/>
              </w:rPr>
              <w:t>204,08</w:t>
            </w:r>
          </w:p>
        </w:tc>
        <w:tc>
          <w:tcPr>
            <w:tcW w:w="415" w:type="pct"/>
            <w:tcBorders>
              <w:top w:val="single" w:sz="4" w:space="0" w:color="auto"/>
              <w:left w:val="nil"/>
              <w:bottom w:val="single" w:sz="4" w:space="0" w:color="auto"/>
              <w:right w:val="nil"/>
            </w:tcBorders>
            <w:shd w:val="clear" w:color="auto" w:fill="8DB3E2" w:themeFill="text2" w:themeFillTint="66"/>
            <w:vAlign w:val="center"/>
          </w:tcPr>
          <w:p w14:paraId="385EEBAF" w14:textId="77777777" w:rsidR="00E03A92" w:rsidRPr="00D4552D" w:rsidRDefault="00E03A92" w:rsidP="009604B1">
            <w:pPr>
              <w:pStyle w:val="cuadroCabe"/>
              <w:jc w:val="right"/>
              <w:rPr>
                <w:sz w:val="16"/>
                <w:szCs w:val="16"/>
              </w:rPr>
            </w:pPr>
            <w:r w:rsidRPr="00D4552D">
              <w:rPr>
                <w:sz w:val="16"/>
                <w:szCs w:val="16"/>
              </w:rPr>
              <w:t>-165,09</w:t>
            </w:r>
          </w:p>
        </w:tc>
        <w:tc>
          <w:tcPr>
            <w:tcW w:w="415" w:type="pct"/>
            <w:tcBorders>
              <w:top w:val="single" w:sz="4" w:space="0" w:color="auto"/>
              <w:left w:val="nil"/>
              <w:bottom w:val="single" w:sz="4" w:space="0" w:color="auto"/>
              <w:right w:val="nil"/>
            </w:tcBorders>
            <w:shd w:val="clear" w:color="auto" w:fill="8DB3E2" w:themeFill="text2" w:themeFillTint="66"/>
            <w:vAlign w:val="center"/>
          </w:tcPr>
          <w:p w14:paraId="2C846587" w14:textId="77777777" w:rsidR="00E03A92" w:rsidRPr="00D4552D" w:rsidRDefault="00E03A92" w:rsidP="009604B1">
            <w:pPr>
              <w:pStyle w:val="cuadroCabe"/>
              <w:jc w:val="right"/>
              <w:rPr>
                <w:sz w:val="16"/>
                <w:szCs w:val="16"/>
              </w:rPr>
            </w:pPr>
            <w:r w:rsidRPr="00D4552D">
              <w:rPr>
                <w:sz w:val="16"/>
                <w:szCs w:val="16"/>
              </w:rPr>
              <w:t>-122,53</w:t>
            </w:r>
          </w:p>
        </w:tc>
        <w:tc>
          <w:tcPr>
            <w:tcW w:w="415" w:type="pct"/>
            <w:tcBorders>
              <w:top w:val="single" w:sz="4" w:space="0" w:color="auto"/>
              <w:left w:val="nil"/>
              <w:bottom w:val="single" w:sz="4" w:space="0" w:color="auto"/>
              <w:right w:val="nil"/>
            </w:tcBorders>
            <w:shd w:val="clear" w:color="auto" w:fill="8DB3E2" w:themeFill="text2" w:themeFillTint="66"/>
            <w:vAlign w:val="center"/>
          </w:tcPr>
          <w:p w14:paraId="6E37B46C" w14:textId="77777777" w:rsidR="00E03A92" w:rsidRPr="00D4552D" w:rsidRDefault="00E03A92" w:rsidP="009604B1">
            <w:pPr>
              <w:pStyle w:val="cuadroCabe"/>
              <w:jc w:val="right"/>
              <w:rPr>
                <w:sz w:val="16"/>
                <w:szCs w:val="16"/>
              </w:rPr>
            </w:pPr>
            <w:r w:rsidRPr="00D4552D">
              <w:rPr>
                <w:sz w:val="16"/>
                <w:szCs w:val="16"/>
              </w:rPr>
              <w:t>358,43</w:t>
            </w:r>
          </w:p>
        </w:tc>
        <w:tc>
          <w:tcPr>
            <w:tcW w:w="415" w:type="pct"/>
            <w:tcBorders>
              <w:top w:val="single" w:sz="4" w:space="0" w:color="auto"/>
              <w:left w:val="nil"/>
              <w:bottom w:val="single" w:sz="4" w:space="0" w:color="auto"/>
              <w:right w:val="nil"/>
            </w:tcBorders>
            <w:shd w:val="clear" w:color="auto" w:fill="8DB3E2" w:themeFill="text2" w:themeFillTint="66"/>
            <w:vAlign w:val="center"/>
          </w:tcPr>
          <w:p w14:paraId="6A117EE7" w14:textId="77777777" w:rsidR="00E03A92" w:rsidRPr="00D4552D" w:rsidRDefault="00E03A92" w:rsidP="009604B1">
            <w:pPr>
              <w:pStyle w:val="cuadroCabe"/>
              <w:jc w:val="right"/>
              <w:rPr>
                <w:sz w:val="16"/>
                <w:szCs w:val="16"/>
              </w:rPr>
            </w:pPr>
            <w:r w:rsidRPr="00D4552D">
              <w:rPr>
                <w:sz w:val="16"/>
                <w:szCs w:val="16"/>
              </w:rPr>
              <w:t>-457,18</w:t>
            </w:r>
          </w:p>
        </w:tc>
        <w:tc>
          <w:tcPr>
            <w:tcW w:w="415" w:type="pct"/>
            <w:tcBorders>
              <w:top w:val="single" w:sz="4" w:space="0" w:color="auto"/>
              <w:left w:val="nil"/>
              <w:bottom w:val="single" w:sz="4" w:space="0" w:color="auto"/>
              <w:right w:val="nil"/>
            </w:tcBorders>
            <w:shd w:val="clear" w:color="auto" w:fill="8DB3E2" w:themeFill="text2" w:themeFillTint="66"/>
            <w:vAlign w:val="center"/>
          </w:tcPr>
          <w:p w14:paraId="3C3E64DF" w14:textId="77777777" w:rsidR="00E03A92" w:rsidRPr="00D4552D" w:rsidRDefault="00E03A92" w:rsidP="009604B1">
            <w:pPr>
              <w:pStyle w:val="cuadroCabe"/>
              <w:jc w:val="right"/>
              <w:rPr>
                <w:sz w:val="16"/>
                <w:szCs w:val="16"/>
              </w:rPr>
            </w:pPr>
            <w:r w:rsidRPr="00D4552D">
              <w:rPr>
                <w:sz w:val="16"/>
                <w:szCs w:val="16"/>
              </w:rPr>
              <w:t>24,76</w:t>
            </w:r>
          </w:p>
        </w:tc>
        <w:tc>
          <w:tcPr>
            <w:tcW w:w="415" w:type="pct"/>
            <w:tcBorders>
              <w:top w:val="single" w:sz="4" w:space="0" w:color="auto"/>
              <w:left w:val="nil"/>
              <w:bottom w:val="single" w:sz="4" w:space="0" w:color="auto"/>
              <w:right w:val="nil"/>
            </w:tcBorders>
            <w:shd w:val="clear" w:color="auto" w:fill="8DB3E2" w:themeFill="text2" w:themeFillTint="66"/>
            <w:vAlign w:val="center"/>
          </w:tcPr>
          <w:p w14:paraId="40B089A4" w14:textId="77777777" w:rsidR="00E03A92" w:rsidRPr="00D4552D" w:rsidRDefault="00E03A92" w:rsidP="009604B1">
            <w:pPr>
              <w:pStyle w:val="cuadroCabe"/>
              <w:jc w:val="right"/>
              <w:rPr>
                <w:sz w:val="16"/>
                <w:szCs w:val="16"/>
              </w:rPr>
            </w:pPr>
            <w:r w:rsidRPr="00D4552D">
              <w:rPr>
                <w:sz w:val="16"/>
                <w:szCs w:val="16"/>
              </w:rPr>
              <w:t>-174,21</w:t>
            </w:r>
          </w:p>
        </w:tc>
      </w:tr>
    </w:tbl>
    <w:p w14:paraId="5C258A3B" w14:textId="77777777" w:rsidR="00C15FEE" w:rsidRPr="00FB49C6" w:rsidRDefault="00C15FEE" w:rsidP="00C74FAF">
      <w:pPr>
        <w:pStyle w:val="texto"/>
        <w:spacing w:before="240" w:after="120"/>
        <w:jc w:val="both"/>
      </w:pPr>
      <w:r w:rsidRPr="00FB49C6">
        <w:rPr>
          <w:b/>
        </w:rPr>
        <w:t>En definitiva</w:t>
      </w:r>
      <w:r w:rsidRPr="00FB49C6">
        <w:t xml:space="preserve">, la situación económico-financiera de la ACFN y sus OOAA, una vez llevado a cabo un proceso de recuperación que afectó a todas las administraciones públicas por la situación generada por la pandemia, </w:t>
      </w:r>
      <w:r>
        <w:t xml:space="preserve">sigue </w:t>
      </w:r>
      <w:r w:rsidRPr="00FB49C6">
        <w:t>presenta</w:t>
      </w:r>
      <w:r>
        <w:t>ndo</w:t>
      </w:r>
      <w:r w:rsidRPr="00FB49C6">
        <w:t xml:space="preserve"> mejoría en indicadores significativos.  </w:t>
      </w:r>
    </w:p>
    <w:p w14:paraId="2734EEB3" w14:textId="77777777" w:rsidR="00C15FEE" w:rsidRDefault="00C15FEE" w:rsidP="00C15FEE">
      <w:pPr>
        <w:pStyle w:val="texto"/>
        <w:numPr>
          <w:ilvl w:val="0"/>
          <w:numId w:val="12"/>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Pr>
          <w:rFonts w:cs="Arial"/>
          <w:lang w:val="es-ES_tradnl" w:eastAsia="en-US"/>
        </w:rPr>
        <w:t>Por otro lado, l</w:t>
      </w:r>
      <w:r w:rsidRPr="00F56DF5">
        <w:rPr>
          <w:rFonts w:cs="Arial"/>
          <w:lang w:val="es-ES_tradnl" w:eastAsia="en-US"/>
        </w:rPr>
        <w:t xml:space="preserve">os gastos presupuestarios comprometidos para ejercicios futuros ascienden a 3.720,46 millones, de los que el 78 por ciento corresponden a la carga financiera de la deuda. Respecto a los datos de 2022, estos gastos disminuyen un cuatro por ciento. </w:t>
      </w:r>
    </w:p>
    <w:p w14:paraId="34B606C5" w14:textId="77777777" w:rsidR="00614DC4" w:rsidRDefault="00614DC4" w:rsidP="00286F49">
      <w:pPr>
        <w:pStyle w:val="texto"/>
        <w:spacing w:after="120"/>
        <w:jc w:val="both"/>
      </w:pPr>
      <w:r>
        <w:t>Su detalle por capítulo y año es el siguiente:</w:t>
      </w:r>
    </w:p>
    <w:p w14:paraId="462E80D1" w14:textId="77777777" w:rsidR="00614DC4" w:rsidRPr="00C74FAF" w:rsidRDefault="00C74FAF" w:rsidP="00614DC4">
      <w:pPr>
        <w:pStyle w:val="texto"/>
        <w:spacing w:after="120"/>
        <w:rPr>
          <w:rFonts w:ascii="Arial" w:hAnsi="Arial" w:cs="Arial"/>
          <w:sz w:val="17"/>
          <w:szCs w:val="17"/>
        </w:rPr>
      </w:pP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sidR="00E906A4" w:rsidRPr="00C74FAF">
        <w:rPr>
          <w:rFonts w:ascii="Arial" w:hAnsi="Arial" w:cs="Arial"/>
          <w:sz w:val="17"/>
          <w:szCs w:val="17"/>
        </w:rPr>
        <w:t xml:space="preserve">                           </w:t>
      </w:r>
      <w:r>
        <w:rPr>
          <w:rFonts w:ascii="Arial" w:hAnsi="Arial" w:cs="Arial"/>
          <w:sz w:val="17"/>
          <w:szCs w:val="17"/>
        </w:rPr>
        <w:t xml:space="preserve">                  </w:t>
      </w:r>
      <w:r w:rsidR="00E906A4" w:rsidRPr="00C74FAF">
        <w:rPr>
          <w:rFonts w:ascii="Arial" w:hAnsi="Arial" w:cs="Arial"/>
          <w:sz w:val="17"/>
          <w:szCs w:val="17"/>
        </w:rPr>
        <w:t xml:space="preserve"> </w:t>
      </w:r>
      <w:r w:rsidR="00614DC4" w:rsidRPr="00C74FAF">
        <w:rPr>
          <w:rFonts w:ascii="Arial" w:hAnsi="Arial" w:cs="Arial"/>
          <w:sz w:val="17"/>
          <w:szCs w:val="17"/>
        </w:rPr>
        <w:t xml:space="preserve">        </w:t>
      </w:r>
      <w:r w:rsidR="00614DC4" w:rsidRPr="00C74FAF">
        <w:rPr>
          <w:rFonts w:ascii="Arial" w:hAnsi="Arial" w:cs="Arial"/>
          <w:color w:val="000000"/>
          <w:spacing w:val="0"/>
          <w:sz w:val="17"/>
          <w:szCs w:val="17"/>
        </w:rPr>
        <w:t>(en miles)</w:t>
      </w:r>
    </w:p>
    <w:tbl>
      <w:tblPr>
        <w:tblW w:w="8931" w:type="dxa"/>
        <w:tblInd w:w="-142" w:type="dxa"/>
        <w:tblLayout w:type="fixed"/>
        <w:tblCellMar>
          <w:left w:w="70" w:type="dxa"/>
          <w:right w:w="70" w:type="dxa"/>
        </w:tblCellMar>
        <w:tblLook w:val="04A0" w:firstRow="1" w:lastRow="0" w:firstColumn="1" w:lastColumn="0" w:noHBand="0" w:noVBand="1"/>
      </w:tblPr>
      <w:tblGrid>
        <w:gridCol w:w="3261"/>
        <w:gridCol w:w="850"/>
        <w:gridCol w:w="851"/>
        <w:gridCol w:w="992"/>
        <w:gridCol w:w="1134"/>
        <w:gridCol w:w="992"/>
        <w:gridCol w:w="851"/>
      </w:tblGrid>
      <w:tr w:rsidR="00614DC4" w:rsidRPr="00916EA0" w14:paraId="658D302E" w14:textId="77777777" w:rsidTr="00C74FAF">
        <w:trPr>
          <w:trHeight w:val="255"/>
        </w:trPr>
        <w:tc>
          <w:tcPr>
            <w:tcW w:w="3261" w:type="dxa"/>
            <w:tcBorders>
              <w:top w:val="single" w:sz="4" w:space="0" w:color="auto"/>
              <w:left w:val="nil"/>
              <w:bottom w:val="single" w:sz="4" w:space="0" w:color="auto"/>
              <w:right w:val="nil"/>
            </w:tcBorders>
            <w:shd w:val="clear" w:color="auto" w:fill="8DB3E2"/>
            <w:noWrap/>
            <w:vAlign w:val="center"/>
            <w:hideMark/>
          </w:tcPr>
          <w:p w14:paraId="0110B62F" w14:textId="77777777" w:rsidR="00614DC4" w:rsidRPr="00916EA0" w:rsidRDefault="00614DC4" w:rsidP="00731B30">
            <w:pPr>
              <w:pStyle w:val="cuadroCabe"/>
            </w:pPr>
            <w:r w:rsidRPr="00916EA0">
              <w:t>Capítulo</w:t>
            </w:r>
          </w:p>
        </w:tc>
        <w:tc>
          <w:tcPr>
            <w:tcW w:w="850" w:type="dxa"/>
            <w:tcBorders>
              <w:top w:val="single" w:sz="4" w:space="0" w:color="auto"/>
              <w:left w:val="nil"/>
              <w:bottom w:val="single" w:sz="4" w:space="0" w:color="auto"/>
              <w:right w:val="nil"/>
            </w:tcBorders>
            <w:shd w:val="clear" w:color="auto" w:fill="8DB3E2"/>
            <w:noWrap/>
            <w:vAlign w:val="center"/>
            <w:hideMark/>
          </w:tcPr>
          <w:p w14:paraId="7929DDE5" w14:textId="77777777" w:rsidR="00614DC4" w:rsidRPr="00916EA0" w:rsidRDefault="00614DC4" w:rsidP="006C42F2">
            <w:pPr>
              <w:pStyle w:val="cuadroCabe"/>
              <w:jc w:val="right"/>
            </w:pPr>
            <w:r w:rsidRPr="00916EA0">
              <w:t>202</w:t>
            </w:r>
            <w:r w:rsidR="00916EA0" w:rsidRPr="00916EA0">
              <w:t>4</w:t>
            </w:r>
          </w:p>
        </w:tc>
        <w:tc>
          <w:tcPr>
            <w:tcW w:w="851" w:type="dxa"/>
            <w:tcBorders>
              <w:top w:val="single" w:sz="4" w:space="0" w:color="auto"/>
              <w:left w:val="nil"/>
              <w:bottom w:val="single" w:sz="4" w:space="0" w:color="auto"/>
              <w:right w:val="nil"/>
            </w:tcBorders>
            <w:shd w:val="clear" w:color="auto" w:fill="8DB3E2"/>
            <w:noWrap/>
            <w:vAlign w:val="center"/>
            <w:hideMark/>
          </w:tcPr>
          <w:p w14:paraId="56329C91" w14:textId="77777777" w:rsidR="00614DC4" w:rsidRPr="00916EA0" w:rsidRDefault="00916EA0" w:rsidP="006C42F2">
            <w:pPr>
              <w:pStyle w:val="cuadroCabe"/>
              <w:jc w:val="right"/>
            </w:pPr>
            <w:r w:rsidRPr="00916EA0">
              <w:t>2025</w:t>
            </w:r>
          </w:p>
        </w:tc>
        <w:tc>
          <w:tcPr>
            <w:tcW w:w="992" w:type="dxa"/>
            <w:tcBorders>
              <w:top w:val="single" w:sz="4" w:space="0" w:color="auto"/>
              <w:left w:val="nil"/>
              <w:bottom w:val="single" w:sz="4" w:space="0" w:color="auto"/>
              <w:right w:val="nil"/>
            </w:tcBorders>
            <w:shd w:val="clear" w:color="auto" w:fill="8DB3E2"/>
            <w:noWrap/>
            <w:vAlign w:val="center"/>
            <w:hideMark/>
          </w:tcPr>
          <w:p w14:paraId="6EAD4E26" w14:textId="77777777" w:rsidR="00614DC4" w:rsidRPr="00916EA0" w:rsidRDefault="00916EA0" w:rsidP="006C42F2">
            <w:pPr>
              <w:pStyle w:val="cuadroCabe"/>
              <w:jc w:val="right"/>
            </w:pPr>
            <w:r w:rsidRPr="00916EA0">
              <w:t>2026</w:t>
            </w:r>
          </w:p>
        </w:tc>
        <w:tc>
          <w:tcPr>
            <w:tcW w:w="1134" w:type="dxa"/>
            <w:tcBorders>
              <w:top w:val="single" w:sz="4" w:space="0" w:color="auto"/>
              <w:left w:val="nil"/>
              <w:bottom w:val="single" w:sz="4" w:space="0" w:color="auto"/>
              <w:right w:val="nil"/>
            </w:tcBorders>
            <w:shd w:val="clear" w:color="auto" w:fill="8DB3E2"/>
            <w:noWrap/>
            <w:vAlign w:val="center"/>
            <w:hideMark/>
          </w:tcPr>
          <w:p w14:paraId="099C0217" w14:textId="77777777" w:rsidR="00614DC4" w:rsidRPr="00916EA0" w:rsidRDefault="00614DC4" w:rsidP="006C42F2">
            <w:pPr>
              <w:pStyle w:val="cuadroCabe"/>
              <w:jc w:val="right"/>
            </w:pPr>
            <w:r w:rsidRPr="00916EA0">
              <w:t>Resto años</w:t>
            </w:r>
          </w:p>
        </w:tc>
        <w:tc>
          <w:tcPr>
            <w:tcW w:w="992" w:type="dxa"/>
            <w:tcBorders>
              <w:top w:val="single" w:sz="4" w:space="0" w:color="auto"/>
              <w:left w:val="nil"/>
              <w:bottom w:val="single" w:sz="4" w:space="0" w:color="auto"/>
              <w:right w:val="nil"/>
            </w:tcBorders>
            <w:shd w:val="clear" w:color="auto" w:fill="8DB3E2"/>
            <w:vAlign w:val="center"/>
            <w:hideMark/>
          </w:tcPr>
          <w:p w14:paraId="4108F09E" w14:textId="77777777" w:rsidR="00614DC4" w:rsidRPr="00916EA0" w:rsidRDefault="00614DC4" w:rsidP="006C42F2">
            <w:pPr>
              <w:pStyle w:val="cuadroCabe"/>
              <w:jc w:val="right"/>
            </w:pPr>
            <w:r w:rsidRPr="00916EA0">
              <w:t>Total</w:t>
            </w:r>
          </w:p>
        </w:tc>
        <w:tc>
          <w:tcPr>
            <w:tcW w:w="851" w:type="dxa"/>
            <w:tcBorders>
              <w:top w:val="single" w:sz="4" w:space="0" w:color="auto"/>
              <w:left w:val="nil"/>
              <w:bottom w:val="single" w:sz="4" w:space="0" w:color="auto"/>
              <w:right w:val="nil"/>
            </w:tcBorders>
            <w:shd w:val="clear" w:color="auto" w:fill="8DB3E2"/>
            <w:noWrap/>
            <w:vAlign w:val="center"/>
            <w:hideMark/>
          </w:tcPr>
          <w:p w14:paraId="0F03A316" w14:textId="77777777" w:rsidR="00D85F0A" w:rsidRDefault="00614DC4" w:rsidP="00D85F0A">
            <w:pPr>
              <w:pStyle w:val="cuadroCabe"/>
              <w:jc w:val="center"/>
            </w:pPr>
            <w:r w:rsidRPr="00916EA0">
              <w:t>%</w:t>
            </w:r>
          </w:p>
          <w:p w14:paraId="199433A0" w14:textId="77777777" w:rsidR="00614DC4" w:rsidRPr="00916EA0" w:rsidRDefault="00614DC4" w:rsidP="00D85F0A">
            <w:pPr>
              <w:pStyle w:val="cuadroCabe"/>
              <w:jc w:val="center"/>
            </w:pPr>
            <w:r w:rsidRPr="00916EA0">
              <w:t>s/total</w:t>
            </w:r>
          </w:p>
        </w:tc>
      </w:tr>
      <w:tr w:rsidR="00916EA0" w:rsidRPr="00916EA0" w14:paraId="59C0F96C" w14:textId="77777777" w:rsidTr="00C74FAF">
        <w:trPr>
          <w:trHeight w:val="198"/>
        </w:trPr>
        <w:tc>
          <w:tcPr>
            <w:tcW w:w="3261" w:type="dxa"/>
            <w:tcBorders>
              <w:top w:val="single" w:sz="4" w:space="0" w:color="auto"/>
              <w:left w:val="nil"/>
              <w:bottom w:val="single" w:sz="2" w:space="0" w:color="auto"/>
              <w:right w:val="nil"/>
            </w:tcBorders>
            <w:noWrap/>
            <w:vAlign w:val="center"/>
            <w:hideMark/>
          </w:tcPr>
          <w:p w14:paraId="747E313F" w14:textId="77777777" w:rsidR="00916EA0" w:rsidRPr="00C74FAF" w:rsidRDefault="00916EA0" w:rsidP="00731B30">
            <w:pPr>
              <w:pStyle w:val="cuatexto"/>
              <w:rPr>
                <w:szCs w:val="20"/>
              </w:rPr>
            </w:pPr>
            <w:r w:rsidRPr="00C74FAF">
              <w:rPr>
                <w:szCs w:val="20"/>
              </w:rPr>
              <w:t>1 Gastos de personal</w:t>
            </w:r>
          </w:p>
        </w:tc>
        <w:tc>
          <w:tcPr>
            <w:tcW w:w="850" w:type="dxa"/>
            <w:tcBorders>
              <w:top w:val="single" w:sz="4" w:space="0" w:color="auto"/>
              <w:left w:val="nil"/>
              <w:bottom w:val="single" w:sz="2" w:space="0" w:color="auto"/>
              <w:right w:val="nil"/>
            </w:tcBorders>
            <w:shd w:val="clear" w:color="auto" w:fill="auto"/>
            <w:noWrap/>
            <w:vAlign w:val="center"/>
          </w:tcPr>
          <w:p w14:paraId="2834243E" w14:textId="77777777" w:rsidR="00916EA0" w:rsidRPr="00C74FAF" w:rsidRDefault="00916EA0" w:rsidP="00731B30">
            <w:pPr>
              <w:pStyle w:val="cuatexto"/>
              <w:jc w:val="right"/>
              <w:rPr>
                <w:rFonts w:cs="Arial"/>
                <w:szCs w:val="20"/>
              </w:rPr>
            </w:pPr>
            <w:r w:rsidRPr="00C74FAF">
              <w:rPr>
                <w:rFonts w:cs="Arial"/>
                <w:szCs w:val="20"/>
              </w:rPr>
              <w:t>2.757</w:t>
            </w:r>
          </w:p>
        </w:tc>
        <w:tc>
          <w:tcPr>
            <w:tcW w:w="851" w:type="dxa"/>
            <w:tcBorders>
              <w:top w:val="single" w:sz="4" w:space="0" w:color="auto"/>
              <w:left w:val="nil"/>
              <w:bottom w:val="single" w:sz="2" w:space="0" w:color="auto"/>
              <w:right w:val="nil"/>
            </w:tcBorders>
            <w:shd w:val="clear" w:color="auto" w:fill="auto"/>
            <w:noWrap/>
            <w:vAlign w:val="center"/>
          </w:tcPr>
          <w:p w14:paraId="735F16CB" w14:textId="77777777" w:rsidR="00916EA0" w:rsidRPr="00C74FAF" w:rsidRDefault="00916EA0" w:rsidP="00731B30">
            <w:pPr>
              <w:pStyle w:val="cuatexto"/>
              <w:jc w:val="right"/>
              <w:rPr>
                <w:rFonts w:cs="Arial"/>
                <w:szCs w:val="20"/>
              </w:rPr>
            </w:pPr>
            <w:r w:rsidRPr="00C74FAF">
              <w:rPr>
                <w:rFonts w:cs="Arial"/>
                <w:szCs w:val="20"/>
              </w:rPr>
              <w:t>0</w:t>
            </w:r>
          </w:p>
        </w:tc>
        <w:tc>
          <w:tcPr>
            <w:tcW w:w="992" w:type="dxa"/>
            <w:tcBorders>
              <w:top w:val="single" w:sz="4" w:space="0" w:color="auto"/>
              <w:left w:val="nil"/>
              <w:bottom w:val="single" w:sz="2" w:space="0" w:color="auto"/>
              <w:right w:val="nil"/>
            </w:tcBorders>
            <w:shd w:val="clear" w:color="auto" w:fill="auto"/>
            <w:noWrap/>
            <w:vAlign w:val="center"/>
          </w:tcPr>
          <w:p w14:paraId="21FA5366" w14:textId="77777777" w:rsidR="00916EA0" w:rsidRPr="00C74FAF" w:rsidRDefault="00916EA0" w:rsidP="00731B30">
            <w:pPr>
              <w:pStyle w:val="cuatexto"/>
              <w:jc w:val="right"/>
              <w:rPr>
                <w:rFonts w:cs="Arial"/>
                <w:szCs w:val="20"/>
              </w:rPr>
            </w:pPr>
            <w:r w:rsidRPr="00C74FAF">
              <w:rPr>
                <w:rFonts w:cs="Arial"/>
                <w:szCs w:val="20"/>
              </w:rPr>
              <w:t>0</w:t>
            </w:r>
          </w:p>
        </w:tc>
        <w:tc>
          <w:tcPr>
            <w:tcW w:w="1134" w:type="dxa"/>
            <w:tcBorders>
              <w:top w:val="single" w:sz="4" w:space="0" w:color="auto"/>
              <w:left w:val="nil"/>
              <w:bottom w:val="single" w:sz="2" w:space="0" w:color="auto"/>
              <w:right w:val="nil"/>
            </w:tcBorders>
            <w:shd w:val="clear" w:color="auto" w:fill="auto"/>
            <w:noWrap/>
            <w:vAlign w:val="center"/>
          </w:tcPr>
          <w:p w14:paraId="1B5E2807" w14:textId="77777777" w:rsidR="00916EA0" w:rsidRPr="00C74FAF" w:rsidRDefault="00916EA0" w:rsidP="00731B30">
            <w:pPr>
              <w:pStyle w:val="cuatexto"/>
              <w:jc w:val="right"/>
              <w:rPr>
                <w:rFonts w:cs="Arial"/>
                <w:szCs w:val="20"/>
              </w:rPr>
            </w:pPr>
            <w:r w:rsidRPr="00C74FAF">
              <w:rPr>
                <w:rFonts w:cs="Arial"/>
                <w:szCs w:val="20"/>
              </w:rPr>
              <w:t>0</w:t>
            </w:r>
          </w:p>
        </w:tc>
        <w:tc>
          <w:tcPr>
            <w:tcW w:w="992" w:type="dxa"/>
            <w:tcBorders>
              <w:top w:val="single" w:sz="4" w:space="0" w:color="auto"/>
              <w:left w:val="nil"/>
              <w:bottom w:val="single" w:sz="2" w:space="0" w:color="auto"/>
              <w:right w:val="nil"/>
            </w:tcBorders>
            <w:shd w:val="clear" w:color="auto" w:fill="auto"/>
            <w:noWrap/>
            <w:vAlign w:val="center"/>
          </w:tcPr>
          <w:p w14:paraId="06326253" w14:textId="77777777" w:rsidR="00916EA0" w:rsidRPr="00C74FAF" w:rsidRDefault="00916EA0" w:rsidP="00731B30">
            <w:pPr>
              <w:pStyle w:val="cuatexto"/>
              <w:jc w:val="right"/>
              <w:rPr>
                <w:rFonts w:cs="Calibri"/>
                <w:szCs w:val="20"/>
              </w:rPr>
            </w:pPr>
            <w:r w:rsidRPr="00C74FAF">
              <w:rPr>
                <w:rFonts w:cs="Calibri"/>
                <w:szCs w:val="20"/>
              </w:rPr>
              <w:t>2.757</w:t>
            </w:r>
          </w:p>
        </w:tc>
        <w:tc>
          <w:tcPr>
            <w:tcW w:w="851" w:type="dxa"/>
            <w:tcBorders>
              <w:top w:val="single" w:sz="4" w:space="0" w:color="auto"/>
              <w:left w:val="nil"/>
              <w:bottom w:val="single" w:sz="2" w:space="0" w:color="auto"/>
              <w:right w:val="nil"/>
            </w:tcBorders>
            <w:shd w:val="clear" w:color="auto" w:fill="auto"/>
            <w:noWrap/>
            <w:vAlign w:val="center"/>
          </w:tcPr>
          <w:p w14:paraId="55F2AC18" w14:textId="77777777" w:rsidR="00916EA0" w:rsidRPr="00C74FAF" w:rsidRDefault="00916EA0" w:rsidP="00731B30">
            <w:pPr>
              <w:pStyle w:val="cuatexto"/>
              <w:jc w:val="right"/>
              <w:rPr>
                <w:rFonts w:cs="Calibri"/>
                <w:szCs w:val="20"/>
              </w:rPr>
            </w:pPr>
            <w:r w:rsidRPr="00C74FAF">
              <w:rPr>
                <w:rFonts w:cs="Calibri"/>
                <w:szCs w:val="20"/>
              </w:rPr>
              <w:t>0</w:t>
            </w:r>
          </w:p>
        </w:tc>
      </w:tr>
      <w:tr w:rsidR="00916EA0" w:rsidRPr="00916EA0" w14:paraId="3D9F746A" w14:textId="77777777" w:rsidTr="00C74FAF">
        <w:trPr>
          <w:trHeight w:val="198"/>
        </w:trPr>
        <w:tc>
          <w:tcPr>
            <w:tcW w:w="3261" w:type="dxa"/>
            <w:tcBorders>
              <w:top w:val="single" w:sz="2" w:space="0" w:color="auto"/>
              <w:left w:val="nil"/>
              <w:bottom w:val="single" w:sz="2" w:space="0" w:color="auto"/>
              <w:right w:val="nil"/>
            </w:tcBorders>
            <w:noWrap/>
            <w:vAlign w:val="center"/>
            <w:hideMark/>
          </w:tcPr>
          <w:p w14:paraId="5B2D82DE" w14:textId="77777777" w:rsidR="00916EA0" w:rsidRPr="00C74FAF" w:rsidRDefault="00916EA0" w:rsidP="00731B30">
            <w:pPr>
              <w:pStyle w:val="cuatexto"/>
              <w:rPr>
                <w:szCs w:val="20"/>
              </w:rPr>
            </w:pPr>
            <w:r w:rsidRPr="00C74FAF">
              <w:rPr>
                <w:szCs w:val="20"/>
              </w:rPr>
              <w:t>2 Gastos corrientes bienes y servicios</w:t>
            </w:r>
          </w:p>
        </w:tc>
        <w:tc>
          <w:tcPr>
            <w:tcW w:w="850" w:type="dxa"/>
            <w:tcBorders>
              <w:top w:val="single" w:sz="2" w:space="0" w:color="auto"/>
              <w:left w:val="nil"/>
              <w:bottom w:val="single" w:sz="2" w:space="0" w:color="auto"/>
              <w:right w:val="nil"/>
            </w:tcBorders>
            <w:shd w:val="clear" w:color="auto" w:fill="auto"/>
            <w:noWrap/>
            <w:vAlign w:val="center"/>
          </w:tcPr>
          <w:p w14:paraId="7C02684B" w14:textId="77777777" w:rsidR="00916EA0" w:rsidRPr="00C74FAF" w:rsidRDefault="00916EA0" w:rsidP="00731B30">
            <w:pPr>
              <w:pStyle w:val="cuatexto"/>
              <w:jc w:val="right"/>
              <w:rPr>
                <w:rFonts w:cs="Arial"/>
                <w:szCs w:val="20"/>
              </w:rPr>
            </w:pPr>
            <w:r w:rsidRPr="00C74FAF">
              <w:rPr>
                <w:rFonts w:cs="Arial"/>
                <w:szCs w:val="20"/>
              </w:rPr>
              <w:t>247.668</w:t>
            </w:r>
          </w:p>
        </w:tc>
        <w:tc>
          <w:tcPr>
            <w:tcW w:w="851" w:type="dxa"/>
            <w:tcBorders>
              <w:top w:val="single" w:sz="2" w:space="0" w:color="auto"/>
              <w:left w:val="nil"/>
              <w:bottom w:val="single" w:sz="2" w:space="0" w:color="auto"/>
              <w:right w:val="nil"/>
            </w:tcBorders>
            <w:shd w:val="clear" w:color="auto" w:fill="auto"/>
            <w:noWrap/>
            <w:vAlign w:val="center"/>
          </w:tcPr>
          <w:p w14:paraId="036809CC" w14:textId="77777777" w:rsidR="00916EA0" w:rsidRPr="00C74FAF" w:rsidRDefault="00916EA0" w:rsidP="00731B30">
            <w:pPr>
              <w:pStyle w:val="cuatexto"/>
              <w:jc w:val="right"/>
              <w:rPr>
                <w:rFonts w:cs="Arial"/>
                <w:szCs w:val="20"/>
              </w:rPr>
            </w:pPr>
            <w:r w:rsidRPr="00C74FAF">
              <w:rPr>
                <w:rFonts w:cs="Arial"/>
                <w:szCs w:val="20"/>
              </w:rPr>
              <w:t>60.828</w:t>
            </w:r>
          </w:p>
        </w:tc>
        <w:tc>
          <w:tcPr>
            <w:tcW w:w="992" w:type="dxa"/>
            <w:tcBorders>
              <w:top w:val="single" w:sz="2" w:space="0" w:color="auto"/>
              <w:left w:val="nil"/>
              <w:bottom w:val="single" w:sz="2" w:space="0" w:color="auto"/>
              <w:right w:val="nil"/>
            </w:tcBorders>
            <w:shd w:val="clear" w:color="auto" w:fill="auto"/>
            <w:noWrap/>
            <w:vAlign w:val="center"/>
          </w:tcPr>
          <w:p w14:paraId="494C9706" w14:textId="77777777" w:rsidR="00916EA0" w:rsidRPr="00C74FAF" w:rsidRDefault="00916EA0" w:rsidP="00731B30">
            <w:pPr>
              <w:pStyle w:val="cuatexto"/>
              <w:jc w:val="right"/>
              <w:rPr>
                <w:rFonts w:cs="Arial"/>
                <w:szCs w:val="20"/>
              </w:rPr>
            </w:pPr>
            <w:r w:rsidRPr="00C74FAF">
              <w:rPr>
                <w:rFonts w:cs="Arial"/>
                <w:szCs w:val="20"/>
              </w:rPr>
              <w:t>31.212</w:t>
            </w:r>
          </w:p>
        </w:tc>
        <w:tc>
          <w:tcPr>
            <w:tcW w:w="1134" w:type="dxa"/>
            <w:tcBorders>
              <w:top w:val="single" w:sz="2" w:space="0" w:color="auto"/>
              <w:left w:val="nil"/>
              <w:bottom w:val="single" w:sz="2" w:space="0" w:color="auto"/>
              <w:right w:val="nil"/>
            </w:tcBorders>
            <w:shd w:val="clear" w:color="auto" w:fill="auto"/>
            <w:noWrap/>
            <w:vAlign w:val="center"/>
          </w:tcPr>
          <w:p w14:paraId="1A4A98B3" w14:textId="77777777" w:rsidR="00916EA0" w:rsidRPr="00C74FAF" w:rsidRDefault="00916EA0" w:rsidP="00731B30">
            <w:pPr>
              <w:pStyle w:val="cuatexto"/>
              <w:jc w:val="right"/>
              <w:rPr>
                <w:rFonts w:cs="Arial"/>
                <w:szCs w:val="20"/>
              </w:rPr>
            </w:pPr>
            <w:r w:rsidRPr="00C74FAF">
              <w:rPr>
                <w:rFonts w:cs="Arial"/>
                <w:szCs w:val="20"/>
              </w:rPr>
              <w:t>38.129</w:t>
            </w:r>
          </w:p>
        </w:tc>
        <w:tc>
          <w:tcPr>
            <w:tcW w:w="992" w:type="dxa"/>
            <w:tcBorders>
              <w:top w:val="single" w:sz="2" w:space="0" w:color="auto"/>
              <w:left w:val="nil"/>
              <w:bottom w:val="single" w:sz="2" w:space="0" w:color="auto"/>
              <w:right w:val="nil"/>
            </w:tcBorders>
            <w:shd w:val="clear" w:color="auto" w:fill="auto"/>
            <w:noWrap/>
            <w:vAlign w:val="center"/>
          </w:tcPr>
          <w:p w14:paraId="3AD0C47F" w14:textId="77777777" w:rsidR="00916EA0" w:rsidRPr="00C74FAF" w:rsidRDefault="00916EA0" w:rsidP="00731B30">
            <w:pPr>
              <w:pStyle w:val="cuatexto"/>
              <w:jc w:val="right"/>
              <w:rPr>
                <w:rFonts w:cs="Calibri"/>
                <w:szCs w:val="20"/>
              </w:rPr>
            </w:pPr>
            <w:r w:rsidRPr="00C74FAF">
              <w:rPr>
                <w:rFonts w:cs="Calibri"/>
                <w:szCs w:val="20"/>
              </w:rPr>
              <w:t>377.836</w:t>
            </w:r>
          </w:p>
        </w:tc>
        <w:tc>
          <w:tcPr>
            <w:tcW w:w="851" w:type="dxa"/>
            <w:tcBorders>
              <w:top w:val="single" w:sz="2" w:space="0" w:color="auto"/>
              <w:left w:val="nil"/>
              <w:bottom w:val="single" w:sz="2" w:space="0" w:color="auto"/>
              <w:right w:val="nil"/>
            </w:tcBorders>
            <w:shd w:val="clear" w:color="auto" w:fill="auto"/>
            <w:noWrap/>
            <w:vAlign w:val="center"/>
          </w:tcPr>
          <w:p w14:paraId="760F2230" w14:textId="77777777" w:rsidR="00916EA0" w:rsidRPr="00C74FAF" w:rsidRDefault="00916EA0" w:rsidP="00731B30">
            <w:pPr>
              <w:pStyle w:val="cuatexto"/>
              <w:jc w:val="right"/>
              <w:rPr>
                <w:rFonts w:cs="Calibri"/>
                <w:szCs w:val="20"/>
              </w:rPr>
            </w:pPr>
            <w:r w:rsidRPr="00C74FAF">
              <w:rPr>
                <w:rFonts w:cs="Calibri"/>
                <w:szCs w:val="20"/>
              </w:rPr>
              <w:t>10</w:t>
            </w:r>
          </w:p>
        </w:tc>
      </w:tr>
      <w:tr w:rsidR="00916EA0" w:rsidRPr="00916EA0" w14:paraId="7FC95E28" w14:textId="77777777" w:rsidTr="00C74FAF">
        <w:trPr>
          <w:trHeight w:val="198"/>
        </w:trPr>
        <w:tc>
          <w:tcPr>
            <w:tcW w:w="3261" w:type="dxa"/>
            <w:tcBorders>
              <w:top w:val="single" w:sz="2" w:space="0" w:color="auto"/>
              <w:left w:val="nil"/>
              <w:bottom w:val="single" w:sz="2" w:space="0" w:color="auto"/>
              <w:right w:val="nil"/>
            </w:tcBorders>
            <w:noWrap/>
            <w:vAlign w:val="center"/>
            <w:hideMark/>
          </w:tcPr>
          <w:p w14:paraId="2941CC6B" w14:textId="77777777" w:rsidR="00916EA0" w:rsidRPr="00C74FAF" w:rsidRDefault="00916EA0" w:rsidP="00731B30">
            <w:pPr>
              <w:pStyle w:val="cuatexto"/>
              <w:rPr>
                <w:szCs w:val="20"/>
              </w:rPr>
            </w:pPr>
            <w:r w:rsidRPr="00C74FAF">
              <w:rPr>
                <w:szCs w:val="20"/>
              </w:rPr>
              <w:t>3 Gastos financieros</w:t>
            </w:r>
          </w:p>
        </w:tc>
        <w:tc>
          <w:tcPr>
            <w:tcW w:w="850" w:type="dxa"/>
            <w:tcBorders>
              <w:top w:val="single" w:sz="2" w:space="0" w:color="auto"/>
              <w:left w:val="nil"/>
              <w:bottom w:val="single" w:sz="2" w:space="0" w:color="auto"/>
              <w:right w:val="nil"/>
            </w:tcBorders>
            <w:shd w:val="clear" w:color="auto" w:fill="auto"/>
            <w:noWrap/>
            <w:vAlign w:val="center"/>
          </w:tcPr>
          <w:p w14:paraId="5C4BEA67" w14:textId="77777777" w:rsidR="00916EA0" w:rsidRPr="00C74FAF" w:rsidRDefault="00916EA0" w:rsidP="00731B30">
            <w:pPr>
              <w:pStyle w:val="cuatexto"/>
              <w:jc w:val="right"/>
              <w:rPr>
                <w:rFonts w:cs="Arial"/>
                <w:szCs w:val="20"/>
              </w:rPr>
            </w:pPr>
            <w:r w:rsidRPr="00C74FAF">
              <w:rPr>
                <w:rFonts w:cs="Arial"/>
                <w:szCs w:val="20"/>
              </w:rPr>
              <w:t>34.845</w:t>
            </w:r>
          </w:p>
        </w:tc>
        <w:tc>
          <w:tcPr>
            <w:tcW w:w="851" w:type="dxa"/>
            <w:tcBorders>
              <w:top w:val="single" w:sz="2" w:space="0" w:color="auto"/>
              <w:left w:val="nil"/>
              <w:bottom w:val="single" w:sz="2" w:space="0" w:color="auto"/>
              <w:right w:val="nil"/>
            </w:tcBorders>
            <w:shd w:val="clear" w:color="auto" w:fill="auto"/>
            <w:noWrap/>
            <w:vAlign w:val="center"/>
          </w:tcPr>
          <w:p w14:paraId="676C60D6" w14:textId="77777777" w:rsidR="00916EA0" w:rsidRPr="00C74FAF" w:rsidRDefault="00916EA0" w:rsidP="00731B30">
            <w:pPr>
              <w:pStyle w:val="cuatexto"/>
              <w:jc w:val="right"/>
              <w:rPr>
                <w:rFonts w:cs="Arial"/>
                <w:szCs w:val="20"/>
              </w:rPr>
            </w:pPr>
            <w:r w:rsidRPr="00C74FAF">
              <w:rPr>
                <w:rFonts w:cs="Arial"/>
                <w:szCs w:val="20"/>
              </w:rPr>
              <w:t>27.818</w:t>
            </w:r>
          </w:p>
        </w:tc>
        <w:tc>
          <w:tcPr>
            <w:tcW w:w="992" w:type="dxa"/>
            <w:tcBorders>
              <w:top w:val="single" w:sz="2" w:space="0" w:color="auto"/>
              <w:left w:val="nil"/>
              <w:bottom w:val="single" w:sz="2" w:space="0" w:color="auto"/>
              <w:right w:val="nil"/>
            </w:tcBorders>
            <w:shd w:val="clear" w:color="auto" w:fill="auto"/>
            <w:noWrap/>
            <w:vAlign w:val="center"/>
          </w:tcPr>
          <w:p w14:paraId="43CBCF67" w14:textId="77777777" w:rsidR="00916EA0" w:rsidRPr="00C74FAF" w:rsidRDefault="00916EA0" w:rsidP="00731B30">
            <w:pPr>
              <w:pStyle w:val="cuatexto"/>
              <w:jc w:val="right"/>
              <w:rPr>
                <w:rFonts w:cs="Arial"/>
                <w:szCs w:val="20"/>
              </w:rPr>
            </w:pPr>
            <w:r w:rsidRPr="00C74FAF">
              <w:rPr>
                <w:rFonts w:cs="Arial"/>
                <w:szCs w:val="20"/>
              </w:rPr>
              <w:t>25.812</w:t>
            </w:r>
          </w:p>
        </w:tc>
        <w:tc>
          <w:tcPr>
            <w:tcW w:w="1134" w:type="dxa"/>
            <w:tcBorders>
              <w:top w:val="single" w:sz="2" w:space="0" w:color="auto"/>
              <w:left w:val="nil"/>
              <w:bottom w:val="single" w:sz="2" w:space="0" w:color="auto"/>
              <w:right w:val="nil"/>
            </w:tcBorders>
            <w:shd w:val="clear" w:color="auto" w:fill="auto"/>
            <w:noWrap/>
            <w:vAlign w:val="center"/>
          </w:tcPr>
          <w:p w14:paraId="7CE07E34" w14:textId="77777777" w:rsidR="00916EA0" w:rsidRPr="00C74FAF" w:rsidRDefault="00916EA0" w:rsidP="00731B30">
            <w:pPr>
              <w:pStyle w:val="cuatexto"/>
              <w:jc w:val="right"/>
              <w:rPr>
                <w:rFonts w:cs="Arial"/>
                <w:szCs w:val="20"/>
              </w:rPr>
            </w:pPr>
            <w:r w:rsidRPr="00C74FAF">
              <w:rPr>
                <w:rFonts w:cs="Arial"/>
                <w:szCs w:val="20"/>
              </w:rPr>
              <w:t>149.040</w:t>
            </w:r>
          </w:p>
        </w:tc>
        <w:tc>
          <w:tcPr>
            <w:tcW w:w="992" w:type="dxa"/>
            <w:tcBorders>
              <w:top w:val="single" w:sz="2" w:space="0" w:color="auto"/>
              <w:left w:val="nil"/>
              <w:bottom w:val="single" w:sz="2" w:space="0" w:color="auto"/>
              <w:right w:val="nil"/>
            </w:tcBorders>
            <w:shd w:val="clear" w:color="auto" w:fill="auto"/>
            <w:noWrap/>
            <w:vAlign w:val="center"/>
          </w:tcPr>
          <w:p w14:paraId="4B567E49" w14:textId="77777777" w:rsidR="00916EA0" w:rsidRPr="00C74FAF" w:rsidRDefault="00916EA0" w:rsidP="00731B30">
            <w:pPr>
              <w:pStyle w:val="cuatexto"/>
              <w:jc w:val="right"/>
              <w:rPr>
                <w:rFonts w:cs="Calibri"/>
                <w:szCs w:val="20"/>
              </w:rPr>
            </w:pPr>
            <w:r w:rsidRPr="00C74FAF">
              <w:rPr>
                <w:rFonts w:cs="Calibri"/>
                <w:szCs w:val="20"/>
              </w:rPr>
              <w:t>237.514</w:t>
            </w:r>
          </w:p>
        </w:tc>
        <w:tc>
          <w:tcPr>
            <w:tcW w:w="851" w:type="dxa"/>
            <w:tcBorders>
              <w:top w:val="single" w:sz="2" w:space="0" w:color="auto"/>
              <w:left w:val="nil"/>
              <w:bottom w:val="single" w:sz="2" w:space="0" w:color="auto"/>
              <w:right w:val="nil"/>
            </w:tcBorders>
            <w:shd w:val="clear" w:color="auto" w:fill="auto"/>
            <w:noWrap/>
            <w:vAlign w:val="center"/>
          </w:tcPr>
          <w:p w14:paraId="503797DA" w14:textId="77777777" w:rsidR="00916EA0" w:rsidRPr="00C74FAF" w:rsidRDefault="00916EA0" w:rsidP="00731B30">
            <w:pPr>
              <w:pStyle w:val="cuatexto"/>
              <w:jc w:val="right"/>
              <w:rPr>
                <w:rFonts w:cs="Calibri"/>
                <w:szCs w:val="20"/>
              </w:rPr>
            </w:pPr>
            <w:r w:rsidRPr="00C74FAF">
              <w:rPr>
                <w:rFonts w:cs="Calibri"/>
                <w:szCs w:val="20"/>
              </w:rPr>
              <w:t>6</w:t>
            </w:r>
          </w:p>
        </w:tc>
      </w:tr>
      <w:tr w:rsidR="00916EA0" w:rsidRPr="00916EA0" w14:paraId="114713F2" w14:textId="77777777" w:rsidTr="00C74FAF">
        <w:trPr>
          <w:trHeight w:val="198"/>
        </w:trPr>
        <w:tc>
          <w:tcPr>
            <w:tcW w:w="3261" w:type="dxa"/>
            <w:tcBorders>
              <w:top w:val="single" w:sz="2" w:space="0" w:color="auto"/>
              <w:left w:val="nil"/>
              <w:bottom w:val="single" w:sz="2" w:space="0" w:color="auto"/>
              <w:right w:val="nil"/>
            </w:tcBorders>
            <w:noWrap/>
            <w:vAlign w:val="center"/>
            <w:hideMark/>
          </w:tcPr>
          <w:p w14:paraId="6B2E2E2C" w14:textId="77777777" w:rsidR="00916EA0" w:rsidRPr="00C74FAF" w:rsidRDefault="00916EA0" w:rsidP="00731B30">
            <w:pPr>
              <w:pStyle w:val="cuatexto"/>
              <w:rPr>
                <w:szCs w:val="20"/>
              </w:rPr>
            </w:pPr>
            <w:r w:rsidRPr="00C74FAF">
              <w:rPr>
                <w:szCs w:val="20"/>
              </w:rPr>
              <w:t>4 Transferencias corrientes</w:t>
            </w:r>
          </w:p>
        </w:tc>
        <w:tc>
          <w:tcPr>
            <w:tcW w:w="850" w:type="dxa"/>
            <w:tcBorders>
              <w:top w:val="single" w:sz="2" w:space="0" w:color="auto"/>
              <w:left w:val="nil"/>
              <w:bottom w:val="single" w:sz="2" w:space="0" w:color="auto"/>
              <w:right w:val="nil"/>
            </w:tcBorders>
            <w:shd w:val="clear" w:color="auto" w:fill="auto"/>
            <w:noWrap/>
            <w:vAlign w:val="center"/>
          </w:tcPr>
          <w:p w14:paraId="65AE41BF" w14:textId="77777777" w:rsidR="00916EA0" w:rsidRPr="00C74FAF" w:rsidRDefault="00916EA0" w:rsidP="00731B30">
            <w:pPr>
              <w:pStyle w:val="cuatexto"/>
              <w:jc w:val="right"/>
              <w:rPr>
                <w:rFonts w:cs="Arial"/>
                <w:szCs w:val="20"/>
              </w:rPr>
            </w:pPr>
            <w:r w:rsidRPr="00C74FAF">
              <w:rPr>
                <w:rFonts w:cs="Arial"/>
                <w:szCs w:val="20"/>
              </w:rPr>
              <w:t>82.952</w:t>
            </w:r>
          </w:p>
        </w:tc>
        <w:tc>
          <w:tcPr>
            <w:tcW w:w="851" w:type="dxa"/>
            <w:tcBorders>
              <w:top w:val="single" w:sz="2" w:space="0" w:color="auto"/>
              <w:left w:val="nil"/>
              <w:bottom w:val="single" w:sz="2" w:space="0" w:color="auto"/>
              <w:right w:val="nil"/>
            </w:tcBorders>
            <w:shd w:val="clear" w:color="auto" w:fill="auto"/>
            <w:noWrap/>
            <w:vAlign w:val="center"/>
          </w:tcPr>
          <w:p w14:paraId="691D2EA6" w14:textId="77777777" w:rsidR="00916EA0" w:rsidRPr="00C74FAF" w:rsidRDefault="00916EA0" w:rsidP="00731B30">
            <w:pPr>
              <w:pStyle w:val="cuatexto"/>
              <w:jc w:val="right"/>
              <w:rPr>
                <w:rFonts w:cs="Arial"/>
                <w:szCs w:val="20"/>
              </w:rPr>
            </w:pPr>
            <w:r w:rsidRPr="00C74FAF">
              <w:rPr>
                <w:rFonts w:cs="Arial"/>
                <w:szCs w:val="20"/>
              </w:rPr>
              <w:t>11.256</w:t>
            </w:r>
          </w:p>
        </w:tc>
        <w:tc>
          <w:tcPr>
            <w:tcW w:w="992" w:type="dxa"/>
            <w:tcBorders>
              <w:top w:val="single" w:sz="2" w:space="0" w:color="auto"/>
              <w:left w:val="nil"/>
              <w:bottom w:val="single" w:sz="2" w:space="0" w:color="auto"/>
              <w:right w:val="nil"/>
            </w:tcBorders>
            <w:shd w:val="clear" w:color="auto" w:fill="auto"/>
            <w:noWrap/>
            <w:vAlign w:val="center"/>
          </w:tcPr>
          <w:p w14:paraId="1F939696" w14:textId="77777777" w:rsidR="00916EA0" w:rsidRPr="00C74FAF" w:rsidRDefault="00916EA0" w:rsidP="00731B30">
            <w:pPr>
              <w:pStyle w:val="cuatexto"/>
              <w:jc w:val="right"/>
              <w:rPr>
                <w:rFonts w:cs="Arial"/>
                <w:szCs w:val="20"/>
              </w:rPr>
            </w:pPr>
            <w:r w:rsidRPr="00C74FAF">
              <w:rPr>
                <w:rFonts w:cs="Arial"/>
                <w:szCs w:val="20"/>
              </w:rPr>
              <w:t>2.071</w:t>
            </w:r>
          </w:p>
        </w:tc>
        <w:tc>
          <w:tcPr>
            <w:tcW w:w="1134" w:type="dxa"/>
            <w:tcBorders>
              <w:top w:val="single" w:sz="2" w:space="0" w:color="auto"/>
              <w:left w:val="nil"/>
              <w:bottom w:val="single" w:sz="2" w:space="0" w:color="auto"/>
              <w:right w:val="nil"/>
            </w:tcBorders>
            <w:shd w:val="clear" w:color="auto" w:fill="auto"/>
            <w:noWrap/>
            <w:vAlign w:val="center"/>
          </w:tcPr>
          <w:p w14:paraId="7C04AAC4" w14:textId="77777777" w:rsidR="00916EA0" w:rsidRPr="00C74FAF" w:rsidRDefault="00916EA0" w:rsidP="00731B30">
            <w:pPr>
              <w:pStyle w:val="cuatexto"/>
              <w:jc w:val="right"/>
              <w:rPr>
                <w:rFonts w:cs="Arial"/>
                <w:szCs w:val="20"/>
              </w:rPr>
            </w:pPr>
            <w:r w:rsidRPr="00C74FAF">
              <w:rPr>
                <w:rFonts w:cs="Arial"/>
                <w:szCs w:val="20"/>
              </w:rPr>
              <w:t>1.002</w:t>
            </w:r>
          </w:p>
        </w:tc>
        <w:tc>
          <w:tcPr>
            <w:tcW w:w="992" w:type="dxa"/>
            <w:tcBorders>
              <w:top w:val="single" w:sz="2" w:space="0" w:color="auto"/>
              <w:left w:val="nil"/>
              <w:bottom w:val="single" w:sz="2" w:space="0" w:color="auto"/>
              <w:right w:val="nil"/>
            </w:tcBorders>
            <w:shd w:val="clear" w:color="auto" w:fill="auto"/>
            <w:noWrap/>
            <w:vAlign w:val="center"/>
          </w:tcPr>
          <w:p w14:paraId="5A181CD5" w14:textId="77777777" w:rsidR="00916EA0" w:rsidRPr="00C74FAF" w:rsidRDefault="00916EA0" w:rsidP="00731B30">
            <w:pPr>
              <w:pStyle w:val="cuatexto"/>
              <w:jc w:val="right"/>
              <w:rPr>
                <w:rFonts w:cs="Calibri"/>
                <w:szCs w:val="20"/>
              </w:rPr>
            </w:pPr>
            <w:r w:rsidRPr="00C74FAF">
              <w:rPr>
                <w:rFonts w:cs="Calibri"/>
                <w:szCs w:val="20"/>
              </w:rPr>
              <w:t>97.281</w:t>
            </w:r>
          </w:p>
        </w:tc>
        <w:tc>
          <w:tcPr>
            <w:tcW w:w="851" w:type="dxa"/>
            <w:tcBorders>
              <w:top w:val="single" w:sz="2" w:space="0" w:color="auto"/>
              <w:left w:val="nil"/>
              <w:bottom w:val="single" w:sz="2" w:space="0" w:color="auto"/>
              <w:right w:val="nil"/>
            </w:tcBorders>
            <w:shd w:val="clear" w:color="auto" w:fill="auto"/>
            <w:noWrap/>
            <w:vAlign w:val="center"/>
          </w:tcPr>
          <w:p w14:paraId="6A170C7D" w14:textId="77777777" w:rsidR="00916EA0" w:rsidRPr="00C74FAF" w:rsidRDefault="00916EA0" w:rsidP="00731B30">
            <w:pPr>
              <w:pStyle w:val="cuatexto"/>
              <w:jc w:val="right"/>
              <w:rPr>
                <w:rFonts w:cs="Calibri"/>
                <w:szCs w:val="20"/>
              </w:rPr>
            </w:pPr>
            <w:r w:rsidRPr="00C74FAF">
              <w:rPr>
                <w:rFonts w:cs="Calibri"/>
                <w:szCs w:val="20"/>
              </w:rPr>
              <w:t>3</w:t>
            </w:r>
          </w:p>
        </w:tc>
      </w:tr>
      <w:tr w:rsidR="00916EA0" w:rsidRPr="00916EA0" w14:paraId="5D1AF170" w14:textId="77777777" w:rsidTr="00C74FAF">
        <w:trPr>
          <w:trHeight w:val="198"/>
        </w:trPr>
        <w:tc>
          <w:tcPr>
            <w:tcW w:w="3261" w:type="dxa"/>
            <w:tcBorders>
              <w:top w:val="single" w:sz="2" w:space="0" w:color="auto"/>
              <w:left w:val="nil"/>
              <w:bottom w:val="single" w:sz="2" w:space="0" w:color="auto"/>
              <w:right w:val="nil"/>
            </w:tcBorders>
            <w:noWrap/>
            <w:vAlign w:val="center"/>
            <w:hideMark/>
          </w:tcPr>
          <w:p w14:paraId="6ED4DA0B" w14:textId="77777777" w:rsidR="00916EA0" w:rsidRPr="00C74FAF" w:rsidRDefault="00916EA0" w:rsidP="00731B30">
            <w:pPr>
              <w:pStyle w:val="cuatexto"/>
              <w:rPr>
                <w:szCs w:val="20"/>
              </w:rPr>
            </w:pPr>
            <w:r w:rsidRPr="00C74FAF">
              <w:rPr>
                <w:szCs w:val="20"/>
              </w:rPr>
              <w:t>6 Inversiones reales</w:t>
            </w:r>
          </w:p>
        </w:tc>
        <w:tc>
          <w:tcPr>
            <w:tcW w:w="850" w:type="dxa"/>
            <w:tcBorders>
              <w:top w:val="single" w:sz="2" w:space="0" w:color="auto"/>
              <w:left w:val="nil"/>
              <w:bottom w:val="single" w:sz="2" w:space="0" w:color="auto"/>
              <w:right w:val="nil"/>
            </w:tcBorders>
            <w:shd w:val="clear" w:color="auto" w:fill="auto"/>
            <w:noWrap/>
            <w:vAlign w:val="center"/>
          </w:tcPr>
          <w:p w14:paraId="76BDBB7F" w14:textId="77777777" w:rsidR="00916EA0" w:rsidRPr="00C74FAF" w:rsidRDefault="00916EA0" w:rsidP="00731B30">
            <w:pPr>
              <w:pStyle w:val="cuatexto"/>
              <w:jc w:val="right"/>
              <w:rPr>
                <w:rFonts w:cs="Arial"/>
                <w:szCs w:val="20"/>
              </w:rPr>
            </w:pPr>
            <w:r w:rsidRPr="00C74FAF">
              <w:rPr>
                <w:rFonts w:cs="Arial"/>
                <w:szCs w:val="20"/>
              </w:rPr>
              <w:t>62.236</w:t>
            </w:r>
          </w:p>
        </w:tc>
        <w:tc>
          <w:tcPr>
            <w:tcW w:w="851" w:type="dxa"/>
            <w:tcBorders>
              <w:top w:val="single" w:sz="2" w:space="0" w:color="auto"/>
              <w:left w:val="nil"/>
              <w:bottom w:val="single" w:sz="2" w:space="0" w:color="auto"/>
              <w:right w:val="nil"/>
            </w:tcBorders>
            <w:shd w:val="clear" w:color="auto" w:fill="auto"/>
            <w:noWrap/>
            <w:vAlign w:val="center"/>
          </w:tcPr>
          <w:p w14:paraId="67CEFFBB" w14:textId="77777777" w:rsidR="00916EA0" w:rsidRPr="00C74FAF" w:rsidRDefault="00916EA0" w:rsidP="00731B30">
            <w:pPr>
              <w:pStyle w:val="cuatexto"/>
              <w:jc w:val="right"/>
              <w:rPr>
                <w:rFonts w:cs="Arial"/>
                <w:szCs w:val="20"/>
              </w:rPr>
            </w:pPr>
            <w:r w:rsidRPr="00C74FAF">
              <w:rPr>
                <w:rFonts w:cs="Arial"/>
                <w:szCs w:val="20"/>
              </w:rPr>
              <w:t>26.406</w:t>
            </w:r>
          </w:p>
        </w:tc>
        <w:tc>
          <w:tcPr>
            <w:tcW w:w="992" w:type="dxa"/>
            <w:tcBorders>
              <w:top w:val="single" w:sz="2" w:space="0" w:color="auto"/>
              <w:left w:val="nil"/>
              <w:bottom w:val="single" w:sz="2" w:space="0" w:color="auto"/>
              <w:right w:val="nil"/>
            </w:tcBorders>
            <w:shd w:val="clear" w:color="auto" w:fill="auto"/>
            <w:noWrap/>
            <w:vAlign w:val="center"/>
          </w:tcPr>
          <w:p w14:paraId="0B3587DF" w14:textId="77777777" w:rsidR="00916EA0" w:rsidRPr="00C74FAF" w:rsidRDefault="00916EA0" w:rsidP="00731B30">
            <w:pPr>
              <w:pStyle w:val="cuatexto"/>
              <w:jc w:val="right"/>
              <w:rPr>
                <w:rFonts w:cs="Arial"/>
                <w:szCs w:val="20"/>
              </w:rPr>
            </w:pPr>
            <w:r w:rsidRPr="00C74FAF">
              <w:rPr>
                <w:rFonts w:cs="Arial"/>
                <w:szCs w:val="20"/>
              </w:rPr>
              <w:t>9.249</w:t>
            </w:r>
          </w:p>
        </w:tc>
        <w:tc>
          <w:tcPr>
            <w:tcW w:w="1134" w:type="dxa"/>
            <w:tcBorders>
              <w:top w:val="single" w:sz="2" w:space="0" w:color="auto"/>
              <w:left w:val="nil"/>
              <w:bottom w:val="single" w:sz="2" w:space="0" w:color="auto"/>
              <w:right w:val="nil"/>
            </w:tcBorders>
            <w:shd w:val="clear" w:color="auto" w:fill="auto"/>
            <w:noWrap/>
            <w:vAlign w:val="center"/>
          </w:tcPr>
          <w:p w14:paraId="1FAA2ECF" w14:textId="77777777" w:rsidR="00916EA0" w:rsidRPr="00C74FAF" w:rsidRDefault="00916EA0" w:rsidP="00731B30">
            <w:pPr>
              <w:pStyle w:val="cuatexto"/>
              <w:jc w:val="right"/>
              <w:rPr>
                <w:rFonts w:cs="Arial"/>
                <w:szCs w:val="20"/>
              </w:rPr>
            </w:pPr>
            <w:r w:rsidRPr="00C74FAF">
              <w:rPr>
                <w:rFonts w:cs="Arial"/>
                <w:szCs w:val="20"/>
              </w:rPr>
              <w:t>974</w:t>
            </w:r>
          </w:p>
        </w:tc>
        <w:tc>
          <w:tcPr>
            <w:tcW w:w="992" w:type="dxa"/>
            <w:tcBorders>
              <w:top w:val="single" w:sz="2" w:space="0" w:color="auto"/>
              <w:left w:val="nil"/>
              <w:bottom w:val="single" w:sz="2" w:space="0" w:color="auto"/>
              <w:right w:val="nil"/>
            </w:tcBorders>
            <w:shd w:val="clear" w:color="auto" w:fill="auto"/>
            <w:noWrap/>
            <w:vAlign w:val="center"/>
          </w:tcPr>
          <w:p w14:paraId="5ED288E6" w14:textId="77777777" w:rsidR="00916EA0" w:rsidRPr="00C74FAF" w:rsidRDefault="00916EA0" w:rsidP="00731B30">
            <w:pPr>
              <w:pStyle w:val="cuatexto"/>
              <w:jc w:val="right"/>
              <w:rPr>
                <w:rFonts w:cs="Calibri"/>
                <w:szCs w:val="20"/>
              </w:rPr>
            </w:pPr>
            <w:r w:rsidRPr="00C74FAF">
              <w:rPr>
                <w:rFonts w:cs="Calibri"/>
                <w:szCs w:val="20"/>
              </w:rPr>
              <w:t>98.865</w:t>
            </w:r>
          </w:p>
        </w:tc>
        <w:tc>
          <w:tcPr>
            <w:tcW w:w="851" w:type="dxa"/>
            <w:tcBorders>
              <w:top w:val="single" w:sz="2" w:space="0" w:color="auto"/>
              <w:left w:val="nil"/>
              <w:bottom w:val="single" w:sz="2" w:space="0" w:color="auto"/>
              <w:right w:val="nil"/>
            </w:tcBorders>
            <w:shd w:val="clear" w:color="auto" w:fill="auto"/>
            <w:noWrap/>
            <w:vAlign w:val="center"/>
          </w:tcPr>
          <w:p w14:paraId="4DDAC741" w14:textId="77777777" w:rsidR="00916EA0" w:rsidRPr="00C74FAF" w:rsidRDefault="00916EA0" w:rsidP="00731B30">
            <w:pPr>
              <w:pStyle w:val="cuatexto"/>
              <w:jc w:val="right"/>
              <w:rPr>
                <w:rFonts w:cs="Calibri"/>
                <w:szCs w:val="20"/>
              </w:rPr>
            </w:pPr>
            <w:r w:rsidRPr="00C74FAF">
              <w:rPr>
                <w:rFonts w:cs="Calibri"/>
                <w:szCs w:val="20"/>
              </w:rPr>
              <w:t>3</w:t>
            </w:r>
          </w:p>
        </w:tc>
      </w:tr>
      <w:tr w:rsidR="00916EA0" w:rsidRPr="00916EA0" w14:paraId="4252D9DA" w14:textId="77777777" w:rsidTr="00C74FAF">
        <w:trPr>
          <w:trHeight w:val="198"/>
        </w:trPr>
        <w:tc>
          <w:tcPr>
            <w:tcW w:w="3261" w:type="dxa"/>
            <w:tcBorders>
              <w:top w:val="single" w:sz="2" w:space="0" w:color="auto"/>
              <w:left w:val="nil"/>
              <w:bottom w:val="single" w:sz="2" w:space="0" w:color="auto"/>
              <w:right w:val="nil"/>
            </w:tcBorders>
            <w:noWrap/>
            <w:vAlign w:val="center"/>
            <w:hideMark/>
          </w:tcPr>
          <w:p w14:paraId="6DAD33F2" w14:textId="77777777" w:rsidR="00916EA0" w:rsidRPr="00C74FAF" w:rsidRDefault="00916EA0" w:rsidP="00731B30">
            <w:pPr>
              <w:pStyle w:val="cuatexto"/>
              <w:rPr>
                <w:szCs w:val="20"/>
              </w:rPr>
            </w:pPr>
            <w:r w:rsidRPr="00C74FAF">
              <w:rPr>
                <w:szCs w:val="20"/>
              </w:rPr>
              <w:t>7 Transferencias de capital</w:t>
            </w:r>
          </w:p>
        </w:tc>
        <w:tc>
          <w:tcPr>
            <w:tcW w:w="850" w:type="dxa"/>
            <w:tcBorders>
              <w:top w:val="single" w:sz="2" w:space="0" w:color="auto"/>
              <w:left w:val="nil"/>
              <w:bottom w:val="single" w:sz="2" w:space="0" w:color="auto"/>
              <w:right w:val="nil"/>
            </w:tcBorders>
            <w:shd w:val="clear" w:color="auto" w:fill="auto"/>
            <w:noWrap/>
            <w:vAlign w:val="center"/>
          </w:tcPr>
          <w:p w14:paraId="28AEB816" w14:textId="77777777" w:rsidR="00916EA0" w:rsidRPr="00C74FAF" w:rsidRDefault="00916EA0" w:rsidP="00731B30">
            <w:pPr>
              <w:pStyle w:val="cuatexto"/>
              <w:jc w:val="right"/>
              <w:rPr>
                <w:rFonts w:cs="Arial"/>
                <w:szCs w:val="20"/>
              </w:rPr>
            </w:pPr>
            <w:r w:rsidRPr="00C74FAF">
              <w:rPr>
                <w:rFonts w:cs="Arial"/>
                <w:szCs w:val="20"/>
              </w:rPr>
              <w:t>140.536</w:t>
            </w:r>
          </w:p>
        </w:tc>
        <w:tc>
          <w:tcPr>
            <w:tcW w:w="851" w:type="dxa"/>
            <w:tcBorders>
              <w:top w:val="single" w:sz="2" w:space="0" w:color="auto"/>
              <w:left w:val="nil"/>
              <w:bottom w:val="single" w:sz="2" w:space="0" w:color="auto"/>
              <w:right w:val="nil"/>
            </w:tcBorders>
            <w:shd w:val="clear" w:color="auto" w:fill="auto"/>
            <w:noWrap/>
            <w:vAlign w:val="center"/>
          </w:tcPr>
          <w:p w14:paraId="51D8F07E" w14:textId="77777777" w:rsidR="00916EA0" w:rsidRPr="00C74FAF" w:rsidRDefault="00916EA0" w:rsidP="00731B30">
            <w:pPr>
              <w:pStyle w:val="cuatexto"/>
              <w:jc w:val="right"/>
              <w:rPr>
                <w:rFonts w:cs="Arial"/>
                <w:szCs w:val="20"/>
              </w:rPr>
            </w:pPr>
            <w:r w:rsidRPr="00C74FAF">
              <w:rPr>
                <w:rFonts w:cs="Arial"/>
                <w:szCs w:val="20"/>
              </w:rPr>
              <w:t>71.400</w:t>
            </w:r>
          </w:p>
        </w:tc>
        <w:tc>
          <w:tcPr>
            <w:tcW w:w="992" w:type="dxa"/>
            <w:tcBorders>
              <w:top w:val="single" w:sz="2" w:space="0" w:color="auto"/>
              <w:left w:val="nil"/>
              <w:bottom w:val="single" w:sz="2" w:space="0" w:color="auto"/>
              <w:right w:val="nil"/>
            </w:tcBorders>
            <w:shd w:val="clear" w:color="auto" w:fill="auto"/>
            <w:noWrap/>
            <w:vAlign w:val="center"/>
          </w:tcPr>
          <w:p w14:paraId="0A8EFD13" w14:textId="77777777" w:rsidR="00916EA0" w:rsidRPr="00C74FAF" w:rsidRDefault="00916EA0" w:rsidP="00731B30">
            <w:pPr>
              <w:pStyle w:val="cuatexto"/>
              <w:jc w:val="right"/>
              <w:rPr>
                <w:rFonts w:cs="Arial"/>
                <w:szCs w:val="20"/>
              </w:rPr>
            </w:pPr>
            <w:r w:rsidRPr="00C74FAF">
              <w:rPr>
                <w:rFonts w:cs="Arial"/>
                <w:szCs w:val="20"/>
              </w:rPr>
              <w:t>12.802</w:t>
            </w:r>
          </w:p>
        </w:tc>
        <w:tc>
          <w:tcPr>
            <w:tcW w:w="1134" w:type="dxa"/>
            <w:tcBorders>
              <w:top w:val="single" w:sz="2" w:space="0" w:color="auto"/>
              <w:left w:val="nil"/>
              <w:bottom w:val="single" w:sz="2" w:space="0" w:color="auto"/>
              <w:right w:val="nil"/>
            </w:tcBorders>
            <w:shd w:val="clear" w:color="auto" w:fill="auto"/>
            <w:noWrap/>
            <w:vAlign w:val="center"/>
          </w:tcPr>
          <w:p w14:paraId="2A8F7993" w14:textId="77777777" w:rsidR="00916EA0" w:rsidRPr="00C74FAF" w:rsidRDefault="00916EA0" w:rsidP="00731B30">
            <w:pPr>
              <w:pStyle w:val="cuatexto"/>
              <w:jc w:val="right"/>
              <w:rPr>
                <w:rFonts w:cs="Arial"/>
                <w:szCs w:val="20"/>
              </w:rPr>
            </w:pPr>
            <w:r w:rsidRPr="00C74FAF">
              <w:rPr>
                <w:rFonts w:cs="Arial"/>
                <w:szCs w:val="20"/>
              </w:rPr>
              <w:t>10.216</w:t>
            </w:r>
          </w:p>
        </w:tc>
        <w:tc>
          <w:tcPr>
            <w:tcW w:w="992" w:type="dxa"/>
            <w:tcBorders>
              <w:top w:val="single" w:sz="2" w:space="0" w:color="auto"/>
              <w:left w:val="nil"/>
              <w:bottom w:val="single" w:sz="2" w:space="0" w:color="auto"/>
              <w:right w:val="nil"/>
            </w:tcBorders>
            <w:shd w:val="clear" w:color="auto" w:fill="auto"/>
            <w:noWrap/>
            <w:vAlign w:val="center"/>
          </w:tcPr>
          <w:p w14:paraId="5D37D4AB" w14:textId="77777777" w:rsidR="00916EA0" w:rsidRPr="00C74FAF" w:rsidRDefault="00916EA0" w:rsidP="00731B30">
            <w:pPr>
              <w:pStyle w:val="cuatexto"/>
              <w:jc w:val="right"/>
              <w:rPr>
                <w:rFonts w:cs="Calibri"/>
                <w:szCs w:val="20"/>
              </w:rPr>
            </w:pPr>
            <w:r w:rsidRPr="00C74FAF">
              <w:rPr>
                <w:rFonts w:cs="Calibri"/>
                <w:szCs w:val="20"/>
              </w:rPr>
              <w:t>234.954</w:t>
            </w:r>
          </w:p>
        </w:tc>
        <w:tc>
          <w:tcPr>
            <w:tcW w:w="851" w:type="dxa"/>
            <w:tcBorders>
              <w:top w:val="single" w:sz="2" w:space="0" w:color="auto"/>
              <w:left w:val="nil"/>
              <w:bottom w:val="single" w:sz="2" w:space="0" w:color="auto"/>
              <w:right w:val="nil"/>
            </w:tcBorders>
            <w:shd w:val="clear" w:color="auto" w:fill="auto"/>
            <w:noWrap/>
            <w:vAlign w:val="center"/>
          </w:tcPr>
          <w:p w14:paraId="41E67CE9" w14:textId="77777777" w:rsidR="00916EA0" w:rsidRPr="00C74FAF" w:rsidRDefault="00916EA0" w:rsidP="00731B30">
            <w:pPr>
              <w:pStyle w:val="cuatexto"/>
              <w:jc w:val="right"/>
              <w:rPr>
                <w:rFonts w:cs="Calibri"/>
                <w:szCs w:val="20"/>
              </w:rPr>
            </w:pPr>
            <w:r w:rsidRPr="00C74FAF">
              <w:rPr>
                <w:rFonts w:cs="Calibri"/>
                <w:szCs w:val="20"/>
              </w:rPr>
              <w:t>6</w:t>
            </w:r>
          </w:p>
        </w:tc>
      </w:tr>
      <w:tr w:rsidR="00916EA0" w:rsidRPr="00916EA0" w14:paraId="794D3CF2" w14:textId="77777777" w:rsidTr="00C74FAF">
        <w:trPr>
          <w:trHeight w:val="198"/>
        </w:trPr>
        <w:tc>
          <w:tcPr>
            <w:tcW w:w="3261" w:type="dxa"/>
            <w:tcBorders>
              <w:top w:val="single" w:sz="2" w:space="0" w:color="auto"/>
              <w:left w:val="nil"/>
              <w:bottom w:val="single" w:sz="2" w:space="0" w:color="auto"/>
              <w:right w:val="nil"/>
            </w:tcBorders>
            <w:noWrap/>
            <w:vAlign w:val="center"/>
            <w:hideMark/>
          </w:tcPr>
          <w:p w14:paraId="7F7C468D" w14:textId="77777777" w:rsidR="00916EA0" w:rsidRPr="00C74FAF" w:rsidRDefault="00916EA0" w:rsidP="00731B30">
            <w:pPr>
              <w:pStyle w:val="cuatexto"/>
              <w:rPr>
                <w:szCs w:val="20"/>
              </w:rPr>
            </w:pPr>
            <w:r w:rsidRPr="00C74FAF">
              <w:rPr>
                <w:szCs w:val="20"/>
              </w:rPr>
              <w:t>8 Activos financieros</w:t>
            </w:r>
          </w:p>
        </w:tc>
        <w:tc>
          <w:tcPr>
            <w:tcW w:w="850" w:type="dxa"/>
            <w:tcBorders>
              <w:top w:val="single" w:sz="2" w:space="0" w:color="auto"/>
              <w:left w:val="nil"/>
              <w:bottom w:val="single" w:sz="2" w:space="0" w:color="auto"/>
              <w:right w:val="nil"/>
            </w:tcBorders>
            <w:shd w:val="clear" w:color="auto" w:fill="auto"/>
            <w:noWrap/>
            <w:vAlign w:val="center"/>
          </w:tcPr>
          <w:p w14:paraId="5DAB7E91" w14:textId="77777777" w:rsidR="00916EA0" w:rsidRPr="00C74FAF" w:rsidRDefault="00916EA0" w:rsidP="00731B30">
            <w:pPr>
              <w:pStyle w:val="cuatexto"/>
              <w:jc w:val="right"/>
              <w:rPr>
                <w:rFonts w:cs="Arial"/>
                <w:szCs w:val="20"/>
              </w:rPr>
            </w:pPr>
            <w:r w:rsidRPr="00C74FAF">
              <w:rPr>
                <w:rFonts w:cs="Arial"/>
                <w:szCs w:val="20"/>
              </w:rPr>
              <w:t>2.850</w:t>
            </w:r>
          </w:p>
        </w:tc>
        <w:tc>
          <w:tcPr>
            <w:tcW w:w="851" w:type="dxa"/>
            <w:tcBorders>
              <w:top w:val="single" w:sz="2" w:space="0" w:color="auto"/>
              <w:left w:val="nil"/>
              <w:bottom w:val="single" w:sz="2" w:space="0" w:color="auto"/>
              <w:right w:val="nil"/>
            </w:tcBorders>
            <w:shd w:val="clear" w:color="auto" w:fill="auto"/>
            <w:noWrap/>
            <w:vAlign w:val="center"/>
          </w:tcPr>
          <w:p w14:paraId="17235785" w14:textId="77777777" w:rsidR="00916EA0" w:rsidRPr="00C74FAF" w:rsidRDefault="00916EA0" w:rsidP="00731B30">
            <w:pPr>
              <w:pStyle w:val="cuatexto"/>
              <w:jc w:val="right"/>
              <w:rPr>
                <w:rFonts w:cs="Arial"/>
                <w:szCs w:val="20"/>
              </w:rPr>
            </w:pPr>
            <w:r w:rsidRPr="00C74FAF">
              <w:rPr>
                <w:rFonts w:cs="Arial"/>
                <w:szCs w:val="20"/>
              </w:rPr>
              <w:t>2.350</w:t>
            </w:r>
          </w:p>
        </w:tc>
        <w:tc>
          <w:tcPr>
            <w:tcW w:w="992" w:type="dxa"/>
            <w:tcBorders>
              <w:top w:val="single" w:sz="2" w:space="0" w:color="auto"/>
              <w:left w:val="nil"/>
              <w:bottom w:val="single" w:sz="2" w:space="0" w:color="auto"/>
              <w:right w:val="nil"/>
            </w:tcBorders>
            <w:shd w:val="clear" w:color="auto" w:fill="auto"/>
            <w:noWrap/>
            <w:vAlign w:val="center"/>
          </w:tcPr>
          <w:p w14:paraId="41E150CC" w14:textId="77777777" w:rsidR="00916EA0" w:rsidRPr="00C74FAF" w:rsidRDefault="00916EA0" w:rsidP="00731B30">
            <w:pPr>
              <w:pStyle w:val="cuatexto"/>
              <w:jc w:val="right"/>
              <w:rPr>
                <w:rFonts w:cs="Arial"/>
                <w:szCs w:val="20"/>
              </w:rPr>
            </w:pPr>
            <w:r w:rsidRPr="00C74FAF">
              <w:rPr>
                <w:rFonts w:cs="Arial"/>
                <w:szCs w:val="20"/>
              </w:rPr>
              <w:t>1.350</w:t>
            </w:r>
          </w:p>
        </w:tc>
        <w:tc>
          <w:tcPr>
            <w:tcW w:w="1134" w:type="dxa"/>
            <w:tcBorders>
              <w:top w:val="single" w:sz="2" w:space="0" w:color="auto"/>
              <w:left w:val="nil"/>
              <w:bottom w:val="single" w:sz="2" w:space="0" w:color="auto"/>
              <w:right w:val="nil"/>
            </w:tcBorders>
            <w:shd w:val="clear" w:color="auto" w:fill="auto"/>
            <w:noWrap/>
            <w:vAlign w:val="center"/>
          </w:tcPr>
          <w:p w14:paraId="7BE586E2" w14:textId="77777777" w:rsidR="00916EA0" w:rsidRPr="00C74FAF" w:rsidRDefault="00916EA0" w:rsidP="00731B30">
            <w:pPr>
              <w:pStyle w:val="cuatexto"/>
              <w:jc w:val="right"/>
              <w:rPr>
                <w:rFonts w:cs="Arial"/>
                <w:szCs w:val="20"/>
              </w:rPr>
            </w:pPr>
            <w:r w:rsidRPr="00C74FAF">
              <w:rPr>
                <w:rFonts w:cs="Arial"/>
                <w:szCs w:val="20"/>
              </w:rPr>
              <w:t>0</w:t>
            </w:r>
          </w:p>
        </w:tc>
        <w:tc>
          <w:tcPr>
            <w:tcW w:w="992" w:type="dxa"/>
            <w:tcBorders>
              <w:top w:val="single" w:sz="2" w:space="0" w:color="auto"/>
              <w:left w:val="nil"/>
              <w:bottom w:val="single" w:sz="2" w:space="0" w:color="auto"/>
              <w:right w:val="nil"/>
            </w:tcBorders>
            <w:shd w:val="clear" w:color="auto" w:fill="auto"/>
            <w:noWrap/>
            <w:vAlign w:val="center"/>
          </w:tcPr>
          <w:p w14:paraId="2F749812" w14:textId="77777777" w:rsidR="00916EA0" w:rsidRPr="00C74FAF" w:rsidRDefault="00916EA0" w:rsidP="00731B30">
            <w:pPr>
              <w:pStyle w:val="cuatexto"/>
              <w:jc w:val="right"/>
              <w:rPr>
                <w:rFonts w:cs="Calibri"/>
                <w:szCs w:val="20"/>
              </w:rPr>
            </w:pPr>
            <w:r w:rsidRPr="00C74FAF">
              <w:rPr>
                <w:rFonts w:cs="Calibri"/>
                <w:szCs w:val="20"/>
              </w:rPr>
              <w:t>6.550</w:t>
            </w:r>
          </w:p>
        </w:tc>
        <w:tc>
          <w:tcPr>
            <w:tcW w:w="851" w:type="dxa"/>
            <w:tcBorders>
              <w:top w:val="single" w:sz="2" w:space="0" w:color="auto"/>
              <w:left w:val="nil"/>
              <w:bottom w:val="single" w:sz="2" w:space="0" w:color="auto"/>
              <w:right w:val="nil"/>
            </w:tcBorders>
            <w:shd w:val="clear" w:color="auto" w:fill="auto"/>
            <w:noWrap/>
            <w:vAlign w:val="center"/>
          </w:tcPr>
          <w:p w14:paraId="26FAA9B5" w14:textId="77777777" w:rsidR="00916EA0" w:rsidRPr="00C74FAF" w:rsidRDefault="00916EA0" w:rsidP="00731B30">
            <w:pPr>
              <w:pStyle w:val="cuatexto"/>
              <w:jc w:val="right"/>
              <w:rPr>
                <w:rFonts w:cs="Calibri"/>
                <w:szCs w:val="20"/>
              </w:rPr>
            </w:pPr>
            <w:r w:rsidRPr="00C74FAF">
              <w:rPr>
                <w:rFonts w:cs="Calibri"/>
                <w:szCs w:val="20"/>
              </w:rPr>
              <w:t>0</w:t>
            </w:r>
          </w:p>
        </w:tc>
      </w:tr>
      <w:tr w:rsidR="00916EA0" w:rsidRPr="00916EA0" w14:paraId="7C13F10A" w14:textId="77777777" w:rsidTr="00C74FAF">
        <w:trPr>
          <w:trHeight w:val="198"/>
        </w:trPr>
        <w:tc>
          <w:tcPr>
            <w:tcW w:w="3261" w:type="dxa"/>
            <w:tcBorders>
              <w:top w:val="single" w:sz="2" w:space="0" w:color="auto"/>
              <w:left w:val="nil"/>
              <w:bottom w:val="single" w:sz="4" w:space="0" w:color="auto"/>
              <w:right w:val="nil"/>
            </w:tcBorders>
            <w:noWrap/>
            <w:vAlign w:val="center"/>
            <w:hideMark/>
          </w:tcPr>
          <w:p w14:paraId="232818F6" w14:textId="77777777" w:rsidR="00916EA0" w:rsidRPr="00C74FAF" w:rsidRDefault="00916EA0" w:rsidP="00731B30">
            <w:pPr>
              <w:pStyle w:val="cuatexto"/>
              <w:rPr>
                <w:szCs w:val="20"/>
              </w:rPr>
            </w:pPr>
            <w:r w:rsidRPr="00C74FAF">
              <w:rPr>
                <w:szCs w:val="20"/>
              </w:rPr>
              <w:t>9 Pasivos financieros</w:t>
            </w:r>
          </w:p>
        </w:tc>
        <w:tc>
          <w:tcPr>
            <w:tcW w:w="850" w:type="dxa"/>
            <w:tcBorders>
              <w:top w:val="single" w:sz="2" w:space="0" w:color="auto"/>
              <w:left w:val="nil"/>
              <w:bottom w:val="single" w:sz="4" w:space="0" w:color="auto"/>
              <w:right w:val="nil"/>
            </w:tcBorders>
            <w:shd w:val="clear" w:color="auto" w:fill="auto"/>
            <w:noWrap/>
            <w:vAlign w:val="center"/>
          </w:tcPr>
          <w:p w14:paraId="54525162" w14:textId="77777777" w:rsidR="00916EA0" w:rsidRPr="00C74FAF" w:rsidRDefault="00916EA0" w:rsidP="00731B30">
            <w:pPr>
              <w:pStyle w:val="cuatexto"/>
              <w:jc w:val="right"/>
              <w:rPr>
                <w:rFonts w:cs="Arial"/>
                <w:szCs w:val="20"/>
              </w:rPr>
            </w:pPr>
            <w:r w:rsidRPr="00C74FAF">
              <w:rPr>
                <w:rFonts w:cs="Arial"/>
                <w:szCs w:val="20"/>
              </w:rPr>
              <w:t>234.529</w:t>
            </w:r>
          </w:p>
        </w:tc>
        <w:tc>
          <w:tcPr>
            <w:tcW w:w="851" w:type="dxa"/>
            <w:tcBorders>
              <w:top w:val="single" w:sz="2" w:space="0" w:color="auto"/>
              <w:left w:val="nil"/>
              <w:bottom w:val="single" w:sz="4" w:space="0" w:color="auto"/>
              <w:right w:val="nil"/>
            </w:tcBorders>
            <w:shd w:val="clear" w:color="auto" w:fill="auto"/>
            <w:noWrap/>
            <w:vAlign w:val="center"/>
          </w:tcPr>
          <w:p w14:paraId="75090965" w14:textId="77777777" w:rsidR="00916EA0" w:rsidRPr="00C74FAF" w:rsidRDefault="00916EA0" w:rsidP="00731B30">
            <w:pPr>
              <w:pStyle w:val="cuatexto"/>
              <w:jc w:val="right"/>
              <w:rPr>
                <w:rFonts w:cs="Arial"/>
                <w:szCs w:val="20"/>
              </w:rPr>
            </w:pPr>
            <w:r w:rsidRPr="00C74FAF">
              <w:rPr>
                <w:rFonts w:cs="Arial"/>
                <w:szCs w:val="20"/>
              </w:rPr>
              <w:t>261.340</w:t>
            </w:r>
          </w:p>
        </w:tc>
        <w:tc>
          <w:tcPr>
            <w:tcW w:w="992" w:type="dxa"/>
            <w:tcBorders>
              <w:top w:val="single" w:sz="2" w:space="0" w:color="auto"/>
              <w:left w:val="nil"/>
              <w:bottom w:val="single" w:sz="4" w:space="0" w:color="auto"/>
              <w:right w:val="nil"/>
            </w:tcBorders>
            <w:shd w:val="clear" w:color="auto" w:fill="auto"/>
            <w:noWrap/>
            <w:vAlign w:val="center"/>
          </w:tcPr>
          <w:p w14:paraId="76BA5E00" w14:textId="77777777" w:rsidR="00916EA0" w:rsidRPr="00C74FAF" w:rsidRDefault="00916EA0" w:rsidP="00731B30">
            <w:pPr>
              <w:pStyle w:val="cuatexto"/>
              <w:jc w:val="right"/>
              <w:rPr>
                <w:rFonts w:cs="Arial"/>
                <w:szCs w:val="20"/>
              </w:rPr>
            </w:pPr>
            <w:r w:rsidRPr="00C74FAF">
              <w:rPr>
                <w:rFonts w:cs="Arial"/>
                <w:szCs w:val="20"/>
              </w:rPr>
              <w:t>213.760</w:t>
            </w:r>
          </w:p>
        </w:tc>
        <w:tc>
          <w:tcPr>
            <w:tcW w:w="1134" w:type="dxa"/>
            <w:tcBorders>
              <w:top w:val="single" w:sz="2" w:space="0" w:color="auto"/>
              <w:left w:val="nil"/>
              <w:bottom w:val="single" w:sz="4" w:space="0" w:color="auto"/>
              <w:right w:val="nil"/>
            </w:tcBorders>
            <w:shd w:val="clear" w:color="auto" w:fill="auto"/>
            <w:noWrap/>
            <w:vAlign w:val="center"/>
          </w:tcPr>
          <w:p w14:paraId="66B51F02" w14:textId="77777777" w:rsidR="00916EA0" w:rsidRPr="00C74FAF" w:rsidRDefault="00916EA0" w:rsidP="00731B30">
            <w:pPr>
              <w:pStyle w:val="cuatexto"/>
              <w:jc w:val="right"/>
              <w:rPr>
                <w:rFonts w:cs="Arial"/>
                <w:szCs w:val="20"/>
              </w:rPr>
            </w:pPr>
            <w:r w:rsidRPr="00C74FAF">
              <w:rPr>
                <w:rFonts w:cs="Arial"/>
                <w:szCs w:val="20"/>
              </w:rPr>
              <w:t>1.955.080</w:t>
            </w:r>
          </w:p>
        </w:tc>
        <w:tc>
          <w:tcPr>
            <w:tcW w:w="992" w:type="dxa"/>
            <w:tcBorders>
              <w:top w:val="single" w:sz="2" w:space="0" w:color="auto"/>
              <w:left w:val="nil"/>
              <w:bottom w:val="single" w:sz="4" w:space="0" w:color="auto"/>
              <w:right w:val="nil"/>
            </w:tcBorders>
            <w:shd w:val="clear" w:color="auto" w:fill="auto"/>
            <w:noWrap/>
            <w:vAlign w:val="center"/>
          </w:tcPr>
          <w:p w14:paraId="4D73770D" w14:textId="77777777" w:rsidR="00916EA0" w:rsidRPr="00C74FAF" w:rsidRDefault="00916EA0" w:rsidP="00731B30">
            <w:pPr>
              <w:pStyle w:val="cuatexto"/>
              <w:jc w:val="right"/>
              <w:rPr>
                <w:rFonts w:cs="Calibri"/>
                <w:szCs w:val="20"/>
              </w:rPr>
            </w:pPr>
            <w:r w:rsidRPr="00C74FAF">
              <w:rPr>
                <w:rFonts w:cs="Calibri"/>
                <w:szCs w:val="20"/>
              </w:rPr>
              <w:t>2.664.708</w:t>
            </w:r>
          </w:p>
        </w:tc>
        <w:tc>
          <w:tcPr>
            <w:tcW w:w="851" w:type="dxa"/>
            <w:tcBorders>
              <w:top w:val="single" w:sz="2" w:space="0" w:color="auto"/>
              <w:left w:val="nil"/>
              <w:bottom w:val="single" w:sz="4" w:space="0" w:color="auto"/>
              <w:right w:val="nil"/>
            </w:tcBorders>
            <w:shd w:val="clear" w:color="auto" w:fill="auto"/>
            <w:noWrap/>
            <w:vAlign w:val="center"/>
          </w:tcPr>
          <w:p w14:paraId="61AB1A11" w14:textId="77777777" w:rsidR="00916EA0" w:rsidRPr="00C74FAF" w:rsidRDefault="00916EA0" w:rsidP="00731B30">
            <w:pPr>
              <w:pStyle w:val="cuatexto"/>
              <w:jc w:val="right"/>
              <w:rPr>
                <w:rFonts w:cs="Calibri"/>
                <w:szCs w:val="20"/>
              </w:rPr>
            </w:pPr>
            <w:r w:rsidRPr="00C74FAF">
              <w:rPr>
                <w:rFonts w:cs="Calibri"/>
                <w:szCs w:val="20"/>
              </w:rPr>
              <w:t>72</w:t>
            </w:r>
          </w:p>
        </w:tc>
      </w:tr>
      <w:tr w:rsidR="00916EA0" w:rsidRPr="00916EA0" w14:paraId="1360CF6B" w14:textId="77777777" w:rsidTr="00C74FAF">
        <w:trPr>
          <w:trHeight w:val="255"/>
        </w:trPr>
        <w:tc>
          <w:tcPr>
            <w:tcW w:w="3261" w:type="dxa"/>
            <w:tcBorders>
              <w:top w:val="single" w:sz="4" w:space="0" w:color="auto"/>
              <w:left w:val="nil"/>
              <w:bottom w:val="single" w:sz="4" w:space="0" w:color="auto"/>
              <w:right w:val="nil"/>
            </w:tcBorders>
            <w:shd w:val="clear" w:color="auto" w:fill="95B3D7"/>
            <w:noWrap/>
            <w:vAlign w:val="center"/>
            <w:hideMark/>
          </w:tcPr>
          <w:p w14:paraId="2412F7EF" w14:textId="77777777" w:rsidR="00916EA0" w:rsidRPr="00916EA0" w:rsidRDefault="00916EA0" w:rsidP="00916EA0">
            <w:pPr>
              <w:rPr>
                <w:rFonts w:ascii="Arial" w:hAnsi="Arial" w:cs="Arial"/>
                <w:color w:val="000000"/>
                <w:sz w:val="18"/>
                <w:szCs w:val="18"/>
              </w:rPr>
            </w:pPr>
            <w:r w:rsidRPr="00916EA0">
              <w:rPr>
                <w:rFonts w:ascii="Arial" w:hAnsi="Arial" w:cs="Arial"/>
                <w:color w:val="000000"/>
                <w:sz w:val="18"/>
                <w:szCs w:val="18"/>
              </w:rPr>
              <w:t>Total gastos ejercicios futuros</w:t>
            </w:r>
          </w:p>
        </w:tc>
        <w:tc>
          <w:tcPr>
            <w:tcW w:w="850" w:type="dxa"/>
            <w:tcBorders>
              <w:top w:val="single" w:sz="4" w:space="0" w:color="auto"/>
              <w:left w:val="nil"/>
              <w:bottom w:val="single" w:sz="4" w:space="0" w:color="auto"/>
              <w:right w:val="nil"/>
            </w:tcBorders>
            <w:shd w:val="clear" w:color="000000" w:fill="95B3D7"/>
            <w:noWrap/>
            <w:vAlign w:val="center"/>
          </w:tcPr>
          <w:p w14:paraId="06BE4380" w14:textId="77777777" w:rsidR="00916EA0" w:rsidRPr="00916EA0" w:rsidRDefault="00916EA0" w:rsidP="00731B30">
            <w:pPr>
              <w:jc w:val="right"/>
              <w:rPr>
                <w:rFonts w:ascii="Arial" w:hAnsi="Arial" w:cs="Arial"/>
                <w:color w:val="000000"/>
                <w:sz w:val="18"/>
                <w:szCs w:val="18"/>
              </w:rPr>
            </w:pPr>
            <w:r w:rsidRPr="00916EA0">
              <w:rPr>
                <w:rFonts w:ascii="Arial" w:hAnsi="Arial" w:cs="Arial"/>
                <w:color w:val="000000"/>
                <w:sz w:val="18"/>
                <w:szCs w:val="18"/>
              </w:rPr>
              <w:t>808.373</w:t>
            </w:r>
          </w:p>
        </w:tc>
        <w:tc>
          <w:tcPr>
            <w:tcW w:w="851" w:type="dxa"/>
            <w:tcBorders>
              <w:top w:val="single" w:sz="4" w:space="0" w:color="auto"/>
              <w:left w:val="nil"/>
              <w:bottom w:val="single" w:sz="4" w:space="0" w:color="auto"/>
              <w:right w:val="nil"/>
            </w:tcBorders>
            <w:shd w:val="clear" w:color="000000" w:fill="95B3D7"/>
            <w:noWrap/>
            <w:vAlign w:val="center"/>
          </w:tcPr>
          <w:p w14:paraId="4C303767" w14:textId="77777777" w:rsidR="00916EA0" w:rsidRPr="00916EA0" w:rsidRDefault="00916EA0" w:rsidP="00731B30">
            <w:pPr>
              <w:jc w:val="right"/>
              <w:rPr>
                <w:rFonts w:ascii="Arial" w:hAnsi="Arial" w:cs="Arial"/>
                <w:color w:val="000000"/>
                <w:sz w:val="18"/>
                <w:szCs w:val="18"/>
              </w:rPr>
            </w:pPr>
            <w:r w:rsidRPr="00916EA0">
              <w:rPr>
                <w:rFonts w:ascii="Arial" w:hAnsi="Arial" w:cs="Arial"/>
                <w:color w:val="000000"/>
                <w:sz w:val="18"/>
                <w:szCs w:val="18"/>
              </w:rPr>
              <w:t>461.397</w:t>
            </w:r>
          </w:p>
        </w:tc>
        <w:tc>
          <w:tcPr>
            <w:tcW w:w="992" w:type="dxa"/>
            <w:tcBorders>
              <w:top w:val="single" w:sz="4" w:space="0" w:color="auto"/>
              <w:left w:val="nil"/>
              <w:bottom w:val="single" w:sz="4" w:space="0" w:color="auto"/>
              <w:right w:val="nil"/>
            </w:tcBorders>
            <w:shd w:val="clear" w:color="000000" w:fill="95B3D7"/>
            <w:noWrap/>
            <w:vAlign w:val="center"/>
          </w:tcPr>
          <w:p w14:paraId="70CA4335" w14:textId="77777777" w:rsidR="00916EA0" w:rsidRPr="00916EA0" w:rsidRDefault="00916EA0" w:rsidP="00731B30">
            <w:pPr>
              <w:jc w:val="right"/>
              <w:rPr>
                <w:rFonts w:ascii="Arial" w:hAnsi="Arial" w:cs="Arial"/>
                <w:color w:val="000000"/>
                <w:sz w:val="18"/>
                <w:szCs w:val="18"/>
              </w:rPr>
            </w:pPr>
            <w:r w:rsidRPr="00916EA0">
              <w:rPr>
                <w:rFonts w:ascii="Arial" w:hAnsi="Arial" w:cs="Arial"/>
                <w:color w:val="000000"/>
                <w:sz w:val="18"/>
                <w:szCs w:val="18"/>
              </w:rPr>
              <w:t>296.256</w:t>
            </w:r>
          </w:p>
        </w:tc>
        <w:tc>
          <w:tcPr>
            <w:tcW w:w="1134" w:type="dxa"/>
            <w:tcBorders>
              <w:top w:val="single" w:sz="4" w:space="0" w:color="auto"/>
              <w:left w:val="nil"/>
              <w:bottom w:val="single" w:sz="4" w:space="0" w:color="auto"/>
              <w:right w:val="nil"/>
            </w:tcBorders>
            <w:shd w:val="clear" w:color="000000" w:fill="95B3D7"/>
            <w:noWrap/>
            <w:vAlign w:val="center"/>
          </w:tcPr>
          <w:p w14:paraId="1A812B76" w14:textId="77777777" w:rsidR="00916EA0" w:rsidRPr="00916EA0" w:rsidRDefault="00916EA0" w:rsidP="00731B30">
            <w:pPr>
              <w:jc w:val="right"/>
              <w:rPr>
                <w:rFonts w:ascii="Arial" w:hAnsi="Arial" w:cs="Arial"/>
                <w:color w:val="000000"/>
                <w:sz w:val="18"/>
                <w:szCs w:val="18"/>
              </w:rPr>
            </w:pPr>
            <w:r w:rsidRPr="00916EA0">
              <w:rPr>
                <w:rFonts w:ascii="Arial" w:hAnsi="Arial" w:cs="Arial"/>
                <w:color w:val="000000"/>
                <w:sz w:val="18"/>
                <w:szCs w:val="18"/>
              </w:rPr>
              <w:t>2.154.440</w:t>
            </w:r>
          </w:p>
        </w:tc>
        <w:tc>
          <w:tcPr>
            <w:tcW w:w="992" w:type="dxa"/>
            <w:tcBorders>
              <w:top w:val="single" w:sz="4" w:space="0" w:color="auto"/>
              <w:left w:val="nil"/>
              <w:bottom w:val="single" w:sz="4" w:space="0" w:color="auto"/>
              <w:right w:val="nil"/>
            </w:tcBorders>
            <w:shd w:val="clear" w:color="000000" w:fill="95B3D7"/>
            <w:noWrap/>
            <w:vAlign w:val="center"/>
          </w:tcPr>
          <w:p w14:paraId="686D1439" w14:textId="77777777" w:rsidR="00916EA0" w:rsidRPr="00916EA0" w:rsidRDefault="00916EA0" w:rsidP="00731B30">
            <w:pPr>
              <w:jc w:val="right"/>
              <w:rPr>
                <w:rFonts w:ascii="Arial" w:hAnsi="Arial" w:cs="Arial"/>
                <w:color w:val="000000"/>
                <w:sz w:val="18"/>
                <w:szCs w:val="18"/>
              </w:rPr>
            </w:pPr>
            <w:r w:rsidRPr="00916EA0">
              <w:rPr>
                <w:rFonts w:ascii="Arial" w:hAnsi="Arial" w:cs="Arial"/>
                <w:color w:val="000000"/>
                <w:sz w:val="18"/>
                <w:szCs w:val="18"/>
              </w:rPr>
              <w:t>3.720.465</w:t>
            </w:r>
          </w:p>
        </w:tc>
        <w:tc>
          <w:tcPr>
            <w:tcW w:w="851" w:type="dxa"/>
            <w:tcBorders>
              <w:top w:val="single" w:sz="4" w:space="0" w:color="auto"/>
              <w:left w:val="nil"/>
              <w:bottom w:val="single" w:sz="4" w:space="0" w:color="auto"/>
              <w:right w:val="nil"/>
            </w:tcBorders>
            <w:shd w:val="clear" w:color="000000" w:fill="95B3D7"/>
            <w:noWrap/>
            <w:vAlign w:val="center"/>
          </w:tcPr>
          <w:p w14:paraId="3BADBE0D" w14:textId="77777777" w:rsidR="00916EA0" w:rsidRPr="00916EA0" w:rsidRDefault="00916EA0" w:rsidP="00731B30">
            <w:pPr>
              <w:jc w:val="right"/>
              <w:rPr>
                <w:rFonts w:ascii="Arial" w:hAnsi="Arial" w:cs="Arial"/>
                <w:color w:val="000000"/>
                <w:sz w:val="18"/>
                <w:szCs w:val="18"/>
              </w:rPr>
            </w:pPr>
            <w:r w:rsidRPr="00916EA0">
              <w:rPr>
                <w:rFonts w:ascii="Arial" w:hAnsi="Arial" w:cs="Arial"/>
                <w:color w:val="000000"/>
                <w:sz w:val="18"/>
                <w:szCs w:val="18"/>
              </w:rPr>
              <w:t>100</w:t>
            </w:r>
          </w:p>
        </w:tc>
      </w:tr>
      <w:tr w:rsidR="00916EA0" w:rsidRPr="009604B1" w14:paraId="746AFD7A" w14:textId="77777777" w:rsidTr="00AF3506">
        <w:trPr>
          <w:trHeight w:val="227"/>
        </w:trPr>
        <w:tc>
          <w:tcPr>
            <w:tcW w:w="3261" w:type="dxa"/>
            <w:tcBorders>
              <w:top w:val="single" w:sz="4" w:space="0" w:color="auto"/>
              <w:left w:val="nil"/>
              <w:bottom w:val="single" w:sz="4" w:space="0" w:color="auto"/>
              <w:right w:val="nil"/>
            </w:tcBorders>
            <w:noWrap/>
            <w:vAlign w:val="center"/>
            <w:hideMark/>
          </w:tcPr>
          <w:p w14:paraId="0401F56C" w14:textId="77777777" w:rsidR="00916EA0" w:rsidRPr="009604B1" w:rsidRDefault="00916EA0" w:rsidP="00916EA0">
            <w:pPr>
              <w:rPr>
                <w:rFonts w:ascii="Arial" w:hAnsi="Arial" w:cs="Arial"/>
                <w:i/>
                <w:iCs/>
                <w:color w:val="000000"/>
                <w:sz w:val="18"/>
                <w:szCs w:val="18"/>
              </w:rPr>
            </w:pPr>
            <w:r w:rsidRPr="009604B1">
              <w:rPr>
                <w:rFonts w:ascii="Arial" w:hAnsi="Arial" w:cs="Arial"/>
                <w:i/>
                <w:iCs/>
                <w:color w:val="000000"/>
                <w:sz w:val="18"/>
                <w:szCs w:val="18"/>
              </w:rPr>
              <w:t>Porcentaje/año</w:t>
            </w:r>
          </w:p>
        </w:tc>
        <w:tc>
          <w:tcPr>
            <w:tcW w:w="850" w:type="dxa"/>
            <w:tcBorders>
              <w:top w:val="single" w:sz="4" w:space="0" w:color="auto"/>
              <w:left w:val="nil"/>
              <w:bottom w:val="single" w:sz="4" w:space="0" w:color="auto"/>
              <w:right w:val="nil"/>
            </w:tcBorders>
            <w:shd w:val="clear" w:color="auto" w:fill="auto"/>
            <w:noWrap/>
            <w:vAlign w:val="center"/>
          </w:tcPr>
          <w:p w14:paraId="5A30D087" w14:textId="77777777" w:rsidR="00916EA0" w:rsidRPr="009604B1" w:rsidRDefault="00916EA0" w:rsidP="00916EA0">
            <w:pPr>
              <w:jc w:val="right"/>
              <w:rPr>
                <w:rFonts w:ascii="Arial" w:hAnsi="Arial" w:cs="Arial"/>
                <w:i/>
                <w:iCs/>
                <w:color w:val="000000"/>
                <w:sz w:val="18"/>
                <w:szCs w:val="18"/>
              </w:rPr>
            </w:pPr>
            <w:r w:rsidRPr="009604B1">
              <w:rPr>
                <w:rFonts w:ascii="Arial" w:hAnsi="Arial" w:cs="Arial"/>
                <w:i/>
                <w:iCs/>
                <w:color w:val="000000"/>
                <w:sz w:val="18"/>
                <w:szCs w:val="18"/>
              </w:rPr>
              <w:t>22</w:t>
            </w:r>
          </w:p>
        </w:tc>
        <w:tc>
          <w:tcPr>
            <w:tcW w:w="851" w:type="dxa"/>
            <w:tcBorders>
              <w:top w:val="single" w:sz="4" w:space="0" w:color="auto"/>
              <w:left w:val="nil"/>
              <w:bottom w:val="single" w:sz="4" w:space="0" w:color="auto"/>
              <w:right w:val="nil"/>
            </w:tcBorders>
            <w:shd w:val="clear" w:color="auto" w:fill="auto"/>
            <w:noWrap/>
            <w:vAlign w:val="center"/>
          </w:tcPr>
          <w:p w14:paraId="1DBCAFE6" w14:textId="77777777" w:rsidR="00916EA0" w:rsidRPr="009604B1" w:rsidRDefault="00916EA0" w:rsidP="00916EA0">
            <w:pPr>
              <w:jc w:val="right"/>
              <w:rPr>
                <w:rFonts w:ascii="Arial" w:hAnsi="Arial" w:cs="Arial"/>
                <w:i/>
                <w:iCs/>
                <w:color w:val="000000"/>
                <w:sz w:val="18"/>
                <w:szCs w:val="18"/>
              </w:rPr>
            </w:pPr>
            <w:r w:rsidRPr="009604B1">
              <w:rPr>
                <w:rFonts w:ascii="Arial" w:hAnsi="Arial" w:cs="Arial"/>
                <w:i/>
                <w:iCs/>
                <w:color w:val="000000"/>
                <w:sz w:val="18"/>
                <w:szCs w:val="18"/>
              </w:rPr>
              <w:t>12</w:t>
            </w:r>
          </w:p>
        </w:tc>
        <w:tc>
          <w:tcPr>
            <w:tcW w:w="992" w:type="dxa"/>
            <w:tcBorders>
              <w:top w:val="single" w:sz="4" w:space="0" w:color="auto"/>
              <w:left w:val="nil"/>
              <w:bottom w:val="single" w:sz="4" w:space="0" w:color="auto"/>
              <w:right w:val="nil"/>
            </w:tcBorders>
            <w:shd w:val="clear" w:color="auto" w:fill="auto"/>
            <w:noWrap/>
            <w:vAlign w:val="center"/>
          </w:tcPr>
          <w:p w14:paraId="6AB4D0C3" w14:textId="77777777" w:rsidR="00916EA0" w:rsidRPr="009604B1" w:rsidRDefault="00916EA0" w:rsidP="00916EA0">
            <w:pPr>
              <w:jc w:val="right"/>
              <w:rPr>
                <w:rFonts w:ascii="Arial" w:hAnsi="Arial" w:cs="Arial"/>
                <w:i/>
                <w:iCs/>
                <w:color w:val="000000"/>
                <w:sz w:val="18"/>
                <w:szCs w:val="18"/>
              </w:rPr>
            </w:pPr>
            <w:r w:rsidRPr="009604B1">
              <w:rPr>
                <w:rFonts w:ascii="Arial" w:hAnsi="Arial" w:cs="Arial"/>
                <w:i/>
                <w:iCs/>
                <w:color w:val="000000"/>
                <w:sz w:val="18"/>
                <w:szCs w:val="18"/>
              </w:rPr>
              <w:t>8</w:t>
            </w:r>
          </w:p>
        </w:tc>
        <w:tc>
          <w:tcPr>
            <w:tcW w:w="1134" w:type="dxa"/>
            <w:tcBorders>
              <w:top w:val="single" w:sz="4" w:space="0" w:color="auto"/>
              <w:left w:val="nil"/>
              <w:bottom w:val="single" w:sz="4" w:space="0" w:color="auto"/>
              <w:right w:val="nil"/>
            </w:tcBorders>
            <w:shd w:val="clear" w:color="auto" w:fill="auto"/>
            <w:noWrap/>
            <w:vAlign w:val="center"/>
          </w:tcPr>
          <w:p w14:paraId="35B9AA3F" w14:textId="77777777" w:rsidR="00916EA0" w:rsidRPr="009604B1" w:rsidRDefault="00916EA0" w:rsidP="00916EA0">
            <w:pPr>
              <w:jc w:val="right"/>
              <w:rPr>
                <w:rFonts w:ascii="Arial" w:hAnsi="Arial" w:cs="Arial"/>
                <w:i/>
                <w:iCs/>
                <w:color w:val="000000"/>
                <w:sz w:val="18"/>
                <w:szCs w:val="18"/>
              </w:rPr>
            </w:pPr>
            <w:r w:rsidRPr="009604B1">
              <w:rPr>
                <w:rFonts w:ascii="Arial" w:hAnsi="Arial" w:cs="Arial"/>
                <w:i/>
                <w:iCs/>
                <w:color w:val="000000"/>
                <w:sz w:val="18"/>
                <w:szCs w:val="18"/>
              </w:rPr>
              <w:t>58</w:t>
            </w:r>
          </w:p>
        </w:tc>
        <w:tc>
          <w:tcPr>
            <w:tcW w:w="992" w:type="dxa"/>
            <w:tcBorders>
              <w:top w:val="single" w:sz="4" w:space="0" w:color="auto"/>
              <w:left w:val="nil"/>
              <w:bottom w:val="single" w:sz="4" w:space="0" w:color="auto"/>
              <w:right w:val="nil"/>
            </w:tcBorders>
            <w:shd w:val="clear" w:color="auto" w:fill="auto"/>
            <w:noWrap/>
            <w:vAlign w:val="center"/>
          </w:tcPr>
          <w:p w14:paraId="2EC511D2" w14:textId="77777777" w:rsidR="00916EA0" w:rsidRPr="009604B1" w:rsidRDefault="00916EA0" w:rsidP="00916EA0">
            <w:pPr>
              <w:jc w:val="right"/>
              <w:rPr>
                <w:rFonts w:ascii="Arial" w:hAnsi="Arial" w:cs="Arial"/>
                <w:i/>
                <w:iCs/>
                <w:color w:val="000000"/>
                <w:sz w:val="18"/>
                <w:szCs w:val="18"/>
              </w:rPr>
            </w:pPr>
            <w:r w:rsidRPr="009604B1">
              <w:rPr>
                <w:rFonts w:ascii="Arial" w:hAnsi="Arial" w:cs="Arial"/>
                <w:i/>
                <w:iCs/>
                <w:color w:val="000000"/>
                <w:sz w:val="18"/>
                <w:szCs w:val="18"/>
              </w:rPr>
              <w:t>100</w:t>
            </w:r>
          </w:p>
        </w:tc>
        <w:tc>
          <w:tcPr>
            <w:tcW w:w="851" w:type="dxa"/>
            <w:tcBorders>
              <w:top w:val="single" w:sz="4" w:space="0" w:color="auto"/>
              <w:left w:val="nil"/>
              <w:bottom w:val="single" w:sz="4" w:space="0" w:color="auto"/>
              <w:right w:val="nil"/>
            </w:tcBorders>
            <w:shd w:val="clear" w:color="auto" w:fill="auto"/>
            <w:noWrap/>
            <w:vAlign w:val="center"/>
          </w:tcPr>
          <w:p w14:paraId="59498472" w14:textId="77777777" w:rsidR="00916EA0" w:rsidRPr="009604B1" w:rsidRDefault="00916EA0" w:rsidP="00916EA0">
            <w:pPr>
              <w:jc w:val="right"/>
              <w:rPr>
                <w:rFonts w:ascii="Arial" w:hAnsi="Arial" w:cs="Arial"/>
                <w:i/>
                <w:iCs/>
                <w:color w:val="000000"/>
                <w:sz w:val="18"/>
                <w:szCs w:val="18"/>
              </w:rPr>
            </w:pPr>
            <w:r w:rsidRPr="009604B1">
              <w:rPr>
                <w:rFonts w:ascii="Arial" w:hAnsi="Arial" w:cs="Arial"/>
                <w:i/>
                <w:iCs/>
                <w:color w:val="000000"/>
                <w:sz w:val="18"/>
                <w:szCs w:val="18"/>
              </w:rPr>
              <w:t> </w:t>
            </w:r>
          </w:p>
        </w:tc>
      </w:tr>
    </w:tbl>
    <w:p w14:paraId="478B1905" w14:textId="77777777" w:rsidR="00614DC4" w:rsidRDefault="00614DC4" w:rsidP="005F5001">
      <w:pPr>
        <w:pStyle w:val="texto"/>
        <w:spacing w:before="240" w:after="120"/>
        <w:jc w:val="both"/>
      </w:pPr>
      <w:r w:rsidRPr="00C01060">
        <w:t>Los gastos anteriores no incluyen las obligaciones actuariales del montepío de funcionarios, ni los gastos derivados de peajes en la sombra, ni los intereses estimados de los préstamos de interés variable.</w:t>
      </w:r>
    </w:p>
    <w:p w14:paraId="3E4BBDA4" w14:textId="77777777" w:rsidR="00842336" w:rsidRDefault="00842336">
      <w:pPr>
        <w:rPr>
          <w:spacing w:val="6"/>
          <w:sz w:val="26"/>
        </w:rPr>
      </w:pPr>
      <w:r>
        <w:br w:type="page"/>
      </w:r>
    </w:p>
    <w:p w14:paraId="7AB71AD6" w14:textId="77777777" w:rsidR="00C15FEE" w:rsidRDefault="00614DC4" w:rsidP="00C40B89">
      <w:pPr>
        <w:pStyle w:val="texto"/>
        <w:spacing w:after="240"/>
        <w:jc w:val="both"/>
      </w:pPr>
      <w:r>
        <w:lastRenderedPageBreak/>
        <w:t xml:space="preserve">Al respecto, destacamos que la memoria incluye información relacionada con los flujos de pago previsibles derivados de los peajes en la sombra, que no se incluyen en los compromisos de gastos futuros por considerar que su cuantía es incierta. </w:t>
      </w:r>
      <w:r w:rsidR="001D5CA1">
        <w:t xml:space="preserve">Son los siguientes: </w:t>
      </w:r>
    </w:p>
    <w:p w14:paraId="5D8D70E9" w14:textId="77777777" w:rsidR="00842336" w:rsidRPr="00C74FAF" w:rsidRDefault="00842336" w:rsidP="00AF3506">
      <w:pPr>
        <w:pStyle w:val="texto"/>
        <w:spacing w:after="60"/>
        <w:jc w:val="right"/>
        <w:rPr>
          <w:rFonts w:ascii="Arial" w:hAnsi="Arial" w:cs="Arial"/>
          <w:sz w:val="17"/>
          <w:szCs w:val="17"/>
        </w:rPr>
      </w:pPr>
      <w:r w:rsidRPr="00C74FAF">
        <w:rPr>
          <w:rFonts w:ascii="Arial" w:hAnsi="Arial" w:cs="Arial"/>
          <w:color w:val="000000"/>
          <w:spacing w:val="0"/>
          <w:sz w:val="17"/>
          <w:szCs w:val="17"/>
        </w:rPr>
        <w:t>(en miles)</w:t>
      </w:r>
    </w:p>
    <w:tbl>
      <w:tblPr>
        <w:tblStyle w:val="Tablaconcuadrcula"/>
        <w:tblpPr w:leftFromText="141" w:rightFromText="141" w:bottomFromText="140" w:vertAnchor="text" w:tblpXSpec="center" w:tblpY="1"/>
        <w:tblOverlap w:val="never"/>
        <w:tblW w:w="50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1408"/>
        <w:gridCol w:w="998"/>
        <w:gridCol w:w="998"/>
        <w:gridCol w:w="1202"/>
        <w:gridCol w:w="1175"/>
      </w:tblGrid>
      <w:tr w:rsidR="002D15F8" w:rsidRPr="002D15F8" w14:paraId="4B57AFB9" w14:textId="77777777" w:rsidTr="00C74FAF">
        <w:trPr>
          <w:trHeight w:hRule="exact" w:val="255"/>
        </w:trPr>
        <w:tc>
          <w:tcPr>
            <w:tcW w:w="1744" w:type="pct"/>
            <w:tcBorders>
              <w:top w:val="single" w:sz="4" w:space="0" w:color="auto"/>
              <w:left w:val="nil"/>
              <w:bottom w:val="single" w:sz="2" w:space="0" w:color="auto"/>
              <w:right w:val="nil"/>
            </w:tcBorders>
            <w:shd w:val="clear" w:color="auto" w:fill="95B3D7" w:themeFill="accent1" w:themeFillTint="99"/>
            <w:vAlign w:val="center"/>
            <w:hideMark/>
          </w:tcPr>
          <w:p w14:paraId="16318D83" w14:textId="77777777" w:rsidR="002D15F8" w:rsidRPr="002D15F8" w:rsidRDefault="002D15F8" w:rsidP="002D15F8">
            <w:pPr>
              <w:tabs>
                <w:tab w:val="center" w:pos="2835"/>
                <w:tab w:val="center" w:pos="3969"/>
                <w:tab w:val="num" w:pos="4920"/>
                <w:tab w:val="center" w:pos="5103"/>
                <w:tab w:val="center" w:pos="6237"/>
                <w:tab w:val="center" w:pos="7371"/>
              </w:tabs>
              <w:spacing w:after="0"/>
              <w:ind w:left="-42" w:firstLine="0"/>
              <w:jc w:val="left"/>
              <w:rPr>
                <w:rFonts w:ascii="Arial" w:hAnsi="Arial" w:cs="Arial"/>
                <w:spacing w:val="6"/>
                <w:sz w:val="18"/>
                <w:szCs w:val="18"/>
                <w:lang w:val="es-ES_tradnl"/>
              </w:rPr>
            </w:pPr>
            <w:r w:rsidRPr="002D15F8">
              <w:rPr>
                <w:rFonts w:ascii="Arial" w:hAnsi="Arial" w:cs="Arial"/>
                <w:spacing w:val="6"/>
                <w:sz w:val="18"/>
                <w:szCs w:val="18"/>
                <w:lang w:val="es-ES_tradnl"/>
              </w:rPr>
              <w:t>Infraestructura</w:t>
            </w:r>
          </w:p>
        </w:tc>
        <w:tc>
          <w:tcPr>
            <w:tcW w:w="793" w:type="pct"/>
            <w:tcBorders>
              <w:top w:val="single" w:sz="4" w:space="0" w:color="auto"/>
              <w:left w:val="nil"/>
              <w:bottom w:val="single" w:sz="2" w:space="0" w:color="auto"/>
              <w:right w:val="nil"/>
            </w:tcBorders>
            <w:shd w:val="clear" w:color="auto" w:fill="95B3D7" w:themeFill="accent1" w:themeFillTint="99"/>
            <w:vAlign w:val="center"/>
            <w:hideMark/>
          </w:tcPr>
          <w:p w14:paraId="060E9F87" w14:textId="77777777" w:rsidR="002D15F8" w:rsidRPr="002D15F8" w:rsidRDefault="002D15F8" w:rsidP="002D15F8">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lang w:val="es-ES_tradnl"/>
              </w:rPr>
            </w:pPr>
            <w:r w:rsidRPr="002D15F8">
              <w:rPr>
                <w:rFonts w:ascii="Arial" w:hAnsi="Arial" w:cs="Arial"/>
                <w:spacing w:val="6"/>
                <w:sz w:val="18"/>
                <w:szCs w:val="18"/>
                <w:lang w:val="es-ES_tradnl"/>
              </w:rPr>
              <w:t>202</w:t>
            </w:r>
            <w:r>
              <w:rPr>
                <w:rFonts w:ascii="Arial" w:hAnsi="Arial" w:cs="Arial"/>
                <w:spacing w:val="6"/>
                <w:sz w:val="18"/>
                <w:szCs w:val="18"/>
                <w:lang w:val="es-ES_tradnl"/>
              </w:rPr>
              <w:t>4</w:t>
            </w:r>
          </w:p>
        </w:tc>
        <w:tc>
          <w:tcPr>
            <w:tcW w:w="562" w:type="pct"/>
            <w:tcBorders>
              <w:top w:val="single" w:sz="4" w:space="0" w:color="auto"/>
              <w:left w:val="nil"/>
              <w:bottom w:val="single" w:sz="2" w:space="0" w:color="auto"/>
              <w:right w:val="nil"/>
            </w:tcBorders>
            <w:shd w:val="clear" w:color="auto" w:fill="95B3D7" w:themeFill="accent1" w:themeFillTint="99"/>
            <w:vAlign w:val="center"/>
            <w:hideMark/>
          </w:tcPr>
          <w:p w14:paraId="7A0AB5B6" w14:textId="77777777" w:rsidR="002D15F8" w:rsidRPr="002D15F8" w:rsidRDefault="002D15F8" w:rsidP="002D15F8">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lang w:val="es-ES_tradnl"/>
              </w:rPr>
            </w:pPr>
            <w:r>
              <w:rPr>
                <w:rFonts w:ascii="Arial" w:hAnsi="Arial" w:cs="Arial"/>
                <w:spacing w:val="6"/>
                <w:sz w:val="18"/>
                <w:szCs w:val="18"/>
                <w:lang w:val="es-ES_tradnl"/>
              </w:rPr>
              <w:t>2026</w:t>
            </w:r>
          </w:p>
        </w:tc>
        <w:tc>
          <w:tcPr>
            <w:tcW w:w="562" w:type="pct"/>
            <w:tcBorders>
              <w:top w:val="single" w:sz="4" w:space="0" w:color="auto"/>
              <w:left w:val="nil"/>
              <w:bottom w:val="single" w:sz="2" w:space="0" w:color="auto"/>
              <w:right w:val="nil"/>
            </w:tcBorders>
            <w:shd w:val="clear" w:color="auto" w:fill="95B3D7" w:themeFill="accent1" w:themeFillTint="99"/>
            <w:vAlign w:val="center"/>
            <w:hideMark/>
          </w:tcPr>
          <w:p w14:paraId="07EA05C0" w14:textId="77777777" w:rsidR="002D15F8" w:rsidRPr="002D15F8" w:rsidRDefault="002D15F8" w:rsidP="002D15F8">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lang w:val="es-ES_tradnl"/>
              </w:rPr>
            </w:pPr>
            <w:r>
              <w:rPr>
                <w:rFonts w:ascii="Arial" w:hAnsi="Arial" w:cs="Arial"/>
                <w:spacing w:val="6"/>
                <w:sz w:val="18"/>
                <w:szCs w:val="18"/>
                <w:lang w:val="es-ES_tradnl"/>
              </w:rPr>
              <w:t>2026</w:t>
            </w:r>
          </w:p>
        </w:tc>
        <w:tc>
          <w:tcPr>
            <w:tcW w:w="677" w:type="pct"/>
            <w:tcBorders>
              <w:top w:val="single" w:sz="4" w:space="0" w:color="auto"/>
              <w:left w:val="nil"/>
              <w:bottom w:val="single" w:sz="2" w:space="0" w:color="auto"/>
              <w:right w:val="nil"/>
            </w:tcBorders>
            <w:shd w:val="clear" w:color="auto" w:fill="95B3D7" w:themeFill="accent1" w:themeFillTint="99"/>
            <w:vAlign w:val="center"/>
            <w:hideMark/>
          </w:tcPr>
          <w:p w14:paraId="37EB4954" w14:textId="77777777" w:rsidR="002D15F8" w:rsidRPr="002D15F8" w:rsidRDefault="002D15F8" w:rsidP="002D15F8">
            <w:pPr>
              <w:tabs>
                <w:tab w:val="center" w:pos="2835"/>
                <w:tab w:val="center" w:pos="3969"/>
                <w:tab w:val="num" w:pos="4920"/>
                <w:tab w:val="center" w:pos="5103"/>
                <w:tab w:val="center" w:pos="6237"/>
                <w:tab w:val="center" w:pos="7371"/>
              </w:tabs>
              <w:spacing w:after="0"/>
              <w:ind w:left="-94" w:firstLine="0"/>
              <w:jc w:val="right"/>
              <w:rPr>
                <w:rFonts w:ascii="Arial" w:hAnsi="Arial" w:cs="Arial"/>
                <w:spacing w:val="6"/>
                <w:sz w:val="18"/>
                <w:szCs w:val="18"/>
                <w:lang w:val="es-ES_tradnl"/>
              </w:rPr>
            </w:pPr>
            <w:r w:rsidRPr="002D15F8">
              <w:rPr>
                <w:rFonts w:ascii="Arial" w:hAnsi="Arial" w:cs="Arial"/>
                <w:spacing w:val="6"/>
                <w:sz w:val="18"/>
                <w:szCs w:val="18"/>
                <w:lang w:val="es-ES_tradnl"/>
              </w:rPr>
              <w:t>Resto años</w:t>
            </w:r>
          </w:p>
        </w:tc>
        <w:tc>
          <w:tcPr>
            <w:tcW w:w="662" w:type="pct"/>
            <w:tcBorders>
              <w:top w:val="single" w:sz="4" w:space="0" w:color="auto"/>
              <w:left w:val="nil"/>
              <w:bottom w:val="single" w:sz="2" w:space="0" w:color="auto"/>
              <w:right w:val="nil"/>
            </w:tcBorders>
            <w:shd w:val="clear" w:color="auto" w:fill="95B3D7" w:themeFill="accent1" w:themeFillTint="99"/>
            <w:vAlign w:val="center"/>
            <w:hideMark/>
          </w:tcPr>
          <w:p w14:paraId="5868E64B" w14:textId="77777777" w:rsidR="002D15F8" w:rsidRPr="002D15F8" w:rsidRDefault="002D15F8" w:rsidP="002D15F8">
            <w:pPr>
              <w:tabs>
                <w:tab w:val="center" w:pos="2835"/>
                <w:tab w:val="center" w:pos="3969"/>
                <w:tab w:val="num" w:pos="4920"/>
                <w:tab w:val="center" w:pos="5103"/>
                <w:tab w:val="center" w:pos="6237"/>
                <w:tab w:val="center" w:pos="7371"/>
              </w:tabs>
              <w:spacing w:after="0"/>
              <w:ind w:left="-107" w:firstLine="0"/>
              <w:jc w:val="right"/>
              <w:rPr>
                <w:rFonts w:ascii="Arial" w:hAnsi="Arial" w:cs="Arial"/>
                <w:spacing w:val="6"/>
                <w:sz w:val="18"/>
                <w:szCs w:val="18"/>
                <w:lang w:val="es-ES_tradnl"/>
              </w:rPr>
            </w:pPr>
            <w:r w:rsidRPr="002D15F8">
              <w:rPr>
                <w:rFonts w:ascii="Arial" w:hAnsi="Arial" w:cs="Arial"/>
                <w:spacing w:val="6"/>
                <w:sz w:val="18"/>
                <w:szCs w:val="18"/>
                <w:lang w:val="es-ES_tradnl"/>
              </w:rPr>
              <w:t>Total</w:t>
            </w:r>
          </w:p>
        </w:tc>
      </w:tr>
      <w:tr w:rsidR="002D15F8" w:rsidRPr="002D15F8" w14:paraId="51B194DD" w14:textId="77777777" w:rsidTr="00C74FAF">
        <w:trPr>
          <w:trHeight w:val="198"/>
        </w:trPr>
        <w:tc>
          <w:tcPr>
            <w:tcW w:w="1744" w:type="pct"/>
            <w:tcBorders>
              <w:top w:val="single" w:sz="2" w:space="0" w:color="auto"/>
              <w:left w:val="nil"/>
              <w:bottom w:val="single" w:sz="2" w:space="0" w:color="auto"/>
              <w:right w:val="nil"/>
            </w:tcBorders>
            <w:vAlign w:val="center"/>
            <w:hideMark/>
          </w:tcPr>
          <w:p w14:paraId="7DFD3C4C" w14:textId="77777777" w:rsidR="002D15F8" w:rsidRPr="002D15F8" w:rsidRDefault="002D15F8" w:rsidP="002D15F8">
            <w:pPr>
              <w:tabs>
                <w:tab w:val="center" w:pos="2835"/>
                <w:tab w:val="center" w:pos="3969"/>
                <w:tab w:val="num" w:pos="4920"/>
                <w:tab w:val="center" w:pos="5103"/>
                <w:tab w:val="center" w:pos="6237"/>
                <w:tab w:val="center" w:pos="7371"/>
              </w:tabs>
              <w:spacing w:after="0"/>
              <w:ind w:left="-42" w:firstLine="0"/>
              <w:jc w:val="left"/>
              <w:rPr>
                <w:rFonts w:ascii="Arial Narrow" w:hAnsi="Arial Narrow"/>
                <w:spacing w:val="6"/>
                <w:sz w:val="20"/>
                <w:szCs w:val="20"/>
                <w:lang w:val="es-ES_tradnl"/>
              </w:rPr>
            </w:pPr>
            <w:r w:rsidRPr="002D15F8">
              <w:rPr>
                <w:rFonts w:ascii="Arial Narrow" w:hAnsi="Arial Narrow"/>
                <w:spacing w:val="6"/>
                <w:sz w:val="20"/>
                <w:szCs w:val="20"/>
                <w:lang w:val="es-ES_tradnl"/>
              </w:rPr>
              <w:t>Canal de Navarra 1ª fase</w:t>
            </w:r>
          </w:p>
        </w:tc>
        <w:tc>
          <w:tcPr>
            <w:tcW w:w="793" w:type="pct"/>
            <w:tcBorders>
              <w:top w:val="single" w:sz="2" w:space="0" w:color="auto"/>
              <w:left w:val="nil"/>
              <w:bottom w:val="single" w:sz="2" w:space="0" w:color="auto"/>
              <w:right w:val="nil"/>
            </w:tcBorders>
            <w:vAlign w:val="center"/>
          </w:tcPr>
          <w:p w14:paraId="76FF259E" w14:textId="77777777" w:rsidR="002D15F8" w:rsidRPr="002D15F8" w:rsidRDefault="002D15F8" w:rsidP="00524FB9">
            <w:pPr>
              <w:spacing w:after="0"/>
              <w:ind w:firstLine="0"/>
              <w:jc w:val="right"/>
              <w:rPr>
                <w:rFonts w:ascii="Arial Narrow" w:hAnsi="Arial Narrow" w:cs="Arial"/>
                <w:sz w:val="20"/>
                <w:szCs w:val="19"/>
              </w:rPr>
            </w:pPr>
            <w:r>
              <w:rPr>
                <w:rFonts w:ascii="Arial Narrow" w:hAnsi="Arial Narrow" w:cs="Arial"/>
                <w:sz w:val="20"/>
                <w:szCs w:val="19"/>
              </w:rPr>
              <w:t>19.207</w:t>
            </w:r>
          </w:p>
        </w:tc>
        <w:tc>
          <w:tcPr>
            <w:tcW w:w="562" w:type="pct"/>
            <w:tcBorders>
              <w:top w:val="single" w:sz="2" w:space="0" w:color="auto"/>
              <w:left w:val="nil"/>
              <w:bottom w:val="single" w:sz="2" w:space="0" w:color="auto"/>
              <w:right w:val="nil"/>
            </w:tcBorders>
            <w:vAlign w:val="center"/>
          </w:tcPr>
          <w:p w14:paraId="355321E6" w14:textId="77777777" w:rsidR="002D15F8" w:rsidRPr="002D15F8" w:rsidRDefault="002D15F8" w:rsidP="00524FB9">
            <w:pPr>
              <w:spacing w:after="0"/>
              <w:ind w:firstLine="0"/>
              <w:jc w:val="right"/>
              <w:rPr>
                <w:rFonts w:ascii="Arial Narrow" w:hAnsi="Arial Narrow" w:cs="Arial"/>
                <w:sz w:val="20"/>
                <w:szCs w:val="19"/>
              </w:rPr>
            </w:pPr>
            <w:r>
              <w:rPr>
                <w:rFonts w:ascii="Arial Narrow" w:hAnsi="Arial Narrow" w:cs="Arial"/>
                <w:sz w:val="20"/>
                <w:szCs w:val="19"/>
              </w:rPr>
              <w:t>19.736</w:t>
            </w:r>
          </w:p>
        </w:tc>
        <w:tc>
          <w:tcPr>
            <w:tcW w:w="562" w:type="pct"/>
            <w:tcBorders>
              <w:top w:val="single" w:sz="2" w:space="0" w:color="auto"/>
              <w:left w:val="nil"/>
              <w:bottom w:val="single" w:sz="2" w:space="0" w:color="auto"/>
              <w:right w:val="nil"/>
            </w:tcBorders>
            <w:vAlign w:val="center"/>
          </w:tcPr>
          <w:p w14:paraId="51484600" w14:textId="77777777" w:rsidR="002D15F8" w:rsidRPr="002D15F8" w:rsidRDefault="002D15F8" w:rsidP="00524FB9">
            <w:pPr>
              <w:spacing w:after="0"/>
              <w:ind w:firstLine="0"/>
              <w:jc w:val="right"/>
              <w:rPr>
                <w:rFonts w:ascii="Arial Narrow" w:hAnsi="Arial Narrow" w:cs="Arial"/>
                <w:sz w:val="20"/>
                <w:szCs w:val="19"/>
              </w:rPr>
            </w:pPr>
            <w:r>
              <w:rPr>
                <w:rFonts w:ascii="Arial Narrow" w:hAnsi="Arial Narrow" w:cs="Arial"/>
                <w:sz w:val="20"/>
                <w:szCs w:val="19"/>
              </w:rPr>
              <w:t>20.280</w:t>
            </w:r>
          </w:p>
        </w:tc>
        <w:tc>
          <w:tcPr>
            <w:tcW w:w="677" w:type="pct"/>
            <w:tcBorders>
              <w:top w:val="single" w:sz="2" w:space="0" w:color="auto"/>
              <w:left w:val="nil"/>
              <w:bottom w:val="single" w:sz="2" w:space="0" w:color="auto"/>
              <w:right w:val="nil"/>
            </w:tcBorders>
            <w:vAlign w:val="center"/>
          </w:tcPr>
          <w:p w14:paraId="5CB258D9" w14:textId="77777777" w:rsidR="002D15F8" w:rsidRPr="002D15F8" w:rsidRDefault="002D15F8" w:rsidP="00524FB9">
            <w:pPr>
              <w:spacing w:after="0"/>
              <w:ind w:firstLine="0"/>
              <w:jc w:val="right"/>
              <w:rPr>
                <w:rFonts w:ascii="Arial Narrow" w:hAnsi="Arial Narrow" w:cs="Arial"/>
                <w:sz w:val="20"/>
                <w:szCs w:val="19"/>
              </w:rPr>
            </w:pPr>
            <w:r>
              <w:rPr>
                <w:rFonts w:ascii="Arial Narrow" w:hAnsi="Arial Narrow" w:cs="Arial"/>
                <w:sz w:val="20"/>
                <w:szCs w:val="19"/>
              </w:rPr>
              <w:t>218.099</w:t>
            </w:r>
          </w:p>
        </w:tc>
        <w:tc>
          <w:tcPr>
            <w:tcW w:w="662" w:type="pct"/>
            <w:tcBorders>
              <w:top w:val="single" w:sz="2" w:space="0" w:color="auto"/>
              <w:left w:val="nil"/>
              <w:bottom w:val="single" w:sz="2" w:space="0" w:color="auto"/>
              <w:right w:val="nil"/>
            </w:tcBorders>
            <w:vAlign w:val="center"/>
          </w:tcPr>
          <w:p w14:paraId="4107576C" w14:textId="77777777" w:rsidR="002D15F8" w:rsidRPr="002D15F8" w:rsidRDefault="002D15F8" w:rsidP="00524FB9">
            <w:pPr>
              <w:spacing w:after="0"/>
              <w:ind w:firstLine="0"/>
              <w:jc w:val="right"/>
              <w:rPr>
                <w:rFonts w:ascii="Arial Narrow" w:hAnsi="Arial Narrow" w:cs="Arial"/>
                <w:sz w:val="20"/>
                <w:szCs w:val="19"/>
              </w:rPr>
            </w:pPr>
            <w:r>
              <w:rPr>
                <w:rFonts w:ascii="Arial Narrow" w:hAnsi="Arial Narrow" w:cs="Arial"/>
                <w:sz w:val="20"/>
                <w:szCs w:val="19"/>
              </w:rPr>
              <w:t>277.322</w:t>
            </w:r>
          </w:p>
        </w:tc>
      </w:tr>
      <w:tr w:rsidR="002D15F8" w:rsidRPr="002D15F8" w14:paraId="7182B0C6" w14:textId="77777777" w:rsidTr="00C74FAF">
        <w:trPr>
          <w:trHeight w:val="198"/>
        </w:trPr>
        <w:tc>
          <w:tcPr>
            <w:tcW w:w="1744" w:type="pct"/>
            <w:tcBorders>
              <w:top w:val="single" w:sz="2" w:space="0" w:color="auto"/>
              <w:left w:val="nil"/>
              <w:bottom w:val="single" w:sz="2" w:space="0" w:color="auto"/>
              <w:right w:val="nil"/>
            </w:tcBorders>
            <w:vAlign w:val="center"/>
            <w:hideMark/>
          </w:tcPr>
          <w:p w14:paraId="24A8B8D4" w14:textId="77777777" w:rsidR="002D15F8" w:rsidRPr="002D15F8" w:rsidRDefault="002D15F8" w:rsidP="002D15F8">
            <w:pPr>
              <w:tabs>
                <w:tab w:val="center" w:pos="2835"/>
                <w:tab w:val="center" w:pos="3969"/>
                <w:tab w:val="num" w:pos="4920"/>
                <w:tab w:val="center" w:pos="5103"/>
                <w:tab w:val="center" w:pos="6237"/>
                <w:tab w:val="center" w:pos="7371"/>
              </w:tabs>
              <w:spacing w:after="0"/>
              <w:ind w:left="-42" w:firstLine="0"/>
              <w:jc w:val="left"/>
              <w:rPr>
                <w:rFonts w:ascii="Arial Narrow" w:hAnsi="Arial Narrow"/>
                <w:spacing w:val="6"/>
                <w:sz w:val="20"/>
                <w:szCs w:val="20"/>
                <w:lang w:val="es-ES_tradnl"/>
              </w:rPr>
            </w:pPr>
            <w:r w:rsidRPr="002D15F8">
              <w:rPr>
                <w:rFonts w:ascii="Arial Narrow" w:hAnsi="Arial Narrow"/>
                <w:spacing w:val="6"/>
                <w:sz w:val="20"/>
                <w:szCs w:val="20"/>
                <w:lang w:val="es-ES_tradnl"/>
              </w:rPr>
              <w:t>Canal de Navarra ampliación 1ª fase</w:t>
            </w:r>
          </w:p>
        </w:tc>
        <w:tc>
          <w:tcPr>
            <w:tcW w:w="793" w:type="pct"/>
            <w:tcBorders>
              <w:top w:val="single" w:sz="2" w:space="0" w:color="auto"/>
              <w:left w:val="nil"/>
              <w:bottom w:val="single" w:sz="2" w:space="0" w:color="auto"/>
              <w:right w:val="nil"/>
            </w:tcBorders>
            <w:vAlign w:val="center"/>
          </w:tcPr>
          <w:p w14:paraId="77C76EFC" w14:textId="77777777" w:rsidR="002D15F8" w:rsidRPr="002D15F8" w:rsidRDefault="002D15F8" w:rsidP="00524FB9">
            <w:pPr>
              <w:spacing w:after="0"/>
              <w:ind w:firstLine="0"/>
              <w:jc w:val="right"/>
              <w:rPr>
                <w:rFonts w:ascii="Arial Narrow" w:hAnsi="Arial Narrow" w:cs="Arial"/>
                <w:sz w:val="20"/>
                <w:szCs w:val="19"/>
              </w:rPr>
            </w:pPr>
            <w:r>
              <w:rPr>
                <w:rFonts w:ascii="Arial Narrow" w:hAnsi="Arial Narrow" w:cs="Arial"/>
                <w:sz w:val="20"/>
                <w:szCs w:val="19"/>
              </w:rPr>
              <w:t>14.157</w:t>
            </w:r>
          </w:p>
        </w:tc>
        <w:tc>
          <w:tcPr>
            <w:tcW w:w="562" w:type="pct"/>
            <w:tcBorders>
              <w:top w:val="single" w:sz="2" w:space="0" w:color="auto"/>
              <w:left w:val="nil"/>
              <w:bottom w:val="single" w:sz="2" w:space="0" w:color="auto"/>
              <w:right w:val="nil"/>
            </w:tcBorders>
            <w:vAlign w:val="center"/>
          </w:tcPr>
          <w:p w14:paraId="38F9AECF" w14:textId="77777777" w:rsidR="002D15F8" w:rsidRPr="002D15F8" w:rsidRDefault="002D15F8" w:rsidP="00524FB9">
            <w:pPr>
              <w:spacing w:after="0"/>
              <w:ind w:firstLine="0"/>
              <w:jc w:val="right"/>
              <w:rPr>
                <w:rFonts w:ascii="Arial Narrow" w:hAnsi="Arial Narrow" w:cs="Arial"/>
                <w:sz w:val="20"/>
                <w:szCs w:val="19"/>
              </w:rPr>
            </w:pPr>
            <w:r>
              <w:rPr>
                <w:rFonts w:ascii="Arial Narrow" w:hAnsi="Arial Narrow" w:cs="Arial"/>
                <w:sz w:val="20"/>
                <w:szCs w:val="19"/>
              </w:rPr>
              <w:t>17.309</w:t>
            </w:r>
          </w:p>
        </w:tc>
        <w:tc>
          <w:tcPr>
            <w:tcW w:w="562" w:type="pct"/>
            <w:tcBorders>
              <w:top w:val="single" w:sz="2" w:space="0" w:color="auto"/>
              <w:left w:val="nil"/>
              <w:bottom w:val="single" w:sz="2" w:space="0" w:color="auto"/>
              <w:right w:val="nil"/>
            </w:tcBorders>
            <w:vAlign w:val="center"/>
          </w:tcPr>
          <w:p w14:paraId="5DB41F60" w14:textId="77777777" w:rsidR="002D15F8" w:rsidRPr="002D15F8" w:rsidRDefault="002D15F8" w:rsidP="00524FB9">
            <w:pPr>
              <w:spacing w:after="0"/>
              <w:ind w:firstLine="0"/>
              <w:jc w:val="right"/>
              <w:rPr>
                <w:rFonts w:ascii="Arial Narrow" w:hAnsi="Arial Narrow" w:cs="Arial"/>
                <w:sz w:val="20"/>
                <w:szCs w:val="19"/>
              </w:rPr>
            </w:pPr>
            <w:r>
              <w:rPr>
                <w:rFonts w:ascii="Arial Narrow" w:hAnsi="Arial Narrow" w:cs="Arial"/>
                <w:sz w:val="20"/>
                <w:szCs w:val="19"/>
              </w:rPr>
              <w:t>17.742</w:t>
            </w:r>
          </w:p>
        </w:tc>
        <w:tc>
          <w:tcPr>
            <w:tcW w:w="677" w:type="pct"/>
            <w:tcBorders>
              <w:top w:val="single" w:sz="2" w:space="0" w:color="auto"/>
              <w:left w:val="nil"/>
              <w:bottom w:val="single" w:sz="2" w:space="0" w:color="auto"/>
              <w:right w:val="nil"/>
            </w:tcBorders>
            <w:vAlign w:val="center"/>
          </w:tcPr>
          <w:p w14:paraId="6224A075" w14:textId="77777777" w:rsidR="002D15F8" w:rsidRPr="002D15F8" w:rsidRDefault="002D15F8" w:rsidP="00524FB9">
            <w:pPr>
              <w:spacing w:after="0"/>
              <w:ind w:firstLine="0"/>
              <w:jc w:val="right"/>
              <w:rPr>
                <w:rFonts w:ascii="Arial Narrow" w:hAnsi="Arial Narrow" w:cs="Arial"/>
                <w:sz w:val="20"/>
                <w:szCs w:val="19"/>
              </w:rPr>
            </w:pPr>
            <w:r>
              <w:rPr>
                <w:rFonts w:ascii="Arial Narrow" w:hAnsi="Arial Narrow" w:cs="Arial"/>
                <w:sz w:val="20"/>
                <w:szCs w:val="19"/>
              </w:rPr>
              <w:t>393.268</w:t>
            </w:r>
          </w:p>
        </w:tc>
        <w:tc>
          <w:tcPr>
            <w:tcW w:w="662" w:type="pct"/>
            <w:tcBorders>
              <w:top w:val="single" w:sz="2" w:space="0" w:color="auto"/>
              <w:left w:val="nil"/>
              <w:bottom w:val="single" w:sz="2" w:space="0" w:color="auto"/>
              <w:right w:val="nil"/>
            </w:tcBorders>
            <w:vAlign w:val="center"/>
          </w:tcPr>
          <w:p w14:paraId="322C88A3" w14:textId="77777777" w:rsidR="002D15F8" w:rsidRPr="002D15F8" w:rsidRDefault="002D15F8" w:rsidP="00524FB9">
            <w:pPr>
              <w:spacing w:after="0"/>
              <w:ind w:firstLine="0"/>
              <w:jc w:val="right"/>
              <w:rPr>
                <w:rFonts w:ascii="Arial Narrow" w:hAnsi="Arial Narrow" w:cs="Arial"/>
                <w:sz w:val="20"/>
                <w:szCs w:val="19"/>
              </w:rPr>
            </w:pPr>
            <w:r>
              <w:rPr>
                <w:rFonts w:ascii="Arial Narrow" w:hAnsi="Arial Narrow" w:cs="Arial"/>
                <w:sz w:val="20"/>
                <w:szCs w:val="19"/>
              </w:rPr>
              <w:t>442.476</w:t>
            </w:r>
          </w:p>
        </w:tc>
      </w:tr>
      <w:tr w:rsidR="002D15F8" w:rsidRPr="002D15F8" w14:paraId="497CA7C4" w14:textId="77777777" w:rsidTr="00C74FAF">
        <w:trPr>
          <w:trHeight w:val="198"/>
        </w:trPr>
        <w:tc>
          <w:tcPr>
            <w:tcW w:w="1744" w:type="pct"/>
            <w:tcBorders>
              <w:top w:val="single" w:sz="2" w:space="0" w:color="auto"/>
              <w:left w:val="nil"/>
              <w:bottom w:val="single" w:sz="2" w:space="0" w:color="auto"/>
              <w:right w:val="nil"/>
            </w:tcBorders>
            <w:vAlign w:val="center"/>
            <w:hideMark/>
          </w:tcPr>
          <w:p w14:paraId="3DC49AC9" w14:textId="77777777" w:rsidR="002D15F8" w:rsidRPr="002D15F8" w:rsidRDefault="002D15F8" w:rsidP="002D15F8">
            <w:pPr>
              <w:tabs>
                <w:tab w:val="center" w:pos="2835"/>
                <w:tab w:val="center" w:pos="3969"/>
                <w:tab w:val="num" w:pos="4920"/>
                <w:tab w:val="center" w:pos="5103"/>
                <w:tab w:val="center" w:pos="6237"/>
                <w:tab w:val="center" w:pos="7371"/>
              </w:tabs>
              <w:spacing w:after="0"/>
              <w:ind w:left="-42" w:firstLine="0"/>
              <w:jc w:val="left"/>
              <w:rPr>
                <w:rFonts w:ascii="Arial Narrow" w:hAnsi="Arial Narrow"/>
                <w:spacing w:val="6"/>
                <w:sz w:val="20"/>
                <w:szCs w:val="20"/>
                <w:lang w:val="es-ES_tradnl"/>
              </w:rPr>
            </w:pPr>
            <w:r w:rsidRPr="002D15F8">
              <w:rPr>
                <w:rFonts w:ascii="Arial Narrow" w:hAnsi="Arial Narrow"/>
                <w:spacing w:val="6"/>
                <w:sz w:val="20"/>
                <w:szCs w:val="20"/>
                <w:lang w:val="es-ES_tradnl"/>
              </w:rPr>
              <w:t>Autovía del Camino</w:t>
            </w:r>
          </w:p>
        </w:tc>
        <w:tc>
          <w:tcPr>
            <w:tcW w:w="793" w:type="pct"/>
            <w:tcBorders>
              <w:top w:val="single" w:sz="2" w:space="0" w:color="auto"/>
              <w:left w:val="nil"/>
              <w:bottom w:val="single" w:sz="2" w:space="0" w:color="auto"/>
              <w:right w:val="nil"/>
            </w:tcBorders>
            <w:vAlign w:val="center"/>
          </w:tcPr>
          <w:p w14:paraId="3A72D86D" w14:textId="77777777" w:rsidR="002D15F8" w:rsidRPr="002D15F8" w:rsidRDefault="002D15F8" w:rsidP="00524FB9">
            <w:pPr>
              <w:spacing w:after="0"/>
              <w:ind w:firstLine="0"/>
              <w:jc w:val="right"/>
              <w:rPr>
                <w:rFonts w:ascii="Arial Narrow" w:hAnsi="Arial Narrow" w:cs="Arial"/>
                <w:sz w:val="20"/>
                <w:szCs w:val="19"/>
              </w:rPr>
            </w:pPr>
            <w:r>
              <w:rPr>
                <w:rFonts w:ascii="Arial Narrow" w:hAnsi="Arial Narrow" w:cs="Arial"/>
                <w:sz w:val="20"/>
                <w:szCs w:val="19"/>
              </w:rPr>
              <w:t>57.730</w:t>
            </w:r>
          </w:p>
        </w:tc>
        <w:tc>
          <w:tcPr>
            <w:tcW w:w="562" w:type="pct"/>
            <w:tcBorders>
              <w:top w:val="single" w:sz="2" w:space="0" w:color="auto"/>
              <w:left w:val="nil"/>
              <w:bottom w:val="single" w:sz="2" w:space="0" w:color="auto"/>
              <w:right w:val="nil"/>
            </w:tcBorders>
            <w:vAlign w:val="center"/>
          </w:tcPr>
          <w:p w14:paraId="62E5AB68" w14:textId="77777777" w:rsidR="002D15F8" w:rsidRPr="002D15F8" w:rsidRDefault="002D15F8" w:rsidP="00524FB9">
            <w:pPr>
              <w:spacing w:after="0"/>
              <w:ind w:firstLine="0"/>
              <w:jc w:val="right"/>
              <w:rPr>
                <w:rFonts w:ascii="Arial Narrow" w:hAnsi="Arial Narrow" w:cs="Arial"/>
                <w:sz w:val="20"/>
                <w:szCs w:val="19"/>
              </w:rPr>
            </w:pPr>
            <w:r>
              <w:rPr>
                <w:rFonts w:ascii="Arial Narrow" w:hAnsi="Arial Narrow" w:cs="Arial"/>
                <w:sz w:val="20"/>
                <w:szCs w:val="19"/>
              </w:rPr>
              <w:t>65.679</w:t>
            </w:r>
          </w:p>
        </w:tc>
        <w:tc>
          <w:tcPr>
            <w:tcW w:w="562" w:type="pct"/>
            <w:tcBorders>
              <w:top w:val="single" w:sz="2" w:space="0" w:color="auto"/>
              <w:left w:val="nil"/>
              <w:bottom w:val="single" w:sz="2" w:space="0" w:color="auto"/>
              <w:right w:val="nil"/>
            </w:tcBorders>
            <w:vAlign w:val="center"/>
          </w:tcPr>
          <w:p w14:paraId="1FED9E82" w14:textId="77777777" w:rsidR="002D15F8" w:rsidRPr="002D15F8" w:rsidRDefault="002D15F8" w:rsidP="00524FB9">
            <w:pPr>
              <w:spacing w:after="0"/>
              <w:ind w:firstLine="0"/>
              <w:jc w:val="right"/>
              <w:rPr>
                <w:rFonts w:ascii="Arial Narrow" w:hAnsi="Arial Narrow" w:cs="Arial"/>
                <w:sz w:val="20"/>
                <w:szCs w:val="19"/>
              </w:rPr>
            </w:pPr>
            <w:r>
              <w:rPr>
                <w:rFonts w:ascii="Arial Narrow" w:hAnsi="Arial Narrow" w:cs="Arial"/>
                <w:sz w:val="20"/>
                <w:szCs w:val="19"/>
              </w:rPr>
              <w:t>67.792</w:t>
            </w:r>
          </w:p>
        </w:tc>
        <w:tc>
          <w:tcPr>
            <w:tcW w:w="677" w:type="pct"/>
            <w:tcBorders>
              <w:top w:val="single" w:sz="2" w:space="0" w:color="auto"/>
              <w:left w:val="nil"/>
              <w:bottom w:val="single" w:sz="2" w:space="0" w:color="auto"/>
              <w:right w:val="nil"/>
            </w:tcBorders>
            <w:vAlign w:val="center"/>
          </w:tcPr>
          <w:p w14:paraId="79E6A003" w14:textId="77777777" w:rsidR="002D15F8" w:rsidRPr="002D15F8" w:rsidRDefault="002D15F8" w:rsidP="00524FB9">
            <w:pPr>
              <w:spacing w:after="0"/>
              <w:ind w:firstLine="0"/>
              <w:jc w:val="right"/>
              <w:rPr>
                <w:rFonts w:ascii="Arial Narrow" w:hAnsi="Arial Narrow" w:cs="Arial"/>
                <w:sz w:val="20"/>
                <w:szCs w:val="19"/>
              </w:rPr>
            </w:pPr>
            <w:r>
              <w:rPr>
                <w:rFonts w:ascii="Arial Narrow" w:hAnsi="Arial Narrow" w:cs="Arial"/>
                <w:sz w:val="20"/>
                <w:szCs w:val="19"/>
              </w:rPr>
              <w:t>69.977</w:t>
            </w:r>
          </w:p>
        </w:tc>
        <w:tc>
          <w:tcPr>
            <w:tcW w:w="662" w:type="pct"/>
            <w:tcBorders>
              <w:top w:val="single" w:sz="2" w:space="0" w:color="auto"/>
              <w:left w:val="nil"/>
              <w:bottom w:val="single" w:sz="2" w:space="0" w:color="auto"/>
              <w:right w:val="nil"/>
            </w:tcBorders>
            <w:vAlign w:val="center"/>
          </w:tcPr>
          <w:p w14:paraId="1F959B89" w14:textId="77777777" w:rsidR="002D15F8" w:rsidRPr="002D15F8" w:rsidRDefault="002D15F8" w:rsidP="00524FB9">
            <w:pPr>
              <w:spacing w:after="0"/>
              <w:ind w:firstLine="0"/>
              <w:jc w:val="right"/>
              <w:rPr>
                <w:rFonts w:ascii="Arial Narrow" w:hAnsi="Arial Narrow" w:cs="Arial"/>
                <w:sz w:val="20"/>
                <w:szCs w:val="19"/>
              </w:rPr>
            </w:pPr>
            <w:r>
              <w:rPr>
                <w:rFonts w:ascii="Arial Narrow" w:hAnsi="Arial Narrow" w:cs="Arial"/>
                <w:sz w:val="20"/>
                <w:szCs w:val="19"/>
              </w:rPr>
              <w:t>261.178</w:t>
            </w:r>
          </w:p>
        </w:tc>
      </w:tr>
      <w:tr w:rsidR="002D15F8" w:rsidRPr="002D15F8" w14:paraId="0C711948" w14:textId="77777777" w:rsidTr="00C74FAF">
        <w:trPr>
          <w:trHeight w:val="198"/>
        </w:trPr>
        <w:tc>
          <w:tcPr>
            <w:tcW w:w="1744" w:type="pct"/>
            <w:tcBorders>
              <w:top w:val="single" w:sz="2" w:space="0" w:color="auto"/>
              <w:left w:val="nil"/>
              <w:bottom w:val="single" w:sz="4" w:space="0" w:color="auto"/>
              <w:right w:val="nil"/>
            </w:tcBorders>
            <w:vAlign w:val="center"/>
            <w:hideMark/>
          </w:tcPr>
          <w:p w14:paraId="4E3CF19B" w14:textId="77777777" w:rsidR="002D15F8" w:rsidRPr="002D15F8" w:rsidRDefault="002D15F8" w:rsidP="002D15F8">
            <w:pPr>
              <w:tabs>
                <w:tab w:val="center" w:pos="2835"/>
                <w:tab w:val="center" w:pos="3969"/>
                <w:tab w:val="num" w:pos="4920"/>
                <w:tab w:val="center" w:pos="5103"/>
                <w:tab w:val="center" w:pos="6237"/>
                <w:tab w:val="center" w:pos="7371"/>
              </w:tabs>
              <w:spacing w:after="0"/>
              <w:ind w:left="-42" w:firstLine="0"/>
              <w:jc w:val="left"/>
              <w:rPr>
                <w:rFonts w:ascii="Arial Narrow" w:hAnsi="Arial Narrow"/>
                <w:spacing w:val="6"/>
                <w:sz w:val="20"/>
                <w:szCs w:val="20"/>
                <w:lang w:val="es-ES_tradnl"/>
              </w:rPr>
            </w:pPr>
            <w:r w:rsidRPr="002D15F8">
              <w:rPr>
                <w:rFonts w:ascii="Arial Narrow" w:hAnsi="Arial Narrow"/>
                <w:spacing w:val="6"/>
                <w:sz w:val="20"/>
                <w:szCs w:val="20"/>
                <w:lang w:val="es-ES_tradnl"/>
              </w:rPr>
              <w:t>Autovía del Pirineo</w:t>
            </w:r>
          </w:p>
        </w:tc>
        <w:tc>
          <w:tcPr>
            <w:tcW w:w="793" w:type="pct"/>
            <w:tcBorders>
              <w:top w:val="single" w:sz="2" w:space="0" w:color="auto"/>
              <w:left w:val="nil"/>
              <w:bottom w:val="single" w:sz="4" w:space="0" w:color="auto"/>
              <w:right w:val="nil"/>
            </w:tcBorders>
            <w:vAlign w:val="center"/>
          </w:tcPr>
          <w:p w14:paraId="130D9443" w14:textId="77777777" w:rsidR="002D15F8" w:rsidRPr="002D15F8" w:rsidRDefault="002D15F8" w:rsidP="00524FB9">
            <w:pPr>
              <w:spacing w:after="0"/>
              <w:ind w:firstLine="0"/>
              <w:jc w:val="right"/>
              <w:rPr>
                <w:rFonts w:ascii="Arial Narrow" w:hAnsi="Arial Narrow" w:cs="Arial"/>
                <w:sz w:val="20"/>
                <w:szCs w:val="19"/>
              </w:rPr>
            </w:pPr>
            <w:r>
              <w:rPr>
                <w:rFonts w:ascii="Arial Narrow" w:hAnsi="Arial Narrow" w:cs="Arial"/>
                <w:sz w:val="20"/>
                <w:szCs w:val="19"/>
              </w:rPr>
              <w:t>21.207</w:t>
            </w:r>
          </w:p>
        </w:tc>
        <w:tc>
          <w:tcPr>
            <w:tcW w:w="562" w:type="pct"/>
            <w:tcBorders>
              <w:top w:val="single" w:sz="2" w:space="0" w:color="auto"/>
              <w:left w:val="nil"/>
              <w:bottom w:val="single" w:sz="4" w:space="0" w:color="auto"/>
              <w:right w:val="nil"/>
            </w:tcBorders>
            <w:vAlign w:val="center"/>
          </w:tcPr>
          <w:p w14:paraId="0AFD96B9" w14:textId="77777777" w:rsidR="002D15F8" w:rsidRPr="002D15F8" w:rsidRDefault="002D15F8" w:rsidP="00524FB9">
            <w:pPr>
              <w:spacing w:after="0"/>
              <w:ind w:firstLine="0"/>
              <w:jc w:val="right"/>
              <w:rPr>
                <w:rFonts w:ascii="Arial Narrow" w:hAnsi="Arial Narrow" w:cs="Arial"/>
                <w:sz w:val="20"/>
                <w:szCs w:val="19"/>
              </w:rPr>
            </w:pPr>
            <w:r>
              <w:rPr>
                <w:rFonts w:ascii="Arial Narrow" w:hAnsi="Arial Narrow" w:cs="Arial"/>
                <w:sz w:val="20"/>
                <w:szCs w:val="19"/>
              </w:rPr>
              <w:t>25.936</w:t>
            </w:r>
          </w:p>
        </w:tc>
        <w:tc>
          <w:tcPr>
            <w:tcW w:w="562" w:type="pct"/>
            <w:tcBorders>
              <w:top w:val="single" w:sz="2" w:space="0" w:color="auto"/>
              <w:left w:val="nil"/>
              <w:bottom w:val="single" w:sz="4" w:space="0" w:color="auto"/>
              <w:right w:val="nil"/>
            </w:tcBorders>
            <w:vAlign w:val="center"/>
          </w:tcPr>
          <w:p w14:paraId="3D8BFC84" w14:textId="77777777" w:rsidR="002D15F8" w:rsidRPr="002D15F8" w:rsidRDefault="002D15F8" w:rsidP="00524FB9">
            <w:pPr>
              <w:spacing w:after="0"/>
              <w:ind w:firstLine="0"/>
              <w:jc w:val="right"/>
              <w:rPr>
                <w:rFonts w:ascii="Arial Narrow" w:hAnsi="Arial Narrow" w:cs="Arial"/>
                <w:sz w:val="20"/>
                <w:szCs w:val="19"/>
              </w:rPr>
            </w:pPr>
            <w:r>
              <w:rPr>
                <w:rFonts w:ascii="Arial Narrow" w:hAnsi="Arial Narrow" w:cs="Arial"/>
                <w:sz w:val="20"/>
                <w:szCs w:val="19"/>
              </w:rPr>
              <w:t>26.802</w:t>
            </w:r>
          </w:p>
        </w:tc>
        <w:tc>
          <w:tcPr>
            <w:tcW w:w="677" w:type="pct"/>
            <w:tcBorders>
              <w:top w:val="single" w:sz="2" w:space="0" w:color="auto"/>
              <w:left w:val="nil"/>
              <w:bottom w:val="single" w:sz="4" w:space="0" w:color="auto"/>
              <w:right w:val="nil"/>
            </w:tcBorders>
            <w:vAlign w:val="center"/>
          </w:tcPr>
          <w:p w14:paraId="3E632E78" w14:textId="77777777" w:rsidR="002D15F8" w:rsidRPr="002D15F8" w:rsidRDefault="002D15F8" w:rsidP="00524FB9">
            <w:pPr>
              <w:spacing w:after="0"/>
              <w:ind w:firstLine="0"/>
              <w:jc w:val="right"/>
              <w:rPr>
                <w:rFonts w:ascii="Arial Narrow" w:hAnsi="Arial Narrow" w:cs="Arial"/>
                <w:sz w:val="20"/>
                <w:szCs w:val="19"/>
              </w:rPr>
            </w:pPr>
            <w:r>
              <w:rPr>
                <w:rFonts w:ascii="Arial Narrow" w:hAnsi="Arial Narrow" w:cs="Arial"/>
                <w:sz w:val="20"/>
                <w:szCs w:val="19"/>
              </w:rPr>
              <w:t>431.251</w:t>
            </w:r>
          </w:p>
        </w:tc>
        <w:tc>
          <w:tcPr>
            <w:tcW w:w="662" w:type="pct"/>
            <w:tcBorders>
              <w:top w:val="single" w:sz="2" w:space="0" w:color="auto"/>
              <w:left w:val="nil"/>
              <w:bottom w:val="single" w:sz="4" w:space="0" w:color="auto"/>
              <w:right w:val="nil"/>
            </w:tcBorders>
            <w:vAlign w:val="center"/>
          </w:tcPr>
          <w:p w14:paraId="7DFA7540" w14:textId="77777777" w:rsidR="002D15F8" w:rsidRPr="002D15F8" w:rsidRDefault="002D15F8" w:rsidP="00524FB9">
            <w:pPr>
              <w:spacing w:after="0"/>
              <w:ind w:firstLine="0"/>
              <w:jc w:val="right"/>
              <w:rPr>
                <w:rFonts w:ascii="Arial Narrow" w:hAnsi="Arial Narrow" w:cs="Arial"/>
                <w:sz w:val="20"/>
                <w:szCs w:val="19"/>
              </w:rPr>
            </w:pPr>
            <w:r>
              <w:rPr>
                <w:rFonts w:ascii="Arial Narrow" w:hAnsi="Arial Narrow" w:cs="Arial"/>
                <w:sz w:val="20"/>
                <w:szCs w:val="19"/>
              </w:rPr>
              <w:t>505.096</w:t>
            </w:r>
          </w:p>
        </w:tc>
      </w:tr>
      <w:tr w:rsidR="002D15F8" w:rsidRPr="002D15F8" w14:paraId="4398E962" w14:textId="77777777" w:rsidTr="00C74FAF">
        <w:trPr>
          <w:trHeight w:hRule="exact" w:val="255"/>
        </w:trPr>
        <w:tc>
          <w:tcPr>
            <w:tcW w:w="1744" w:type="pct"/>
            <w:tcBorders>
              <w:top w:val="single" w:sz="4" w:space="0" w:color="auto"/>
              <w:left w:val="nil"/>
              <w:bottom w:val="single" w:sz="4" w:space="0" w:color="auto"/>
              <w:right w:val="nil"/>
            </w:tcBorders>
            <w:shd w:val="clear" w:color="auto" w:fill="95B3D7" w:themeFill="accent1" w:themeFillTint="99"/>
            <w:vAlign w:val="center"/>
            <w:hideMark/>
          </w:tcPr>
          <w:p w14:paraId="69E38A8A" w14:textId="77777777" w:rsidR="002D15F8" w:rsidRPr="002D15F8" w:rsidRDefault="002D15F8" w:rsidP="002D15F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lang w:val="es-ES_tradnl"/>
              </w:rPr>
            </w:pPr>
            <w:r w:rsidRPr="002D15F8">
              <w:rPr>
                <w:rFonts w:ascii="Arial" w:hAnsi="Arial" w:cs="Arial"/>
                <w:spacing w:val="6"/>
                <w:sz w:val="18"/>
                <w:szCs w:val="18"/>
                <w:lang w:val="es-ES_tradnl"/>
              </w:rPr>
              <w:t>Total</w:t>
            </w:r>
          </w:p>
        </w:tc>
        <w:tc>
          <w:tcPr>
            <w:tcW w:w="793" w:type="pct"/>
            <w:tcBorders>
              <w:top w:val="single" w:sz="4" w:space="0" w:color="auto"/>
              <w:left w:val="nil"/>
              <w:bottom w:val="single" w:sz="4" w:space="0" w:color="auto"/>
              <w:right w:val="nil"/>
            </w:tcBorders>
            <w:shd w:val="clear" w:color="auto" w:fill="95B3D7" w:themeFill="accent1" w:themeFillTint="99"/>
            <w:vAlign w:val="center"/>
          </w:tcPr>
          <w:p w14:paraId="5946B07D" w14:textId="77777777" w:rsidR="002D15F8" w:rsidRPr="002D15F8" w:rsidRDefault="002D15F8" w:rsidP="00524FB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lang w:val="es-ES_tradnl"/>
              </w:rPr>
            </w:pPr>
            <w:r>
              <w:rPr>
                <w:rFonts w:ascii="Arial" w:hAnsi="Arial" w:cs="Arial"/>
                <w:spacing w:val="6"/>
                <w:sz w:val="18"/>
                <w:szCs w:val="18"/>
                <w:lang w:val="es-ES_tradnl"/>
              </w:rPr>
              <w:t>112.301</w:t>
            </w:r>
          </w:p>
        </w:tc>
        <w:tc>
          <w:tcPr>
            <w:tcW w:w="562" w:type="pct"/>
            <w:tcBorders>
              <w:top w:val="single" w:sz="4" w:space="0" w:color="auto"/>
              <w:left w:val="nil"/>
              <w:bottom w:val="single" w:sz="4" w:space="0" w:color="auto"/>
              <w:right w:val="nil"/>
            </w:tcBorders>
            <w:shd w:val="clear" w:color="auto" w:fill="95B3D7" w:themeFill="accent1" w:themeFillTint="99"/>
            <w:vAlign w:val="center"/>
          </w:tcPr>
          <w:p w14:paraId="07ED9BE2" w14:textId="77777777" w:rsidR="002D15F8" w:rsidRPr="002D15F8" w:rsidRDefault="002D15F8" w:rsidP="00524FB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lang w:val="es-ES_tradnl"/>
              </w:rPr>
            </w:pPr>
            <w:r>
              <w:rPr>
                <w:rFonts w:ascii="Arial" w:hAnsi="Arial" w:cs="Arial"/>
                <w:spacing w:val="6"/>
                <w:sz w:val="18"/>
                <w:szCs w:val="18"/>
                <w:lang w:val="es-ES_tradnl"/>
              </w:rPr>
              <w:t>128.560</w:t>
            </w:r>
          </w:p>
        </w:tc>
        <w:tc>
          <w:tcPr>
            <w:tcW w:w="562" w:type="pct"/>
            <w:tcBorders>
              <w:top w:val="single" w:sz="4" w:space="0" w:color="auto"/>
              <w:left w:val="nil"/>
              <w:bottom w:val="single" w:sz="4" w:space="0" w:color="auto"/>
              <w:right w:val="nil"/>
            </w:tcBorders>
            <w:shd w:val="clear" w:color="auto" w:fill="95B3D7" w:themeFill="accent1" w:themeFillTint="99"/>
            <w:vAlign w:val="center"/>
          </w:tcPr>
          <w:p w14:paraId="4181D2DE" w14:textId="77777777" w:rsidR="002D15F8" w:rsidRPr="002D15F8" w:rsidRDefault="002D15F8" w:rsidP="00524FB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lang w:val="es-ES_tradnl"/>
              </w:rPr>
            </w:pPr>
            <w:r>
              <w:rPr>
                <w:rFonts w:ascii="Arial" w:hAnsi="Arial" w:cs="Arial"/>
                <w:spacing w:val="6"/>
                <w:sz w:val="18"/>
                <w:szCs w:val="18"/>
                <w:lang w:val="es-ES_tradnl"/>
              </w:rPr>
              <w:t>132.616</w:t>
            </w:r>
          </w:p>
        </w:tc>
        <w:tc>
          <w:tcPr>
            <w:tcW w:w="677" w:type="pct"/>
            <w:tcBorders>
              <w:top w:val="single" w:sz="4" w:space="0" w:color="auto"/>
              <w:left w:val="nil"/>
              <w:bottom w:val="single" w:sz="4" w:space="0" w:color="auto"/>
              <w:right w:val="nil"/>
            </w:tcBorders>
            <w:shd w:val="clear" w:color="auto" w:fill="95B3D7" w:themeFill="accent1" w:themeFillTint="99"/>
            <w:vAlign w:val="center"/>
          </w:tcPr>
          <w:p w14:paraId="2C83571B" w14:textId="77777777" w:rsidR="002D15F8" w:rsidRPr="002D15F8" w:rsidRDefault="002D15F8" w:rsidP="00524FB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lang w:val="es-ES_tradnl"/>
              </w:rPr>
            </w:pPr>
            <w:r>
              <w:rPr>
                <w:rFonts w:ascii="Arial" w:hAnsi="Arial" w:cs="Arial"/>
                <w:spacing w:val="6"/>
                <w:sz w:val="18"/>
                <w:szCs w:val="18"/>
                <w:lang w:val="es-ES_tradnl"/>
              </w:rPr>
              <w:t>1.112.595</w:t>
            </w:r>
          </w:p>
        </w:tc>
        <w:tc>
          <w:tcPr>
            <w:tcW w:w="662" w:type="pct"/>
            <w:tcBorders>
              <w:top w:val="single" w:sz="4" w:space="0" w:color="auto"/>
              <w:left w:val="nil"/>
              <w:bottom w:val="single" w:sz="4" w:space="0" w:color="auto"/>
              <w:right w:val="nil"/>
            </w:tcBorders>
            <w:shd w:val="clear" w:color="auto" w:fill="95B3D7" w:themeFill="accent1" w:themeFillTint="99"/>
            <w:vAlign w:val="center"/>
          </w:tcPr>
          <w:p w14:paraId="45B17316" w14:textId="77777777" w:rsidR="002D15F8" w:rsidRPr="002D15F8" w:rsidRDefault="002D15F8" w:rsidP="00524FB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lang w:val="es-ES_tradnl"/>
              </w:rPr>
            </w:pPr>
            <w:r>
              <w:rPr>
                <w:rFonts w:ascii="Arial" w:hAnsi="Arial" w:cs="Arial"/>
                <w:spacing w:val="6"/>
                <w:sz w:val="18"/>
                <w:szCs w:val="18"/>
                <w:lang w:val="es-ES_tradnl"/>
              </w:rPr>
              <w:t>1.486.072</w:t>
            </w:r>
          </w:p>
        </w:tc>
      </w:tr>
      <w:tr w:rsidR="002D15F8" w:rsidRPr="002D15F8" w14:paraId="5B03BA24" w14:textId="77777777" w:rsidTr="00C74FAF">
        <w:trPr>
          <w:trHeight w:val="198"/>
        </w:trPr>
        <w:tc>
          <w:tcPr>
            <w:tcW w:w="5000" w:type="pct"/>
            <w:gridSpan w:val="6"/>
            <w:tcBorders>
              <w:top w:val="single" w:sz="4" w:space="0" w:color="auto"/>
              <w:left w:val="nil"/>
              <w:bottom w:val="nil"/>
              <w:right w:val="nil"/>
            </w:tcBorders>
            <w:vAlign w:val="center"/>
            <w:hideMark/>
          </w:tcPr>
          <w:p w14:paraId="5C3E3F00" w14:textId="77777777" w:rsidR="002D15F8" w:rsidRPr="002D15F8" w:rsidRDefault="00842336" w:rsidP="002D15F8">
            <w:pPr>
              <w:spacing w:before="60" w:after="120"/>
              <w:ind w:firstLine="0"/>
              <w:jc w:val="left"/>
              <w:rPr>
                <w:rFonts w:ascii="Arial" w:hAnsi="Arial" w:cs="Arial"/>
                <w:sz w:val="16"/>
                <w:szCs w:val="16"/>
              </w:rPr>
            </w:pPr>
            <w:r>
              <w:rPr>
                <w:rFonts w:ascii="Arial" w:hAnsi="Arial" w:cs="Arial"/>
                <w:sz w:val="16"/>
                <w:szCs w:val="16"/>
              </w:rPr>
              <w:t>Fuente: M</w:t>
            </w:r>
            <w:r w:rsidR="002D15F8" w:rsidRPr="002D15F8">
              <w:rPr>
                <w:rFonts w:ascii="Arial" w:hAnsi="Arial" w:cs="Arial"/>
                <w:sz w:val="16"/>
                <w:szCs w:val="16"/>
              </w:rPr>
              <w:t>emoria cuentas anuales ACFN.</w:t>
            </w:r>
          </w:p>
        </w:tc>
      </w:tr>
    </w:tbl>
    <w:p w14:paraId="3908DA6F" w14:textId="77777777" w:rsidR="00614DC4" w:rsidRDefault="00AF3506" w:rsidP="00C74FAF">
      <w:pPr>
        <w:pStyle w:val="atitulo2"/>
        <w:spacing w:after="120"/>
        <w:rPr>
          <w:bCs w:val="0"/>
          <w:iCs w:val="0"/>
          <w:color w:val="auto"/>
        </w:rPr>
      </w:pPr>
      <w:bookmarkStart w:id="109" w:name="_Toc146471245"/>
      <w:bookmarkStart w:id="110" w:name="_Toc52267369"/>
      <w:bookmarkStart w:id="111" w:name="_Toc525907440"/>
      <w:bookmarkStart w:id="112" w:name="_Toc494270384"/>
      <w:bookmarkStart w:id="113" w:name="_Toc463350250"/>
      <w:bookmarkStart w:id="114" w:name="_Toc182464281"/>
      <w:r>
        <w:rPr>
          <w:bCs w:val="0"/>
          <w:iCs w:val="0"/>
          <w:color w:val="auto"/>
        </w:rPr>
        <w:t>5.3</w:t>
      </w:r>
      <w:r w:rsidR="00614DC4">
        <w:rPr>
          <w:bCs w:val="0"/>
          <w:iCs w:val="0"/>
          <w:color w:val="auto"/>
        </w:rPr>
        <w:t xml:space="preserve"> Principios de estabilidad presupuestaria y sostenibilidad financiera</w:t>
      </w:r>
      <w:bookmarkEnd w:id="109"/>
      <w:bookmarkEnd w:id="110"/>
      <w:bookmarkEnd w:id="111"/>
      <w:bookmarkEnd w:id="112"/>
      <w:bookmarkEnd w:id="113"/>
      <w:bookmarkEnd w:id="114"/>
    </w:p>
    <w:p w14:paraId="23B0A89F" w14:textId="77777777" w:rsidR="004C2338" w:rsidRPr="004C2338" w:rsidRDefault="00614DC4" w:rsidP="00C74FAF">
      <w:pPr>
        <w:pStyle w:val="texto"/>
        <w:tabs>
          <w:tab w:val="left" w:pos="480"/>
          <w:tab w:val="num" w:pos="600"/>
        </w:tabs>
        <w:spacing w:before="120" w:after="120"/>
        <w:ind w:firstLine="289"/>
        <w:jc w:val="both"/>
      </w:pPr>
      <w:r>
        <w:t>La crisis motivada por la COVID-19 dejó en suspenso el cumplimiento de las reglas fiscales de estabilidad, deuda y regla de</w:t>
      </w:r>
      <w:r w:rsidR="004C2338">
        <w:t xml:space="preserve"> gasto para los años 2020-2021. Posteriormente por Acuerdo del Consejo de Ministros de </w:t>
      </w:r>
      <w:r w:rsidR="004C2338" w:rsidRPr="004C2338">
        <w:t xml:space="preserve">26 de julio de 2022 se aprobó el mantenimiento de la supresión de las reglas fiscales en el año 2023. </w:t>
      </w:r>
    </w:p>
    <w:p w14:paraId="4B419C80" w14:textId="77777777" w:rsidR="00614DC4" w:rsidRDefault="00614DC4" w:rsidP="00E906A4">
      <w:pPr>
        <w:pStyle w:val="texto"/>
        <w:tabs>
          <w:tab w:val="left" w:pos="480"/>
          <w:tab w:val="num" w:pos="600"/>
        </w:tabs>
        <w:spacing w:before="60"/>
        <w:jc w:val="both"/>
      </w:pPr>
      <w:r>
        <w:t>Según se informa en la memoria de las Cuentas Generales de 202</w:t>
      </w:r>
      <w:r w:rsidR="004C2338">
        <w:t>3</w:t>
      </w:r>
      <w:r>
        <w:t>, la Comisión Coordinadora del Convenio Económico entre el Estado y la Comunidad Foral de Navarra ratificó el 2</w:t>
      </w:r>
      <w:r w:rsidR="004C2338">
        <w:t xml:space="preserve"> </w:t>
      </w:r>
      <w:r>
        <w:t>de diciembre de 202</w:t>
      </w:r>
      <w:r w:rsidR="004C2338">
        <w:t>2</w:t>
      </w:r>
      <w:r>
        <w:t xml:space="preserve"> el Acuerdo suscrito entre la Secretaría de Estado de Hacienda del Ministerio de Hacienda y Función Pública y la Consejera de Economía y Hacienda, sobre las tasas de referencia de déficit y deuda pública. Son los siguientes:</w:t>
      </w:r>
    </w:p>
    <w:p w14:paraId="2F1DB1F1" w14:textId="77777777" w:rsidR="00614DC4" w:rsidRPr="00F321BA" w:rsidRDefault="00614DC4" w:rsidP="008C2B8E">
      <w:pPr>
        <w:pStyle w:val="texto"/>
        <w:numPr>
          <w:ilvl w:val="0"/>
          <w:numId w:val="6"/>
        </w:numPr>
        <w:tabs>
          <w:tab w:val="clear" w:pos="360"/>
          <w:tab w:val="num" w:pos="300"/>
          <w:tab w:val="left" w:pos="480"/>
          <w:tab w:val="num" w:pos="600"/>
        </w:tabs>
        <w:spacing w:before="120"/>
        <w:ind w:firstLine="289"/>
        <w:jc w:val="both"/>
      </w:pPr>
      <w:r w:rsidRPr="00F321BA">
        <w:t>Déficit del 0,</w:t>
      </w:r>
      <w:r w:rsidR="004C2338">
        <w:t>6</w:t>
      </w:r>
      <w:r w:rsidRPr="00F321BA">
        <w:t xml:space="preserve"> por ciento para 202</w:t>
      </w:r>
      <w:r w:rsidR="004C2338">
        <w:t>3</w:t>
      </w:r>
      <w:r w:rsidRPr="00F321BA">
        <w:t>. Según la memoria de las Cuentas Generales de 202</w:t>
      </w:r>
      <w:r w:rsidR="002B7D1F">
        <w:t>3</w:t>
      </w:r>
      <w:r w:rsidRPr="00F321BA">
        <w:t>, no existe déficit y el superávit asciende al 1,</w:t>
      </w:r>
      <w:r w:rsidR="002B7D1F">
        <w:t>4</w:t>
      </w:r>
      <w:r w:rsidRPr="00F321BA">
        <w:t xml:space="preserve"> por ciento por lo que se estaría cumpliendo con lo acordado. </w:t>
      </w:r>
    </w:p>
    <w:p w14:paraId="2140436B" w14:textId="77777777" w:rsidR="00614DC4" w:rsidRPr="00F321BA" w:rsidRDefault="00614DC4" w:rsidP="008C2B8E">
      <w:pPr>
        <w:pStyle w:val="texto"/>
        <w:numPr>
          <w:ilvl w:val="0"/>
          <w:numId w:val="6"/>
        </w:numPr>
        <w:tabs>
          <w:tab w:val="clear" w:pos="360"/>
          <w:tab w:val="num" w:pos="300"/>
          <w:tab w:val="left" w:pos="480"/>
          <w:tab w:val="num" w:pos="600"/>
        </w:tabs>
        <w:spacing w:before="120"/>
        <w:ind w:firstLine="289"/>
        <w:jc w:val="both"/>
      </w:pPr>
      <w:r w:rsidRPr="00F321BA">
        <w:t>Deuda pública del 1</w:t>
      </w:r>
      <w:r w:rsidR="002B7D1F">
        <w:t>4,5</w:t>
      </w:r>
      <w:r w:rsidRPr="00F321BA">
        <w:t xml:space="preserve"> por ciento del PIB para 202</w:t>
      </w:r>
      <w:r w:rsidR="002B7D1F">
        <w:t>3</w:t>
      </w:r>
      <w:r w:rsidRPr="00F321BA">
        <w:t>. La deuda pública, según la memoria de las Cuentas Generales de 202</w:t>
      </w:r>
      <w:r w:rsidR="002B7D1F">
        <w:t>3</w:t>
      </w:r>
      <w:r w:rsidRPr="00F321BA">
        <w:t>, asciende al 1</w:t>
      </w:r>
      <w:r w:rsidR="002B7D1F">
        <w:t>2</w:t>
      </w:r>
      <w:r w:rsidRPr="00F321BA">
        <w:t xml:space="preserve"> por ciento por lo que se estaría cumpliendo con lo acordado. </w:t>
      </w:r>
    </w:p>
    <w:p w14:paraId="396723AF" w14:textId="77777777" w:rsidR="002B7D1F" w:rsidRDefault="00614DC4" w:rsidP="008C2B8E">
      <w:pPr>
        <w:pStyle w:val="texto"/>
        <w:numPr>
          <w:ilvl w:val="0"/>
          <w:numId w:val="6"/>
        </w:numPr>
        <w:tabs>
          <w:tab w:val="clear" w:pos="360"/>
          <w:tab w:val="num" w:pos="300"/>
          <w:tab w:val="left" w:pos="480"/>
          <w:tab w:val="num" w:pos="600"/>
        </w:tabs>
        <w:spacing w:before="120"/>
        <w:ind w:firstLine="289"/>
        <w:jc w:val="both"/>
      </w:pPr>
      <w:r w:rsidRPr="00F321BA">
        <w:t xml:space="preserve">En el caso de la regla de gasto, </w:t>
      </w:r>
      <w:r w:rsidR="00C15FEE">
        <w:t xml:space="preserve">en el citado acuerdo, </w:t>
      </w:r>
      <w:r w:rsidRPr="00F321BA">
        <w:t>no se especificó nada al respecto, dado que quedó sin efecto con la suspensión apro</w:t>
      </w:r>
      <w:r w:rsidR="00D77F97">
        <w:t>bada por el Pleno del Congreso. E</w:t>
      </w:r>
      <w:r w:rsidRPr="00F321BA">
        <w:t>n todo caso, la memoria de las Cuentas Generales de 202</w:t>
      </w:r>
      <w:r w:rsidR="00FB49C6">
        <w:t>3</w:t>
      </w:r>
      <w:r w:rsidRPr="00F321BA">
        <w:t xml:space="preserve"> indica </w:t>
      </w:r>
      <w:r w:rsidRPr="00842336">
        <w:t xml:space="preserve">que </w:t>
      </w:r>
      <w:r w:rsidR="002B7D1F" w:rsidRPr="00842336">
        <w:t xml:space="preserve">el Ministerio de Hacienda y Administraciones Públicas en mayo de 2024, de acuerdo con lo previsto en el artículo 17 de la LOEPSF, se limita a </w:t>
      </w:r>
      <w:r w:rsidR="00842336">
        <w:t xml:space="preserve">calcular el gasto computable a efectos de esta regla, sin </w:t>
      </w:r>
      <w:r w:rsidR="002B7D1F" w:rsidRPr="00842336">
        <w:t xml:space="preserve">entrar a valorar el cumplimiento o incumplimiento de este objetivo, siendo para la Comunidad </w:t>
      </w:r>
      <w:r w:rsidR="00C15FEE" w:rsidRPr="00842336">
        <w:t xml:space="preserve">Foral </w:t>
      </w:r>
      <w:r w:rsidR="002B7D1F" w:rsidRPr="00842336">
        <w:t xml:space="preserve">de Navarra una tasa de variación del 5,9 por ciento. </w:t>
      </w:r>
    </w:p>
    <w:p w14:paraId="44D0B2D0" w14:textId="77777777" w:rsidR="00614DC4" w:rsidRDefault="00614DC4" w:rsidP="00C74FAF">
      <w:pPr>
        <w:pStyle w:val="texto"/>
        <w:tabs>
          <w:tab w:val="left" w:pos="480"/>
          <w:tab w:val="num" w:pos="600"/>
        </w:tabs>
        <w:spacing w:before="120" w:after="120"/>
        <w:jc w:val="both"/>
      </w:pPr>
      <w:r>
        <w:t xml:space="preserve">Teniendo en cuenta lo anterior, el Sector Administración Pública de la Comunidad Foral, delimitado en términos de contabilidad nacional (SEC´2010), estaba </w:t>
      </w:r>
      <w:r>
        <w:lastRenderedPageBreak/>
        <w:t>sujeto en 202</w:t>
      </w:r>
      <w:r w:rsidR="002B7D1F">
        <w:t>3</w:t>
      </w:r>
      <w:r>
        <w:t xml:space="preserve"> solo al cumplimiento de las siguientes exigencias del principio de sostenibilidad financiera:</w:t>
      </w:r>
    </w:p>
    <w:p w14:paraId="15689EEC" w14:textId="77777777" w:rsidR="00614DC4" w:rsidRDefault="00614DC4" w:rsidP="00024014">
      <w:pPr>
        <w:pStyle w:val="texto"/>
        <w:numPr>
          <w:ilvl w:val="0"/>
          <w:numId w:val="6"/>
        </w:numPr>
        <w:tabs>
          <w:tab w:val="clear" w:pos="360"/>
          <w:tab w:val="num" w:pos="300"/>
          <w:tab w:val="left" w:pos="480"/>
          <w:tab w:val="num" w:pos="600"/>
        </w:tabs>
        <w:spacing w:after="120"/>
        <w:ind w:firstLine="289"/>
        <w:jc w:val="both"/>
      </w:pPr>
      <w:r>
        <w:t>Sostenibilidad de la deuda comercial: el indicador de periodo medio de pago a proveedores no debe superar el plazo máximo de pago que fija la normativa de morosidad regulado en la Ley 3/2004, de 29 de diciembre, por la que se establecen medidas de lucha contra la morosidad en las operaciones comerciales. Con carácter general, ese plazo se fija en 30 días.</w:t>
      </w:r>
    </w:p>
    <w:p w14:paraId="69A5708A" w14:textId="77777777" w:rsidR="00614DC4" w:rsidRDefault="00614DC4" w:rsidP="00024014">
      <w:pPr>
        <w:pStyle w:val="texto"/>
        <w:spacing w:after="240"/>
        <w:jc w:val="both"/>
      </w:pPr>
      <w:r>
        <w:t>Al respecto, el Gobierno de Navarra publica mensualmente el valor del indicador sobre el periodo medio de pago del Sector Administración Pública. Los datos son los siguientes:</w:t>
      </w:r>
    </w:p>
    <w:tbl>
      <w:tblPr>
        <w:tblW w:w="5081" w:type="pct"/>
        <w:jc w:val="center"/>
        <w:tblLook w:val="01E0" w:firstRow="1" w:lastRow="1" w:firstColumn="1" w:lastColumn="1" w:noHBand="0" w:noVBand="0"/>
      </w:tblPr>
      <w:tblGrid>
        <w:gridCol w:w="5387"/>
        <w:gridCol w:w="3544"/>
      </w:tblGrid>
      <w:tr w:rsidR="00614DC4" w14:paraId="4F84DD9C" w14:textId="77777777" w:rsidTr="002410BC">
        <w:trPr>
          <w:trHeight w:val="255"/>
          <w:jc w:val="center"/>
        </w:trPr>
        <w:tc>
          <w:tcPr>
            <w:tcW w:w="3016" w:type="pct"/>
            <w:tcBorders>
              <w:top w:val="single" w:sz="4" w:space="0" w:color="auto"/>
              <w:left w:val="nil"/>
              <w:bottom w:val="single" w:sz="4" w:space="0" w:color="auto"/>
              <w:right w:val="nil"/>
            </w:tcBorders>
            <w:shd w:val="clear" w:color="auto" w:fill="8DB3E2"/>
            <w:vAlign w:val="center"/>
            <w:hideMark/>
          </w:tcPr>
          <w:p w14:paraId="0ADB4FCD" w14:textId="77777777" w:rsidR="00614DC4" w:rsidRDefault="00614DC4" w:rsidP="00370A2D">
            <w:pPr>
              <w:pStyle w:val="cuadroCabe"/>
            </w:pPr>
            <w:r>
              <w:t>202</w:t>
            </w:r>
            <w:r w:rsidR="002B7D1F">
              <w:t>3</w:t>
            </w:r>
          </w:p>
        </w:tc>
        <w:tc>
          <w:tcPr>
            <w:tcW w:w="1984" w:type="pct"/>
            <w:tcBorders>
              <w:top w:val="single" w:sz="4" w:space="0" w:color="auto"/>
              <w:left w:val="nil"/>
              <w:bottom w:val="single" w:sz="4" w:space="0" w:color="auto"/>
              <w:right w:val="nil"/>
            </w:tcBorders>
            <w:shd w:val="clear" w:color="auto" w:fill="8DB3E2"/>
            <w:vAlign w:val="center"/>
            <w:hideMark/>
          </w:tcPr>
          <w:p w14:paraId="1A913401" w14:textId="77777777" w:rsidR="00614DC4" w:rsidRDefault="00614DC4" w:rsidP="002410BC">
            <w:pPr>
              <w:pStyle w:val="cuadroCabe"/>
              <w:jc w:val="right"/>
            </w:pPr>
            <w:r>
              <w:t>Periodo medio de pago (días)</w:t>
            </w:r>
          </w:p>
        </w:tc>
      </w:tr>
      <w:tr w:rsidR="00614DC4" w14:paraId="1AAEBEC6" w14:textId="77777777" w:rsidTr="002410BC">
        <w:trPr>
          <w:trHeight w:val="198"/>
          <w:jc w:val="center"/>
        </w:trPr>
        <w:tc>
          <w:tcPr>
            <w:tcW w:w="3016" w:type="pct"/>
            <w:tcBorders>
              <w:top w:val="single" w:sz="4" w:space="0" w:color="auto"/>
              <w:left w:val="nil"/>
              <w:bottom w:val="single" w:sz="2" w:space="0" w:color="auto"/>
              <w:right w:val="nil"/>
            </w:tcBorders>
            <w:vAlign w:val="center"/>
            <w:hideMark/>
          </w:tcPr>
          <w:p w14:paraId="37367BF2" w14:textId="77777777" w:rsidR="00614DC4" w:rsidRPr="002410BC" w:rsidRDefault="00614DC4" w:rsidP="002410BC">
            <w:pPr>
              <w:tabs>
                <w:tab w:val="center" w:pos="2835"/>
                <w:tab w:val="center" w:pos="3969"/>
                <w:tab w:val="num" w:pos="4920"/>
                <w:tab w:val="center" w:pos="5103"/>
                <w:tab w:val="center" w:pos="6237"/>
                <w:tab w:val="center" w:pos="7371"/>
              </w:tabs>
              <w:ind w:left="-42"/>
              <w:rPr>
                <w:rFonts w:ascii="Arial Narrow" w:hAnsi="Arial Narrow"/>
                <w:spacing w:val="6"/>
                <w:sz w:val="20"/>
                <w:szCs w:val="20"/>
                <w:lang w:val="es-ES_tradnl"/>
              </w:rPr>
            </w:pPr>
            <w:r w:rsidRPr="002410BC">
              <w:rPr>
                <w:rFonts w:ascii="Arial Narrow" w:hAnsi="Arial Narrow"/>
                <w:spacing w:val="6"/>
                <w:sz w:val="20"/>
                <w:szCs w:val="20"/>
                <w:lang w:val="es-ES_tradnl"/>
              </w:rPr>
              <w:t>Enero</w:t>
            </w:r>
          </w:p>
        </w:tc>
        <w:tc>
          <w:tcPr>
            <w:tcW w:w="1984" w:type="pct"/>
            <w:tcBorders>
              <w:top w:val="single" w:sz="4" w:space="0" w:color="auto"/>
              <w:left w:val="nil"/>
              <w:bottom w:val="single" w:sz="2" w:space="0" w:color="auto"/>
              <w:right w:val="nil"/>
            </w:tcBorders>
            <w:vAlign w:val="center"/>
          </w:tcPr>
          <w:p w14:paraId="403DB753" w14:textId="77777777" w:rsidR="00614DC4" w:rsidRPr="002410BC" w:rsidRDefault="00BD1B10" w:rsidP="002410BC">
            <w:pPr>
              <w:tabs>
                <w:tab w:val="center" w:pos="2835"/>
                <w:tab w:val="center" w:pos="3969"/>
                <w:tab w:val="num" w:pos="4920"/>
                <w:tab w:val="center" w:pos="5103"/>
                <w:tab w:val="center" w:pos="6237"/>
                <w:tab w:val="center" w:pos="7371"/>
              </w:tabs>
              <w:ind w:left="-42"/>
              <w:jc w:val="right"/>
              <w:rPr>
                <w:rFonts w:ascii="Arial Narrow" w:hAnsi="Arial Narrow"/>
                <w:spacing w:val="6"/>
                <w:sz w:val="20"/>
                <w:szCs w:val="20"/>
                <w:lang w:val="es-ES_tradnl"/>
              </w:rPr>
            </w:pPr>
            <w:r w:rsidRPr="002410BC">
              <w:rPr>
                <w:rFonts w:ascii="Arial Narrow" w:hAnsi="Arial Narrow"/>
                <w:spacing w:val="6"/>
                <w:sz w:val="20"/>
                <w:szCs w:val="20"/>
                <w:lang w:val="es-ES_tradnl"/>
              </w:rPr>
              <w:t>22,40</w:t>
            </w:r>
          </w:p>
        </w:tc>
      </w:tr>
      <w:tr w:rsidR="00614DC4" w14:paraId="191983BC" w14:textId="77777777" w:rsidTr="002410BC">
        <w:trPr>
          <w:trHeight w:val="198"/>
          <w:jc w:val="center"/>
        </w:trPr>
        <w:tc>
          <w:tcPr>
            <w:tcW w:w="3016" w:type="pct"/>
            <w:tcBorders>
              <w:top w:val="single" w:sz="2" w:space="0" w:color="auto"/>
              <w:left w:val="nil"/>
              <w:bottom w:val="single" w:sz="2" w:space="0" w:color="auto"/>
              <w:right w:val="nil"/>
            </w:tcBorders>
            <w:vAlign w:val="center"/>
            <w:hideMark/>
          </w:tcPr>
          <w:p w14:paraId="3CD980AE" w14:textId="77777777" w:rsidR="00614DC4" w:rsidRPr="002410BC" w:rsidRDefault="002410BC" w:rsidP="002410BC">
            <w:pPr>
              <w:tabs>
                <w:tab w:val="center" w:pos="2835"/>
                <w:tab w:val="center" w:pos="3969"/>
                <w:tab w:val="num" w:pos="4920"/>
                <w:tab w:val="center" w:pos="5103"/>
                <w:tab w:val="center" w:pos="6237"/>
                <w:tab w:val="center" w:pos="7371"/>
              </w:tabs>
              <w:ind w:left="-42"/>
              <w:rPr>
                <w:rFonts w:ascii="Arial Narrow" w:hAnsi="Arial Narrow"/>
                <w:spacing w:val="6"/>
                <w:sz w:val="20"/>
                <w:szCs w:val="20"/>
                <w:lang w:val="es-ES_tradnl"/>
              </w:rPr>
            </w:pPr>
            <w:r>
              <w:rPr>
                <w:rFonts w:ascii="Arial Narrow" w:hAnsi="Arial Narrow"/>
                <w:spacing w:val="6"/>
                <w:sz w:val="20"/>
                <w:szCs w:val="20"/>
                <w:lang w:val="es-ES_tradnl"/>
              </w:rPr>
              <w:t>F</w:t>
            </w:r>
            <w:r w:rsidR="00695412" w:rsidRPr="002410BC">
              <w:rPr>
                <w:rFonts w:ascii="Arial Narrow" w:hAnsi="Arial Narrow"/>
                <w:spacing w:val="6"/>
                <w:sz w:val="20"/>
                <w:szCs w:val="20"/>
                <w:lang w:val="es-ES_tradnl"/>
              </w:rPr>
              <w:t>e</w:t>
            </w:r>
            <w:r w:rsidR="00614DC4" w:rsidRPr="002410BC">
              <w:rPr>
                <w:rFonts w:ascii="Arial Narrow" w:hAnsi="Arial Narrow"/>
                <w:spacing w:val="6"/>
                <w:sz w:val="20"/>
                <w:szCs w:val="20"/>
                <w:lang w:val="es-ES_tradnl"/>
              </w:rPr>
              <w:t>brero</w:t>
            </w:r>
          </w:p>
        </w:tc>
        <w:tc>
          <w:tcPr>
            <w:tcW w:w="1984" w:type="pct"/>
            <w:tcBorders>
              <w:top w:val="single" w:sz="2" w:space="0" w:color="auto"/>
              <w:left w:val="nil"/>
              <w:bottom w:val="single" w:sz="2" w:space="0" w:color="auto"/>
              <w:right w:val="nil"/>
            </w:tcBorders>
            <w:vAlign w:val="center"/>
          </w:tcPr>
          <w:p w14:paraId="7F2A6960" w14:textId="77777777" w:rsidR="00614DC4" w:rsidRPr="002410BC" w:rsidRDefault="00BD1B10" w:rsidP="002410BC">
            <w:pPr>
              <w:tabs>
                <w:tab w:val="center" w:pos="2835"/>
                <w:tab w:val="center" w:pos="3969"/>
                <w:tab w:val="num" w:pos="4920"/>
                <w:tab w:val="center" w:pos="5103"/>
                <w:tab w:val="center" w:pos="6237"/>
                <w:tab w:val="center" w:pos="7371"/>
              </w:tabs>
              <w:ind w:left="-42"/>
              <w:jc w:val="right"/>
              <w:rPr>
                <w:rFonts w:ascii="Arial Narrow" w:hAnsi="Arial Narrow"/>
                <w:spacing w:val="6"/>
                <w:sz w:val="20"/>
                <w:szCs w:val="20"/>
                <w:lang w:val="es-ES_tradnl"/>
              </w:rPr>
            </w:pPr>
            <w:r w:rsidRPr="002410BC">
              <w:rPr>
                <w:rFonts w:ascii="Arial Narrow" w:hAnsi="Arial Narrow"/>
                <w:spacing w:val="6"/>
                <w:sz w:val="20"/>
                <w:szCs w:val="20"/>
                <w:lang w:val="es-ES_tradnl"/>
              </w:rPr>
              <w:t>24,82</w:t>
            </w:r>
          </w:p>
        </w:tc>
      </w:tr>
      <w:tr w:rsidR="00614DC4" w14:paraId="0D74C220" w14:textId="77777777" w:rsidTr="002410BC">
        <w:trPr>
          <w:trHeight w:val="198"/>
          <w:jc w:val="center"/>
        </w:trPr>
        <w:tc>
          <w:tcPr>
            <w:tcW w:w="3016" w:type="pct"/>
            <w:tcBorders>
              <w:top w:val="single" w:sz="2" w:space="0" w:color="auto"/>
              <w:left w:val="nil"/>
              <w:bottom w:val="single" w:sz="2" w:space="0" w:color="auto"/>
              <w:right w:val="nil"/>
            </w:tcBorders>
            <w:vAlign w:val="center"/>
            <w:hideMark/>
          </w:tcPr>
          <w:p w14:paraId="02DF8084" w14:textId="77777777" w:rsidR="00614DC4" w:rsidRPr="002410BC" w:rsidRDefault="00614DC4" w:rsidP="002410BC">
            <w:pPr>
              <w:tabs>
                <w:tab w:val="center" w:pos="2835"/>
                <w:tab w:val="center" w:pos="3969"/>
                <w:tab w:val="num" w:pos="4920"/>
                <w:tab w:val="center" w:pos="5103"/>
                <w:tab w:val="center" w:pos="6237"/>
                <w:tab w:val="center" w:pos="7371"/>
              </w:tabs>
              <w:ind w:left="-42"/>
              <w:rPr>
                <w:rFonts w:ascii="Arial Narrow" w:hAnsi="Arial Narrow"/>
                <w:spacing w:val="6"/>
                <w:sz w:val="20"/>
                <w:szCs w:val="20"/>
                <w:lang w:val="es-ES_tradnl"/>
              </w:rPr>
            </w:pPr>
            <w:r w:rsidRPr="002410BC">
              <w:rPr>
                <w:rFonts w:ascii="Arial Narrow" w:hAnsi="Arial Narrow"/>
                <w:spacing w:val="6"/>
                <w:sz w:val="20"/>
                <w:szCs w:val="20"/>
                <w:lang w:val="es-ES_tradnl"/>
              </w:rPr>
              <w:t>Marzo</w:t>
            </w:r>
          </w:p>
        </w:tc>
        <w:tc>
          <w:tcPr>
            <w:tcW w:w="1984" w:type="pct"/>
            <w:tcBorders>
              <w:top w:val="single" w:sz="2" w:space="0" w:color="auto"/>
              <w:left w:val="nil"/>
              <w:bottom w:val="single" w:sz="2" w:space="0" w:color="auto"/>
              <w:right w:val="nil"/>
            </w:tcBorders>
            <w:vAlign w:val="center"/>
          </w:tcPr>
          <w:p w14:paraId="53520ACA" w14:textId="77777777" w:rsidR="00614DC4" w:rsidRPr="002410BC" w:rsidRDefault="00BD1B10" w:rsidP="002410BC">
            <w:pPr>
              <w:tabs>
                <w:tab w:val="center" w:pos="2835"/>
                <w:tab w:val="center" w:pos="3969"/>
                <w:tab w:val="num" w:pos="4920"/>
                <w:tab w:val="center" w:pos="5103"/>
                <w:tab w:val="center" w:pos="6237"/>
                <w:tab w:val="center" w:pos="7371"/>
              </w:tabs>
              <w:ind w:left="-42"/>
              <w:jc w:val="right"/>
              <w:rPr>
                <w:rFonts w:ascii="Arial Narrow" w:hAnsi="Arial Narrow"/>
                <w:spacing w:val="6"/>
                <w:sz w:val="20"/>
                <w:szCs w:val="20"/>
                <w:lang w:val="es-ES_tradnl"/>
              </w:rPr>
            </w:pPr>
            <w:r w:rsidRPr="002410BC">
              <w:rPr>
                <w:rFonts w:ascii="Arial Narrow" w:hAnsi="Arial Narrow"/>
                <w:spacing w:val="6"/>
                <w:sz w:val="20"/>
                <w:szCs w:val="20"/>
                <w:lang w:val="es-ES_tradnl"/>
              </w:rPr>
              <w:t>23,46</w:t>
            </w:r>
          </w:p>
        </w:tc>
      </w:tr>
      <w:tr w:rsidR="00614DC4" w14:paraId="24694895" w14:textId="77777777" w:rsidTr="002410BC">
        <w:trPr>
          <w:trHeight w:val="198"/>
          <w:jc w:val="center"/>
        </w:trPr>
        <w:tc>
          <w:tcPr>
            <w:tcW w:w="3016" w:type="pct"/>
            <w:tcBorders>
              <w:top w:val="single" w:sz="2" w:space="0" w:color="auto"/>
              <w:left w:val="nil"/>
              <w:bottom w:val="single" w:sz="2" w:space="0" w:color="auto"/>
              <w:right w:val="nil"/>
            </w:tcBorders>
            <w:vAlign w:val="center"/>
            <w:hideMark/>
          </w:tcPr>
          <w:p w14:paraId="53480ED4" w14:textId="77777777" w:rsidR="00614DC4" w:rsidRPr="002410BC" w:rsidRDefault="00614DC4" w:rsidP="002410BC">
            <w:pPr>
              <w:tabs>
                <w:tab w:val="center" w:pos="2835"/>
                <w:tab w:val="center" w:pos="3969"/>
                <w:tab w:val="num" w:pos="4920"/>
                <w:tab w:val="center" w:pos="5103"/>
                <w:tab w:val="center" w:pos="6237"/>
                <w:tab w:val="center" w:pos="7371"/>
              </w:tabs>
              <w:ind w:left="-42"/>
              <w:rPr>
                <w:rFonts w:ascii="Arial Narrow" w:hAnsi="Arial Narrow"/>
                <w:spacing w:val="6"/>
                <w:sz w:val="20"/>
                <w:szCs w:val="20"/>
                <w:lang w:val="es-ES_tradnl"/>
              </w:rPr>
            </w:pPr>
            <w:r w:rsidRPr="002410BC">
              <w:rPr>
                <w:rFonts w:ascii="Arial Narrow" w:hAnsi="Arial Narrow"/>
                <w:spacing w:val="6"/>
                <w:sz w:val="20"/>
                <w:szCs w:val="20"/>
                <w:lang w:val="es-ES_tradnl"/>
              </w:rPr>
              <w:t>Abril</w:t>
            </w:r>
          </w:p>
        </w:tc>
        <w:tc>
          <w:tcPr>
            <w:tcW w:w="1984" w:type="pct"/>
            <w:tcBorders>
              <w:top w:val="single" w:sz="2" w:space="0" w:color="auto"/>
              <w:left w:val="nil"/>
              <w:bottom w:val="single" w:sz="2" w:space="0" w:color="auto"/>
              <w:right w:val="nil"/>
            </w:tcBorders>
            <w:vAlign w:val="center"/>
          </w:tcPr>
          <w:p w14:paraId="0E6DC69E" w14:textId="77777777" w:rsidR="00614DC4" w:rsidRPr="002410BC" w:rsidRDefault="00BD1B10" w:rsidP="002410BC">
            <w:pPr>
              <w:tabs>
                <w:tab w:val="center" w:pos="2835"/>
                <w:tab w:val="center" w:pos="3969"/>
                <w:tab w:val="num" w:pos="4920"/>
                <w:tab w:val="center" w:pos="5103"/>
                <w:tab w:val="center" w:pos="6237"/>
                <w:tab w:val="center" w:pos="7371"/>
              </w:tabs>
              <w:ind w:left="-42"/>
              <w:jc w:val="right"/>
              <w:rPr>
                <w:rFonts w:ascii="Arial Narrow" w:hAnsi="Arial Narrow"/>
                <w:spacing w:val="6"/>
                <w:sz w:val="20"/>
                <w:szCs w:val="20"/>
                <w:lang w:val="es-ES_tradnl"/>
              </w:rPr>
            </w:pPr>
            <w:r w:rsidRPr="002410BC">
              <w:rPr>
                <w:rFonts w:ascii="Arial Narrow" w:hAnsi="Arial Narrow"/>
                <w:spacing w:val="6"/>
                <w:sz w:val="20"/>
                <w:szCs w:val="20"/>
                <w:lang w:val="es-ES_tradnl"/>
              </w:rPr>
              <w:t>24,24</w:t>
            </w:r>
          </w:p>
        </w:tc>
      </w:tr>
      <w:tr w:rsidR="00614DC4" w14:paraId="3F707505" w14:textId="77777777" w:rsidTr="002410BC">
        <w:trPr>
          <w:trHeight w:val="198"/>
          <w:jc w:val="center"/>
        </w:trPr>
        <w:tc>
          <w:tcPr>
            <w:tcW w:w="3016" w:type="pct"/>
            <w:tcBorders>
              <w:top w:val="single" w:sz="2" w:space="0" w:color="auto"/>
              <w:left w:val="nil"/>
              <w:bottom w:val="single" w:sz="2" w:space="0" w:color="auto"/>
              <w:right w:val="nil"/>
            </w:tcBorders>
            <w:vAlign w:val="center"/>
            <w:hideMark/>
          </w:tcPr>
          <w:p w14:paraId="761243E8" w14:textId="77777777" w:rsidR="00614DC4" w:rsidRPr="002410BC" w:rsidRDefault="00614DC4" w:rsidP="002410BC">
            <w:pPr>
              <w:tabs>
                <w:tab w:val="center" w:pos="2835"/>
                <w:tab w:val="center" w:pos="3969"/>
                <w:tab w:val="num" w:pos="4920"/>
                <w:tab w:val="center" w:pos="5103"/>
                <w:tab w:val="center" w:pos="6237"/>
                <w:tab w:val="center" w:pos="7371"/>
              </w:tabs>
              <w:ind w:left="-42"/>
              <w:rPr>
                <w:rFonts w:ascii="Arial Narrow" w:hAnsi="Arial Narrow"/>
                <w:spacing w:val="6"/>
                <w:sz w:val="20"/>
                <w:szCs w:val="20"/>
                <w:lang w:val="es-ES_tradnl"/>
              </w:rPr>
            </w:pPr>
            <w:r w:rsidRPr="002410BC">
              <w:rPr>
                <w:rFonts w:ascii="Arial Narrow" w:hAnsi="Arial Narrow"/>
                <w:spacing w:val="6"/>
                <w:sz w:val="20"/>
                <w:szCs w:val="20"/>
                <w:lang w:val="es-ES_tradnl"/>
              </w:rPr>
              <w:t>Mayo</w:t>
            </w:r>
          </w:p>
        </w:tc>
        <w:tc>
          <w:tcPr>
            <w:tcW w:w="1984" w:type="pct"/>
            <w:tcBorders>
              <w:top w:val="single" w:sz="2" w:space="0" w:color="auto"/>
              <w:left w:val="nil"/>
              <w:bottom w:val="single" w:sz="2" w:space="0" w:color="auto"/>
              <w:right w:val="nil"/>
            </w:tcBorders>
            <w:vAlign w:val="center"/>
          </w:tcPr>
          <w:p w14:paraId="35C41BEF" w14:textId="77777777" w:rsidR="00614DC4" w:rsidRPr="002410BC" w:rsidRDefault="00BD1B10" w:rsidP="002410BC">
            <w:pPr>
              <w:tabs>
                <w:tab w:val="center" w:pos="2835"/>
                <w:tab w:val="center" w:pos="3969"/>
                <w:tab w:val="num" w:pos="4920"/>
                <w:tab w:val="center" w:pos="5103"/>
                <w:tab w:val="center" w:pos="6237"/>
                <w:tab w:val="center" w:pos="7371"/>
              </w:tabs>
              <w:ind w:left="-42"/>
              <w:jc w:val="right"/>
              <w:rPr>
                <w:rFonts w:ascii="Arial Narrow" w:hAnsi="Arial Narrow"/>
                <w:spacing w:val="6"/>
                <w:sz w:val="20"/>
                <w:szCs w:val="20"/>
                <w:lang w:val="es-ES_tradnl"/>
              </w:rPr>
            </w:pPr>
            <w:r w:rsidRPr="002410BC">
              <w:rPr>
                <w:rFonts w:ascii="Arial Narrow" w:hAnsi="Arial Narrow"/>
                <w:spacing w:val="6"/>
                <w:sz w:val="20"/>
                <w:szCs w:val="20"/>
                <w:lang w:val="es-ES_tradnl"/>
              </w:rPr>
              <w:t>26,14</w:t>
            </w:r>
          </w:p>
        </w:tc>
      </w:tr>
      <w:tr w:rsidR="00614DC4" w14:paraId="650EFF59" w14:textId="77777777" w:rsidTr="002410BC">
        <w:trPr>
          <w:trHeight w:val="198"/>
          <w:jc w:val="center"/>
        </w:trPr>
        <w:tc>
          <w:tcPr>
            <w:tcW w:w="3016" w:type="pct"/>
            <w:tcBorders>
              <w:top w:val="single" w:sz="2" w:space="0" w:color="auto"/>
              <w:left w:val="nil"/>
              <w:bottom w:val="single" w:sz="2" w:space="0" w:color="auto"/>
              <w:right w:val="nil"/>
            </w:tcBorders>
            <w:vAlign w:val="center"/>
            <w:hideMark/>
          </w:tcPr>
          <w:p w14:paraId="58460872" w14:textId="77777777" w:rsidR="00614DC4" w:rsidRPr="002410BC" w:rsidRDefault="00614DC4" w:rsidP="002410BC">
            <w:pPr>
              <w:tabs>
                <w:tab w:val="center" w:pos="2835"/>
                <w:tab w:val="center" w:pos="3969"/>
                <w:tab w:val="num" w:pos="4920"/>
                <w:tab w:val="center" w:pos="5103"/>
                <w:tab w:val="center" w:pos="6237"/>
                <w:tab w:val="center" w:pos="7371"/>
              </w:tabs>
              <w:ind w:left="-42"/>
              <w:rPr>
                <w:rFonts w:ascii="Arial Narrow" w:hAnsi="Arial Narrow"/>
                <w:spacing w:val="6"/>
                <w:sz w:val="20"/>
                <w:szCs w:val="20"/>
                <w:lang w:val="es-ES_tradnl"/>
              </w:rPr>
            </w:pPr>
            <w:r w:rsidRPr="002410BC">
              <w:rPr>
                <w:rFonts w:ascii="Arial Narrow" w:hAnsi="Arial Narrow"/>
                <w:spacing w:val="6"/>
                <w:sz w:val="20"/>
                <w:szCs w:val="20"/>
                <w:lang w:val="es-ES_tradnl"/>
              </w:rPr>
              <w:t>Junio</w:t>
            </w:r>
          </w:p>
        </w:tc>
        <w:tc>
          <w:tcPr>
            <w:tcW w:w="1984" w:type="pct"/>
            <w:tcBorders>
              <w:top w:val="single" w:sz="2" w:space="0" w:color="auto"/>
              <w:left w:val="nil"/>
              <w:bottom w:val="single" w:sz="2" w:space="0" w:color="auto"/>
              <w:right w:val="nil"/>
            </w:tcBorders>
            <w:vAlign w:val="center"/>
          </w:tcPr>
          <w:p w14:paraId="11BEF022" w14:textId="77777777" w:rsidR="00614DC4" w:rsidRPr="002410BC" w:rsidRDefault="00BD1B10" w:rsidP="002410BC">
            <w:pPr>
              <w:tabs>
                <w:tab w:val="center" w:pos="2835"/>
                <w:tab w:val="center" w:pos="3969"/>
                <w:tab w:val="num" w:pos="4920"/>
                <w:tab w:val="center" w:pos="5103"/>
                <w:tab w:val="center" w:pos="6237"/>
                <w:tab w:val="center" w:pos="7371"/>
              </w:tabs>
              <w:ind w:left="-42"/>
              <w:jc w:val="right"/>
              <w:rPr>
                <w:rFonts w:ascii="Arial Narrow" w:hAnsi="Arial Narrow"/>
                <w:spacing w:val="6"/>
                <w:sz w:val="20"/>
                <w:szCs w:val="20"/>
                <w:lang w:val="es-ES_tradnl"/>
              </w:rPr>
            </w:pPr>
            <w:r w:rsidRPr="002410BC">
              <w:rPr>
                <w:rFonts w:ascii="Arial Narrow" w:hAnsi="Arial Narrow"/>
                <w:spacing w:val="6"/>
                <w:sz w:val="20"/>
                <w:szCs w:val="20"/>
                <w:lang w:val="es-ES_tradnl"/>
              </w:rPr>
              <w:t>22,87</w:t>
            </w:r>
          </w:p>
        </w:tc>
      </w:tr>
      <w:tr w:rsidR="00614DC4" w14:paraId="1EF48046" w14:textId="77777777" w:rsidTr="002410BC">
        <w:trPr>
          <w:trHeight w:val="198"/>
          <w:jc w:val="center"/>
        </w:trPr>
        <w:tc>
          <w:tcPr>
            <w:tcW w:w="3016" w:type="pct"/>
            <w:tcBorders>
              <w:top w:val="single" w:sz="2" w:space="0" w:color="auto"/>
              <w:left w:val="nil"/>
              <w:bottom w:val="single" w:sz="2" w:space="0" w:color="auto"/>
              <w:right w:val="nil"/>
            </w:tcBorders>
            <w:vAlign w:val="center"/>
            <w:hideMark/>
          </w:tcPr>
          <w:p w14:paraId="0B66DF9D" w14:textId="77777777" w:rsidR="00614DC4" w:rsidRPr="002410BC" w:rsidRDefault="00614DC4" w:rsidP="002410BC">
            <w:pPr>
              <w:tabs>
                <w:tab w:val="center" w:pos="2835"/>
                <w:tab w:val="center" w:pos="3969"/>
                <w:tab w:val="num" w:pos="4920"/>
                <w:tab w:val="center" w:pos="5103"/>
                <w:tab w:val="center" w:pos="6237"/>
                <w:tab w:val="center" w:pos="7371"/>
              </w:tabs>
              <w:ind w:left="-42"/>
              <w:rPr>
                <w:rFonts w:ascii="Arial Narrow" w:hAnsi="Arial Narrow"/>
                <w:spacing w:val="6"/>
                <w:sz w:val="20"/>
                <w:szCs w:val="20"/>
                <w:lang w:val="es-ES_tradnl"/>
              </w:rPr>
            </w:pPr>
            <w:r w:rsidRPr="002410BC">
              <w:rPr>
                <w:rFonts w:ascii="Arial Narrow" w:hAnsi="Arial Narrow"/>
                <w:spacing w:val="6"/>
                <w:sz w:val="20"/>
                <w:szCs w:val="20"/>
                <w:lang w:val="es-ES_tradnl"/>
              </w:rPr>
              <w:t>Julio</w:t>
            </w:r>
          </w:p>
        </w:tc>
        <w:tc>
          <w:tcPr>
            <w:tcW w:w="1984" w:type="pct"/>
            <w:tcBorders>
              <w:top w:val="single" w:sz="2" w:space="0" w:color="auto"/>
              <w:left w:val="nil"/>
              <w:bottom w:val="single" w:sz="2" w:space="0" w:color="auto"/>
              <w:right w:val="nil"/>
            </w:tcBorders>
            <w:vAlign w:val="center"/>
          </w:tcPr>
          <w:p w14:paraId="049D3B31" w14:textId="77777777" w:rsidR="00614DC4" w:rsidRPr="002410BC" w:rsidRDefault="00BD1B10" w:rsidP="002410BC">
            <w:pPr>
              <w:tabs>
                <w:tab w:val="center" w:pos="2835"/>
                <w:tab w:val="center" w:pos="3969"/>
                <w:tab w:val="num" w:pos="4920"/>
                <w:tab w:val="center" w:pos="5103"/>
                <w:tab w:val="center" w:pos="6237"/>
                <w:tab w:val="center" w:pos="7371"/>
              </w:tabs>
              <w:ind w:left="-42"/>
              <w:jc w:val="right"/>
              <w:rPr>
                <w:rFonts w:ascii="Arial Narrow" w:hAnsi="Arial Narrow"/>
                <w:spacing w:val="6"/>
                <w:sz w:val="20"/>
                <w:szCs w:val="20"/>
                <w:lang w:val="es-ES_tradnl"/>
              </w:rPr>
            </w:pPr>
            <w:r w:rsidRPr="002410BC">
              <w:rPr>
                <w:rFonts w:ascii="Arial Narrow" w:hAnsi="Arial Narrow"/>
                <w:spacing w:val="6"/>
                <w:sz w:val="20"/>
                <w:szCs w:val="20"/>
                <w:lang w:val="es-ES_tradnl"/>
              </w:rPr>
              <w:t>28,34</w:t>
            </w:r>
          </w:p>
        </w:tc>
      </w:tr>
      <w:tr w:rsidR="00614DC4" w14:paraId="14D92736" w14:textId="77777777" w:rsidTr="002410BC">
        <w:trPr>
          <w:trHeight w:val="198"/>
          <w:jc w:val="center"/>
        </w:trPr>
        <w:tc>
          <w:tcPr>
            <w:tcW w:w="3016" w:type="pct"/>
            <w:tcBorders>
              <w:top w:val="single" w:sz="2" w:space="0" w:color="auto"/>
              <w:left w:val="nil"/>
              <w:bottom w:val="single" w:sz="2" w:space="0" w:color="auto"/>
              <w:right w:val="nil"/>
            </w:tcBorders>
            <w:vAlign w:val="center"/>
            <w:hideMark/>
          </w:tcPr>
          <w:p w14:paraId="24E9BD1F" w14:textId="77777777" w:rsidR="00614DC4" w:rsidRPr="002410BC" w:rsidRDefault="00614DC4" w:rsidP="002410BC">
            <w:pPr>
              <w:tabs>
                <w:tab w:val="center" w:pos="2835"/>
                <w:tab w:val="center" w:pos="3969"/>
                <w:tab w:val="num" w:pos="4920"/>
                <w:tab w:val="center" w:pos="5103"/>
                <w:tab w:val="center" w:pos="6237"/>
                <w:tab w:val="center" w:pos="7371"/>
              </w:tabs>
              <w:ind w:left="-42"/>
              <w:rPr>
                <w:rFonts w:ascii="Arial Narrow" w:hAnsi="Arial Narrow"/>
                <w:spacing w:val="6"/>
                <w:sz w:val="20"/>
                <w:szCs w:val="20"/>
                <w:lang w:val="es-ES_tradnl"/>
              </w:rPr>
            </w:pPr>
            <w:r w:rsidRPr="002410BC">
              <w:rPr>
                <w:rFonts w:ascii="Arial Narrow" w:hAnsi="Arial Narrow"/>
                <w:spacing w:val="6"/>
                <w:sz w:val="20"/>
                <w:szCs w:val="20"/>
                <w:lang w:val="es-ES_tradnl"/>
              </w:rPr>
              <w:t>Agosto</w:t>
            </w:r>
          </w:p>
        </w:tc>
        <w:tc>
          <w:tcPr>
            <w:tcW w:w="1984" w:type="pct"/>
            <w:tcBorders>
              <w:top w:val="single" w:sz="2" w:space="0" w:color="auto"/>
              <w:left w:val="nil"/>
              <w:bottom w:val="single" w:sz="2" w:space="0" w:color="auto"/>
              <w:right w:val="nil"/>
            </w:tcBorders>
            <w:vAlign w:val="center"/>
          </w:tcPr>
          <w:p w14:paraId="360910E0" w14:textId="77777777" w:rsidR="00614DC4" w:rsidRPr="002410BC" w:rsidRDefault="00BD1B10" w:rsidP="002410BC">
            <w:pPr>
              <w:tabs>
                <w:tab w:val="center" w:pos="2835"/>
                <w:tab w:val="center" w:pos="3969"/>
                <w:tab w:val="num" w:pos="4920"/>
                <w:tab w:val="center" w:pos="5103"/>
                <w:tab w:val="center" w:pos="6237"/>
                <w:tab w:val="center" w:pos="7371"/>
              </w:tabs>
              <w:ind w:left="-42"/>
              <w:jc w:val="right"/>
              <w:rPr>
                <w:rFonts w:ascii="Arial Narrow" w:hAnsi="Arial Narrow"/>
                <w:spacing w:val="6"/>
                <w:sz w:val="20"/>
                <w:szCs w:val="20"/>
                <w:lang w:val="es-ES_tradnl"/>
              </w:rPr>
            </w:pPr>
            <w:r w:rsidRPr="002410BC">
              <w:rPr>
                <w:rFonts w:ascii="Arial Narrow" w:hAnsi="Arial Narrow"/>
                <w:spacing w:val="6"/>
                <w:sz w:val="20"/>
                <w:szCs w:val="20"/>
                <w:lang w:val="es-ES_tradnl"/>
              </w:rPr>
              <w:t>31,56</w:t>
            </w:r>
          </w:p>
        </w:tc>
      </w:tr>
      <w:tr w:rsidR="00614DC4" w14:paraId="666BB589" w14:textId="77777777" w:rsidTr="002410BC">
        <w:trPr>
          <w:trHeight w:val="198"/>
          <w:jc w:val="center"/>
        </w:trPr>
        <w:tc>
          <w:tcPr>
            <w:tcW w:w="3016" w:type="pct"/>
            <w:tcBorders>
              <w:top w:val="single" w:sz="2" w:space="0" w:color="auto"/>
              <w:left w:val="nil"/>
              <w:bottom w:val="single" w:sz="2" w:space="0" w:color="auto"/>
              <w:right w:val="nil"/>
            </w:tcBorders>
            <w:vAlign w:val="center"/>
            <w:hideMark/>
          </w:tcPr>
          <w:p w14:paraId="69C2012E" w14:textId="77777777" w:rsidR="00614DC4" w:rsidRPr="002410BC" w:rsidRDefault="00614DC4" w:rsidP="002410BC">
            <w:pPr>
              <w:tabs>
                <w:tab w:val="center" w:pos="2835"/>
                <w:tab w:val="center" w:pos="3969"/>
                <w:tab w:val="num" w:pos="4920"/>
                <w:tab w:val="center" w:pos="5103"/>
                <w:tab w:val="center" w:pos="6237"/>
                <w:tab w:val="center" w:pos="7371"/>
              </w:tabs>
              <w:ind w:left="-42"/>
              <w:rPr>
                <w:rFonts w:ascii="Arial Narrow" w:hAnsi="Arial Narrow"/>
                <w:spacing w:val="6"/>
                <w:sz w:val="20"/>
                <w:szCs w:val="20"/>
                <w:lang w:val="es-ES_tradnl"/>
              </w:rPr>
            </w:pPr>
            <w:r w:rsidRPr="002410BC">
              <w:rPr>
                <w:rFonts w:ascii="Arial Narrow" w:hAnsi="Arial Narrow"/>
                <w:spacing w:val="6"/>
                <w:sz w:val="20"/>
                <w:szCs w:val="20"/>
                <w:lang w:val="es-ES_tradnl"/>
              </w:rPr>
              <w:t>Septiembre</w:t>
            </w:r>
          </w:p>
        </w:tc>
        <w:tc>
          <w:tcPr>
            <w:tcW w:w="1984" w:type="pct"/>
            <w:tcBorders>
              <w:top w:val="single" w:sz="2" w:space="0" w:color="auto"/>
              <w:left w:val="nil"/>
              <w:bottom w:val="single" w:sz="2" w:space="0" w:color="auto"/>
              <w:right w:val="nil"/>
            </w:tcBorders>
            <w:vAlign w:val="center"/>
          </w:tcPr>
          <w:p w14:paraId="52B43540" w14:textId="77777777" w:rsidR="00614DC4" w:rsidRPr="002410BC" w:rsidRDefault="00BD1B10" w:rsidP="002410BC">
            <w:pPr>
              <w:tabs>
                <w:tab w:val="center" w:pos="2835"/>
                <w:tab w:val="center" w:pos="3969"/>
                <w:tab w:val="num" w:pos="4920"/>
                <w:tab w:val="center" w:pos="5103"/>
                <w:tab w:val="center" w:pos="6237"/>
                <w:tab w:val="center" w:pos="7371"/>
              </w:tabs>
              <w:ind w:left="-42"/>
              <w:jc w:val="right"/>
              <w:rPr>
                <w:rFonts w:ascii="Arial Narrow" w:hAnsi="Arial Narrow"/>
                <w:spacing w:val="6"/>
                <w:sz w:val="20"/>
                <w:szCs w:val="20"/>
                <w:lang w:val="es-ES_tradnl"/>
              </w:rPr>
            </w:pPr>
            <w:r w:rsidRPr="002410BC">
              <w:rPr>
                <w:rFonts w:ascii="Arial Narrow" w:hAnsi="Arial Narrow"/>
                <w:spacing w:val="6"/>
                <w:sz w:val="20"/>
                <w:szCs w:val="20"/>
                <w:lang w:val="es-ES_tradnl"/>
              </w:rPr>
              <w:t>28,68</w:t>
            </w:r>
          </w:p>
        </w:tc>
      </w:tr>
      <w:tr w:rsidR="00614DC4" w14:paraId="6E151760" w14:textId="77777777" w:rsidTr="002410BC">
        <w:trPr>
          <w:trHeight w:val="198"/>
          <w:jc w:val="center"/>
        </w:trPr>
        <w:tc>
          <w:tcPr>
            <w:tcW w:w="3016" w:type="pct"/>
            <w:tcBorders>
              <w:top w:val="single" w:sz="2" w:space="0" w:color="auto"/>
              <w:left w:val="nil"/>
              <w:bottom w:val="single" w:sz="2" w:space="0" w:color="auto"/>
              <w:right w:val="nil"/>
            </w:tcBorders>
            <w:vAlign w:val="center"/>
            <w:hideMark/>
          </w:tcPr>
          <w:p w14:paraId="4D202814" w14:textId="77777777" w:rsidR="00614DC4" w:rsidRPr="002410BC" w:rsidRDefault="00614DC4" w:rsidP="002410BC">
            <w:pPr>
              <w:tabs>
                <w:tab w:val="center" w:pos="2835"/>
                <w:tab w:val="center" w:pos="3969"/>
                <w:tab w:val="num" w:pos="4920"/>
                <w:tab w:val="center" w:pos="5103"/>
                <w:tab w:val="center" w:pos="6237"/>
                <w:tab w:val="center" w:pos="7371"/>
              </w:tabs>
              <w:ind w:left="-42"/>
              <w:rPr>
                <w:rFonts w:ascii="Arial Narrow" w:hAnsi="Arial Narrow"/>
                <w:spacing w:val="6"/>
                <w:sz w:val="20"/>
                <w:szCs w:val="20"/>
                <w:lang w:val="es-ES_tradnl"/>
              </w:rPr>
            </w:pPr>
            <w:r w:rsidRPr="002410BC">
              <w:rPr>
                <w:rFonts w:ascii="Arial Narrow" w:hAnsi="Arial Narrow"/>
                <w:spacing w:val="6"/>
                <w:sz w:val="20"/>
                <w:szCs w:val="20"/>
                <w:lang w:val="es-ES_tradnl"/>
              </w:rPr>
              <w:t>Octubre</w:t>
            </w:r>
          </w:p>
        </w:tc>
        <w:tc>
          <w:tcPr>
            <w:tcW w:w="1984" w:type="pct"/>
            <w:tcBorders>
              <w:top w:val="single" w:sz="2" w:space="0" w:color="auto"/>
              <w:left w:val="nil"/>
              <w:bottom w:val="single" w:sz="2" w:space="0" w:color="auto"/>
              <w:right w:val="nil"/>
            </w:tcBorders>
            <w:vAlign w:val="center"/>
          </w:tcPr>
          <w:p w14:paraId="65AE62E7" w14:textId="77777777" w:rsidR="00614DC4" w:rsidRPr="002410BC" w:rsidRDefault="00BD1B10" w:rsidP="002410BC">
            <w:pPr>
              <w:tabs>
                <w:tab w:val="center" w:pos="2835"/>
                <w:tab w:val="center" w:pos="3969"/>
                <w:tab w:val="num" w:pos="4920"/>
                <w:tab w:val="center" w:pos="5103"/>
                <w:tab w:val="center" w:pos="6237"/>
                <w:tab w:val="center" w:pos="7371"/>
              </w:tabs>
              <w:ind w:left="-42"/>
              <w:jc w:val="right"/>
              <w:rPr>
                <w:rFonts w:ascii="Arial Narrow" w:hAnsi="Arial Narrow"/>
                <w:spacing w:val="6"/>
                <w:sz w:val="20"/>
                <w:szCs w:val="20"/>
                <w:lang w:val="es-ES_tradnl"/>
              </w:rPr>
            </w:pPr>
            <w:r w:rsidRPr="002410BC">
              <w:rPr>
                <w:rFonts w:ascii="Arial Narrow" w:hAnsi="Arial Narrow"/>
                <w:spacing w:val="6"/>
                <w:sz w:val="20"/>
                <w:szCs w:val="20"/>
                <w:lang w:val="es-ES_tradnl"/>
              </w:rPr>
              <w:t>29,17</w:t>
            </w:r>
          </w:p>
        </w:tc>
      </w:tr>
      <w:tr w:rsidR="00614DC4" w:rsidRPr="00D12353" w14:paraId="24BA8378" w14:textId="77777777" w:rsidTr="002410BC">
        <w:trPr>
          <w:trHeight w:val="198"/>
          <w:jc w:val="center"/>
        </w:trPr>
        <w:tc>
          <w:tcPr>
            <w:tcW w:w="3016" w:type="pct"/>
            <w:tcBorders>
              <w:top w:val="single" w:sz="2" w:space="0" w:color="auto"/>
              <w:left w:val="nil"/>
              <w:bottom w:val="single" w:sz="2" w:space="0" w:color="auto"/>
              <w:right w:val="nil"/>
            </w:tcBorders>
            <w:vAlign w:val="center"/>
            <w:hideMark/>
          </w:tcPr>
          <w:p w14:paraId="3A2EA773" w14:textId="77777777" w:rsidR="00614DC4" w:rsidRPr="002410BC" w:rsidRDefault="00614DC4" w:rsidP="002410BC">
            <w:pPr>
              <w:tabs>
                <w:tab w:val="center" w:pos="2835"/>
                <w:tab w:val="center" w:pos="3969"/>
                <w:tab w:val="num" w:pos="4920"/>
                <w:tab w:val="center" w:pos="5103"/>
                <w:tab w:val="center" w:pos="6237"/>
                <w:tab w:val="center" w:pos="7371"/>
              </w:tabs>
              <w:ind w:left="-42"/>
              <w:rPr>
                <w:rFonts w:ascii="Arial Narrow" w:hAnsi="Arial Narrow"/>
                <w:spacing w:val="6"/>
                <w:sz w:val="20"/>
                <w:szCs w:val="20"/>
                <w:lang w:val="es-ES_tradnl"/>
              </w:rPr>
            </w:pPr>
            <w:r w:rsidRPr="002410BC">
              <w:rPr>
                <w:rFonts w:ascii="Arial Narrow" w:hAnsi="Arial Narrow"/>
                <w:spacing w:val="6"/>
                <w:sz w:val="20"/>
                <w:szCs w:val="20"/>
                <w:lang w:val="es-ES_tradnl"/>
              </w:rPr>
              <w:t>Noviembre</w:t>
            </w:r>
          </w:p>
        </w:tc>
        <w:tc>
          <w:tcPr>
            <w:tcW w:w="1984" w:type="pct"/>
            <w:tcBorders>
              <w:top w:val="single" w:sz="2" w:space="0" w:color="auto"/>
              <w:left w:val="nil"/>
              <w:bottom w:val="single" w:sz="2" w:space="0" w:color="auto"/>
              <w:right w:val="nil"/>
            </w:tcBorders>
            <w:vAlign w:val="center"/>
          </w:tcPr>
          <w:p w14:paraId="2ADABE12" w14:textId="77777777" w:rsidR="00614DC4" w:rsidRPr="002410BC" w:rsidRDefault="00BD1B10" w:rsidP="002410BC">
            <w:pPr>
              <w:tabs>
                <w:tab w:val="center" w:pos="2835"/>
                <w:tab w:val="center" w:pos="3969"/>
                <w:tab w:val="num" w:pos="4920"/>
                <w:tab w:val="center" w:pos="5103"/>
                <w:tab w:val="center" w:pos="6237"/>
                <w:tab w:val="center" w:pos="7371"/>
              </w:tabs>
              <w:ind w:left="-42"/>
              <w:jc w:val="right"/>
              <w:rPr>
                <w:rFonts w:ascii="Arial Narrow" w:hAnsi="Arial Narrow"/>
                <w:spacing w:val="6"/>
                <w:sz w:val="20"/>
                <w:szCs w:val="20"/>
                <w:lang w:val="es-ES_tradnl"/>
              </w:rPr>
            </w:pPr>
            <w:r w:rsidRPr="002410BC">
              <w:rPr>
                <w:rFonts w:ascii="Arial Narrow" w:hAnsi="Arial Narrow"/>
                <w:spacing w:val="6"/>
                <w:sz w:val="20"/>
                <w:szCs w:val="20"/>
                <w:lang w:val="es-ES_tradnl"/>
              </w:rPr>
              <w:t>25,37</w:t>
            </w:r>
          </w:p>
        </w:tc>
      </w:tr>
      <w:tr w:rsidR="00614DC4" w:rsidRPr="00D12353" w14:paraId="71CE8724" w14:textId="77777777" w:rsidTr="002410BC">
        <w:trPr>
          <w:trHeight w:val="198"/>
          <w:jc w:val="center"/>
        </w:trPr>
        <w:tc>
          <w:tcPr>
            <w:tcW w:w="3016" w:type="pct"/>
            <w:tcBorders>
              <w:top w:val="single" w:sz="2" w:space="0" w:color="auto"/>
              <w:left w:val="nil"/>
              <w:bottom w:val="single" w:sz="2" w:space="0" w:color="auto"/>
              <w:right w:val="nil"/>
            </w:tcBorders>
            <w:vAlign w:val="center"/>
            <w:hideMark/>
          </w:tcPr>
          <w:p w14:paraId="22525EA6" w14:textId="77777777" w:rsidR="00614DC4" w:rsidRPr="002410BC" w:rsidRDefault="00614DC4" w:rsidP="002410BC">
            <w:pPr>
              <w:tabs>
                <w:tab w:val="center" w:pos="2835"/>
                <w:tab w:val="center" w:pos="3969"/>
                <w:tab w:val="num" w:pos="4920"/>
                <w:tab w:val="center" w:pos="5103"/>
                <w:tab w:val="center" w:pos="6237"/>
                <w:tab w:val="center" w:pos="7371"/>
              </w:tabs>
              <w:ind w:left="-42"/>
              <w:rPr>
                <w:rFonts w:ascii="Arial Narrow" w:hAnsi="Arial Narrow"/>
                <w:spacing w:val="6"/>
                <w:sz w:val="20"/>
                <w:szCs w:val="20"/>
                <w:lang w:val="es-ES_tradnl"/>
              </w:rPr>
            </w:pPr>
            <w:r w:rsidRPr="002410BC">
              <w:rPr>
                <w:rFonts w:ascii="Arial Narrow" w:hAnsi="Arial Narrow"/>
                <w:spacing w:val="6"/>
                <w:sz w:val="20"/>
                <w:szCs w:val="20"/>
                <w:lang w:val="es-ES_tradnl"/>
              </w:rPr>
              <w:t>Diciembre</w:t>
            </w:r>
          </w:p>
        </w:tc>
        <w:tc>
          <w:tcPr>
            <w:tcW w:w="1984" w:type="pct"/>
            <w:tcBorders>
              <w:top w:val="single" w:sz="2" w:space="0" w:color="auto"/>
              <w:left w:val="nil"/>
              <w:bottom w:val="single" w:sz="2" w:space="0" w:color="auto"/>
              <w:right w:val="single" w:sz="2" w:space="0" w:color="auto"/>
            </w:tcBorders>
            <w:vAlign w:val="center"/>
          </w:tcPr>
          <w:p w14:paraId="4D05C7CB" w14:textId="77777777" w:rsidR="00614DC4" w:rsidRPr="002410BC" w:rsidRDefault="00BD1B10" w:rsidP="002410BC">
            <w:pPr>
              <w:tabs>
                <w:tab w:val="center" w:pos="2835"/>
                <w:tab w:val="center" w:pos="3969"/>
                <w:tab w:val="num" w:pos="4920"/>
                <w:tab w:val="center" w:pos="5103"/>
                <w:tab w:val="center" w:pos="6237"/>
                <w:tab w:val="center" w:pos="7371"/>
              </w:tabs>
              <w:ind w:left="-42"/>
              <w:jc w:val="right"/>
              <w:rPr>
                <w:rFonts w:ascii="Arial Narrow" w:hAnsi="Arial Narrow"/>
                <w:spacing w:val="6"/>
                <w:sz w:val="20"/>
                <w:szCs w:val="20"/>
                <w:lang w:val="es-ES_tradnl"/>
              </w:rPr>
            </w:pPr>
            <w:r w:rsidRPr="002410BC">
              <w:rPr>
                <w:rFonts w:ascii="Arial Narrow" w:hAnsi="Arial Narrow"/>
                <w:spacing w:val="6"/>
                <w:sz w:val="20"/>
                <w:szCs w:val="20"/>
                <w:lang w:val="es-ES_tradnl"/>
              </w:rPr>
              <w:t>24,11</w:t>
            </w:r>
          </w:p>
        </w:tc>
      </w:tr>
    </w:tbl>
    <w:p w14:paraId="1B236C76" w14:textId="77777777" w:rsidR="00614DC4" w:rsidRDefault="00614DC4" w:rsidP="00614DC4">
      <w:pPr>
        <w:spacing w:before="60"/>
        <w:rPr>
          <w:rFonts w:ascii="Arial" w:hAnsi="Arial" w:cs="Arial"/>
          <w:sz w:val="16"/>
          <w:szCs w:val="16"/>
        </w:rPr>
      </w:pPr>
      <w:r>
        <w:rPr>
          <w:rFonts w:ascii="Arial" w:hAnsi="Arial" w:cs="Arial"/>
          <w:sz w:val="16"/>
          <w:szCs w:val="16"/>
        </w:rPr>
        <w:t>Fuente: Gobierno de Navarra.</w:t>
      </w:r>
    </w:p>
    <w:p w14:paraId="3904B26D" w14:textId="77777777" w:rsidR="00614DC4" w:rsidRPr="00842336" w:rsidRDefault="00614DC4" w:rsidP="002D15F8">
      <w:pPr>
        <w:pStyle w:val="texto"/>
        <w:spacing w:before="240"/>
        <w:jc w:val="both"/>
      </w:pPr>
      <w:r w:rsidRPr="00842336">
        <w:t>El Sector Administración Pública de la Comunidad Foral en 202</w:t>
      </w:r>
      <w:r w:rsidR="00234477" w:rsidRPr="00842336">
        <w:t>3</w:t>
      </w:r>
      <w:r w:rsidRPr="00842336">
        <w:t xml:space="preserve"> cumplió con el principio de sostenibilidad de la deuda comercial </w:t>
      </w:r>
      <w:r w:rsidR="00842336" w:rsidRPr="00842336">
        <w:t xml:space="preserve">no superando, </w:t>
      </w:r>
      <w:r w:rsidRPr="00842336">
        <w:t xml:space="preserve">en </w:t>
      </w:r>
      <w:r w:rsidR="00234477" w:rsidRPr="00842336">
        <w:t xml:space="preserve">11 </w:t>
      </w:r>
      <w:r w:rsidR="00842336" w:rsidRPr="00842336">
        <w:t xml:space="preserve">de los 12 </w:t>
      </w:r>
      <w:r w:rsidR="00234477" w:rsidRPr="00842336">
        <w:t xml:space="preserve">meses </w:t>
      </w:r>
      <w:r w:rsidRPr="00842336">
        <w:t>el plazo establecido en la no</w:t>
      </w:r>
      <w:r w:rsidR="00842336">
        <w:t>rmativa. H</w:t>
      </w:r>
      <w:r w:rsidRPr="00842336">
        <w:t xml:space="preserve">emos constatado que no han existido retrasos significativos en pagos a proveedores que hayan originado gastos por intereses de demora. </w:t>
      </w:r>
    </w:p>
    <w:p w14:paraId="043DC4FC" w14:textId="77777777" w:rsidR="00614DC4" w:rsidRDefault="00614DC4" w:rsidP="008C2B8E">
      <w:pPr>
        <w:pStyle w:val="texto"/>
        <w:numPr>
          <w:ilvl w:val="0"/>
          <w:numId w:val="6"/>
        </w:numPr>
        <w:tabs>
          <w:tab w:val="clear" w:pos="360"/>
          <w:tab w:val="num" w:pos="300"/>
          <w:tab w:val="left" w:pos="480"/>
          <w:tab w:val="num" w:pos="600"/>
        </w:tabs>
        <w:spacing w:before="120"/>
        <w:ind w:firstLine="289"/>
        <w:jc w:val="both"/>
      </w:pPr>
      <w:r>
        <w:t>Prudencia financiera o conjunto de condiciones que deben cumplir las operaciones financieras para minimizar su riesgo y coste, que se materializa en:</w:t>
      </w:r>
    </w:p>
    <w:p w14:paraId="50BAB2AA" w14:textId="77777777" w:rsidR="00614DC4" w:rsidRDefault="00614DC4" w:rsidP="008C2B8E">
      <w:pPr>
        <w:pStyle w:val="texto"/>
        <w:numPr>
          <w:ilvl w:val="0"/>
          <w:numId w:val="7"/>
        </w:numPr>
        <w:tabs>
          <w:tab w:val="left" w:pos="708"/>
        </w:tabs>
        <w:spacing w:before="140"/>
        <w:ind w:left="0" w:firstLine="284"/>
        <w:jc w:val="both"/>
        <w:rPr>
          <w:rFonts w:cs="Arial"/>
        </w:rPr>
      </w:pPr>
      <w:r>
        <w:rPr>
          <w:rFonts w:cs="Arial"/>
        </w:rPr>
        <w:t>Pasivos financieros o endeudamiento. El coste total máximo de las operaciones de endeudamiento, incluyendo comisiones y otros gastos, no podrá superar el coste de financiación del Estado al plazo medio de la operación, incrementado con unos determinados diferenciales, de acuerdo con la Resolución de 31 de julio de 2015 de la Secretaría General del Tesoro y Política Financiera, y la de 4 de julio de 2017.</w:t>
      </w:r>
    </w:p>
    <w:p w14:paraId="256509AA" w14:textId="77777777" w:rsidR="00614DC4" w:rsidRPr="00866B62" w:rsidRDefault="00614DC4" w:rsidP="002D15F8">
      <w:pPr>
        <w:pStyle w:val="texto"/>
        <w:tabs>
          <w:tab w:val="left" w:pos="708"/>
        </w:tabs>
        <w:spacing w:before="140"/>
        <w:jc w:val="both"/>
        <w:rPr>
          <w:rFonts w:cs="Arial"/>
        </w:rPr>
      </w:pPr>
      <w:r w:rsidRPr="00866B62">
        <w:rPr>
          <w:rFonts w:cs="Arial"/>
        </w:rPr>
        <w:t>Hemos verificado que este requisito se cumple en las operaciones de endeudamiento que se han materializado en 202</w:t>
      </w:r>
      <w:r w:rsidR="00BD1B10" w:rsidRPr="00866B62">
        <w:rPr>
          <w:rFonts w:cs="Arial"/>
        </w:rPr>
        <w:t>3</w:t>
      </w:r>
      <w:r w:rsidRPr="00866B62">
        <w:rPr>
          <w:rFonts w:cs="Arial"/>
        </w:rPr>
        <w:t>.</w:t>
      </w:r>
    </w:p>
    <w:p w14:paraId="3030736F" w14:textId="77777777" w:rsidR="00614DC4" w:rsidRDefault="00614DC4" w:rsidP="008C2B8E">
      <w:pPr>
        <w:pStyle w:val="texto"/>
        <w:numPr>
          <w:ilvl w:val="0"/>
          <w:numId w:val="7"/>
        </w:numPr>
        <w:tabs>
          <w:tab w:val="left" w:pos="708"/>
        </w:tabs>
        <w:spacing w:before="140"/>
        <w:ind w:left="0" w:firstLine="284"/>
        <w:jc w:val="both"/>
        <w:rPr>
          <w:rFonts w:cs="Arial"/>
        </w:rPr>
      </w:pPr>
      <w:r>
        <w:rPr>
          <w:rFonts w:cs="Arial"/>
        </w:rPr>
        <w:t xml:space="preserve">Avales, </w:t>
      </w:r>
      <w:proofErr w:type="spellStart"/>
      <w:r>
        <w:rPr>
          <w:rFonts w:cs="Arial"/>
        </w:rPr>
        <w:t>reavales</w:t>
      </w:r>
      <w:proofErr w:type="spellEnd"/>
      <w:r>
        <w:rPr>
          <w:rFonts w:cs="Arial"/>
        </w:rPr>
        <w:t xml:space="preserve"> u otra clase de garantías públicas. Se establecen, de acuerdo con la Resolución de 9 de septiembre de 2015, de la Secretaría General de Coordinación Autonómica y Local, dos límites para la concesión de avales a </w:t>
      </w:r>
      <w:r>
        <w:rPr>
          <w:rFonts w:cs="Arial"/>
        </w:rPr>
        <w:lastRenderedPageBreak/>
        <w:t>entidades no integrantes del perímetro de consolidación según SEC: por un lado, un límite global por el que, a 31 de diciembre, el importe total de avales y otras garantías concedidas más las autorizaciones previstas para el ejercicio siguiente no podrá superar el 1,5 por ciento del PIB de Navarra; por otro, un límite individual, por el cual un aval o garantía concedida no podrá superar los 25 millones o el 0,1 por ciento del PIB de Navarra.</w:t>
      </w:r>
    </w:p>
    <w:p w14:paraId="4DC93766" w14:textId="77777777" w:rsidR="00614DC4" w:rsidRPr="00653329" w:rsidRDefault="00614DC4" w:rsidP="002D15F8">
      <w:pPr>
        <w:pStyle w:val="texto"/>
        <w:tabs>
          <w:tab w:val="left" w:pos="708"/>
        </w:tabs>
        <w:spacing w:before="140"/>
        <w:jc w:val="both"/>
        <w:rPr>
          <w:rFonts w:cs="Arial"/>
        </w:rPr>
      </w:pPr>
      <w:r>
        <w:rPr>
          <w:rFonts w:cs="Arial"/>
        </w:rPr>
        <w:t>A estos efectos, la Comunidad Foral presenta a 31 de diciembre de 202</w:t>
      </w:r>
      <w:r w:rsidR="00BD1B10">
        <w:rPr>
          <w:rFonts w:cs="Arial"/>
        </w:rPr>
        <w:t>3</w:t>
      </w:r>
      <w:r>
        <w:rPr>
          <w:rFonts w:cs="Arial"/>
        </w:rPr>
        <w:t xml:space="preserve"> un volumen de avales y otras garantías cifrado en </w:t>
      </w:r>
      <w:r w:rsidR="00866B62" w:rsidRPr="00866B62">
        <w:rPr>
          <w:rFonts w:cs="Arial"/>
        </w:rPr>
        <w:t>100</w:t>
      </w:r>
      <w:r w:rsidRPr="00866B62">
        <w:rPr>
          <w:rFonts w:cs="Arial"/>
        </w:rPr>
        <w:t xml:space="preserve"> m</w:t>
      </w:r>
      <w:r>
        <w:rPr>
          <w:rFonts w:cs="Arial"/>
        </w:rPr>
        <w:t>illones concedidos a personas físicas y/o jurídicas distintas de las que integran el Sector Administración Públ</w:t>
      </w:r>
      <w:r w:rsidR="00842336">
        <w:rPr>
          <w:rFonts w:cs="Arial"/>
        </w:rPr>
        <w:t xml:space="preserve">ica definido según el SEC´2010. Por su parte, </w:t>
      </w:r>
      <w:r w:rsidRPr="00653329">
        <w:rPr>
          <w:rFonts w:cs="Arial"/>
        </w:rPr>
        <w:t xml:space="preserve">la Ley Foral de Presupuestos Generales de Navarra </w:t>
      </w:r>
      <w:r w:rsidR="00842336">
        <w:rPr>
          <w:rFonts w:cs="Arial"/>
        </w:rPr>
        <w:t xml:space="preserve">para </w:t>
      </w:r>
      <w:r w:rsidRPr="00653329">
        <w:rPr>
          <w:rFonts w:cs="Arial"/>
        </w:rPr>
        <w:t>202</w:t>
      </w:r>
      <w:r w:rsidR="00653329" w:rsidRPr="00653329">
        <w:rPr>
          <w:rFonts w:cs="Arial"/>
        </w:rPr>
        <w:t>4</w:t>
      </w:r>
      <w:r w:rsidRPr="00653329">
        <w:rPr>
          <w:rFonts w:cs="Arial"/>
        </w:rPr>
        <w:t xml:space="preserve"> estima unas previsi</w:t>
      </w:r>
      <w:r w:rsidR="00653329" w:rsidRPr="00653329">
        <w:rPr>
          <w:rFonts w:cs="Arial"/>
        </w:rPr>
        <w:t xml:space="preserve">ones de concesión de avales de </w:t>
      </w:r>
      <w:r w:rsidR="00234477">
        <w:rPr>
          <w:rFonts w:cs="Arial"/>
        </w:rPr>
        <w:t>93</w:t>
      </w:r>
      <w:r w:rsidRPr="00653329">
        <w:rPr>
          <w:rFonts w:cs="Arial"/>
        </w:rPr>
        <w:t xml:space="preserve"> millones. </w:t>
      </w:r>
    </w:p>
    <w:p w14:paraId="3B5F283C" w14:textId="77777777" w:rsidR="00614DC4" w:rsidRPr="00866B62" w:rsidRDefault="00614DC4" w:rsidP="002D15F8">
      <w:pPr>
        <w:pStyle w:val="texto"/>
        <w:tabs>
          <w:tab w:val="left" w:pos="708"/>
        </w:tabs>
        <w:spacing w:before="140"/>
        <w:jc w:val="both"/>
        <w:rPr>
          <w:rFonts w:cs="Arial"/>
        </w:rPr>
      </w:pPr>
      <w:r w:rsidRPr="00866B62">
        <w:rPr>
          <w:rFonts w:cs="Arial"/>
        </w:rPr>
        <w:t>Por tanto, el importe de avales concedidos en 202</w:t>
      </w:r>
      <w:r w:rsidR="00653329" w:rsidRPr="00866B62">
        <w:rPr>
          <w:rFonts w:cs="Arial"/>
        </w:rPr>
        <w:t>3</w:t>
      </w:r>
      <w:r w:rsidRPr="00866B62">
        <w:rPr>
          <w:rFonts w:cs="Arial"/>
        </w:rPr>
        <w:t xml:space="preserve"> y previstos para 202</w:t>
      </w:r>
      <w:r w:rsidR="00653329" w:rsidRPr="00866B62">
        <w:rPr>
          <w:rFonts w:cs="Arial"/>
        </w:rPr>
        <w:t>4</w:t>
      </w:r>
      <w:r w:rsidRPr="00866B62">
        <w:rPr>
          <w:rFonts w:cs="Arial"/>
        </w:rPr>
        <w:t xml:space="preserve">, asciende a </w:t>
      </w:r>
      <w:r w:rsidR="00234477">
        <w:rPr>
          <w:rFonts w:cs="Arial"/>
        </w:rPr>
        <w:t>193</w:t>
      </w:r>
      <w:r w:rsidRPr="00866B62">
        <w:rPr>
          <w:rFonts w:cs="Arial"/>
        </w:rPr>
        <w:t xml:space="preserve"> millones, valor que representa el uno por ciento del PIB de Navarra; este porcentaje es inferior al límite del 1,5 por ciento que señala la legislación, por lo que se ha cumplido con esta norma.</w:t>
      </w:r>
    </w:p>
    <w:p w14:paraId="4C975A04" w14:textId="77777777" w:rsidR="00614DC4" w:rsidRPr="00866B62" w:rsidRDefault="00614DC4" w:rsidP="00C74FAF">
      <w:pPr>
        <w:pStyle w:val="texto"/>
        <w:tabs>
          <w:tab w:val="left" w:pos="708"/>
        </w:tabs>
        <w:spacing w:before="140" w:after="120"/>
        <w:jc w:val="both"/>
        <w:rPr>
          <w:rFonts w:cs="Arial"/>
        </w:rPr>
      </w:pPr>
      <w:r w:rsidRPr="00866B62">
        <w:rPr>
          <w:rFonts w:cs="Arial"/>
        </w:rPr>
        <w:t>Por otra parte, no consta que ningún tercero haya obtenido avales u otras garantías por importe individual superior a 25 millones o al 0,1 por ciento del PIB de Navarra.</w:t>
      </w:r>
    </w:p>
    <w:p w14:paraId="65652B96" w14:textId="77777777" w:rsidR="00614DC4" w:rsidRDefault="00614DC4" w:rsidP="00024014">
      <w:pPr>
        <w:pStyle w:val="texto"/>
        <w:numPr>
          <w:ilvl w:val="0"/>
          <w:numId w:val="7"/>
        </w:numPr>
        <w:tabs>
          <w:tab w:val="left" w:pos="708"/>
        </w:tabs>
        <w:spacing w:after="120"/>
        <w:ind w:left="0" w:firstLine="284"/>
        <w:jc w:val="both"/>
        <w:rPr>
          <w:rFonts w:cs="Arial"/>
        </w:rPr>
      </w:pPr>
      <w:r>
        <w:rPr>
          <w:rFonts w:cs="Arial"/>
        </w:rPr>
        <w:t>Activos financieros. De acuerdo con la Resolución de 9 de septiembre citada y solo para las Comunidades Autónomas que incumplan el objetivo de deuda pública, éstas no podrán presentar una variación neta de activos financieros positiva al cierre del siguiente ejercicio presupuestario al del incumplimiento. Dado que Navarra cumplió este objetivo en 202</w:t>
      </w:r>
      <w:r w:rsidR="00BD1B10">
        <w:rPr>
          <w:rFonts w:cs="Arial"/>
        </w:rPr>
        <w:t>2</w:t>
      </w:r>
      <w:r>
        <w:rPr>
          <w:rFonts w:cs="Arial"/>
        </w:rPr>
        <w:t>, esta obligación no es aplicable al ejercicio 202</w:t>
      </w:r>
      <w:r w:rsidR="00BD1B10">
        <w:rPr>
          <w:rFonts w:cs="Arial"/>
        </w:rPr>
        <w:t>3</w:t>
      </w:r>
      <w:r>
        <w:rPr>
          <w:rFonts w:cs="Arial"/>
        </w:rPr>
        <w:t>.</w:t>
      </w:r>
    </w:p>
    <w:p w14:paraId="7545F50D" w14:textId="77777777" w:rsidR="00614DC4" w:rsidRDefault="00070BED" w:rsidP="002D15F8">
      <w:pPr>
        <w:pStyle w:val="texto"/>
        <w:spacing w:after="240"/>
        <w:jc w:val="both"/>
      </w:pPr>
      <w:r>
        <w:rPr>
          <w:b/>
        </w:rPr>
        <w:t>En definitiva</w:t>
      </w:r>
      <w:r w:rsidR="00614DC4">
        <w:t>, el Sector Administración Pública de la Comunidad Foral en el ejercicio 202</w:t>
      </w:r>
      <w:r w:rsidR="00BD1B10">
        <w:t>3</w:t>
      </w:r>
      <w:r w:rsidR="00614DC4">
        <w:t xml:space="preserve"> ha cumplido con los parámetros de referencia establecidos en la Comisión Coordinadora del Convenio y con las exigencias vigentes referidas al principio de sostenibilidad financiera. </w:t>
      </w:r>
    </w:p>
    <w:p w14:paraId="17D6F294" w14:textId="77777777" w:rsidR="00D85F0A" w:rsidRDefault="006C42F2" w:rsidP="006C42F2">
      <w:pPr>
        <w:pStyle w:val="texto"/>
        <w:spacing w:after="240"/>
        <w:jc w:val="both"/>
      </w:pPr>
      <w:r>
        <w:t xml:space="preserve">No obstante, como hecho posterior, indicamos que la </w:t>
      </w:r>
      <w:r w:rsidR="00D77F97">
        <w:t>AIRE</w:t>
      </w:r>
      <w:r w:rsidRPr="006C42F2">
        <w:t xml:space="preserve">F </w:t>
      </w:r>
      <w:r>
        <w:t>en su informe s</w:t>
      </w:r>
      <w:r w:rsidRPr="006C42F2">
        <w:t>obre la ejecución presupuestaria, deuda pública y regla de gasto 2024</w:t>
      </w:r>
      <w:r>
        <w:t>, de fecha 17 de julio de 2024</w:t>
      </w:r>
      <w:r w:rsidR="00D85F0A">
        <w:t xml:space="preserve">, considera que en las CCAA (incluida la Comunidad Foral de Navarra) </w:t>
      </w:r>
      <w:r w:rsidR="00D85F0A" w:rsidRPr="00D85F0A">
        <w:rPr>
          <w:i/>
        </w:rPr>
        <w:t>“…persiste el riesgo de incumplimiento de la regla de gasto. Esta situación y las implicaciones que tiene sobre el cumplimiento de la recomendación por país y el deterioro a medio plazo de las cuentas públicas, aconsejan poner en marcha las medidas previstas en la LOEPSF</w:t>
      </w:r>
      <w:r w:rsidR="00D85F0A">
        <w:t>”</w:t>
      </w:r>
      <w:r w:rsidR="00C74FAF">
        <w:t>.</w:t>
      </w:r>
    </w:p>
    <w:p w14:paraId="2C24DF2C" w14:textId="77777777" w:rsidR="0057214E" w:rsidRDefault="0057214E">
      <w:pPr>
        <w:rPr>
          <w:rFonts w:ascii="Arial" w:hAnsi="Arial"/>
          <w:bCs/>
          <w:iCs/>
          <w:color w:val="000000"/>
          <w:spacing w:val="10"/>
          <w:kern w:val="28"/>
          <w:sz w:val="25"/>
          <w:szCs w:val="26"/>
        </w:rPr>
      </w:pPr>
      <w:bookmarkStart w:id="115" w:name="_Toc146471246"/>
      <w:bookmarkStart w:id="116" w:name="_Toc52267371"/>
      <w:bookmarkStart w:id="117" w:name="_Toc525907442"/>
      <w:bookmarkStart w:id="118" w:name="_Toc494270386"/>
      <w:r>
        <w:br w:type="page"/>
      </w:r>
    </w:p>
    <w:p w14:paraId="1D9278CC" w14:textId="77777777" w:rsidR="00614DC4" w:rsidRDefault="00614DC4" w:rsidP="00614DC4">
      <w:pPr>
        <w:pStyle w:val="atitulo2"/>
        <w:spacing w:before="240" w:after="120"/>
      </w:pPr>
      <w:bookmarkStart w:id="119" w:name="_Toc182464282"/>
      <w:r>
        <w:lastRenderedPageBreak/>
        <w:t>5.4 Gastos de personal</w:t>
      </w:r>
      <w:bookmarkEnd w:id="115"/>
      <w:bookmarkEnd w:id="116"/>
      <w:bookmarkEnd w:id="117"/>
      <w:bookmarkEnd w:id="118"/>
      <w:bookmarkEnd w:id="119"/>
    </w:p>
    <w:p w14:paraId="1730ED79" w14:textId="77777777" w:rsidR="00614DC4" w:rsidRDefault="00614DC4" w:rsidP="00024014">
      <w:pPr>
        <w:pStyle w:val="texto"/>
        <w:spacing w:after="120"/>
        <w:jc w:val="both"/>
      </w:pPr>
      <w:r>
        <w:t>Los gastos de personal en 202</w:t>
      </w:r>
      <w:r w:rsidR="00BD1B10">
        <w:t>3</w:t>
      </w:r>
      <w:r>
        <w:t xml:space="preserve"> ascendieron a 1.</w:t>
      </w:r>
      <w:r w:rsidR="0017543E">
        <w:t>734,28 millones y representan el 30</w:t>
      </w:r>
      <w:r>
        <w:t xml:space="preserve"> por ciento del total del gasto. </w:t>
      </w:r>
      <w:r w:rsidRPr="008C0F2B">
        <w:t>El 4</w:t>
      </w:r>
      <w:r w:rsidR="00524FB9" w:rsidRPr="008C0F2B">
        <w:t>2</w:t>
      </w:r>
      <w:r w:rsidRPr="008C0F2B">
        <w:t xml:space="preserve"> por ciento corresponde al Departamento de Salud, el 32 por ciento al de Educación y el 1</w:t>
      </w:r>
      <w:r w:rsidR="00524FB9" w:rsidRPr="008C0F2B">
        <w:t>6</w:t>
      </w:r>
      <w:r w:rsidRPr="008C0F2B">
        <w:t xml:space="preserve"> por ciento al de Presidencia, </w:t>
      </w:r>
      <w:r w:rsidR="00524FB9" w:rsidRPr="008C0F2B">
        <w:t xml:space="preserve">Igualdad, Función Pública e </w:t>
      </w:r>
      <w:r w:rsidRPr="008C0F2B">
        <w:t>Interior</w:t>
      </w:r>
      <w:r w:rsidR="00524FB9" w:rsidRPr="008C0F2B">
        <w:t>.</w:t>
      </w:r>
    </w:p>
    <w:p w14:paraId="4B12F9BF" w14:textId="77777777" w:rsidR="00614DC4" w:rsidRDefault="00614DC4" w:rsidP="002D15F8">
      <w:pPr>
        <w:pStyle w:val="texto"/>
        <w:spacing w:after="120"/>
        <w:jc w:val="both"/>
      </w:pPr>
      <w:r>
        <w:t xml:space="preserve">Su distribución por artículos presupuestarios es </w:t>
      </w:r>
      <w:r w:rsidR="00FB49C6">
        <w:t xml:space="preserve">el </w:t>
      </w:r>
      <w:r>
        <w:t xml:space="preserve">siguiente: </w:t>
      </w:r>
    </w:p>
    <w:p w14:paraId="3203F678" w14:textId="77777777" w:rsidR="00614DC4" w:rsidRPr="00C40B89" w:rsidRDefault="00614DC4" w:rsidP="00614DC4">
      <w:pPr>
        <w:keepLines/>
        <w:tabs>
          <w:tab w:val="right" w:pos="7371"/>
        </w:tabs>
        <w:jc w:val="right"/>
        <w:rPr>
          <w:rFonts w:ascii="Arial Narrow" w:hAnsi="Arial Narrow" w:cs="Arial"/>
          <w:spacing w:val="6"/>
          <w:sz w:val="20"/>
          <w:szCs w:val="20"/>
        </w:rPr>
      </w:pPr>
      <w:r w:rsidRPr="00C74FAF">
        <w:rPr>
          <w:rFonts w:ascii="Arial" w:hAnsi="Arial" w:cs="Arial"/>
          <w:spacing w:val="6"/>
          <w:sz w:val="17"/>
          <w:szCs w:val="17"/>
        </w:rPr>
        <w:t xml:space="preserve"> (en miles</w:t>
      </w:r>
      <w:r w:rsidRPr="00C40B89">
        <w:rPr>
          <w:rFonts w:ascii="Arial Narrow" w:hAnsi="Arial Narrow" w:cs="Arial"/>
          <w:spacing w:val="6"/>
          <w:sz w:val="20"/>
          <w:szCs w:val="20"/>
        </w:rPr>
        <w:t>)</w:t>
      </w:r>
    </w:p>
    <w:tbl>
      <w:tblPr>
        <w:tblW w:w="5008" w:type="pct"/>
        <w:jc w:val="center"/>
        <w:tblCellMar>
          <w:left w:w="70" w:type="dxa"/>
          <w:right w:w="70" w:type="dxa"/>
        </w:tblCellMar>
        <w:tblLook w:val="04A0" w:firstRow="1" w:lastRow="0" w:firstColumn="1" w:lastColumn="0" w:noHBand="0" w:noVBand="1"/>
      </w:tblPr>
      <w:tblGrid>
        <w:gridCol w:w="3262"/>
        <w:gridCol w:w="2125"/>
        <w:gridCol w:w="2126"/>
        <w:gridCol w:w="1290"/>
      </w:tblGrid>
      <w:tr w:rsidR="00614DC4" w:rsidRPr="00EB306E" w14:paraId="039944AB" w14:textId="77777777" w:rsidTr="00182B19">
        <w:trPr>
          <w:trHeight w:val="255"/>
          <w:jc w:val="center"/>
        </w:trPr>
        <w:tc>
          <w:tcPr>
            <w:tcW w:w="3262" w:type="dxa"/>
            <w:tcBorders>
              <w:top w:val="single" w:sz="4" w:space="0" w:color="auto"/>
              <w:left w:val="nil"/>
              <w:bottom w:val="single" w:sz="4" w:space="0" w:color="auto"/>
              <w:right w:val="nil"/>
            </w:tcBorders>
            <w:shd w:val="clear" w:color="auto" w:fill="95B3D7" w:themeFill="accent1" w:themeFillTint="99"/>
            <w:noWrap/>
            <w:vAlign w:val="center"/>
            <w:hideMark/>
          </w:tcPr>
          <w:p w14:paraId="5D132A84" w14:textId="77777777" w:rsidR="00614DC4" w:rsidRPr="00EB306E" w:rsidRDefault="00614DC4" w:rsidP="004101A9">
            <w:pPr>
              <w:pStyle w:val="cuadroCabe"/>
            </w:pPr>
            <w:r w:rsidRPr="00EB306E">
              <w:t>Artículo presupuestario</w:t>
            </w:r>
          </w:p>
        </w:tc>
        <w:tc>
          <w:tcPr>
            <w:tcW w:w="2125" w:type="dxa"/>
            <w:tcBorders>
              <w:top w:val="single" w:sz="4" w:space="0" w:color="auto"/>
              <w:left w:val="nil"/>
              <w:bottom w:val="single" w:sz="4" w:space="0" w:color="auto"/>
              <w:right w:val="nil"/>
            </w:tcBorders>
            <w:shd w:val="clear" w:color="auto" w:fill="95B3D7" w:themeFill="accent1" w:themeFillTint="99"/>
            <w:vAlign w:val="center"/>
            <w:hideMark/>
          </w:tcPr>
          <w:p w14:paraId="4352EA63" w14:textId="77777777" w:rsidR="00614DC4" w:rsidRPr="00EB306E" w:rsidRDefault="00614DC4" w:rsidP="00524FB9">
            <w:pPr>
              <w:pStyle w:val="cuadroCabe"/>
              <w:ind w:right="66"/>
              <w:jc w:val="right"/>
            </w:pPr>
            <w:proofErr w:type="spellStart"/>
            <w:r w:rsidRPr="00EB306E">
              <w:t>Obligac</w:t>
            </w:r>
            <w:proofErr w:type="spellEnd"/>
            <w:r w:rsidRPr="00EB306E">
              <w:t xml:space="preserve">. Reconocidas </w:t>
            </w:r>
          </w:p>
          <w:p w14:paraId="5EF6A909" w14:textId="77777777" w:rsidR="00614DC4" w:rsidRPr="00EB306E" w:rsidRDefault="00614DC4" w:rsidP="00524FB9">
            <w:pPr>
              <w:pStyle w:val="cuadroCabe"/>
              <w:jc w:val="right"/>
            </w:pPr>
            <w:r w:rsidRPr="00EB306E">
              <w:t>Netas 202</w:t>
            </w:r>
            <w:r w:rsidR="00FA5CB9">
              <w:t>2</w:t>
            </w:r>
          </w:p>
        </w:tc>
        <w:tc>
          <w:tcPr>
            <w:tcW w:w="2126" w:type="dxa"/>
            <w:tcBorders>
              <w:top w:val="single" w:sz="4" w:space="0" w:color="auto"/>
              <w:left w:val="nil"/>
              <w:bottom w:val="single" w:sz="4" w:space="0" w:color="auto"/>
              <w:right w:val="nil"/>
            </w:tcBorders>
            <w:shd w:val="clear" w:color="auto" w:fill="95B3D7" w:themeFill="accent1" w:themeFillTint="99"/>
            <w:vAlign w:val="center"/>
            <w:hideMark/>
          </w:tcPr>
          <w:p w14:paraId="37BFACA4" w14:textId="77777777" w:rsidR="00614DC4" w:rsidRPr="00EB306E" w:rsidRDefault="00614DC4" w:rsidP="00524FB9">
            <w:pPr>
              <w:pStyle w:val="cuadroCabe"/>
              <w:jc w:val="right"/>
            </w:pPr>
            <w:proofErr w:type="spellStart"/>
            <w:r w:rsidRPr="00EB306E">
              <w:t>Obligac</w:t>
            </w:r>
            <w:proofErr w:type="spellEnd"/>
            <w:r w:rsidRPr="00EB306E">
              <w:t xml:space="preserve">. Reconocidas </w:t>
            </w:r>
          </w:p>
          <w:p w14:paraId="4F4ED868" w14:textId="77777777" w:rsidR="00614DC4" w:rsidRPr="00EB306E" w:rsidRDefault="00614DC4" w:rsidP="00524FB9">
            <w:pPr>
              <w:pStyle w:val="cuadroCabe"/>
              <w:jc w:val="right"/>
            </w:pPr>
            <w:r w:rsidRPr="00EB306E">
              <w:t>Netas 202</w:t>
            </w:r>
            <w:r w:rsidR="00FA5CB9">
              <w:t>3</w:t>
            </w:r>
          </w:p>
        </w:tc>
        <w:tc>
          <w:tcPr>
            <w:tcW w:w="1290" w:type="dxa"/>
            <w:tcBorders>
              <w:top w:val="single" w:sz="4" w:space="0" w:color="auto"/>
              <w:left w:val="nil"/>
              <w:bottom w:val="single" w:sz="4" w:space="0" w:color="auto"/>
              <w:right w:val="nil"/>
            </w:tcBorders>
            <w:shd w:val="clear" w:color="auto" w:fill="95B3D7" w:themeFill="accent1" w:themeFillTint="99"/>
            <w:noWrap/>
            <w:vAlign w:val="center"/>
            <w:hideMark/>
          </w:tcPr>
          <w:p w14:paraId="1ED0FCE7" w14:textId="77777777" w:rsidR="00614DC4" w:rsidRPr="00EB306E" w:rsidRDefault="00614DC4" w:rsidP="00524FB9">
            <w:pPr>
              <w:pStyle w:val="cuadroCabe"/>
              <w:jc w:val="right"/>
            </w:pPr>
            <w:r w:rsidRPr="00EB306E">
              <w:t>% Variación</w:t>
            </w:r>
          </w:p>
          <w:p w14:paraId="5282EBB4" w14:textId="77777777" w:rsidR="00614DC4" w:rsidRPr="00EB306E" w:rsidRDefault="00614DC4" w:rsidP="00524FB9">
            <w:pPr>
              <w:pStyle w:val="cuadroCabe"/>
              <w:jc w:val="right"/>
            </w:pPr>
            <w:r w:rsidRPr="00EB306E">
              <w:t>202</w:t>
            </w:r>
            <w:r w:rsidR="00FA5CB9">
              <w:t>3</w:t>
            </w:r>
            <w:r w:rsidRPr="00EB306E">
              <w:t>/202</w:t>
            </w:r>
            <w:r w:rsidR="00FA5CB9">
              <w:t>2</w:t>
            </w:r>
          </w:p>
        </w:tc>
      </w:tr>
      <w:tr w:rsidR="00BD1B10" w:rsidRPr="00F56DF5" w14:paraId="647114AF" w14:textId="77777777" w:rsidTr="00182B19">
        <w:trPr>
          <w:trHeight w:val="198"/>
          <w:jc w:val="center"/>
        </w:trPr>
        <w:tc>
          <w:tcPr>
            <w:tcW w:w="3262" w:type="dxa"/>
            <w:tcBorders>
              <w:top w:val="single" w:sz="4" w:space="0" w:color="auto"/>
              <w:left w:val="nil"/>
              <w:bottom w:val="single" w:sz="2" w:space="0" w:color="auto"/>
              <w:right w:val="nil"/>
            </w:tcBorders>
            <w:noWrap/>
            <w:vAlign w:val="center"/>
            <w:hideMark/>
          </w:tcPr>
          <w:p w14:paraId="29EBF34B" w14:textId="77777777" w:rsidR="00BD1B10" w:rsidRPr="00926796" w:rsidRDefault="00BD1B10" w:rsidP="00926796">
            <w:pPr>
              <w:rPr>
                <w:rFonts w:ascii="Arial Narrow" w:hAnsi="Arial Narrow"/>
                <w:sz w:val="18"/>
                <w:szCs w:val="18"/>
              </w:rPr>
            </w:pPr>
            <w:r w:rsidRPr="00926796">
              <w:rPr>
                <w:rFonts w:ascii="Arial Narrow" w:hAnsi="Arial Narrow" w:cs="Calibri"/>
                <w:color w:val="000000"/>
                <w:sz w:val="18"/>
                <w:szCs w:val="18"/>
              </w:rPr>
              <w:t>Altos</w:t>
            </w:r>
            <w:r w:rsidRPr="00926796">
              <w:rPr>
                <w:rFonts w:ascii="Arial Narrow" w:hAnsi="Arial Narrow"/>
                <w:sz w:val="18"/>
                <w:szCs w:val="18"/>
              </w:rPr>
              <w:t xml:space="preserve"> cargos</w:t>
            </w:r>
          </w:p>
        </w:tc>
        <w:tc>
          <w:tcPr>
            <w:tcW w:w="2125" w:type="dxa"/>
            <w:tcBorders>
              <w:top w:val="single" w:sz="4" w:space="0" w:color="auto"/>
              <w:left w:val="nil"/>
              <w:bottom w:val="single" w:sz="2" w:space="0" w:color="auto"/>
              <w:right w:val="nil"/>
            </w:tcBorders>
            <w:vAlign w:val="center"/>
          </w:tcPr>
          <w:p w14:paraId="5BE14D4D" w14:textId="77777777" w:rsidR="00BD1B10" w:rsidRPr="00926796" w:rsidRDefault="00BD1B10" w:rsidP="00D4552D">
            <w:pPr>
              <w:pStyle w:val="cuatexto"/>
              <w:jc w:val="right"/>
              <w:rPr>
                <w:sz w:val="18"/>
                <w:szCs w:val="18"/>
              </w:rPr>
            </w:pPr>
            <w:r w:rsidRPr="00926796">
              <w:rPr>
                <w:sz w:val="18"/>
                <w:szCs w:val="18"/>
              </w:rPr>
              <w:t>4.877</w:t>
            </w:r>
          </w:p>
        </w:tc>
        <w:tc>
          <w:tcPr>
            <w:tcW w:w="2126" w:type="dxa"/>
            <w:tcBorders>
              <w:top w:val="single" w:sz="4" w:space="0" w:color="auto"/>
              <w:left w:val="nil"/>
              <w:bottom w:val="single" w:sz="2" w:space="0" w:color="auto"/>
              <w:right w:val="nil"/>
            </w:tcBorders>
            <w:shd w:val="clear" w:color="auto" w:fill="auto"/>
            <w:vAlign w:val="center"/>
          </w:tcPr>
          <w:p w14:paraId="6D5F60A1" w14:textId="77777777" w:rsidR="00BD1B10" w:rsidRPr="00926796" w:rsidRDefault="00BD1B10" w:rsidP="00D4552D">
            <w:pPr>
              <w:pStyle w:val="cuatexto"/>
              <w:jc w:val="right"/>
              <w:rPr>
                <w:rFonts w:cs="Calibri"/>
                <w:color w:val="000000"/>
                <w:sz w:val="18"/>
                <w:szCs w:val="18"/>
              </w:rPr>
            </w:pPr>
            <w:r w:rsidRPr="00926796">
              <w:rPr>
                <w:rFonts w:cs="Calibri"/>
                <w:color w:val="000000"/>
                <w:sz w:val="18"/>
                <w:szCs w:val="18"/>
              </w:rPr>
              <w:t>5.069</w:t>
            </w:r>
          </w:p>
        </w:tc>
        <w:tc>
          <w:tcPr>
            <w:tcW w:w="1290" w:type="dxa"/>
            <w:tcBorders>
              <w:top w:val="single" w:sz="4" w:space="0" w:color="auto"/>
              <w:left w:val="nil"/>
              <w:bottom w:val="single" w:sz="2" w:space="0" w:color="auto"/>
              <w:right w:val="nil"/>
            </w:tcBorders>
            <w:noWrap/>
            <w:vAlign w:val="center"/>
          </w:tcPr>
          <w:p w14:paraId="7F0B02A3" w14:textId="77777777" w:rsidR="00BD1B10" w:rsidRPr="00926796" w:rsidRDefault="00BD1B10" w:rsidP="00D4552D">
            <w:pPr>
              <w:pStyle w:val="cuatexto"/>
              <w:jc w:val="right"/>
              <w:rPr>
                <w:rFonts w:cs="Calibri"/>
                <w:color w:val="000000"/>
                <w:sz w:val="18"/>
                <w:szCs w:val="18"/>
              </w:rPr>
            </w:pPr>
            <w:r w:rsidRPr="00926796">
              <w:rPr>
                <w:rFonts w:cs="Calibri"/>
                <w:color w:val="000000"/>
                <w:sz w:val="18"/>
                <w:szCs w:val="18"/>
              </w:rPr>
              <w:t>4</w:t>
            </w:r>
          </w:p>
        </w:tc>
      </w:tr>
      <w:tr w:rsidR="00BD1B10" w:rsidRPr="00F56DF5" w14:paraId="3B8D87D3" w14:textId="77777777" w:rsidTr="00A872CE">
        <w:trPr>
          <w:trHeight w:val="198"/>
          <w:jc w:val="center"/>
        </w:trPr>
        <w:tc>
          <w:tcPr>
            <w:tcW w:w="3262" w:type="dxa"/>
            <w:tcBorders>
              <w:top w:val="single" w:sz="2" w:space="0" w:color="auto"/>
              <w:left w:val="nil"/>
              <w:bottom w:val="single" w:sz="2" w:space="0" w:color="auto"/>
              <w:right w:val="nil"/>
            </w:tcBorders>
            <w:noWrap/>
            <w:vAlign w:val="center"/>
            <w:hideMark/>
          </w:tcPr>
          <w:p w14:paraId="613365F3" w14:textId="77777777" w:rsidR="00BD1B10" w:rsidRPr="00926796" w:rsidRDefault="00BD1B10" w:rsidP="00926796">
            <w:pPr>
              <w:rPr>
                <w:rFonts w:ascii="Arial Narrow" w:hAnsi="Arial Narrow"/>
                <w:sz w:val="18"/>
                <w:szCs w:val="18"/>
              </w:rPr>
            </w:pPr>
            <w:r w:rsidRPr="00926796">
              <w:rPr>
                <w:rFonts w:ascii="Arial Narrow" w:hAnsi="Arial Narrow" w:cs="Calibri"/>
                <w:color w:val="000000"/>
                <w:sz w:val="18"/>
                <w:szCs w:val="18"/>
              </w:rPr>
              <w:t>Personal</w:t>
            </w:r>
            <w:r w:rsidRPr="00926796">
              <w:rPr>
                <w:rFonts w:ascii="Arial Narrow" w:hAnsi="Arial Narrow"/>
                <w:sz w:val="18"/>
                <w:szCs w:val="18"/>
              </w:rPr>
              <w:t xml:space="preserve"> eventual</w:t>
            </w:r>
          </w:p>
        </w:tc>
        <w:tc>
          <w:tcPr>
            <w:tcW w:w="2125" w:type="dxa"/>
            <w:tcBorders>
              <w:top w:val="single" w:sz="2" w:space="0" w:color="auto"/>
              <w:left w:val="nil"/>
              <w:bottom w:val="single" w:sz="2" w:space="0" w:color="auto"/>
              <w:right w:val="nil"/>
            </w:tcBorders>
            <w:vAlign w:val="center"/>
          </w:tcPr>
          <w:p w14:paraId="0BDAF618" w14:textId="77777777" w:rsidR="00BD1B10" w:rsidRPr="00926796" w:rsidRDefault="00BD1B10" w:rsidP="00D4552D">
            <w:pPr>
              <w:pStyle w:val="cuatexto"/>
              <w:jc w:val="right"/>
              <w:rPr>
                <w:sz w:val="18"/>
                <w:szCs w:val="18"/>
              </w:rPr>
            </w:pPr>
            <w:r w:rsidRPr="00926796">
              <w:rPr>
                <w:sz w:val="18"/>
                <w:szCs w:val="18"/>
              </w:rPr>
              <w:t>3.538</w:t>
            </w:r>
          </w:p>
        </w:tc>
        <w:tc>
          <w:tcPr>
            <w:tcW w:w="2126" w:type="dxa"/>
            <w:tcBorders>
              <w:top w:val="single" w:sz="2" w:space="0" w:color="auto"/>
              <w:left w:val="nil"/>
              <w:bottom w:val="single" w:sz="2" w:space="0" w:color="auto"/>
              <w:right w:val="nil"/>
            </w:tcBorders>
            <w:shd w:val="clear" w:color="auto" w:fill="auto"/>
            <w:vAlign w:val="center"/>
          </w:tcPr>
          <w:p w14:paraId="6A1FAFE3" w14:textId="77777777" w:rsidR="00BD1B10" w:rsidRPr="00926796" w:rsidRDefault="00BD1B10" w:rsidP="00D4552D">
            <w:pPr>
              <w:pStyle w:val="cuatexto"/>
              <w:jc w:val="right"/>
              <w:rPr>
                <w:rFonts w:cs="Calibri"/>
                <w:color w:val="000000"/>
                <w:sz w:val="18"/>
                <w:szCs w:val="18"/>
              </w:rPr>
            </w:pPr>
            <w:r w:rsidRPr="00926796">
              <w:rPr>
                <w:rFonts w:cs="Calibri"/>
                <w:color w:val="000000"/>
                <w:sz w:val="18"/>
                <w:szCs w:val="18"/>
              </w:rPr>
              <w:t>3.535</w:t>
            </w:r>
          </w:p>
        </w:tc>
        <w:tc>
          <w:tcPr>
            <w:tcW w:w="1290" w:type="dxa"/>
            <w:tcBorders>
              <w:top w:val="single" w:sz="2" w:space="0" w:color="auto"/>
              <w:left w:val="nil"/>
              <w:bottom w:val="single" w:sz="2" w:space="0" w:color="auto"/>
              <w:right w:val="nil"/>
            </w:tcBorders>
            <w:noWrap/>
            <w:vAlign w:val="center"/>
          </w:tcPr>
          <w:p w14:paraId="5CAB8801" w14:textId="77777777" w:rsidR="00BD1B10" w:rsidRPr="00926796" w:rsidRDefault="00BD1B10" w:rsidP="00D4552D">
            <w:pPr>
              <w:pStyle w:val="cuatexto"/>
              <w:jc w:val="right"/>
              <w:rPr>
                <w:rFonts w:cs="Calibri"/>
                <w:color w:val="000000"/>
                <w:sz w:val="18"/>
                <w:szCs w:val="18"/>
              </w:rPr>
            </w:pPr>
            <w:r w:rsidRPr="00926796">
              <w:rPr>
                <w:rFonts w:cs="Calibri"/>
                <w:color w:val="000000"/>
                <w:sz w:val="18"/>
                <w:szCs w:val="18"/>
              </w:rPr>
              <w:t>-</w:t>
            </w:r>
          </w:p>
        </w:tc>
      </w:tr>
      <w:tr w:rsidR="00BD1B10" w:rsidRPr="00F56DF5" w14:paraId="37B5E7AA" w14:textId="77777777" w:rsidTr="00A872CE">
        <w:trPr>
          <w:trHeight w:val="198"/>
          <w:jc w:val="center"/>
        </w:trPr>
        <w:tc>
          <w:tcPr>
            <w:tcW w:w="3262" w:type="dxa"/>
            <w:tcBorders>
              <w:top w:val="single" w:sz="2" w:space="0" w:color="auto"/>
              <w:left w:val="nil"/>
              <w:bottom w:val="single" w:sz="2" w:space="0" w:color="auto"/>
              <w:right w:val="nil"/>
            </w:tcBorders>
            <w:noWrap/>
            <w:vAlign w:val="center"/>
            <w:hideMark/>
          </w:tcPr>
          <w:p w14:paraId="3FA06DFD" w14:textId="77777777" w:rsidR="00BD1B10" w:rsidRPr="00926796" w:rsidRDefault="00BD1B10" w:rsidP="00926796">
            <w:pPr>
              <w:rPr>
                <w:rFonts w:ascii="Arial Narrow" w:hAnsi="Arial Narrow"/>
                <w:sz w:val="18"/>
                <w:szCs w:val="18"/>
              </w:rPr>
            </w:pPr>
            <w:r w:rsidRPr="00926796">
              <w:rPr>
                <w:rFonts w:ascii="Arial Narrow" w:hAnsi="Arial Narrow"/>
                <w:sz w:val="18"/>
                <w:szCs w:val="18"/>
              </w:rPr>
              <w:t>Retribuciones del puesto</w:t>
            </w:r>
          </w:p>
        </w:tc>
        <w:tc>
          <w:tcPr>
            <w:tcW w:w="2125" w:type="dxa"/>
            <w:tcBorders>
              <w:top w:val="single" w:sz="2" w:space="0" w:color="auto"/>
              <w:left w:val="nil"/>
              <w:bottom w:val="single" w:sz="2" w:space="0" w:color="auto"/>
              <w:right w:val="nil"/>
            </w:tcBorders>
            <w:vAlign w:val="center"/>
          </w:tcPr>
          <w:p w14:paraId="08A84F91" w14:textId="77777777" w:rsidR="00BD1B10" w:rsidRPr="00926796" w:rsidRDefault="00BD1B10" w:rsidP="00D4552D">
            <w:pPr>
              <w:pStyle w:val="cuatexto"/>
              <w:jc w:val="right"/>
              <w:rPr>
                <w:sz w:val="18"/>
                <w:szCs w:val="18"/>
              </w:rPr>
            </w:pPr>
            <w:r w:rsidRPr="00926796">
              <w:rPr>
                <w:sz w:val="18"/>
                <w:szCs w:val="18"/>
              </w:rPr>
              <w:t>978.922</w:t>
            </w:r>
          </w:p>
        </w:tc>
        <w:tc>
          <w:tcPr>
            <w:tcW w:w="2126" w:type="dxa"/>
            <w:tcBorders>
              <w:top w:val="single" w:sz="2" w:space="0" w:color="auto"/>
              <w:left w:val="nil"/>
              <w:bottom w:val="single" w:sz="2" w:space="0" w:color="auto"/>
              <w:right w:val="nil"/>
            </w:tcBorders>
            <w:shd w:val="clear" w:color="auto" w:fill="auto"/>
            <w:vAlign w:val="center"/>
          </w:tcPr>
          <w:p w14:paraId="3C011A2F" w14:textId="77777777" w:rsidR="00BD1B10" w:rsidRPr="00926796" w:rsidRDefault="00BD1B10" w:rsidP="00D4552D">
            <w:pPr>
              <w:pStyle w:val="cuatexto"/>
              <w:jc w:val="right"/>
              <w:rPr>
                <w:rFonts w:cs="Calibri"/>
                <w:color w:val="000000"/>
                <w:sz w:val="18"/>
                <w:szCs w:val="18"/>
              </w:rPr>
            </w:pPr>
            <w:r w:rsidRPr="00926796">
              <w:rPr>
                <w:rFonts w:cs="Calibri"/>
                <w:color w:val="000000"/>
                <w:sz w:val="18"/>
                <w:szCs w:val="18"/>
              </w:rPr>
              <w:t>1.025.742</w:t>
            </w:r>
          </w:p>
        </w:tc>
        <w:tc>
          <w:tcPr>
            <w:tcW w:w="1290" w:type="dxa"/>
            <w:tcBorders>
              <w:top w:val="single" w:sz="2" w:space="0" w:color="auto"/>
              <w:left w:val="nil"/>
              <w:bottom w:val="single" w:sz="2" w:space="0" w:color="auto"/>
              <w:right w:val="nil"/>
            </w:tcBorders>
            <w:noWrap/>
            <w:vAlign w:val="center"/>
          </w:tcPr>
          <w:p w14:paraId="115652DF" w14:textId="77777777" w:rsidR="00BD1B10" w:rsidRPr="00926796" w:rsidRDefault="00BD1B10" w:rsidP="00D4552D">
            <w:pPr>
              <w:pStyle w:val="cuatexto"/>
              <w:jc w:val="right"/>
              <w:rPr>
                <w:rFonts w:cs="Calibri"/>
                <w:color w:val="000000"/>
                <w:sz w:val="18"/>
                <w:szCs w:val="18"/>
              </w:rPr>
            </w:pPr>
            <w:r w:rsidRPr="00926796">
              <w:rPr>
                <w:rFonts w:cs="Calibri"/>
                <w:color w:val="000000"/>
                <w:sz w:val="18"/>
                <w:szCs w:val="18"/>
              </w:rPr>
              <w:t>5</w:t>
            </w:r>
          </w:p>
        </w:tc>
      </w:tr>
      <w:tr w:rsidR="00BD1B10" w:rsidRPr="00F56DF5" w14:paraId="2D111CC2" w14:textId="77777777" w:rsidTr="00A872CE">
        <w:trPr>
          <w:trHeight w:val="198"/>
          <w:jc w:val="center"/>
        </w:trPr>
        <w:tc>
          <w:tcPr>
            <w:tcW w:w="3262" w:type="dxa"/>
            <w:tcBorders>
              <w:top w:val="single" w:sz="2" w:space="0" w:color="auto"/>
              <w:left w:val="nil"/>
              <w:bottom w:val="single" w:sz="2" w:space="0" w:color="auto"/>
              <w:right w:val="nil"/>
            </w:tcBorders>
            <w:noWrap/>
            <w:vAlign w:val="center"/>
            <w:hideMark/>
          </w:tcPr>
          <w:p w14:paraId="58853681" w14:textId="77777777" w:rsidR="00BD1B10" w:rsidRPr="00926796" w:rsidRDefault="00BD1B10" w:rsidP="00926796">
            <w:pPr>
              <w:rPr>
                <w:rFonts w:ascii="Arial Narrow" w:hAnsi="Arial Narrow"/>
                <w:sz w:val="18"/>
                <w:szCs w:val="18"/>
              </w:rPr>
            </w:pPr>
            <w:r w:rsidRPr="00926796">
              <w:rPr>
                <w:rFonts w:ascii="Arial Narrow" w:hAnsi="Arial Narrow"/>
                <w:sz w:val="18"/>
                <w:szCs w:val="18"/>
              </w:rPr>
              <w:t>Retribuciones personales</w:t>
            </w:r>
          </w:p>
        </w:tc>
        <w:tc>
          <w:tcPr>
            <w:tcW w:w="2125" w:type="dxa"/>
            <w:tcBorders>
              <w:top w:val="single" w:sz="2" w:space="0" w:color="auto"/>
              <w:left w:val="nil"/>
              <w:bottom w:val="single" w:sz="2" w:space="0" w:color="auto"/>
              <w:right w:val="nil"/>
            </w:tcBorders>
            <w:vAlign w:val="center"/>
          </w:tcPr>
          <w:p w14:paraId="0988D33A" w14:textId="77777777" w:rsidR="00BD1B10" w:rsidRPr="00926796" w:rsidRDefault="00BD1B10" w:rsidP="00D4552D">
            <w:pPr>
              <w:pStyle w:val="cuatexto"/>
              <w:jc w:val="right"/>
              <w:rPr>
                <w:sz w:val="18"/>
                <w:szCs w:val="18"/>
              </w:rPr>
            </w:pPr>
            <w:r w:rsidRPr="00926796">
              <w:rPr>
                <w:sz w:val="18"/>
                <w:szCs w:val="18"/>
              </w:rPr>
              <w:t>158.226</w:t>
            </w:r>
          </w:p>
        </w:tc>
        <w:tc>
          <w:tcPr>
            <w:tcW w:w="2126" w:type="dxa"/>
            <w:tcBorders>
              <w:top w:val="single" w:sz="2" w:space="0" w:color="auto"/>
              <w:left w:val="nil"/>
              <w:bottom w:val="single" w:sz="2" w:space="0" w:color="auto"/>
              <w:right w:val="nil"/>
            </w:tcBorders>
            <w:shd w:val="clear" w:color="auto" w:fill="auto"/>
            <w:vAlign w:val="center"/>
          </w:tcPr>
          <w:p w14:paraId="611BFBCF" w14:textId="77777777" w:rsidR="00BD1B10" w:rsidRPr="00926796" w:rsidRDefault="00BD1B10" w:rsidP="00D4552D">
            <w:pPr>
              <w:pStyle w:val="cuatexto"/>
              <w:jc w:val="right"/>
              <w:rPr>
                <w:rFonts w:cs="Calibri"/>
                <w:color w:val="000000"/>
                <w:sz w:val="18"/>
                <w:szCs w:val="18"/>
              </w:rPr>
            </w:pPr>
            <w:r w:rsidRPr="00926796">
              <w:rPr>
                <w:rFonts w:cs="Calibri"/>
                <w:color w:val="000000"/>
                <w:sz w:val="18"/>
                <w:szCs w:val="18"/>
              </w:rPr>
              <w:t>166.883</w:t>
            </w:r>
          </w:p>
        </w:tc>
        <w:tc>
          <w:tcPr>
            <w:tcW w:w="1290" w:type="dxa"/>
            <w:tcBorders>
              <w:top w:val="single" w:sz="2" w:space="0" w:color="auto"/>
              <w:left w:val="nil"/>
              <w:bottom w:val="single" w:sz="2" w:space="0" w:color="auto"/>
              <w:right w:val="nil"/>
            </w:tcBorders>
            <w:noWrap/>
            <w:vAlign w:val="center"/>
          </w:tcPr>
          <w:p w14:paraId="099826B1" w14:textId="77777777" w:rsidR="00BD1B10" w:rsidRPr="00926796" w:rsidRDefault="00BD1B10" w:rsidP="00D4552D">
            <w:pPr>
              <w:pStyle w:val="cuatexto"/>
              <w:jc w:val="right"/>
              <w:rPr>
                <w:rFonts w:cs="Calibri"/>
                <w:color w:val="000000"/>
                <w:sz w:val="18"/>
                <w:szCs w:val="18"/>
              </w:rPr>
            </w:pPr>
            <w:r w:rsidRPr="00926796">
              <w:rPr>
                <w:rFonts w:cs="Calibri"/>
                <w:color w:val="000000"/>
                <w:sz w:val="18"/>
                <w:szCs w:val="18"/>
              </w:rPr>
              <w:t>5</w:t>
            </w:r>
          </w:p>
        </w:tc>
      </w:tr>
      <w:tr w:rsidR="00BD1B10" w:rsidRPr="00F56DF5" w14:paraId="17F17A0B" w14:textId="77777777" w:rsidTr="00A872CE">
        <w:trPr>
          <w:trHeight w:val="198"/>
          <w:jc w:val="center"/>
        </w:trPr>
        <w:tc>
          <w:tcPr>
            <w:tcW w:w="3262" w:type="dxa"/>
            <w:tcBorders>
              <w:top w:val="single" w:sz="2" w:space="0" w:color="auto"/>
              <w:left w:val="nil"/>
              <w:bottom w:val="single" w:sz="2" w:space="0" w:color="auto"/>
              <w:right w:val="nil"/>
            </w:tcBorders>
            <w:noWrap/>
            <w:vAlign w:val="center"/>
            <w:hideMark/>
          </w:tcPr>
          <w:p w14:paraId="04890AC2" w14:textId="77777777" w:rsidR="00BD1B10" w:rsidRPr="00926796" w:rsidRDefault="00BD1B10" w:rsidP="00926796">
            <w:pPr>
              <w:rPr>
                <w:rFonts w:ascii="Arial Narrow" w:hAnsi="Arial Narrow"/>
                <w:sz w:val="18"/>
                <w:szCs w:val="18"/>
              </w:rPr>
            </w:pPr>
            <w:r w:rsidRPr="00926796">
              <w:rPr>
                <w:rFonts w:ascii="Arial Narrow" w:hAnsi="Arial Narrow"/>
                <w:sz w:val="18"/>
                <w:szCs w:val="18"/>
              </w:rPr>
              <w:t>Cuotas, prestaciones y gastos sociales</w:t>
            </w:r>
          </w:p>
        </w:tc>
        <w:tc>
          <w:tcPr>
            <w:tcW w:w="2125" w:type="dxa"/>
            <w:tcBorders>
              <w:top w:val="single" w:sz="2" w:space="0" w:color="auto"/>
              <w:left w:val="nil"/>
              <w:bottom w:val="single" w:sz="2" w:space="0" w:color="auto"/>
              <w:right w:val="nil"/>
            </w:tcBorders>
            <w:vAlign w:val="center"/>
          </w:tcPr>
          <w:p w14:paraId="186E6482" w14:textId="77777777" w:rsidR="00BD1B10" w:rsidRPr="00926796" w:rsidRDefault="00BD1B10" w:rsidP="00D4552D">
            <w:pPr>
              <w:pStyle w:val="cuatexto"/>
              <w:jc w:val="right"/>
              <w:rPr>
                <w:sz w:val="18"/>
                <w:szCs w:val="18"/>
              </w:rPr>
            </w:pPr>
            <w:r w:rsidRPr="00926796">
              <w:rPr>
                <w:sz w:val="18"/>
                <w:szCs w:val="18"/>
              </w:rPr>
              <w:t>370.817</w:t>
            </w:r>
          </w:p>
        </w:tc>
        <w:tc>
          <w:tcPr>
            <w:tcW w:w="2126" w:type="dxa"/>
            <w:tcBorders>
              <w:top w:val="single" w:sz="2" w:space="0" w:color="auto"/>
              <w:left w:val="nil"/>
              <w:bottom w:val="single" w:sz="2" w:space="0" w:color="auto"/>
              <w:right w:val="nil"/>
            </w:tcBorders>
            <w:shd w:val="clear" w:color="auto" w:fill="auto"/>
            <w:vAlign w:val="center"/>
          </w:tcPr>
          <w:p w14:paraId="5E129343" w14:textId="77777777" w:rsidR="00BD1B10" w:rsidRPr="00926796" w:rsidRDefault="00BD1B10" w:rsidP="00D4552D">
            <w:pPr>
              <w:pStyle w:val="cuatexto"/>
              <w:jc w:val="right"/>
              <w:rPr>
                <w:rFonts w:cs="Calibri"/>
                <w:color w:val="000000"/>
                <w:sz w:val="18"/>
                <w:szCs w:val="18"/>
              </w:rPr>
            </w:pPr>
            <w:r w:rsidRPr="00926796">
              <w:rPr>
                <w:rFonts w:cs="Calibri"/>
                <w:color w:val="000000"/>
                <w:sz w:val="18"/>
                <w:szCs w:val="18"/>
              </w:rPr>
              <w:t>407.266</w:t>
            </w:r>
          </w:p>
        </w:tc>
        <w:tc>
          <w:tcPr>
            <w:tcW w:w="1290" w:type="dxa"/>
            <w:tcBorders>
              <w:top w:val="single" w:sz="2" w:space="0" w:color="auto"/>
              <w:left w:val="nil"/>
              <w:bottom w:val="single" w:sz="2" w:space="0" w:color="auto"/>
              <w:right w:val="nil"/>
            </w:tcBorders>
            <w:noWrap/>
            <w:vAlign w:val="center"/>
          </w:tcPr>
          <w:p w14:paraId="09A8487C" w14:textId="77777777" w:rsidR="00BD1B10" w:rsidRPr="00926796" w:rsidRDefault="00BD1B10" w:rsidP="00D4552D">
            <w:pPr>
              <w:pStyle w:val="cuatexto"/>
              <w:jc w:val="right"/>
              <w:rPr>
                <w:rFonts w:cs="Calibri"/>
                <w:color w:val="000000"/>
                <w:sz w:val="18"/>
                <w:szCs w:val="18"/>
              </w:rPr>
            </w:pPr>
            <w:r w:rsidRPr="00926796">
              <w:rPr>
                <w:rFonts w:cs="Calibri"/>
                <w:color w:val="000000"/>
                <w:sz w:val="18"/>
                <w:szCs w:val="18"/>
              </w:rPr>
              <w:t>10</w:t>
            </w:r>
          </w:p>
        </w:tc>
      </w:tr>
      <w:tr w:rsidR="00BD1B10" w:rsidRPr="00F56DF5" w14:paraId="4252BA2D" w14:textId="77777777" w:rsidTr="00A872CE">
        <w:trPr>
          <w:trHeight w:val="198"/>
          <w:jc w:val="center"/>
        </w:trPr>
        <w:tc>
          <w:tcPr>
            <w:tcW w:w="3262" w:type="dxa"/>
            <w:tcBorders>
              <w:top w:val="single" w:sz="2" w:space="0" w:color="auto"/>
              <w:left w:val="nil"/>
              <w:bottom w:val="single" w:sz="2" w:space="0" w:color="auto"/>
              <w:right w:val="nil"/>
            </w:tcBorders>
            <w:noWrap/>
            <w:vAlign w:val="center"/>
            <w:hideMark/>
          </w:tcPr>
          <w:p w14:paraId="25E3A5EE" w14:textId="77777777" w:rsidR="00BD1B10" w:rsidRPr="00926796" w:rsidRDefault="00BD1B10" w:rsidP="00926796">
            <w:pPr>
              <w:rPr>
                <w:rFonts w:ascii="Arial Narrow" w:hAnsi="Arial Narrow"/>
                <w:sz w:val="18"/>
                <w:szCs w:val="18"/>
              </w:rPr>
            </w:pPr>
            <w:r w:rsidRPr="00926796">
              <w:rPr>
                <w:rFonts w:ascii="Arial Narrow" w:hAnsi="Arial Narrow"/>
                <w:sz w:val="18"/>
                <w:szCs w:val="18"/>
              </w:rPr>
              <w:t>Retribuciones variables</w:t>
            </w:r>
          </w:p>
        </w:tc>
        <w:tc>
          <w:tcPr>
            <w:tcW w:w="2125" w:type="dxa"/>
            <w:tcBorders>
              <w:top w:val="single" w:sz="2" w:space="0" w:color="auto"/>
              <w:left w:val="nil"/>
              <w:bottom w:val="single" w:sz="2" w:space="0" w:color="auto"/>
              <w:right w:val="nil"/>
            </w:tcBorders>
            <w:vAlign w:val="center"/>
          </w:tcPr>
          <w:p w14:paraId="29615C33" w14:textId="77777777" w:rsidR="00BD1B10" w:rsidRPr="00926796" w:rsidRDefault="00BD1B10" w:rsidP="00D4552D">
            <w:pPr>
              <w:pStyle w:val="cuatexto"/>
              <w:jc w:val="right"/>
              <w:rPr>
                <w:sz w:val="18"/>
                <w:szCs w:val="18"/>
              </w:rPr>
            </w:pPr>
            <w:r w:rsidRPr="00926796">
              <w:rPr>
                <w:sz w:val="18"/>
                <w:szCs w:val="18"/>
              </w:rPr>
              <w:t>84.574</w:t>
            </w:r>
          </w:p>
        </w:tc>
        <w:tc>
          <w:tcPr>
            <w:tcW w:w="2126" w:type="dxa"/>
            <w:tcBorders>
              <w:top w:val="single" w:sz="2" w:space="0" w:color="auto"/>
              <w:left w:val="nil"/>
              <w:bottom w:val="single" w:sz="2" w:space="0" w:color="auto"/>
              <w:right w:val="nil"/>
            </w:tcBorders>
            <w:shd w:val="clear" w:color="auto" w:fill="auto"/>
            <w:vAlign w:val="center"/>
          </w:tcPr>
          <w:p w14:paraId="171AE7F9" w14:textId="77777777" w:rsidR="00BD1B10" w:rsidRPr="00926796" w:rsidRDefault="00BD1B10" w:rsidP="00D4552D">
            <w:pPr>
              <w:pStyle w:val="cuatexto"/>
              <w:jc w:val="right"/>
              <w:rPr>
                <w:rFonts w:cs="Calibri"/>
                <w:color w:val="000000"/>
                <w:sz w:val="18"/>
                <w:szCs w:val="18"/>
              </w:rPr>
            </w:pPr>
            <w:r w:rsidRPr="00926796">
              <w:rPr>
                <w:rFonts w:cs="Calibri"/>
                <w:color w:val="000000"/>
                <w:sz w:val="18"/>
                <w:szCs w:val="18"/>
              </w:rPr>
              <w:t>99.399</w:t>
            </w:r>
          </w:p>
        </w:tc>
        <w:tc>
          <w:tcPr>
            <w:tcW w:w="1290" w:type="dxa"/>
            <w:tcBorders>
              <w:top w:val="single" w:sz="2" w:space="0" w:color="auto"/>
              <w:left w:val="nil"/>
              <w:bottom w:val="single" w:sz="2" w:space="0" w:color="auto"/>
              <w:right w:val="nil"/>
            </w:tcBorders>
            <w:noWrap/>
            <w:vAlign w:val="center"/>
          </w:tcPr>
          <w:p w14:paraId="7E41EDF5" w14:textId="77777777" w:rsidR="00BD1B10" w:rsidRPr="00926796" w:rsidRDefault="00BD1B10" w:rsidP="00D4552D">
            <w:pPr>
              <w:pStyle w:val="cuatexto"/>
              <w:jc w:val="right"/>
              <w:rPr>
                <w:rFonts w:cs="Calibri"/>
                <w:color w:val="000000"/>
                <w:sz w:val="18"/>
                <w:szCs w:val="18"/>
              </w:rPr>
            </w:pPr>
            <w:r w:rsidRPr="00926796">
              <w:rPr>
                <w:rFonts w:cs="Calibri"/>
                <w:color w:val="000000"/>
                <w:sz w:val="18"/>
                <w:szCs w:val="18"/>
              </w:rPr>
              <w:t>18</w:t>
            </w:r>
          </w:p>
        </w:tc>
      </w:tr>
      <w:tr w:rsidR="00BD1B10" w:rsidRPr="00F56DF5" w14:paraId="6F23A2F2" w14:textId="77777777" w:rsidTr="00182B19">
        <w:trPr>
          <w:trHeight w:val="198"/>
          <w:jc w:val="center"/>
        </w:trPr>
        <w:tc>
          <w:tcPr>
            <w:tcW w:w="3262" w:type="dxa"/>
            <w:tcBorders>
              <w:top w:val="single" w:sz="2" w:space="0" w:color="auto"/>
              <w:left w:val="nil"/>
              <w:bottom w:val="single" w:sz="4" w:space="0" w:color="auto"/>
              <w:right w:val="nil"/>
            </w:tcBorders>
            <w:noWrap/>
            <w:vAlign w:val="center"/>
            <w:hideMark/>
          </w:tcPr>
          <w:p w14:paraId="7ABD3905" w14:textId="77777777" w:rsidR="00BD1B10" w:rsidRPr="00926796" w:rsidRDefault="00BD1B10" w:rsidP="00926796">
            <w:pPr>
              <w:rPr>
                <w:rFonts w:ascii="Arial Narrow" w:hAnsi="Arial Narrow"/>
                <w:sz w:val="18"/>
                <w:szCs w:val="18"/>
              </w:rPr>
            </w:pPr>
            <w:r w:rsidRPr="00926796">
              <w:rPr>
                <w:rFonts w:ascii="Arial Narrow" w:hAnsi="Arial Narrow"/>
                <w:sz w:val="18"/>
                <w:szCs w:val="18"/>
              </w:rPr>
              <w:t>Otras retribuciones</w:t>
            </w:r>
          </w:p>
        </w:tc>
        <w:tc>
          <w:tcPr>
            <w:tcW w:w="2125" w:type="dxa"/>
            <w:tcBorders>
              <w:top w:val="single" w:sz="2" w:space="0" w:color="auto"/>
              <w:left w:val="nil"/>
              <w:bottom w:val="single" w:sz="4" w:space="0" w:color="auto"/>
              <w:right w:val="nil"/>
            </w:tcBorders>
            <w:vAlign w:val="center"/>
          </w:tcPr>
          <w:p w14:paraId="48416B81" w14:textId="77777777" w:rsidR="00BD1B10" w:rsidRPr="00926796" w:rsidRDefault="00BD1B10" w:rsidP="00D4552D">
            <w:pPr>
              <w:pStyle w:val="cuatexto"/>
              <w:jc w:val="right"/>
              <w:rPr>
                <w:sz w:val="18"/>
                <w:szCs w:val="18"/>
              </w:rPr>
            </w:pPr>
            <w:r w:rsidRPr="00926796">
              <w:rPr>
                <w:sz w:val="18"/>
                <w:szCs w:val="18"/>
              </w:rPr>
              <w:t>8.655</w:t>
            </w:r>
          </w:p>
        </w:tc>
        <w:tc>
          <w:tcPr>
            <w:tcW w:w="2126" w:type="dxa"/>
            <w:tcBorders>
              <w:top w:val="single" w:sz="2" w:space="0" w:color="auto"/>
              <w:left w:val="nil"/>
              <w:bottom w:val="single" w:sz="4" w:space="0" w:color="auto"/>
              <w:right w:val="nil"/>
            </w:tcBorders>
            <w:shd w:val="clear" w:color="auto" w:fill="auto"/>
            <w:vAlign w:val="center"/>
          </w:tcPr>
          <w:p w14:paraId="10C602EA" w14:textId="77777777" w:rsidR="00BD1B10" w:rsidRPr="00926796" w:rsidRDefault="00BD1B10" w:rsidP="00D4552D">
            <w:pPr>
              <w:pStyle w:val="cuatexto"/>
              <w:jc w:val="right"/>
              <w:rPr>
                <w:rFonts w:cs="Calibri"/>
                <w:color w:val="000000"/>
                <w:sz w:val="18"/>
                <w:szCs w:val="18"/>
              </w:rPr>
            </w:pPr>
            <w:r w:rsidRPr="00926796">
              <w:rPr>
                <w:rFonts w:cs="Calibri"/>
                <w:color w:val="000000"/>
                <w:sz w:val="18"/>
                <w:szCs w:val="18"/>
              </w:rPr>
              <w:t>26.387</w:t>
            </w:r>
          </w:p>
        </w:tc>
        <w:tc>
          <w:tcPr>
            <w:tcW w:w="1290" w:type="dxa"/>
            <w:tcBorders>
              <w:top w:val="single" w:sz="2" w:space="0" w:color="auto"/>
              <w:left w:val="nil"/>
              <w:bottom w:val="single" w:sz="4" w:space="0" w:color="auto"/>
              <w:right w:val="nil"/>
            </w:tcBorders>
            <w:noWrap/>
            <w:vAlign w:val="center"/>
          </w:tcPr>
          <w:p w14:paraId="176A96B0" w14:textId="77777777" w:rsidR="00BD1B10" w:rsidRPr="00926796" w:rsidRDefault="00BD1B10" w:rsidP="00D4552D">
            <w:pPr>
              <w:pStyle w:val="cuatexto"/>
              <w:jc w:val="right"/>
              <w:rPr>
                <w:rFonts w:cs="Calibri"/>
                <w:color w:val="000000"/>
                <w:sz w:val="18"/>
                <w:szCs w:val="18"/>
              </w:rPr>
            </w:pPr>
            <w:r w:rsidRPr="00926796">
              <w:rPr>
                <w:rFonts w:cs="Calibri"/>
                <w:color w:val="000000"/>
                <w:sz w:val="18"/>
                <w:szCs w:val="18"/>
              </w:rPr>
              <w:t>205</w:t>
            </w:r>
          </w:p>
        </w:tc>
      </w:tr>
      <w:tr w:rsidR="00BD1B10" w:rsidRPr="00F56DF5" w14:paraId="4D98943E" w14:textId="77777777" w:rsidTr="00A872CE">
        <w:trPr>
          <w:trHeight w:val="255"/>
          <w:jc w:val="center"/>
        </w:trPr>
        <w:tc>
          <w:tcPr>
            <w:tcW w:w="3262" w:type="dxa"/>
            <w:tcBorders>
              <w:top w:val="single" w:sz="4" w:space="0" w:color="auto"/>
              <w:left w:val="nil"/>
              <w:bottom w:val="single" w:sz="4" w:space="0" w:color="auto"/>
              <w:right w:val="nil"/>
            </w:tcBorders>
            <w:shd w:val="clear" w:color="auto" w:fill="8DB3E2"/>
            <w:noWrap/>
            <w:vAlign w:val="center"/>
            <w:hideMark/>
          </w:tcPr>
          <w:p w14:paraId="452F02EB" w14:textId="77777777" w:rsidR="00BD1B10" w:rsidRPr="00F56DF5" w:rsidRDefault="00BD1B10" w:rsidP="004101A9">
            <w:pPr>
              <w:pStyle w:val="cuadroCabe"/>
            </w:pPr>
            <w:r w:rsidRPr="00F56DF5">
              <w:t xml:space="preserve">Total </w:t>
            </w:r>
          </w:p>
        </w:tc>
        <w:tc>
          <w:tcPr>
            <w:tcW w:w="2125" w:type="dxa"/>
            <w:tcBorders>
              <w:top w:val="single" w:sz="4" w:space="0" w:color="auto"/>
              <w:left w:val="nil"/>
              <w:bottom w:val="single" w:sz="4" w:space="0" w:color="auto"/>
              <w:right w:val="nil"/>
            </w:tcBorders>
            <w:shd w:val="clear" w:color="auto" w:fill="8DB3E2"/>
            <w:vAlign w:val="center"/>
          </w:tcPr>
          <w:p w14:paraId="378FC584" w14:textId="77777777" w:rsidR="00BD1B10" w:rsidRPr="00F56DF5" w:rsidRDefault="00BD1B10" w:rsidP="004101A9">
            <w:pPr>
              <w:pStyle w:val="cuadroCabe"/>
              <w:jc w:val="right"/>
              <w:rPr>
                <w:color w:val="000000"/>
              </w:rPr>
            </w:pPr>
            <w:r w:rsidRPr="00F56DF5">
              <w:rPr>
                <w:color w:val="000000"/>
              </w:rPr>
              <w:t>1.609.608</w:t>
            </w:r>
          </w:p>
        </w:tc>
        <w:tc>
          <w:tcPr>
            <w:tcW w:w="2126" w:type="dxa"/>
            <w:tcBorders>
              <w:top w:val="single" w:sz="4" w:space="0" w:color="auto"/>
              <w:left w:val="nil"/>
              <w:bottom w:val="single" w:sz="4" w:space="0" w:color="auto"/>
              <w:right w:val="nil"/>
            </w:tcBorders>
            <w:shd w:val="clear" w:color="000000" w:fill="8DB3E2"/>
            <w:vAlign w:val="center"/>
          </w:tcPr>
          <w:p w14:paraId="2199321F" w14:textId="77777777" w:rsidR="00BD1B10" w:rsidRPr="00F56DF5" w:rsidRDefault="00BD1B10" w:rsidP="004101A9">
            <w:pPr>
              <w:pStyle w:val="cuadroCabe"/>
              <w:jc w:val="right"/>
              <w:rPr>
                <w:color w:val="000000"/>
              </w:rPr>
            </w:pPr>
            <w:r w:rsidRPr="00F56DF5">
              <w:rPr>
                <w:color w:val="000000"/>
              </w:rPr>
              <w:t>1.734.281</w:t>
            </w:r>
          </w:p>
        </w:tc>
        <w:tc>
          <w:tcPr>
            <w:tcW w:w="1290" w:type="dxa"/>
            <w:tcBorders>
              <w:top w:val="single" w:sz="4" w:space="0" w:color="auto"/>
              <w:left w:val="nil"/>
              <w:bottom w:val="single" w:sz="4" w:space="0" w:color="auto"/>
              <w:right w:val="nil"/>
            </w:tcBorders>
            <w:shd w:val="clear" w:color="auto" w:fill="8DB3E2"/>
            <w:noWrap/>
            <w:vAlign w:val="center"/>
          </w:tcPr>
          <w:p w14:paraId="0D248896" w14:textId="77777777" w:rsidR="00BD1B10" w:rsidRPr="00F56DF5" w:rsidRDefault="00BD1B10" w:rsidP="004101A9">
            <w:pPr>
              <w:pStyle w:val="cuadroCabe"/>
              <w:jc w:val="right"/>
              <w:rPr>
                <w:color w:val="000000"/>
              </w:rPr>
            </w:pPr>
            <w:r w:rsidRPr="00F56DF5">
              <w:rPr>
                <w:color w:val="000000"/>
              </w:rPr>
              <w:t>8</w:t>
            </w:r>
          </w:p>
        </w:tc>
      </w:tr>
    </w:tbl>
    <w:p w14:paraId="717BFFBD" w14:textId="77777777" w:rsidR="00614DC4" w:rsidRDefault="00614DC4" w:rsidP="005F5001">
      <w:pPr>
        <w:pStyle w:val="texto"/>
        <w:spacing w:before="240"/>
        <w:jc w:val="both"/>
      </w:pPr>
      <w:r>
        <w:t>Respecto a 202</w:t>
      </w:r>
      <w:r w:rsidR="006415BB">
        <w:t>2</w:t>
      </w:r>
      <w:r>
        <w:t xml:space="preserve">, los gastos de personal aumentaron un </w:t>
      </w:r>
      <w:r w:rsidR="006415BB">
        <w:t xml:space="preserve">ocho </w:t>
      </w:r>
      <w:r>
        <w:t>por ciento (</w:t>
      </w:r>
      <w:r w:rsidR="006415BB">
        <w:t xml:space="preserve">124,67 </w:t>
      </w:r>
      <w:r>
        <w:t>millones). Los principales motivos de esta variación son los siguientes:</w:t>
      </w:r>
    </w:p>
    <w:p w14:paraId="3D0EE11C" w14:textId="77777777" w:rsidR="000C35AC" w:rsidRDefault="00614DC4" w:rsidP="008C2B8E">
      <w:pPr>
        <w:pStyle w:val="texto"/>
        <w:numPr>
          <w:ilvl w:val="0"/>
          <w:numId w:val="6"/>
        </w:numPr>
        <w:tabs>
          <w:tab w:val="clear" w:pos="360"/>
          <w:tab w:val="num" w:pos="300"/>
          <w:tab w:val="left" w:pos="480"/>
          <w:tab w:val="num" w:pos="600"/>
        </w:tabs>
        <w:spacing w:before="120"/>
        <w:ind w:firstLine="289"/>
        <w:jc w:val="both"/>
      </w:pPr>
      <w:r>
        <w:t xml:space="preserve">El incremento salarial </w:t>
      </w:r>
      <w:r w:rsidR="004944C1">
        <w:t xml:space="preserve">efectivo </w:t>
      </w:r>
      <w:r w:rsidR="00F6452D">
        <w:t xml:space="preserve">respecto a 2022 fue </w:t>
      </w:r>
      <w:r w:rsidR="0027365F">
        <w:t>del 3,</w:t>
      </w:r>
      <w:r w:rsidR="00F6452D">
        <w:t>5</w:t>
      </w:r>
      <w:r>
        <w:t xml:space="preserve"> por ciento</w:t>
      </w:r>
      <w:r w:rsidRPr="00BD458C">
        <w:rPr>
          <w:rStyle w:val="Refdenotaalpie"/>
        </w:rPr>
        <w:footnoteReference w:id="18"/>
      </w:r>
      <w:r w:rsidR="00F6452D">
        <w:t xml:space="preserve">, si bien la última subida del 0,5 se aplicó en el presupuesto de 2024, por lo que el presupuesto de 2023 recoge una subida del tres por ciento. </w:t>
      </w:r>
    </w:p>
    <w:p w14:paraId="7EDEB4ED" w14:textId="77777777" w:rsidR="00FB4351" w:rsidRDefault="0027365F" w:rsidP="008C2B8E">
      <w:pPr>
        <w:pStyle w:val="texto"/>
        <w:numPr>
          <w:ilvl w:val="0"/>
          <w:numId w:val="6"/>
        </w:numPr>
        <w:tabs>
          <w:tab w:val="clear" w:pos="360"/>
          <w:tab w:val="num" w:pos="300"/>
          <w:tab w:val="left" w:pos="480"/>
          <w:tab w:val="num" w:pos="600"/>
        </w:tabs>
        <w:spacing w:before="120"/>
        <w:ind w:firstLine="289"/>
        <w:jc w:val="both"/>
      </w:pPr>
      <w:r>
        <w:t xml:space="preserve">Si desagregamos la información </w:t>
      </w:r>
      <w:r w:rsidR="00BD458C">
        <w:t xml:space="preserve">de las retribuciones del puesto, </w:t>
      </w:r>
      <w:r>
        <w:t xml:space="preserve">a nivel de concepto presupuestario, obtenemos la siguiente información: </w:t>
      </w:r>
    </w:p>
    <w:p w14:paraId="40CFEC6C" w14:textId="77777777" w:rsidR="00BD458C" w:rsidRPr="00182B19" w:rsidRDefault="00BD458C" w:rsidP="00BD458C">
      <w:pPr>
        <w:pStyle w:val="Prrafodelista"/>
        <w:keepLines/>
        <w:tabs>
          <w:tab w:val="right" w:pos="7371"/>
        </w:tabs>
        <w:ind w:left="0"/>
        <w:jc w:val="right"/>
        <w:rPr>
          <w:rFonts w:ascii="Arial" w:hAnsi="Arial" w:cs="Arial"/>
          <w:spacing w:val="6"/>
          <w:sz w:val="17"/>
          <w:szCs w:val="17"/>
        </w:rPr>
      </w:pPr>
      <w:r w:rsidRPr="00182B19">
        <w:rPr>
          <w:rFonts w:ascii="Arial" w:hAnsi="Arial" w:cs="Arial"/>
          <w:spacing w:val="6"/>
          <w:sz w:val="17"/>
          <w:szCs w:val="17"/>
        </w:rPr>
        <w:t>(en miles)</w:t>
      </w:r>
    </w:p>
    <w:tbl>
      <w:tblPr>
        <w:tblW w:w="5097" w:type="pct"/>
        <w:jc w:val="center"/>
        <w:tblCellMar>
          <w:left w:w="70" w:type="dxa"/>
          <w:right w:w="70" w:type="dxa"/>
        </w:tblCellMar>
        <w:tblLook w:val="04A0" w:firstRow="1" w:lastRow="0" w:firstColumn="1" w:lastColumn="0" w:noHBand="0" w:noVBand="1"/>
      </w:tblPr>
      <w:tblGrid>
        <w:gridCol w:w="4253"/>
        <w:gridCol w:w="1134"/>
        <w:gridCol w:w="1134"/>
        <w:gridCol w:w="1149"/>
        <w:gridCol w:w="1290"/>
      </w:tblGrid>
      <w:tr w:rsidR="00FB4351" w:rsidRPr="00EB306E" w14:paraId="7B221612" w14:textId="77777777" w:rsidTr="00E04706">
        <w:trPr>
          <w:trHeight w:val="255"/>
          <w:jc w:val="center"/>
        </w:trPr>
        <w:tc>
          <w:tcPr>
            <w:tcW w:w="4253" w:type="dxa"/>
            <w:tcBorders>
              <w:top w:val="single" w:sz="4" w:space="0" w:color="auto"/>
              <w:left w:val="nil"/>
              <w:bottom w:val="single" w:sz="2" w:space="0" w:color="auto"/>
              <w:right w:val="nil"/>
            </w:tcBorders>
            <w:shd w:val="clear" w:color="auto" w:fill="95B3D7" w:themeFill="accent1" w:themeFillTint="99"/>
            <w:noWrap/>
            <w:vAlign w:val="center"/>
            <w:hideMark/>
          </w:tcPr>
          <w:p w14:paraId="03ADBCAF" w14:textId="77777777" w:rsidR="00FB4351" w:rsidRPr="00EB306E" w:rsidRDefault="0027365F" w:rsidP="00C40B89">
            <w:pPr>
              <w:pStyle w:val="cuadroCabe"/>
            </w:pPr>
            <w:r>
              <w:t>Concepto</w:t>
            </w:r>
            <w:r w:rsidR="00FB4351" w:rsidRPr="00EB306E">
              <w:t xml:space="preserve"> presupuestario</w:t>
            </w:r>
          </w:p>
        </w:tc>
        <w:tc>
          <w:tcPr>
            <w:tcW w:w="1134" w:type="dxa"/>
            <w:tcBorders>
              <w:top w:val="single" w:sz="4" w:space="0" w:color="auto"/>
              <w:left w:val="nil"/>
              <w:bottom w:val="single" w:sz="2" w:space="0" w:color="auto"/>
              <w:right w:val="nil"/>
            </w:tcBorders>
            <w:shd w:val="clear" w:color="auto" w:fill="95B3D7" w:themeFill="accent1" w:themeFillTint="99"/>
            <w:vAlign w:val="center"/>
            <w:hideMark/>
          </w:tcPr>
          <w:p w14:paraId="3B2C4A0F" w14:textId="77777777" w:rsidR="00FB4351" w:rsidRPr="00EB306E" w:rsidRDefault="00FB4351" w:rsidP="00C40B89">
            <w:pPr>
              <w:pStyle w:val="cuadroCabe"/>
              <w:jc w:val="right"/>
            </w:pPr>
            <w:r>
              <w:t>ORN</w:t>
            </w:r>
            <w:r w:rsidRPr="00EB306E">
              <w:t xml:space="preserve"> 202</w:t>
            </w:r>
            <w:r>
              <w:t>2</w:t>
            </w:r>
          </w:p>
        </w:tc>
        <w:tc>
          <w:tcPr>
            <w:tcW w:w="1134" w:type="dxa"/>
            <w:tcBorders>
              <w:top w:val="single" w:sz="4" w:space="0" w:color="auto"/>
              <w:left w:val="nil"/>
              <w:bottom w:val="single" w:sz="2" w:space="0" w:color="auto"/>
              <w:right w:val="nil"/>
            </w:tcBorders>
            <w:shd w:val="clear" w:color="auto" w:fill="95B3D7" w:themeFill="accent1" w:themeFillTint="99"/>
            <w:vAlign w:val="center"/>
            <w:hideMark/>
          </w:tcPr>
          <w:p w14:paraId="2D21FC0A" w14:textId="77777777" w:rsidR="00FB4351" w:rsidRPr="00EB306E" w:rsidRDefault="00FB4351" w:rsidP="00C40B89">
            <w:pPr>
              <w:pStyle w:val="cuadroCabe"/>
              <w:jc w:val="right"/>
            </w:pPr>
            <w:r>
              <w:t>ORN</w:t>
            </w:r>
            <w:r w:rsidRPr="00EB306E">
              <w:t xml:space="preserve"> 202</w:t>
            </w:r>
            <w:r>
              <w:t>3</w:t>
            </w:r>
          </w:p>
        </w:tc>
        <w:tc>
          <w:tcPr>
            <w:tcW w:w="1149" w:type="dxa"/>
            <w:tcBorders>
              <w:top w:val="single" w:sz="4" w:space="0" w:color="auto"/>
              <w:left w:val="nil"/>
              <w:bottom w:val="single" w:sz="2" w:space="0" w:color="auto"/>
              <w:right w:val="nil"/>
            </w:tcBorders>
            <w:shd w:val="clear" w:color="auto" w:fill="95B3D7" w:themeFill="accent1" w:themeFillTint="99"/>
          </w:tcPr>
          <w:p w14:paraId="0BCED644" w14:textId="77777777" w:rsidR="00FB4351" w:rsidRPr="00EB306E" w:rsidRDefault="00FB4351" w:rsidP="00C40B89">
            <w:pPr>
              <w:pStyle w:val="cuadroCabe"/>
              <w:jc w:val="right"/>
            </w:pPr>
            <w:r>
              <w:t>Diferencia</w:t>
            </w:r>
          </w:p>
        </w:tc>
        <w:tc>
          <w:tcPr>
            <w:tcW w:w="1290" w:type="dxa"/>
            <w:tcBorders>
              <w:top w:val="single" w:sz="4" w:space="0" w:color="auto"/>
              <w:left w:val="nil"/>
              <w:bottom w:val="single" w:sz="2" w:space="0" w:color="auto"/>
              <w:right w:val="nil"/>
            </w:tcBorders>
            <w:shd w:val="clear" w:color="auto" w:fill="95B3D7" w:themeFill="accent1" w:themeFillTint="99"/>
            <w:noWrap/>
            <w:vAlign w:val="center"/>
            <w:hideMark/>
          </w:tcPr>
          <w:p w14:paraId="18FE9EE2" w14:textId="77777777" w:rsidR="00FB4351" w:rsidRPr="00EB306E" w:rsidRDefault="00FB4351" w:rsidP="00C40B89">
            <w:pPr>
              <w:pStyle w:val="cuadroCabe"/>
              <w:jc w:val="right"/>
            </w:pPr>
            <w:r w:rsidRPr="00EB306E">
              <w:t>% Variación</w:t>
            </w:r>
          </w:p>
        </w:tc>
      </w:tr>
      <w:tr w:rsidR="00FB4351" w:rsidRPr="00FB4351" w14:paraId="0FCECBEF" w14:textId="77777777" w:rsidTr="00E04706">
        <w:trPr>
          <w:trHeight w:val="198"/>
          <w:jc w:val="center"/>
        </w:trPr>
        <w:tc>
          <w:tcPr>
            <w:tcW w:w="4253" w:type="dxa"/>
            <w:tcBorders>
              <w:top w:val="single" w:sz="2" w:space="0" w:color="auto"/>
              <w:bottom w:val="single" w:sz="2" w:space="0" w:color="auto"/>
            </w:tcBorders>
            <w:noWrap/>
            <w:vAlign w:val="bottom"/>
          </w:tcPr>
          <w:p w14:paraId="65B5A5CD" w14:textId="77777777" w:rsidR="00FB4351" w:rsidRPr="00E04706" w:rsidRDefault="00FB4351" w:rsidP="00C40B89">
            <w:pPr>
              <w:rPr>
                <w:rFonts w:ascii="Arial Narrow" w:hAnsi="Arial Narrow" w:cs="Calibri"/>
                <w:color w:val="000000"/>
                <w:sz w:val="18"/>
                <w:szCs w:val="18"/>
              </w:rPr>
            </w:pPr>
            <w:r w:rsidRPr="00E04706">
              <w:rPr>
                <w:rFonts w:ascii="Arial Narrow" w:hAnsi="Arial Narrow" w:cs="Calibri"/>
                <w:color w:val="000000"/>
                <w:sz w:val="18"/>
                <w:szCs w:val="18"/>
              </w:rPr>
              <w:t>Retribuciones del personal fijo</w:t>
            </w:r>
          </w:p>
        </w:tc>
        <w:tc>
          <w:tcPr>
            <w:tcW w:w="1134" w:type="dxa"/>
            <w:tcBorders>
              <w:top w:val="single" w:sz="2" w:space="0" w:color="auto"/>
              <w:bottom w:val="single" w:sz="2" w:space="0" w:color="auto"/>
            </w:tcBorders>
            <w:vAlign w:val="bottom"/>
          </w:tcPr>
          <w:p w14:paraId="04A68DA8" w14:textId="77777777" w:rsidR="00FB4351" w:rsidRPr="00E04706" w:rsidRDefault="00FB4351" w:rsidP="00FB4351">
            <w:pPr>
              <w:jc w:val="right"/>
              <w:rPr>
                <w:rFonts w:ascii="Arial Narrow" w:hAnsi="Arial Narrow" w:cs="Calibri"/>
                <w:color w:val="000000"/>
                <w:sz w:val="18"/>
                <w:szCs w:val="18"/>
              </w:rPr>
            </w:pPr>
            <w:r w:rsidRPr="00E04706">
              <w:rPr>
                <w:rFonts w:ascii="Arial Narrow" w:hAnsi="Arial Narrow" w:cs="Calibri"/>
                <w:color w:val="000000"/>
                <w:sz w:val="18"/>
                <w:szCs w:val="18"/>
              </w:rPr>
              <w:t>517.797</w:t>
            </w:r>
          </w:p>
        </w:tc>
        <w:tc>
          <w:tcPr>
            <w:tcW w:w="1134" w:type="dxa"/>
            <w:tcBorders>
              <w:top w:val="single" w:sz="2" w:space="0" w:color="auto"/>
              <w:bottom w:val="single" w:sz="2" w:space="0" w:color="auto"/>
            </w:tcBorders>
            <w:vAlign w:val="bottom"/>
          </w:tcPr>
          <w:p w14:paraId="049513E4" w14:textId="77777777" w:rsidR="00FB4351" w:rsidRPr="00E04706" w:rsidRDefault="00FB4351" w:rsidP="00FB4351">
            <w:pPr>
              <w:jc w:val="right"/>
              <w:rPr>
                <w:rFonts w:ascii="Arial Narrow" w:hAnsi="Arial Narrow" w:cs="Calibri"/>
                <w:color w:val="000000"/>
                <w:sz w:val="18"/>
                <w:szCs w:val="18"/>
              </w:rPr>
            </w:pPr>
            <w:r w:rsidRPr="00E04706">
              <w:rPr>
                <w:rFonts w:ascii="Arial Narrow" w:hAnsi="Arial Narrow" w:cs="Calibri"/>
                <w:color w:val="000000"/>
                <w:sz w:val="18"/>
                <w:szCs w:val="18"/>
              </w:rPr>
              <w:t>568.721</w:t>
            </w:r>
          </w:p>
        </w:tc>
        <w:tc>
          <w:tcPr>
            <w:tcW w:w="1149" w:type="dxa"/>
            <w:tcBorders>
              <w:top w:val="single" w:sz="2" w:space="0" w:color="auto"/>
              <w:bottom w:val="single" w:sz="2" w:space="0" w:color="auto"/>
            </w:tcBorders>
            <w:vAlign w:val="bottom"/>
          </w:tcPr>
          <w:p w14:paraId="6628CB99" w14:textId="77777777" w:rsidR="00FB4351" w:rsidRPr="00E04706" w:rsidRDefault="00FB4351" w:rsidP="00FB4351">
            <w:pPr>
              <w:jc w:val="right"/>
              <w:rPr>
                <w:rFonts w:ascii="Arial Narrow" w:hAnsi="Arial Narrow" w:cs="Calibri"/>
                <w:sz w:val="18"/>
                <w:szCs w:val="18"/>
              </w:rPr>
            </w:pPr>
            <w:r w:rsidRPr="00E04706">
              <w:rPr>
                <w:rFonts w:ascii="Arial Narrow" w:hAnsi="Arial Narrow" w:cs="Calibri"/>
                <w:sz w:val="18"/>
                <w:szCs w:val="18"/>
              </w:rPr>
              <w:t>50.924</w:t>
            </w:r>
          </w:p>
        </w:tc>
        <w:tc>
          <w:tcPr>
            <w:tcW w:w="1290" w:type="dxa"/>
            <w:tcBorders>
              <w:top w:val="single" w:sz="2" w:space="0" w:color="auto"/>
              <w:bottom w:val="single" w:sz="2" w:space="0" w:color="auto"/>
            </w:tcBorders>
            <w:noWrap/>
            <w:vAlign w:val="bottom"/>
          </w:tcPr>
          <w:p w14:paraId="46178825" w14:textId="77777777" w:rsidR="00FB4351" w:rsidRPr="00E04706" w:rsidRDefault="0027365F" w:rsidP="00FB4351">
            <w:pPr>
              <w:jc w:val="right"/>
              <w:rPr>
                <w:rFonts w:ascii="Arial Narrow" w:hAnsi="Arial Narrow" w:cs="Calibri"/>
                <w:sz w:val="18"/>
                <w:szCs w:val="18"/>
              </w:rPr>
            </w:pPr>
            <w:r w:rsidRPr="00E04706">
              <w:rPr>
                <w:rFonts w:ascii="Arial Narrow" w:hAnsi="Arial Narrow" w:cs="Calibri"/>
                <w:sz w:val="18"/>
                <w:szCs w:val="18"/>
              </w:rPr>
              <w:t>10</w:t>
            </w:r>
          </w:p>
        </w:tc>
      </w:tr>
      <w:tr w:rsidR="00FB4351" w:rsidRPr="00FB4351" w14:paraId="1CC21180" w14:textId="77777777" w:rsidTr="00E04706">
        <w:trPr>
          <w:trHeight w:val="198"/>
          <w:jc w:val="center"/>
        </w:trPr>
        <w:tc>
          <w:tcPr>
            <w:tcW w:w="4253" w:type="dxa"/>
            <w:tcBorders>
              <w:top w:val="single" w:sz="2" w:space="0" w:color="auto"/>
              <w:bottom w:val="single" w:sz="2" w:space="0" w:color="auto"/>
            </w:tcBorders>
            <w:noWrap/>
            <w:vAlign w:val="bottom"/>
          </w:tcPr>
          <w:p w14:paraId="0B725729" w14:textId="77777777" w:rsidR="00FB4351" w:rsidRPr="00E04706" w:rsidRDefault="00FB4351" w:rsidP="00C40B89">
            <w:pPr>
              <w:rPr>
                <w:rFonts w:ascii="Arial Narrow" w:hAnsi="Arial Narrow" w:cs="Calibri"/>
                <w:color w:val="000000"/>
                <w:sz w:val="18"/>
                <w:szCs w:val="18"/>
              </w:rPr>
            </w:pPr>
            <w:r w:rsidRPr="00E04706">
              <w:rPr>
                <w:rFonts w:ascii="Arial Narrow" w:hAnsi="Arial Narrow" w:cs="Calibri"/>
                <w:color w:val="000000"/>
                <w:sz w:val="18"/>
                <w:szCs w:val="18"/>
              </w:rPr>
              <w:t>Retribuciones del personal contratado plazas reservadas</w:t>
            </w:r>
          </w:p>
        </w:tc>
        <w:tc>
          <w:tcPr>
            <w:tcW w:w="1134" w:type="dxa"/>
            <w:tcBorders>
              <w:top w:val="single" w:sz="2" w:space="0" w:color="auto"/>
              <w:bottom w:val="single" w:sz="2" w:space="0" w:color="auto"/>
            </w:tcBorders>
            <w:vAlign w:val="bottom"/>
          </w:tcPr>
          <w:p w14:paraId="3C867060" w14:textId="77777777" w:rsidR="00FB4351" w:rsidRPr="00E04706" w:rsidRDefault="00FB4351" w:rsidP="00FB4351">
            <w:pPr>
              <w:jc w:val="right"/>
              <w:rPr>
                <w:rFonts w:ascii="Arial Narrow" w:hAnsi="Arial Narrow" w:cs="Calibri"/>
                <w:color w:val="000000"/>
                <w:sz w:val="18"/>
                <w:szCs w:val="18"/>
              </w:rPr>
            </w:pPr>
            <w:r w:rsidRPr="00E04706">
              <w:rPr>
                <w:rFonts w:ascii="Arial Narrow" w:hAnsi="Arial Narrow" w:cs="Calibri"/>
                <w:color w:val="000000"/>
                <w:sz w:val="18"/>
                <w:szCs w:val="18"/>
              </w:rPr>
              <w:t>48.475</w:t>
            </w:r>
          </w:p>
        </w:tc>
        <w:tc>
          <w:tcPr>
            <w:tcW w:w="1134" w:type="dxa"/>
            <w:tcBorders>
              <w:top w:val="single" w:sz="2" w:space="0" w:color="auto"/>
              <w:bottom w:val="single" w:sz="2" w:space="0" w:color="auto"/>
            </w:tcBorders>
            <w:vAlign w:val="bottom"/>
          </w:tcPr>
          <w:p w14:paraId="0C91DA5C" w14:textId="77777777" w:rsidR="00FB4351" w:rsidRPr="00E04706" w:rsidRDefault="00FB4351" w:rsidP="00FB4351">
            <w:pPr>
              <w:jc w:val="right"/>
              <w:rPr>
                <w:rFonts w:ascii="Arial Narrow" w:hAnsi="Arial Narrow" w:cs="Calibri"/>
                <w:color w:val="000000"/>
                <w:sz w:val="18"/>
                <w:szCs w:val="18"/>
              </w:rPr>
            </w:pPr>
            <w:r w:rsidRPr="00E04706">
              <w:rPr>
                <w:rFonts w:ascii="Arial Narrow" w:hAnsi="Arial Narrow" w:cs="Calibri"/>
                <w:color w:val="000000"/>
                <w:sz w:val="18"/>
                <w:szCs w:val="18"/>
              </w:rPr>
              <w:t>49.797</w:t>
            </w:r>
          </w:p>
        </w:tc>
        <w:tc>
          <w:tcPr>
            <w:tcW w:w="1149" w:type="dxa"/>
            <w:tcBorders>
              <w:top w:val="single" w:sz="2" w:space="0" w:color="auto"/>
              <w:bottom w:val="single" w:sz="2" w:space="0" w:color="auto"/>
            </w:tcBorders>
            <w:vAlign w:val="bottom"/>
          </w:tcPr>
          <w:p w14:paraId="5272B9D6" w14:textId="77777777" w:rsidR="00FB4351" w:rsidRPr="00E04706" w:rsidRDefault="0027365F" w:rsidP="00FB4351">
            <w:pPr>
              <w:jc w:val="right"/>
              <w:rPr>
                <w:rFonts w:ascii="Arial Narrow" w:hAnsi="Arial Narrow" w:cs="Calibri"/>
                <w:sz w:val="18"/>
                <w:szCs w:val="18"/>
              </w:rPr>
            </w:pPr>
            <w:r w:rsidRPr="00E04706">
              <w:rPr>
                <w:rFonts w:ascii="Arial Narrow" w:hAnsi="Arial Narrow" w:cs="Calibri"/>
                <w:sz w:val="18"/>
                <w:szCs w:val="18"/>
              </w:rPr>
              <w:t>1.322</w:t>
            </w:r>
          </w:p>
        </w:tc>
        <w:tc>
          <w:tcPr>
            <w:tcW w:w="1290" w:type="dxa"/>
            <w:tcBorders>
              <w:top w:val="single" w:sz="2" w:space="0" w:color="auto"/>
              <w:bottom w:val="single" w:sz="2" w:space="0" w:color="auto"/>
            </w:tcBorders>
            <w:noWrap/>
            <w:vAlign w:val="bottom"/>
          </w:tcPr>
          <w:p w14:paraId="16502C59" w14:textId="77777777" w:rsidR="00FB4351" w:rsidRPr="00E04706" w:rsidRDefault="0027365F" w:rsidP="00FB4351">
            <w:pPr>
              <w:jc w:val="right"/>
              <w:rPr>
                <w:rFonts w:ascii="Arial Narrow" w:hAnsi="Arial Narrow" w:cs="Calibri"/>
                <w:sz w:val="18"/>
                <w:szCs w:val="18"/>
              </w:rPr>
            </w:pPr>
            <w:r w:rsidRPr="00E04706">
              <w:rPr>
                <w:rFonts w:ascii="Arial Narrow" w:hAnsi="Arial Narrow" w:cs="Calibri"/>
                <w:sz w:val="18"/>
                <w:szCs w:val="18"/>
              </w:rPr>
              <w:t>3</w:t>
            </w:r>
          </w:p>
        </w:tc>
      </w:tr>
      <w:tr w:rsidR="00FB4351" w:rsidRPr="00FB4351" w14:paraId="18B0C16E" w14:textId="77777777" w:rsidTr="00E04706">
        <w:trPr>
          <w:trHeight w:val="198"/>
          <w:jc w:val="center"/>
        </w:trPr>
        <w:tc>
          <w:tcPr>
            <w:tcW w:w="4253" w:type="dxa"/>
            <w:tcBorders>
              <w:top w:val="single" w:sz="2" w:space="0" w:color="auto"/>
              <w:bottom w:val="single" w:sz="2" w:space="0" w:color="auto"/>
            </w:tcBorders>
            <w:noWrap/>
            <w:vAlign w:val="bottom"/>
          </w:tcPr>
          <w:p w14:paraId="5C2613B2" w14:textId="77777777" w:rsidR="00FB4351" w:rsidRPr="00E04706" w:rsidRDefault="00FB4351" w:rsidP="00C40B89">
            <w:pPr>
              <w:rPr>
                <w:rFonts w:ascii="Arial Narrow" w:hAnsi="Arial Narrow" w:cs="Calibri"/>
                <w:color w:val="000000"/>
                <w:sz w:val="18"/>
                <w:szCs w:val="18"/>
              </w:rPr>
            </w:pPr>
            <w:r w:rsidRPr="00E04706">
              <w:rPr>
                <w:rFonts w:ascii="Arial Narrow" w:hAnsi="Arial Narrow" w:cs="Calibri"/>
                <w:color w:val="000000"/>
                <w:sz w:val="18"/>
                <w:szCs w:val="18"/>
              </w:rPr>
              <w:t>Retribuciones del personal contratado para cubrir vacantes</w:t>
            </w:r>
          </w:p>
        </w:tc>
        <w:tc>
          <w:tcPr>
            <w:tcW w:w="1134" w:type="dxa"/>
            <w:tcBorders>
              <w:top w:val="single" w:sz="2" w:space="0" w:color="auto"/>
              <w:bottom w:val="single" w:sz="2" w:space="0" w:color="auto"/>
            </w:tcBorders>
            <w:vAlign w:val="bottom"/>
          </w:tcPr>
          <w:p w14:paraId="3BCE7658" w14:textId="77777777" w:rsidR="00FB4351" w:rsidRPr="00E04706" w:rsidRDefault="00FB4351" w:rsidP="00FB4351">
            <w:pPr>
              <w:jc w:val="right"/>
              <w:rPr>
                <w:rFonts w:ascii="Arial Narrow" w:hAnsi="Arial Narrow" w:cs="Calibri"/>
                <w:color w:val="000000"/>
                <w:sz w:val="18"/>
                <w:szCs w:val="18"/>
              </w:rPr>
            </w:pPr>
            <w:r w:rsidRPr="00E04706">
              <w:rPr>
                <w:rFonts w:ascii="Arial Narrow" w:hAnsi="Arial Narrow" w:cs="Calibri"/>
                <w:color w:val="000000"/>
                <w:sz w:val="18"/>
                <w:szCs w:val="18"/>
              </w:rPr>
              <w:t>134.385</w:t>
            </w:r>
          </w:p>
        </w:tc>
        <w:tc>
          <w:tcPr>
            <w:tcW w:w="1134" w:type="dxa"/>
            <w:tcBorders>
              <w:top w:val="single" w:sz="2" w:space="0" w:color="auto"/>
              <w:bottom w:val="single" w:sz="2" w:space="0" w:color="auto"/>
            </w:tcBorders>
            <w:vAlign w:val="bottom"/>
          </w:tcPr>
          <w:p w14:paraId="7A9EF045" w14:textId="77777777" w:rsidR="00FB4351" w:rsidRPr="00E04706" w:rsidRDefault="00FB4351" w:rsidP="00FB4351">
            <w:pPr>
              <w:jc w:val="right"/>
              <w:rPr>
                <w:rFonts w:ascii="Arial Narrow" w:hAnsi="Arial Narrow" w:cs="Calibri"/>
                <w:color w:val="000000"/>
                <w:sz w:val="18"/>
                <w:szCs w:val="18"/>
              </w:rPr>
            </w:pPr>
            <w:r w:rsidRPr="00E04706">
              <w:rPr>
                <w:rFonts w:ascii="Arial Narrow" w:hAnsi="Arial Narrow" w:cs="Calibri"/>
                <w:color w:val="000000"/>
                <w:sz w:val="18"/>
                <w:szCs w:val="18"/>
              </w:rPr>
              <w:t>127.521</w:t>
            </w:r>
          </w:p>
        </w:tc>
        <w:tc>
          <w:tcPr>
            <w:tcW w:w="1149" w:type="dxa"/>
            <w:tcBorders>
              <w:top w:val="single" w:sz="2" w:space="0" w:color="auto"/>
              <w:bottom w:val="single" w:sz="2" w:space="0" w:color="auto"/>
            </w:tcBorders>
            <w:vAlign w:val="bottom"/>
          </w:tcPr>
          <w:p w14:paraId="3E749342" w14:textId="77777777" w:rsidR="00FB4351" w:rsidRPr="00E04706" w:rsidRDefault="0027365F" w:rsidP="00FB4351">
            <w:pPr>
              <w:jc w:val="right"/>
              <w:rPr>
                <w:rFonts w:ascii="Arial Narrow" w:hAnsi="Arial Narrow" w:cs="Calibri"/>
                <w:sz w:val="18"/>
                <w:szCs w:val="18"/>
              </w:rPr>
            </w:pPr>
            <w:r w:rsidRPr="00E04706">
              <w:rPr>
                <w:rFonts w:ascii="Arial Narrow" w:hAnsi="Arial Narrow" w:cs="Calibri"/>
                <w:sz w:val="18"/>
                <w:szCs w:val="18"/>
              </w:rPr>
              <w:t>-6.863</w:t>
            </w:r>
          </w:p>
        </w:tc>
        <w:tc>
          <w:tcPr>
            <w:tcW w:w="1290" w:type="dxa"/>
            <w:tcBorders>
              <w:top w:val="single" w:sz="2" w:space="0" w:color="auto"/>
              <w:bottom w:val="single" w:sz="2" w:space="0" w:color="auto"/>
            </w:tcBorders>
            <w:noWrap/>
            <w:vAlign w:val="bottom"/>
          </w:tcPr>
          <w:p w14:paraId="19421F20" w14:textId="77777777" w:rsidR="00FB4351" w:rsidRPr="00E04706" w:rsidRDefault="0027365F" w:rsidP="00FB4351">
            <w:pPr>
              <w:jc w:val="right"/>
              <w:rPr>
                <w:rFonts w:ascii="Arial Narrow" w:hAnsi="Arial Narrow" w:cs="Calibri"/>
                <w:sz w:val="18"/>
                <w:szCs w:val="18"/>
              </w:rPr>
            </w:pPr>
            <w:r w:rsidRPr="00E04706">
              <w:rPr>
                <w:rFonts w:ascii="Arial Narrow" w:hAnsi="Arial Narrow" w:cs="Calibri"/>
                <w:sz w:val="18"/>
                <w:szCs w:val="18"/>
              </w:rPr>
              <w:t>-5</w:t>
            </w:r>
          </w:p>
        </w:tc>
      </w:tr>
      <w:tr w:rsidR="00FB4351" w:rsidRPr="00FB4351" w14:paraId="6E981B35" w14:textId="77777777" w:rsidTr="00E04706">
        <w:trPr>
          <w:trHeight w:val="198"/>
          <w:jc w:val="center"/>
        </w:trPr>
        <w:tc>
          <w:tcPr>
            <w:tcW w:w="4253" w:type="dxa"/>
            <w:tcBorders>
              <w:top w:val="single" w:sz="2" w:space="0" w:color="auto"/>
              <w:bottom w:val="single" w:sz="2" w:space="0" w:color="auto"/>
            </w:tcBorders>
            <w:noWrap/>
            <w:vAlign w:val="bottom"/>
          </w:tcPr>
          <w:p w14:paraId="4FF95248" w14:textId="77777777" w:rsidR="00FB4351" w:rsidRPr="00E04706" w:rsidRDefault="00FB4351" w:rsidP="00C40B89">
            <w:pPr>
              <w:rPr>
                <w:rFonts w:ascii="Arial Narrow" w:hAnsi="Arial Narrow" w:cs="Calibri"/>
                <w:color w:val="000000"/>
                <w:sz w:val="18"/>
                <w:szCs w:val="18"/>
              </w:rPr>
            </w:pPr>
            <w:r w:rsidRPr="00E04706">
              <w:rPr>
                <w:rFonts w:ascii="Arial Narrow" w:hAnsi="Arial Narrow" w:cs="Calibri"/>
                <w:color w:val="000000"/>
                <w:sz w:val="18"/>
                <w:szCs w:val="18"/>
              </w:rPr>
              <w:t>Retribuciones del personal contratado temporal</w:t>
            </w:r>
          </w:p>
        </w:tc>
        <w:tc>
          <w:tcPr>
            <w:tcW w:w="1134" w:type="dxa"/>
            <w:tcBorders>
              <w:top w:val="single" w:sz="2" w:space="0" w:color="auto"/>
              <w:bottom w:val="single" w:sz="2" w:space="0" w:color="auto"/>
            </w:tcBorders>
            <w:vAlign w:val="bottom"/>
          </w:tcPr>
          <w:p w14:paraId="2AD66C46" w14:textId="77777777" w:rsidR="00FB4351" w:rsidRPr="00E04706" w:rsidRDefault="00FB4351" w:rsidP="00FB4351">
            <w:pPr>
              <w:jc w:val="right"/>
              <w:rPr>
                <w:rFonts w:ascii="Arial Narrow" w:hAnsi="Arial Narrow" w:cs="Calibri"/>
                <w:color w:val="000000"/>
                <w:sz w:val="18"/>
                <w:szCs w:val="18"/>
              </w:rPr>
            </w:pPr>
            <w:r w:rsidRPr="00E04706">
              <w:rPr>
                <w:rFonts w:ascii="Arial Narrow" w:hAnsi="Arial Narrow" w:cs="Calibri"/>
                <w:color w:val="000000"/>
                <w:sz w:val="18"/>
                <w:szCs w:val="18"/>
              </w:rPr>
              <w:t>181.408</w:t>
            </w:r>
          </w:p>
        </w:tc>
        <w:tc>
          <w:tcPr>
            <w:tcW w:w="1134" w:type="dxa"/>
            <w:tcBorders>
              <w:top w:val="single" w:sz="2" w:space="0" w:color="auto"/>
              <w:bottom w:val="single" w:sz="2" w:space="0" w:color="auto"/>
            </w:tcBorders>
            <w:vAlign w:val="bottom"/>
          </w:tcPr>
          <w:p w14:paraId="7F048448" w14:textId="77777777" w:rsidR="00FB4351" w:rsidRPr="00E04706" w:rsidRDefault="00FB4351" w:rsidP="00FB4351">
            <w:pPr>
              <w:jc w:val="right"/>
              <w:rPr>
                <w:rFonts w:ascii="Arial Narrow" w:hAnsi="Arial Narrow" w:cs="Calibri"/>
                <w:color w:val="000000"/>
                <w:sz w:val="18"/>
                <w:szCs w:val="18"/>
              </w:rPr>
            </w:pPr>
            <w:r w:rsidRPr="00E04706">
              <w:rPr>
                <w:rFonts w:ascii="Arial Narrow" w:hAnsi="Arial Narrow" w:cs="Calibri"/>
                <w:color w:val="000000"/>
                <w:sz w:val="18"/>
                <w:szCs w:val="18"/>
              </w:rPr>
              <w:t>174.115</w:t>
            </w:r>
          </w:p>
        </w:tc>
        <w:tc>
          <w:tcPr>
            <w:tcW w:w="1149" w:type="dxa"/>
            <w:tcBorders>
              <w:top w:val="single" w:sz="2" w:space="0" w:color="auto"/>
              <w:bottom w:val="single" w:sz="2" w:space="0" w:color="auto"/>
            </w:tcBorders>
            <w:vAlign w:val="bottom"/>
          </w:tcPr>
          <w:p w14:paraId="6B53A99A" w14:textId="77777777" w:rsidR="00FB4351" w:rsidRPr="00E04706" w:rsidRDefault="0027365F" w:rsidP="0027365F">
            <w:pPr>
              <w:jc w:val="right"/>
              <w:rPr>
                <w:rFonts w:ascii="Arial Narrow" w:hAnsi="Arial Narrow" w:cs="Calibri"/>
                <w:sz w:val="18"/>
                <w:szCs w:val="18"/>
              </w:rPr>
            </w:pPr>
            <w:r w:rsidRPr="00E04706">
              <w:rPr>
                <w:rFonts w:ascii="Arial Narrow" w:hAnsi="Arial Narrow" w:cs="Calibri"/>
                <w:sz w:val="18"/>
                <w:szCs w:val="18"/>
              </w:rPr>
              <w:t>-7.293</w:t>
            </w:r>
          </w:p>
        </w:tc>
        <w:tc>
          <w:tcPr>
            <w:tcW w:w="1290" w:type="dxa"/>
            <w:tcBorders>
              <w:top w:val="single" w:sz="2" w:space="0" w:color="auto"/>
              <w:bottom w:val="single" w:sz="2" w:space="0" w:color="auto"/>
            </w:tcBorders>
            <w:noWrap/>
            <w:vAlign w:val="bottom"/>
          </w:tcPr>
          <w:p w14:paraId="039E6512" w14:textId="77777777" w:rsidR="00FB4351" w:rsidRPr="00E04706" w:rsidRDefault="0027365F" w:rsidP="00FB4351">
            <w:pPr>
              <w:jc w:val="right"/>
              <w:rPr>
                <w:rFonts w:ascii="Arial Narrow" w:hAnsi="Arial Narrow" w:cs="Calibri"/>
                <w:sz w:val="18"/>
                <w:szCs w:val="18"/>
              </w:rPr>
            </w:pPr>
            <w:r w:rsidRPr="00E04706">
              <w:rPr>
                <w:rFonts w:ascii="Arial Narrow" w:hAnsi="Arial Narrow" w:cs="Calibri"/>
                <w:sz w:val="18"/>
                <w:szCs w:val="18"/>
              </w:rPr>
              <w:t>-4</w:t>
            </w:r>
          </w:p>
        </w:tc>
      </w:tr>
      <w:tr w:rsidR="00FB4351" w:rsidRPr="00FB4351" w14:paraId="2A403F07" w14:textId="77777777" w:rsidTr="00E04706">
        <w:trPr>
          <w:trHeight w:val="198"/>
          <w:jc w:val="center"/>
        </w:trPr>
        <w:tc>
          <w:tcPr>
            <w:tcW w:w="4253" w:type="dxa"/>
            <w:tcBorders>
              <w:top w:val="single" w:sz="2" w:space="0" w:color="auto"/>
              <w:bottom w:val="single" w:sz="2" w:space="0" w:color="auto"/>
            </w:tcBorders>
            <w:noWrap/>
            <w:vAlign w:val="bottom"/>
          </w:tcPr>
          <w:p w14:paraId="5C58BEE2" w14:textId="77777777" w:rsidR="00FB4351" w:rsidRPr="00E04706" w:rsidRDefault="00FB4351" w:rsidP="00C40B89">
            <w:pPr>
              <w:rPr>
                <w:rFonts w:ascii="Arial Narrow" w:hAnsi="Arial Narrow" w:cs="Calibri"/>
                <w:color w:val="000000"/>
                <w:sz w:val="18"/>
                <w:szCs w:val="18"/>
              </w:rPr>
            </w:pPr>
            <w:r w:rsidRPr="00E04706">
              <w:rPr>
                <w:rFonts w:ascii="Arial Narrow" w:hAnsi="Arial Narrow" w:cs="Calibri"/>
                <w:color w:val="000000"/>
                <w:sz w:val="18"/>
                <w:szCs w:val="18"/>
              </w:rPr>
              <w:t>Retribuciones del personal contratado para campañas</w:t>
            </w:r>
          </w:p>
        </w:tc>
        <w:tc>
          <w:tcPr>
            <w:tcW w:w="1134" w:type="dxa"/>
            <w:tcBorders>
              <w:top w:val="single" w:sz="2" w:space="0" w:color="auto"/>
              <w:bottom w:val="single" w:sz="2" w:space="0" w:color="auto"/>
            </w:tcBorders>
            <w:vAlign w:val="bottom"/>
          </w:tcPr>
          <w:p w14:paraId="539FBD0A" w14:textId="77777777" w:rsidR="00FB4351" w:rsidRPr="00E04706" w:rsidRDefault="00FB4351" w:rsidP="00FB4351">
            <w:pPr>
              <w:jc w:val="right"/>
              <w:rPr>
                <w:rFonts w:ascii="Arial Narrow" w:hAnsi="Arial Narrow" w:cs="Calibri"/>
                <w:color w:val="000000"/>
                <w:sz w:val="18"/>
                <w:szCs w:val="18"/>
              </w:rPr>
            </w:pPr>
            <w:r w:rsidRPr="00E04706">
              <w:rPr>
                <w:rFonts w:ascii="Arial Narrow" w:hAnsi="Arial Narrow" w:cs="Calibri"/>
                <w:color w:val="000000"/>
                <w:sz w:val="18"/>
                <w:szCs w:val="18"/>
              </w:rPr>
              <w:t>21.752</w:t>
            </w:r>
          </w:p>
        </w:tc>
        <w:tc>
          <w:tcPr>
            <w:tcW w:w="1134" w:type="dxa"/>
            <w:tcBorders>
              <w:top w:val="single" w:sz="2" w:space="0" w:color="auto"/>
              <w:bottom w:val="single" w:sz="2" w:space="0" w:color="auto"/>
            </w:tcBorders>
            <w:vAlign w:val="bottom"/>
          </w:tcPr>
          <w:p w14:paraId="322419C7" w14:textId="77777777" w:rsidR="00FB4351" w:rsidRPr="00E04706" w:rsidRDefault="00FB4351" w:rsidP="00FB4351">
            <w:pPr>
              <w:jc w:val="right"/>
              <w:rPr>
                <w:rFonts w:ascii="Arial Narrow" w:hAnsi="Arial Narrow" w:cs="Calibri"/>
                <w:color w:val="000000"/>
                <w:sz w:val="18"/>
                <w:szCs w:val="18"/>
              </w:rPr>
            </w:pPr>
            <w:r w:rsidRPr="00E04706">
              <w:rPr>
                <w:rFonts w:ascii="Arial Narrow" w:hAnsi="Arial Narrow" w:cs="Calibri"/>
                <w:color w:val="000000"/>
                <w:sz w:val="18"/>
                <w:szCs w:val="18"/>
              </w:rPr>
              <w:t>23.933</w:t>
            </w:r>
          </w:p>
        </w:tc>
        <w:tc>
          <w:tcPr>
            <w:tcW w:w="1149" w:type="dxa"/>
            <w:tcBorders>
              <w:top w:val="single" w:sz="2" w:space="0" w:color="auto"/>
              <w:bottom w:val="single" w:sz="2" w:space="0" w:color="auto"/>
            </w:tcBorders>
            <w:vAlign w:val="bottom"/>
          </w:tcPr>
          <w:p w14:paraId="2DFDA569" w14:textId="77777777" w:rsidR="00FB4351" w:rsidRPr="00E04706" w:rsidRDefault="0027365F" w:rsidP="00FB4351">
            <w:pPr>
              <w:jc w:val="right"/>
              <w:rPr>
                <w:rFonts w:ascii="Arial Narrow" w:hAnsi="Arial Narrow" w:cs="Calibri"/>
                <w:sz w:val="18"/>
                <w:szCs w:val="18"/>
              </w:rPr>
            </w:pPr>
            <w:r w:rsidRPr="00E04706">
              <w:rPr>
                <w:rFonts w:ascii="Arial Narrow" w:hAnsi="Arial Narrow" w:cs="Calibri"/>
                <w:sz w:val="18"/>
                <w:szCs w:val="18"/>
              </w:rPr>
              <w:t>2.181</w:t>
            </w:r>
          </w:p>
        </w:tc>
        <w:tc>
          <w:tcPr>
            <w:tcW w:w="1290" w:type="dxa"/>
            <w:tcBorders>
              <w:top w:val="single" w:sz="2" w:space="0" w:color="auto"/>
              <w:bottom w:val="single" w:sz="2" w:space="0" w:color="auto"/>
            </w:tcBorders>
            <w:noWrap/>
            <w:vAlign w:val="bottom"/>
          </w:tcPr>
          <w:p w14:paraId="76BF76DF" w14:textId="77777777" w:rsidR="00FB4351" w:rsidRPr="00E04706" w:rsidRDefault="0027365F" w:rsidP="00FB4351">
            <w:pPr>
              <w:jc w:val="right"/>
              <w:rPr>
                <w:rFonts w:ascii="Arial Narrow" w:hAnsi="Arial Narrow" w:cs="Calibri"/>
                <w:sz w:val="18"/>
                <w:szCs w:val="18"/>
              </w:rPr>
            </w:pPr>
            <w:r w:rsidRPr="00E04706">
              <w:rPr>
                <w:rFonts w:ascii="Arial Narrow" w:hAnsi="Arial Narrow" w:cs="Calibri"/>
                <w:sz w:val="18"/>
                <w:szCs w:val="18"/>
              </w:rPr>
              <w:t>10</w:t>
            </w:r>
          </w:p>
        </w:tc>
      </w:tr>
      <w:tr w:rsidR="00FB4351" w:rsidRPr="00FB4351" w14:paraId="51286CAA" w14:textId="77777777" w:rsidTr="00E04706">
        <w:trPr>
          <w:trHeight w:val="198"/>
          <w:jc w:val="center"/>
        </w:trPr>
        <w:tc>
          <w:tcPr>
            <w:tcW w:w="4253" w:type="dxa"/>
            <w:tcBorders>
              <w:top w:val="single" w:sz="2" w:space="0" w:color="auto"/>
              <w:bottom w:val="single" w:sz="4" w:space="0" w:color="auto"/>
            </w:tcBorders>
            <w:noWrap/>
            <w:vAlign w:val="bottom"/>
          </w:tcPr>
          <w:p w14:paraId="7DBEA650" w14:textId="77777777" w:rsidR="00FB4351" w:rsidRPr="00E04706" w:rsidRDefault="00FB4351" w:rsidP="00C40B89">
            <w:pPr>
              <w:rPr>
                <w:rFonts w:ascii="Arial Narrow" w:hAnsi="Arial Narrow" w:cs="Calibri"/>
                <w:color w:val="000000"/>
                <w:sz w:val="18"/>
                <w:szCs w:val="18"/>
              </w:rPr>
            </w:pPr>
            <w:r w:rsidRPr="00E04706">
              <w:rPr>
                <w:rFonts w:ascii="Arial Narrow" w:hAnsi="Arial Narrow" w:cs="Calibri"/>
                <w:color w:val="000000"/>
                <w:sz w:val="18"/>
                <w:szCs w:val="18"/>
              </w:rPr>
              <w:t>Retribuciones del personal contratado para sustituciones</w:t>
            </w:r>
          </w:p>
        </w:tc>
        <w:tc>
          <w:tcPr>
            <w:tcW w:w="1134" w:type="dxa"/>
            <w:tcBorders>
              <w:top w:val="single" w:sz="2" w:space="0" w:color="auto"/>
              <w:bottom w:val="single" w:sz="4" w:space="0" w:color="auto"/>
            </w:tcBorders>
            <w:vAlign w:val="bottom"/>
          </w:tcPr>
          <w:p w14:paraId="15FF42CD" w14:textId="77777777" w:rsidR="00FB4351" w:rsidRPr="00E04706" w:rsidRDefault="00FB4351" w:rsidP="00FB4351">
            <w:pPr>
              <w:jc w:val="right"/>
              <w:rPr>
                <w:rFonts w:ascii="Arial Narrow" w:hAnsi="Arial Narrow" w:cs="Calibri"/>
                <w:color w:val="000000"/>
                <w:sz w:val="18"/>
                <w:szCs w:val="18"/>
              </w:rPr>
            </w:pPr>
            <w:r w:rsidRPr="00E04706">
              <w:rPr>
                <w:rFonts w:ascii="Arial Narrow" w:hAnsi="Arial Narrow" w:cs="Calibri"/>
                <w:color w:val="000000"/>
                <w:sz w:val="18"/>
                <w:szCs w:val="18"/>
              </w:rPr>
              <w:t>75.105</w:t>
            </w:r>
          </w:p>
        </w:tc>
        <w:tc>
          <w:tcPr>
            <w:tcW w:w="1134" w:type="dxa"/>
            <w:tcBorders>
              <w:top w:val="single" w:sz="2" w:space="0" w:color="auto"/>
              <w:bottom w:val="single" w:sz="4" w:space="0" w:color="auto"/>
            </w:tcBorders>
            <w:vAlign w:val="bottom"/>
          </w:tcPr>
          <w:p w14:paraId="7CB27023" w14:textId="77777777" w:rsidR="00FB4351" w:rsidRPr="00E04706" w:rsidRDefault="00FB4351" w:rsidP="00FB4351">
            <w:pPr>
              <w:jc w:val="right"/>
              <w:rPr>
                <w:rFonts w:ascii="Arial Narrow" w:hAnsi="Arial Narrow" w:cs="Calibri"/>
                <w:color w:val="000000"/>
                <w:sz w:val="18"/>
                <w:szCs w:val="18"/>
              </w:rPr>
            </w:pPr>
            <w:r w:rsidRPr="00E04706">
              <w:rPr>
                <w:rFonts w:ascii="Arial Narrow" w:hAnsi="Arial Narrow" w:cs="Calibri"/>
                <w:color w:val="000000"/>
                <w:sz w:val="18"/>
                <w:szCs w:val="18"/>
              </w:rPr>
              <w:t>81.654</w:t>
            </w:r>
          </w:p>
        </w:tc>
        <w:tc>
          <w:tcPr>
            <w:tcW w:w="1149" w:type="dxa"/>
            <w:tcBorders>
              <w:top w:val="single" w:sz="2" w:space="0" w:color="auto"/>
              <w:bottom w:val="single" w:sz="4" w:space="0" w:color="auto"/>
            </w:tcBorders>
            <w:vAlign w:val="bottom"/>
          </w:tcPr>
          <w:p w14:paraId="6484DB5C" w14:textId="77777777" w:rsidR="00FB4351" w:rsidRPr="00E04706" w:rsidRDefault="0027365F" w:rsidP="00FB4351">
            <w:pPr>
              <w:jc w:val="right"/>
              <w:rPr>
                <w:rFonts w:ascii="Arial Narrow" w:hAnsi="Arial Narrow" w:cs="Calibri"/>
                <w:sz w:val="18"/>
                <w:szCs w:val="18"/>
              </w:rPr>
            </w:pPr>
            <w:r w:rsidRPr="00E04706">
              <w:rPr>
                <w:rFonts w:ascii="Arial Narrow" w:hAnsi="Arial Narrow" w:cs="Calibri"/>
                <w:sz w:val="18"/>
                <w:szCs w:val="18"/>
              </w:rPr>
              <w:t>6.549</w:t>
            </w:r>
          </w:p>
        </w:tc>
        <w:tc>
          <w:tcPr>
            <w:tcW w:w="1290" w:type="dxa"/>
            <w:tcBorders>
              <w:top w:val="single" w:sz="2" w:space="0" w:color="auto"/>
              <w:bottom w:val="single" w:sz="4" w:space="0" w:color="auto"/>
            </w:tcBorders>
            <w:noWrap/>
            <w:vAlign w:val="bottom"/>
          </w:tcPr>
          <w:p w14:paraId="57E040F2" w14:textId="77777777" w:rsidR="00FB4351" w:rsidRPr="00E04706" w:rsidRDefault="0027365F" w:rsidP="00FB4351">
            <w:pPr>
              <w:jc w:val="right"/>
              <w:rPr>
                <w:rFonts w:ascii="Arial Narrow" w:hAnsi="Arial Narrow" w:cs="Calibri"/>
                <w:sz w:val="18"/>
                <w:szCs w:val="18"/>
              </w:rPr>
            </w:pPr>
            <w:r w:rsidRPr="00E04706">
              <w:rPr>
                <w:rFonts w:ascii="Arial Narrow" w:hAnsi="Arial Narrow" w:cs="Calibri"/>
                <w:sz w:val="18"/>
                <w:szCs w:val="18"/>
              </w:rPr>
              <w:t>9</w:t>
            </w:r>
          </w:p>
        </w:tc>
      </w:tr>
      <w:tr w:rsidR="00FB4351" w:rsidRPr="00F56DF5" w14:paraId="13575EE8" w14:textId="77777777" w:rsidTr="00E04706">
        <w:trPr>
          <w:trHeight w:val="255"/>
          <w:jc w:val="center"/>
        </w:trPr>
        <w:tc>
          <w:tcPr>
            <w:tcW w:w="4253" w:type="dxa"/>
            <w:tcBorders>
              <w:top w:val="single" w:sz="4" w:space="0" w:color="auto"/>
              <w:left w:val="nil"/>
              <w:bottom w:val="single" w:sz="4" w:space="0" w:color="auto"/>
              <w:right w:val="nil"/>
            </w:tcBorders>
            <w:shd w:val="clear" w:color="auto" w:fill="8DB3E2"/>
            <w:noWrap/>
            <w:vAlign w:val="center"/>
          </w:tcPr>
          <w:p w14:paraId="16DD8D0D" w14:textId="77777777" w:rsidR="00FB4351" w:rsidRPr="00F56DF5" w:rsidRDefault="00FB4351" w:rsidP="00C40B89">
            <w:pPr>
              <w:pStyle w:val="cuadroCabe"/>
            </w:pPr>
          </w:p>
        </w:tc>
        <w:tc>
          <w:tcPr>
            <w:tcW w:w="1134" w:type="dxa"/>
            <w:tcBorders>
              <w:top w:val="single" w:sz="4" w:space="0" w:color="auto"/>
              <w:left w:val="nil"/>
              <w:bottom w:val="single" w:sz="4" w:space="0" w:color="auto"/>
              <w:right w:val="nil"/>
            </w:tcBorders>
            <w:shd w:val="clear" w:color="auto" w:fill="8DB3E2"/>
            <w:vAlign w:val="center"/>
          </w:tcPr>
          <w:p w14:paraId="4C78F6A7" w14:textId="77777777" w:rsidR="00FB4351" w:rsidRPr="00F56DF5" w:rsidRDefault="0027365F" w:rsidP="002559B3">
            <w:pPr>
              <w:pStyle w:val="cuadroCabe"/>
              <w:jc w:val="right"/>
              <w:rPr>
                <w:color w:val="000000"/>
              </w:rPr>
            </w:pPr>
            <w:r>
              <w:rPr>
                <w:color w:val="000000"/>
              </w:rPr>
              <w:t>978.922</w:t>
            </w:r>
          </w:p>
        </w:tc>
        <w:tc>
          <w:tcPr>
            <w:tcW w:w="1134" w:type="dxa"/>
            <w:tcBorders>
              <w:top w:val="single" w:sz="4" w:space="0" w:color="auto"/>
              <w:left w:val="nil"/>
              <w:bottom w:val="single" w:sz="4" w:space="0" w:color="auto"/>
              <w:right w:val="nil"/>
            </w:tcBorders>
            <w:shd w:val="clear" w:color="000000" w:fill="8DB3E2"/>
            <w:vAlign w:val="center"/>
          </w:tcPr>
          <w:p w14:paraId="579B30B8" w14:textId="77777777" w:rsidR="00FB4351" w:rsidRPr="00F56DF5" w:rsidRDefault="0027365F" w:rsidP="002559B3">
            <w:pPr>
              <w:pStyle w:val="cuadroCabe"/>
              <w:jc w:val="right"/>
              <w:rPr>
                <w:color w:val="000000"/>
              </w:rPr>
            </w:pPr>
            <w:r>
              <w:rPr>
                <w:color w:val="000000"/>
              </w:rPr>
              <w:t>1.025.742</w:t>
            </w:r>
          </w:p>
        </w:tc>
        <w:tc>
          <w:tcPr>
            <w:tcW w:w="1149" w:type="dxa"/>
            <w:tcBorders>
              <w:top w:val="single" w:sz="4" w:space="0" w:color="auto"/>
              <w:left w:val="nil"/>
              <w:bottom w:val="single" w:sz="4" w:space="0" w:color="auto"/>
              <w:right w:val="nil"/>
            </w:tcBorders>
            <w:shd w:val="clear" w:color="auto" w:fill="8DB3E2"/>
          </w:tcPr>
          <w:p w14:paraId="77A8EAB1" w14:textId="77777777" w:rsidR="00FB4351" w:rsidRPr="00F56DF5" w:rsidRDefault="0027365F" w:rsidP="002559B3">
            <w:pPr>
              <w:pStyle w:val="cuadroCabe"/>
              <w:jc w:val="right"/>
              <w:rPr>
                <w:color w:val="000000"/>
              </w:rPr>
            </w:pPr>
            <w:r>
              <w:rPr>
                <w:color w:val="000000"/>
              </w:rPr>
              <w:t>46.819</w:t>
            </w:r>
          </w:p>
        </w:tc>
        <w:tc>
          <w:tcPr>
            <w:tcW w:w="1290" w:type="dxa"/>
            <w:tcBorders>
              <w:top w:val="single" w:sz="4" w:space="0" w:color="auto"/>
              <w:left w:val="nil"/>
              <w:bottom w:val="single" w:sz="4" w:space="0" w:color="auto"/>
              <w:right w:val="nil"/>
            </w:tcBorders>
            <w:shd w:val="clear" w:color="auto" w:fill="8DB3E2"/>
            <w:noWrap/>
            <w:vAlign w:val="center"/>
          </w:tcPr>
          <w:p w14:paraId="26407F10" w14:textId="77777777" w:rsidR="00FB4351" w:rsidRPr="00F56DF5" w:rsidRDefault="0027365F" w:rsidP="002559B3">
            <w:pPr>
              <w:pStyle w:val="cuadroCabe"/>
              <w:jc w:val="right"/>
              <w:rPr>
                <w:color w:val="000000"/>
              </w:rPr>
            </w:pPr>
            <w:r>
              <w:rPr>
                <w:color w:val="000000"/>
              </w:rPr>
              <w:t>5</w:t>
            </w:r>
          </w:p>
        </w:tc>
      </w:tr>
    </w:tbl>
    <w:p w14:paraId="19E0B8CF" w14:textId="77777777" w:rsidR="0027365F" w:rsidRDefault="0027365F" w:rsidP="00024014">
      <w:pPr>
        <w:pStyle w:val="texto"/>
        <w:tabs>
          <w:tab w:val="clear" w:pos="2835"/>
          <w:tab w:val="clear" w:pos="3969"/>
          <w:tab w:val="left" w:pos="480"/>
          <w:tab w:val="num" w:pos="600"/>
          <w:tab w:val="num" w:pos="720"/>
          <w:tab w:val="num" w:pos="1320"/>
          <w:tab w:val="num" w:pos="2062"/>
          <w:tab w:val="num" w:pos="4472"/>
        </w:tabs>
        <w:spacing w:before="240" w:after="120"/>
        <w:jc w:val="both"/>
      </w:pPr>
      <w:r>
        <w:t>Se observa lo siguiente</w:t>
      </w:r>
      <w:r w:rsidR="00BD458C">
        <w:t xml:space="preserve">: </w:t>
      </w:r>
    </w:p>
    <w:p w14:paraId="5D1E9E76" w14:textId="77777777" w:rsidR="00BD458C" w:rsidRPr="00BD458C" w:rsidRDefault="00C40B89" w:rsidP="002E6560">
      <w:pPr>
        <w:pStyle w:val="texto"/>
        <w:spacing w:after="120"/>
        <w:jc w:val="both"/>
        <w:rPr>
          <w:rFonts w:cstheme="minorHAnsi"/>
          <w:sz w:val="22"/>
        </w:rPr>
      </w:pPr>
      <w:r>
        <w:t xml:space="preserve">- </w:t>
      </w:r>
      <w:r w:rsidR="00524FB9">
        <w:t xml:space="preserve">Se ha producido un incremento del </w:t>
      </w:r>
      <w:r w:rsidR="00BD458C">
        <w:t xml:space="preserve">diez por ciento, </w:t>
      </w:r>
      <w:r w:rsidR="00524FB9">
        <w:t xml:space="preserve">en términos absolutos </w:t>
      </w:r>
      <w:r w:rsidR="00BD458C">
        <w:t>50,9</w:t>
      </w:r>
      <w:r w:rsidR="00FB49C6">
        <w:t>2</w:t>
      </w:r>
      <w:r w:rsidR="00BD458C">
        <w:t xml:space="preserve"> millones </w:t>
      </w:r>
      <w:r w:rsidR="00524FB9" w:rsidRPr="00BD458C">
        <w:t xml:space="preserve">en las retribuciones del personal fijo. El </w:t>
      </w:r>
      <w:r w:rsidR="00BD458C">
        <w:t xml:space="preserve">tres por ciento </w:t>
      </w:r>
      <w:r w:rsidR="00524FB9" w:rsidRPr="00BD458C">
        <w:t xml:space="preserve">proviene del incremento salarial </w:t>
      </w:r>
      <w:r w:rsidR="00BD458C">
        <w:t xml:space="preserve">anteriormente citado, y </w:t>
      </w:r>
      <w:r w:rsidR="00524FB9" w:rsidRPr="00BD458C">
        <w:t>el resto se explica por el aumento de personal fijo en 2023</w:t>
      </w:r>
      <w:r w:rsidR="00BD458C">
        <w:t xml:space="preserve">, al haber pasado de 15.725 empleados fijos en 2022 a </w:t>
      </w:r>
      <w:r w:rsidR="00524FB9" w:rsidRPr="00BD458C">
        <w:t xml:space="preserve">17.211 </w:t>
      </w:r>
      <w:r w:rsidR="00BD458C">
        <w:t xml:space="preserve">empleados fijos en 2023, </w:t>
      </w:r>
      <w:r w:rsidR="00524FB9" w:rsidRPr="00BD458C">
        <w:t>derivado de los procesos de estabilización.</w:t>
      </w:r>
    </w:p>
    <w:p w14:paraId="7AB1F6B8" w14:textId="77777777" w:rsidR="00BD458C" w:rsidRPr="00BD458C" w:rsidRDefault="00C40B89" w:rsidP="00A872CE">
      <w:pPr>
        <w:pStyle w:val="texto"/>
        <w:spacing w:after="120"/>
        <w:jc w:val="both"/>
        <w:rPr>
          <w:rFonts w:cstheme="minorHAnsi"/>
          <w:sz w:val="22"/>
        </w:rPr>
      </w:pPr>
      <w:r>
        <w:rPr>
          <w:rFonts w:cstheme="minorHAnsi"/>
        </w:rPr>
        <w:lastRenderedPageBreak/>
        <w:t xml:space="preserve">- </w:t>
      </w:r>
      <w:r w:rsidR="00524FB9" w:rsidRPr="00BD458C">
        <w:rPr>
          <w:rFonts w:cstheme="minorHAnsi"/>
        </w:rPr>
        <w:t xml:space="preserve">Las retribuciones al personal contratado temporal han disminuido un </w:t>
      </w:r>
      <w:r w:rsidR="00BD458C">
        <w:rPr>
          <w:rFonts w:cstheme="minorHAnsi"/>
        </w:rPr>
        <w:t xml:space="preserve">cuatro por ciento, </w:t>
      </w:r>
      <w:r w:rsidR="00524FB9" w:rsidRPr="00BD458C">
        <w:rPr>
          <w:rFonts w:cstheme="minorHAnsi"/>
        </w:rPr>
        <w:t>hecho que se explica co</w:t>
      </w:r>
      <w:r w:rsidR="00BD458C">
        <w:rPr>
          <w:rFonts w:cstheme="minorHAnsi"/>
        </w:rPr>
        <w:t xml:space="preserve">n el aumento del personal fijo anteriormente citado. </w:t>
      </w:r>
    </w:p>
    <w:p w14:paraId="1852F997" w14:textId="77777777" w:rsidR="00BD458C" w:rsidRPr="00BD458C" w:rsidRDefault="00C40B89" w:rsidP="00024014">
      <w:pPr>
        <w:pStyle w:val="texto"/>
        <w:spacing w:after="120"/>
        <w:jc w:val="both"/>
        <w:rPr>
          <w:rFonts w:cstheme="minorHAnsi"/>
          <w:sz w:val="22"/>
        </w:rPr>
      </w:pPr>
      <w:r>
        <w:rPr>
          <w:rFonts w:cstheme="minorHAnsi"/>
        </w:rPr>
        <w:t xml:space="preserve">- </w:t>
      </w:r>
      <w:r w:rsidR="00524FB9" w:rsidRPr="00BD458C">
        <w:rPr>
          <w:rFonts w:cstheme="minorHAnsi"/>
        </w:rPr>
        <w:t xml:space="preserve">Por otra parte, las retribuciones al personal contratado para cubrir vacantes, concepto que el año pasado se había incrementado al imputarse en él el gasto en nuevas plazas de plantilla orgánica creadas en procesos de estabilización y todavía no cubiertas con personal fijo, ha disminuido un </w:t>
      </w:r>
      <w:r w:rsidR="00BD458C">
        <w:rPr>
          <w:rFonts w:cstheme="minorHAnsi"/>
        </w:rPr>
        <w:t xml:space="preserve">cinco por ciento </w:t>
      </w:r>
      <w:r w:rsidR="00524FB9" w:rsidRPr="00BD458C">
        <w:rPr>
          <w:rFonts w:cstheme="minorHAnsi"/>
        </w:rPr>
        <w:t xml:space="preserve">al completarse su cobertura con el nuevo personal fijo. </w:t>
      </w:r>
    </w:p>
    <w:p w14:paraId="423DDC5D" w14:textId="77777777" w:rsidR="008317BB" w:rsidRDefault="00C40B89" w:rsidP="00A872CE">
      <w:pPr>
        <w:pStyle w:val="texto"/>
        <w:spacing w:after="120"/>
        <w:jc w:val="both"/>
        <w:rPr>
          <w:rFonts w:cstheme="minorHAnsi"/>
        </w:rPr>
      </w:pPr>
      <w:r>
        <w:rPr>
          <w:rFonts w:cstheme="minorHAnsi"/>
        </w:rPr>
        <w:t xml:space="preserve">- </w:t>
      </w:r>
      <w:r w:rsidR="00524FB9" w:rsidRPr="00AF3DDD">
        <w:rPr>
          <w:rFonts w:cstheme="minorHAnsi"/>
        </w:rPr>
        <w:t xml:space="preserve">Sin embargo, el gasto total de personal contratado sólo ha disminuido un </w:t>
      </w:r>
      <w:r w:rsidR="00BD458C" w:rsidRPr="00AF3DDD">
        <w:rPr>
          <w:rFonts w:cstheme="minorHAnsi"/>
        </w:rPr>
        <w:t xml:space="preserve">uno por ciento, </w:t>
      </w:r>
      <w:r w:rsidR="00524FB9" w:rsidRPr="00AF3DDD">
        <w:rPr>
          <w:rFonts w:cstheme="minorHAnsi"/>
        </w:rPr>
        <w:t xml:space="preserve">ya que el resto de </w:t>
      </w:r>
      <w:proofErr w:type="gramStart"/>
      <w:r w:rsidR="00524FB9" w:rsidRPr="00AF3DDD">
        <w:rPr>
          <w:rFonts w:cstheme="minorHAnsi"/>
        </w:rPr>
        <w:t>conceptos</w:t>
      </w:r>
      <w:proofErr w:type="gramEnd"/>
      <w:r w:rsidR="00524FB9" w:rsidRPr="00AF3DDD">
        <w:rPr>
          <w:rFonts w:cstheme="minorHAnsi"/>
        </w:rPr>
        <w:t xml:space="preserve"> relativos al personal contratado (para plazas </w:t>
      </w:r>
      <w:r w:rsidR="00524FB9" w:rsidRPr="00735A9B">
        <w:rPr>
          <w:rFonts w:cstheme="minorHAnsi"/>
        </w:rPr>
        <w:t>reservadas</w:t>
      </w:r>
      <w:r w:rsidR="00524FB9" w:rsidRPr="00AF3DDD">
        <w:rPr>
          <w:rFonts w:cstheme="minorHAnsi"/>
        </w:rPr>
        <w:t xml:space="preserve">, para sustituciones y para campañas) ha aumentado un </w:t>
      </w:r>
      <w:r w:rsidR="00BD458C" w:rsidRPr="00AF3DDD">
        <w:rPr>
          <w:rFonts w:cstheme="minorHAnsi"/>
        </w:rPr>
        <w:t>siete por ciento</w:t>
      </w:r>
      <w:r w:rsidR="00524FB9" w:rsidRPr="00AF3DDD">
        <w:rPr>
          <w:rFonts w:cstheme="minorHAnsi"/>
        </w:rPr>
        <w:t xml:space="preserve">. </w:t>
      </w:r>
      <w:r w:rsidR="00735A9B">
        <w:rPr>
          <w:rFonts w:cstheme="minorHAnsi"/>
        </w:rPr>
        <w:t xml:space="preserve"> </w:t>
      </w:r>
    </w:p>
    <w:p w14:paraId="5A3BB2B3" w14:textId="77777777" w:rsidR="00524FB9" w:rsidRPr="00AF3DDD" w:rsidRDefault="00524FB9" w:rsidP="00A872CE">
      <w:pPr>
        <w:pStyle w:val="texto"/>
        <w:numPr>
          <w:ilvl w:val="0"/>
          <w:numId w:val="6"/>
        </w:numPr>
        <w:tabs>
          <w:tab w:val="clear" w:pos="360"/>
          <w:tab w:val="num" w:pos="300"/>
          <w:tab w:val="left" w:pos="480"/>
          <w:tab w:val="num" w:pos="600"/>
        </w:tabs>
        <w:spacing w:after="240"/>
        <w:ind w:firstLine="289"/>
        <w:jc w:val="both"/>
      </w:pPr>
      <w:r w:rsidRPr="00AF3DDD">
        <w:t xml:space="preserve">El gasto en pensiones ordinarias de funcionarios se ha incrementado un </w:t>
      </w:r>
      <w:r w:rsidR="00AF3DDD">
        <w:t>ocho por ciento (8,85 millones)</w:t>
      </w:r>
      <w:r w:rsidR="00234477">
        <w:t xml:space="preserve">, y se explica con la subida aprobada para los pensionistas en un 8,5 por ciento, así como en el descenso del número de pensionistas, tal y como se refleja en el siguiente cuadro: </w:t>
      </w:r>
      <w:bookmarkStart w:id="120" w:name="TMB1233432016"/>
      <w:bookmarkEnd w:id="120"/>
    </w:p>
    <w:tbl>
      <w:tblPr>
        <w:tblW w:w="5016" w:type="pct"/>
        <w:jc w:val="center"/>
        <w:tblCellMar>
          <w:left w:w="70" w:type="dxa"/>
          <w:right w:w="70" w:type="dxa"/>
        </w:tblCellMar>
        <w:tblLook w:val="04A0" w:firstRow="1" w:lastRow="0" w:firstColumn="1" w:lastColumn="0" w:noHBand="0" w:noVBand="1"/>
      </w:tblPr>
      <w:tblGrid>
        <w:gridCol w:w="6696"/>
        <w:gridCol w:w="2121"/>
      </w:tblGrid>
      <w:tr w:rsidR="00AF3DDD" w:rsidRPr="00EB306E" w14:paraId="717C8FD1" w14:textId="77777777" w:rsidTr="00182B19">
        <w:trPr>
          <w:trHeight w:val="255"/>
          <w:jc w:val="center"/>
        </w:trPr>
        <w:tc>
          <w:tcPr>
            <w:tcW w:w="6696" w:type="dxa"/>
            <w:tcBorders>
              <w:top w:val="single" w:sz="4" w:space="0" w:color="auto"/>
              <w:left w:val="nil"/>
              <w:bottom w:val="single" w:sz="2" w:space="0" w:color="auto"/>
              <w:right w:val="nil"/>
            </w:tcBorders>
            <w:shd w:val="clear" w:color="auto" w:fill="95B3D7" w:themeFill="accent1" w:themeFillTint="99"/>
            <w:noWrap/>
            <w:vAlign w:val="center"/>
            <w:hideMark/>
          </w:tcPr>
          <w:p w14:paraId="3F4371D7" w14:textId="77777777" w:rsidR="00AF3DDD" w:rsidRPr="00EB306E" w:rsidRDefault="00FB49C6" w:rsidP="002559B3">
            <w:pPr>
              <w:pStyle w:val="cuadroCabe"/>
            </w:pPr>
            <w:r>
              <w:t>Pensionistas</w:t>
            </w:r>
          </w:p>
        </w:tc>
        <w:tc>
          <w:tcPr>
            <w:tcW w:w="2122" w:type="dxa"/>
            <w:tcBorders>
              <w:top w:val="single" w:sz="4" w:space="0" w:color="auto"/>
              <w:left w:val="nil"/>
              <w:bottom w:val="single" w:sz="2" w:space="0" w:color="auto"/>
              <w:right w:val="nil"/>
            </w:tcBorders>
            <w:shd w:val="clear" w:color="auto" w:fill="95B3D7" w:themeFill="accent1" w:themeFillTint="99"/>
            <w:vAlign w:val="center"/>
            <w:hideMark/>
          </w:tcPr>
          <w:p w14:paraId="197325C4" w14:textId="77777777" w:rsidR="00AF3DDD" w:rsidRPr="00EB306E" w:rsidRDefault="00FB49C6" w:rsidP="00FB49C6">
            <w:pPr>
              <w:pStyle w:val="cuadroCabe"/>
              <w:jc w:val="right"/>
            </w:pPr>
            <w:r>
              <w:t>Número</w:t>
            </w:r>
          </w:p>
        </w:tc>
      </w:tr>
      <w:tr w:rsidR="00AF3DDD" w:rsidRPr="00FB4351" w14:paraId="1B307ED9" w14:textId="77777777" w:rsidTr="00926796">
        <w:trPr>
          <w:trHeight w:val="198"/>
          <w:jc w:val="center"/>
        </w:trPr>
        <w:tc>
          <w:tcPr>
            <w:tcW w:w="6696" w:type="dxa"/>
            <w:tcBorders>
              <w:top w:val="single" w:sz="2" w:space="0" w:color="auto"/>
              <w:bottom w:val="single" w:sz="2" w:space="0" w:color="auto"/>
            </w:tcBorders>
            <w:noWrap/>
            <w:vAlign w:val="bottom"/>
          </w:tcPr>
          <w:p w14:paraId="52A626EE" w14:textId="77777777" w:rsidR="00AF3DDD" w:rsidRPr="00C40B89" w:rsidRDefault="00FB49C6" w:rsidP="002559B3">
            <w:pPr>
              <w:rPr>
                <w:rFonts w:ascii="Arial Narrow" w:hAnsi="Arial Narrow" w:cs="Calibri"/>
                <w:color w:val="000000"/>
                <w:sz w:val="20"/>
                <w:szCs w:val="20"/>
              </w:rPr>
            </w:pPr>
            <w:r>
              <w:rPr>
                <w:rFonts w:ascii="Arial Narrow" w:hAnsi="Arial Narrow" w:cs="Calibri"/>
                <w:color w:val="000000"/>
                <w:sz w:val="20"/>
                <w:szCs w:val="20"/>
              </w:rPr>
              <w:t>P</w:t>
            </w:r>
            <w:r w:rsidR="00AF3DDD" w:rsidRPr="00C40B89">
              <w:rPr>
                <w:rFonts w:ascii="Arial Narrow" w:hAnsi="Arial Narrow" w:cs="Calibri"/>
                <w:color w:val="000000"/>
                <w:sz w:val="20"/>
                <w:szCs w:val="20"/>
              </w:rPr>
              <w:t>ensionistas</w:t>
            </w:r>
            <w:r w:rsidR="00234477">
              <w:rPr>
                <w:rFonts w:ascii="Arial Narrow" w:hAnsi="Arial Narrow" w:cs="Calibri"/>
                <w:color w:val="000000"/>
                <w:sz w:val="20"/>
                <w:szCs w:val="20"/>
              </w:rPr>
              <w:t xml:space="preserve"> en</w:t>
            </w:r>
            <w:r w:rsidR="00AF3DDD" w:rsidRPr="00C40B89">
              <w:rPr>
                <w:rFonts w:ascii="Arial Narrow" w:hAnsi="Arial Narrow" w:cs="Calibri"/>
                <w:color w:val="000000"/>
                <w:sz w:val="20"/>
                <w:szCs w:val="20"/>
              </w:rPr>
              <w:t xml:space="preserve"> 202</w:t>
            </w:r>
            <w:r w:rsidR="00234477">
              <w:rPr>
                <w:rFonts w:ascii="Arial Narrow" w:hAnsi="Arial Narrow" w:cs="Calibri"/>
                <w:color w:val="000000"/>
                <w:sz w:val="20"/>
                <w:szCs w:val="20"/>
              </w:rPr>
              <w:t>2</w:t>
            </w:r>
          </w:p>
        </w:tc>
        <w:tc>
          <w:tcPr>
            <w:tcW w:w="2122" w:type="dxa"/>
            <w:tcBorders>
              <w:top w:val="single" w:sz="2" w:space="0" w:color="auto"/>
              <w:bottom w:val="single" w:sz="2" w:space="0" w:color="auto"/>
            </w:tcBorders>
            <w:vAlign w:val="bottom"/>
          </w:tcPr>
          <w:p w14:paraId="4B3068C7" w14:textId="77777777" w:rsidR="00AF3DDD" w:rsidRPr="00C40B89" w:rsidRDefault="00AF3DDD" w:rsidP="002559B3">
            <w:pPr>
              <w:jc w:val="right"/>
              <w:rPr>
                <w:rFonts w:ascii="Arial Narrow" w:hAnsi="Arial Narrow" w:cs="Calibri"/>
                <w:color w:val="000000"/>
                <w:sz w:val="20"/>
                <w:szCs w:val="20"/>
              </w:rPr>
            </w:pPr>
            <w:r w:rsidRPr="00C40B89">
              <w:rPr>
                <w:rFonts w:ascii="Arial Narrow" w:hAnsi="Arial Narrow" w:cs="Calibri"/>
                <w:color w:val="000000"/>
                <w:sz w:val="20"/>
                <w:szCs w:val="20"/>
              </w:rPr>
              <w:t>4.005</w:t>
            </w:r>
          </w:p>
        </w:tc>
      </w:tr>
      <w:tr w:rsidR="00AF3DDD" w:rsidRPr="00FB4351" w14:paraId="6080DD42" w14:textId="77777777" w:rsidTr="00926796">
        <w:trPr>
          <w:trHeight w:val="198"/>
          <w:jc w:val="center"/>
        </w:trPr>
        <w:tc>
          <w:tcPr>
            <w:tcW w:w="6696" w:type="dxa"/>
            <w:tcBorders>
              <w:top w:val="single" w:sz="2" w:space="0" w:color="auto"/>
              <w:bottom w:val="single" w:sz="2" w:space="0" w:color="auto"/>
            </w:tcBorders>
            <w:noWrap/>
            <w:vAlign w:val="bottom"/>
          </w:tcPr>
          <w:p w14:paraId="2E7F1B88" w14:textId="77777777" w:rsidR="00AF3DDD" w:rsidRPr="00C40B89" w:rsidRDefault="00234477" w:rsidP="00234477">
            <w:pPr>
              <w:rPr>
                <w:rFonts w:ascii="Arial Narrow" w:hAnsi="Arial Narrow" w:cs="Calibri"/>
                <w:color w:val="000000"/>
                <w:sz w:val="20"/>
                <w:szCs w:val="20"/>
              </w:rPr>
            </w:pPr>
            <w:r>
              <w:rPr>
                <w:rFonts w:ascii="Arial Narrow" w:hAnsi="Arial Narrow" w:cs="Calibri"/>
                <w:color w:val="000000"/>
                <w:sz w:val="20"/>
                <w:szCs w:val="20"/>
              </w:rPr>
              <w:t xml:space="preserve">Bajas en </w:t>
            </w:r>
            <w:r w:rsidR="00AF3DDD" w:rsidRPr="00C40B89">
              <w:rPr>
                <w:rFonts w:ascii="Arial Narrow" w:hAnsi="Arial Narrow" w:cs="Calibri"/>
                <w:color w:val="000000"/>
                <w:sz w:val="20"/>
                <w:szCs w:val="20"/>
              </w:rPr>
              <w:t>2023</w:t>
            </w:r>
          </w:p>
        </w:tc>
        <w:tc>
          <w:tcPr>
            <w:tcW w:w="2122" w:type="dxa"/>
            <w:tcBorders>
              <w:top w:val="single" w:sz="2" w:space="0" w:color="auto"/>
              <w:bottom w:val="single" w:sz="2" w:space="0" w:color="auto"/>
            </w:tcBorders>
            <w:vAlign w:val="bottom"/>
          </w:tcPr>
          <w:p w14:paraId="5D4FFBEF" w14:textId="77777777" w:rsidR="00AF3DDD" w:rsidRPr="00C40B89" w:rsidRDefault="00AF3DDD" w:rsidP="002559B3">
            <w:pPr>
              <w:jc w:val="right"/>
              <w:rPr>
                <w:rFonts w:ascii="Arial Narrow" w:hAnsi="Arial Narrow" w:cs="Calibri"/>
                <w:color w:val="000000"/>
                <w:sz w:val="20"/>
                <w:szCs w:val="20"/>
              </w:rPr>
            </w:pPr>
            <w:r w:rsidRPr="00C40B89">
              <w:rPr>
                <w:rFonts w:ascii="Arial Narrow" w:hAnsi="Arial Narrow" w:cs="Calibri"/>
                <w:color w:val="000000"/>
                <w:sz w:val="20"/>
                <w:szCs w:val="20"/>
              </w:rPr>
              <w:t>243</w:t>
            </w:r>
          </w:p>
        </w:tc>
      </w:tr>
      <w:tr w:rsidR="00AF3DDD" w:rsidRPr="00FB4351" w14:paraId="602B55A7" w14:textId="77777777" w:rsidTr="00926796">
        <w:trPr>
          <w:trHeight w:val="198"/>
          <w:jc w:val="center"/>
        </w:trPr>
        <w:tc>
          <w:tcPr>
            <w:tcW w:w="6696" w:type="dxa"/>
            <w:tcBorders>
              <w:top w:val="single" w:sz="2" w:space="0" w:color="auto"/>
              <w:bottom w:val="single" w:sz="4" w:space="0" w:color="auto"/>
            </w:tcBorders>
            <w:noWrap/>
            <w:vAlign w:val="bottom"/>
          </w:tcPr>
          <w:p w14:paraId="4AB51A39" w14:textId="77777777" w:rsidR="00AF3DDD" w:rsidRPr="00C40B89" w:rsidRDefault="00AF3DDD" w:rsidP="002559B3">
            <w:pPr>
              <w:rPr>
                <w:rFonts w:ascii="Arial Narrow" w:hAnsi="Arial Narrow" w:cs="Calibri"/>
                <w:color w:val="000000"/>
                <w:sz w:val="20"/>
                <w:szCs w:val="20"/>
              </w:rPr>
            </w:pPr>
            <w:r w:rsidRPr="00C40B89">
              <w:rPr>
                <w:rFonts w:ascii="Arial Narrow" w:hAnsi="Arial Narrow" w:cs="Calibri"/>
                <w:color w:val="000000"/>
                <w:sz w:val="20"/>
                <w:szCs w:val="20"/>
              </w:rPr>
              <w:t>Nuevos pensionistas en 2023</w:t>
            </w:r>
          </w:p>
        </w:tc>
        <w:tc>
          <w:tcPr>
            <w:tcW w:w="2122" w:type="dxa"/>
            <w:tcBorders>
              <w:top w:val="single" w:sz="2" w:space="0" w:color="auto"/>
              <w:bottom w:val="single" w:sz="4" w:space="0" w:color="auto"/>
            </w:tcBorders>
            <w:vAlign w:val="bottom"/>
          </w:tcPr>
          <w:p w14:paraId="20BBD01B" w14:textId="77777777" w:rsidR="00AF3DDD" w:rsidRPr="00C40B89" w:rsidRDefault="00AF3DDD" w:rsidP="002559B3">
            <w:pPr>
              <w:jc w:val="right"/>
              <w:rPr>
                <w:rFonts w:ascii="Arial Narrow" w:hAnsi="Arial Narrow" w:cs="Calibri"/>
                <w:color w:val="000000"/>
                <w:sz w:val="20"/>
                <w:szCs w:val="20"/>
              </w:rPr>
            </w:pPr>
            <w:r w:rsidRPr="00C40B89">
              <w:rPr>
                <w:rFonts w:ascii="Arial Narrow" w:hAnsi="Arial Narrow" w:cs="Calibri"/>
                <w:color w:val="000000"/>
                <w:sz w:val="20"/>
                <w:szCs w:val="20"/>
              </w:rPr>
              <w:t>134</w:t>
            </w:r>
          </w:p>
        </w:tc>
      </w:tr>
      <w:tr w:rsidR="00AF3DDD" w:rsidRPr="00F56DF5" w14:paraId="6A787169" w14:textId="77777777" w:rsidTr="00182B19">
        <w:trPr>
          <w:trHeight w:val="255"/>
          <w:jc w:val="center"/>
        </w:trPr>
        <w:tc>
          <w:tcPr>
            <w:tcW w:w="6696" w:type="dxa"/>
            <w:tcBorders>
              <w:top w:val="single" w:sz="4" w:space="0" w:color="auto"/>
              <w:left w:val="nil"/>
              <w:bottom w:val="single" w:sz="4" w:space="0" w:color="auto"/>
              <w:right w:val="nil"/>
            </w:tcBorders>
            <w:shd w:val="clear" w:color="auto" w:fill="8DB3E2"/>
            <w:noWrap/>
            <w:vAlign w:val="center"/>
          </w:tcPr>
          <w:p w14:paraId="7981CA32" w14:textId="77777777" w:rsidR="00AF3DDD" w:rsidRPr="00F56DF5" w:rsidRDefault="00AF3DDD" w:rsidP="00AF3DDD">
            <w:pPr>
              <w:pStyle w:val="cuadroCabe"/>
            </w:pPr>
            <w:r>
              <w:t>Total pensionistas en 2023</w:t>
            </w:r>
          </w:p>
        </w:tc>
        <w:tc>
          <w:tcPr>
            <w:tcW w:w="2122" w:type="dxa"/>
            <w:tcBorders>
              <w:top w:val="single" w:sz="4" w:space="0" w:color="auto"/>
              <w:left w:val="nil"/>
              <w:bottom w:val="single" w:sz="4" w:space="0" w:color="auto"/>
              <w:right w:val="nil"/>
            </w:tcBorders>
            <w:shd w:val="clear" w:color="auto" w:fill="8DB3E2"/>
            <w:vAlign w:val="center"/>
          </w:tcPr>
          <w:p w14:paraId="0336DAE7" w14:textId="77777777" w:rsidR="00AF3DDD" w:rsidRPr="00F56DF5" w:rsidRDefault="00AF3DDD" w:rsidP="002559B3">
            <w:pPr>
              <w:pStyle w:val="cuadroCabe"/>
              <w:jc w:val="right"/>
              <w:rPr>
                <w:color w:val="000000"/>
              </w:rPr>
            </w:pPr>
            <w:r>
              <w:rPr>
                <w:color w:val="000000"/>
              </w:rPr>
              <w:t>3.896</w:t>
            </w:r>
          </w:p>
        </w:tc>
      </w:tr>
    </w:tbl>
    <w:p w14:paraId="29A3AA68" w14:textId="77777777" w:rsidR="003E0898" w:rsidRPr="000D7CCD" w:rsidRDefault="000D7CCD" w:rsidP="00024014">
      <w:pPr>
        <w:pStyle w:val="texto"/>
        <w:numPr>
          <w:ilvl w:val="0"/>
          <w:numId w:val="6"/>
        </w:numPr>
        <w:tabs>
          <w:tab w:val="clear" w:pos="360"/>
          <w:tab w:val="num" w:pos="300"/>
          <w:tab w:val="left" w:pos="480"/>
          <w:tab w:val="num" w:pos="600"/>
        </w:tabs>
        <w:spacing w:before="240" w:after="120"/>
        <w:ind w:firstLine="289"/>
        <w:jc w:val="both"/>
        <w:rPr>
          <w:rFonts w:cstheme="minorHAnsi"/>
          <w:szCs w:val="26"/>
        </w:rPr>
      </w:pPr>
      <w:r w:rsidRPr="000D7CCD">
        <w:t>Dentro de las retribuciones variables, s</w:t>
      </w:r>
      <w:r w:rsidR="00AF3DDD" w:rsidRPr="000D7CCD">
        <w:t xml:space="preserve">e observa una subida de 1,57 millones </w:t>
      </w:r>
      <w:r w:rsidR="00524FB9" w:rsidRPr="000D7CCD">
        <w:t xml:space="preserve">en </w:t>
      </w:r>
      <w:r w:rsidR="00AF3DDD" w:rsidRPr="000D7CCD">
        <w:t xml:space="preserve">la </w:t>
      </w:r>
      <w:r w:rsidR="00524FB9" w:rsidRPr="000D7CCD">
        <w:t>Policía Foral, materializada principalmente en noviembre de 2023, fru</w:t>
      </w:r>
      <w:r w:rsidR="00C15FEE">
        <w:t>to de la entrada en vigor del Decreto Foral</w:t>
      </w:r>
      <w:r w:rsidR="00524FB9" w:rsidRPr="000D7CCD">
        <w:t xml:space="preserve"> 227/2023 por el que se aprueba el reglamento de jornadas, horarios y retribuciones de la Policía Foral de Navarra.</w:t>
      </w:r>
      <w:r w:rsidR="00524FB9" w:rsidRPr="000D7CCD">
        <w:rPr>
          <w:szCs w:val="26"/>
        </w:rPr>
        <w:t xml:space="preserve"> </w:t>
      </w:r>
    </w:p>
    <w:p w14:paraId="06CD196C" w14:textId="77777777" w:rsidR="006D7B9E" w:rsidRPr="006D7B9E" w:rsidRDefault="00524FB9" w:rsidP="00E81126">
      <w:pPr>
        <w:pStyle w:val="texto"/>
        <w:tabs>
          <w:tab w:val="left" w:pos="480"/>
          <w:tab w:val="num" w:pos="600"/>
        </w:tabs>
        <w:spacing w:before="120"/>
        <w:jc w:val="both"/>
        <w:rPr>
          <w:rFonts w:cstheme="minorHAnsi"/>
          <w:szCs w:val="26"/>
        </w:rPr>
      </w:pPr>
      <w:r w:rsidRPr="006D7B9E">
        <w:rPr>
          <w:rFonts w:cstheme="minorHAnsi"/>
          <w:szCs w:val="26"/>
        </w:rPr>
        <w:t>El gasto en complemento de produc</w:t>
      </w:r>
      <w:r w:rsidR="003E0898" w:rsidRPr="006D7B9E">
        <w:rPr>
          <w:rFonts w:cstheme="minorHAnsi"/>
          <w:szCs w:val="26"/>
        </w:rPr>
        <w:t>tividad se ha incrementado en 9,</w:t>
      </w:r>
      <w:r w:rsidR="00AD25CA" w:rsidRPr="006D7B9E">
        <w:rPr>
          <w:rFonts w:cstheme="minorHAnsi"/>
          <w:szCs w:val="26"/>
        </w:rPr>
        <w:t>85</w:t>
      </w:r>
      <w:r w:rsidR="003E0898" w:rsidRPr="006D7B9E">
        <w:rPr>
          <w:rFonts w:cstheme="minorHAnsi"/>
          <w:szCs w:val="26"/>
        </w:rPr>
        <w:t xml:space="preserve"> millones, lo que </w:t>
      </w:r>
      <w:r w:rsidRPr="006D7B9E">
        <w:rPr>
          <w:rFonts w:cstheme="minorHAnsi"/>
          <w:szCs w:val="26"/>
        </w:rPr>
        <w:t xml:space="preserve">supone un 46 </w:t>
      </w:r>
      <w:r w:rsidR="003E0898" w:rsidRPr="006D7B9E">
        <w:rPr>
          <w:rFonts w:cstheme="minorHAnsi"/>
          <w:szCs w:val="26"/>
        </w:rPr>
        <w:t xml:space="preserve">por ciento de aumento </w:t>
      </w:r>
      <w:r w:rsidR="004A75CB" w:rsidRPr="006D7B9E">
        <w:rPr>
          <w:rFonts w:cstheme="minorHAnsi"/>
          <w:szCs w:val="26"/>
        </w:rPr>
        <w:t xml:space="preserve">respecto al año anterior. </w:t>
      </w:r>
    </w:p>
    <w:p w14:paraId="0554FC36" w14:textId="77777777" w:rsidR="00E81126" w:rsidRPr="006D7B9E" w:rsidRDefault="006D7B9E" w:rsidP="00E81126">
      <w:pPr>
        <w:pStyle w:val="texto"/>
        <w:tabs>
          <w:tab w:val="left" w:pos="480"/>
          <w:tab w:val="num" w:pos="600"/>
        </w:tabs>
        <w:spacing w:before="120"/>
        <w:jc w:val="both"/>
        <w:rPr>
          <w:rFonts w:cstheme="minorHAnsi"/>
          <w:szCs w:val="26"/>
        </w:rPr>
      </w:pPr>
      <w:r w:rsidRPr="006D7B9E">
        <w:rPr>
          <w:rFonts w:cstheme="minorHAnsi"/>
          <w:szCs w:val="26"/>
        </w:rPr>
        <w:t xml:space="preserve">Respondiendo a la petición parlamentaria, sobre la productividad en el SNS-O, de este incremento, corresponden al citado organismo autónomo, </w:t>
      </w:r>
      <w:r w:rsidR="004A75CB" w:rsidRPr="006D7B9E">
        <w:rPr>
          <w:rFonts w:cstheme="minorHAnsi"/>
          <w:szCs w:val="26"/>
        </w:rPr>
        <w:t>9,02 millones</w:t>
      </w:r>
      <w:r w:rsidRPr="006D7B9E">
        <w:rPr>
          <w:rFonts w:cstheme="minorHAnsi"/>
          <w:szCs w:val="26"/>
        </w:rPr>
        <w:t xml:space="preserve"> </w:t>
      </w:r>
      <w:r w:rsidR="004A75CB" w:rsidRPr="006D7B9E">
        <w:rPr>
          <w:rFonts w:cstheme="minorHAnsi"/>
          <w:szCs w:val="26"/>
        </w:rPr>
        <w:t xml:space="preserve">con el siguiente detalle: </w:t>
      </w:r>
    </w:p>
    <w:p w14:paraId="285C4B08" w14:textId="77777777" w:rsidR="004A75CB" w:rsidRDefault="006D7B9E" w:rsidP="006D7B9E">
      <w:pPr>
        <w:pStyle w:val="texto"/>
        <w:tabs>
          <w:tab w:val="left" w:pos="480"/>
          <w:tab w:val="num" w:pos="600"/>
        </w:tabs>
        <w:spacing w:before="120"/>
        <w:jc w:val="right"/>
        <w:rPr>
          <w:rFonts w:cstheme="minorHAnsi"/>
          <w:color w:val="FF0000"/>
          <w:szCs w:val="26"/>
        </w:rPr>
      </w:pPr>
      <w:r>
        <w:rPr>
          <w:rFonts w:ascii="Arial" w:hAnsi="Arial" w:cs="Arial"/>
          <w:sz w:val="17"/>
          <w:szCs w:val="17"/>
        </w:rPr>
        <w:t>(en euros)</w:t>
      </w:r>
    </w:p>
    <w:tbl>
      <w:tblPr>
        <w:tblW w:w="5097" w:type="pct"/>
        <w:jc w:val="center"/>
        <w:tblCellMar>
          <w:left w:w="70" w:type="dxa"/>
          <w:right w:w="70" w:type="dxa"/>
        </w:tblCellMar>
        <w:tblLook w:val="04A0" w:firstRow="1" w:lastRow="0" w:firstColumn="1" w:lastColumn="0" w:noHBand="0" w:noVBand="1"/>
      </w:tblPr>
      <w:tblGrid>
        <w:gridCol w:w="4253"/>
        <w:gridCol w:w="1134"/>
        <w:gridCol w:w="1134"/>
        <w:gridCol w:w="1149"/>
        <w:gridCol w:w="1290"/>
      </w:tblGrid>
      <w:tr w:rsidR="004A75CB" w:rsidRPr="00EB306E" w14:paraId="1B0630B9" w14:textId="77777777" w:rsidTr="00E570F4">
        <w:trPr>
          <w:trHeight w:val="255"/>
          <w:jc w:val="center"/>
        </w:trPr>
        <w:tc>
          <w:tcPr>
            <w:tcW w:w="4253" w:type="dxa"/>
            <w:tcBorders>
              <w:top w:val="single" w:sz="4" w:space="0" w:color="auto"/>
              <w:left w:val="nil"/>
              <w:bottom w:val="single" w:sz="2" w:space="0" w:color="auto"/>
              <w:right w:val="nil"/>
            </w:tcBorders>
            <w:shd w:val="clear" w:color="auto" w:fill="95B3D7" w:themeFill="accent1" w:themeFillTint="99"/>
            <w:noWrap/>
            <w:vAlign w:val="center"/>
            <w:hideMark/>
          </w:tcPr>
          <w:p w14:paraId="77B73A35" w14:textId="77777777" w:rsidR="004A75CB" w:rsidRPr="00EB306E" w:rsidRDefault="004A75CB" w:rsidP="00E570F4">
            <w:pPr>
              <w:pStyle w:val="cuadroCabe"/>
            </w:pPr>
            <w:r>
              <w:t>SNS-O</w:t>
            </w:r>
          </w:p>
        </w:tc>
        <w:tc>
          <w:tcPr>
            <w:tcW w:w="1134" w:type="dxa"/>
            <w:tcBorders>
              <w:top w:val="single" w:sz="4" w:space="0" w:color="auto"/>
              <w:left w:val="nil"/>
              <w:bottom w:val="single" w:sz="2" w:space="0" w:color="auto"/>
              <w:right w:val="nil"/>
            </w:tcBorders>
            <w:shd w:val="clear" w:color="auto" w:fill="95B3D7" w:themeFill="accent1" w:themeFillTint="99"/>
            <w:vAlign w:val="center"/>
            <w:hideMark/>
          </w:tcPr>
          <w:p w14:paraId="4B410E52" w14:textId="77777777" w:rsidR="004A75CB" w:rsidRPr="00EB306E" w:rsidRDefault="004A75CB" w:rsidP="00E570F4">
            <w:pPr>
              <w:pStyle w:val="cuadroCabe"/>
              <w:jc w:val="right"/>
            </w:pPr>
            <w:r w:rsidRPr="00EB306E">
              <w:t>202</w:t>
            </w:r>
            <w:r>
              <w:t>2</w:t>
            </w:r>
          </w:p>
        </w:tc>
        <w:tc>
          <w:tcPr>
            <w:tcW w:w="1134" w:type="dxa"/>
            <w:tcBorders>
              <w:top w:val="single" w:sz="4" w:space="0" w:color="auto"/>
              <w:left w:val="nil"/>
              <w:bottom w:val="single" w:sz="2" w:space="0" w:color="auto"/>
              <w:right w:val="nil"/>
            </w:tcBorders>
            <w:shd w:val="clear" w:color="auto" w:fill="95B3D7" w:themeFill="accent1" w:themeFillTint="99"/>
            <w:vAlign w:val="center"/>
            <w:hideMark/>
          </w:tcPr>
          <w:p w14:paraId="19CF3E6D" w14:textId="77777777" w:rsidR="004A75CB" w:rsidRPr="00EB306E" w:rsidRDefault="004A75CB" w:rsidP="00E570F4">
            <w:pPr>
              <w:pStyle w:val="cuadroCabe"/>
              <w:jc w:val="right"/>
            </w:pPr>
            <w:r w:rsidRPr="00EB306E">
              <w:t>202</w:t>
            </w:r>
            <w:r>
              <w:t>3</w:t>
            </w:r>
          </w:p>
        </w:tc>
        <w:tc>
          <w:tcPr>
            <w:tcW w:w="1149" w:type="dxa"/>
            <w:tcBorders>
              <w:top w:val="single" w:sz="4" w:space="0" w:color="auto"/>
              <w:left w:val="nil"/>
              <w:bottom w:val="single" w:sz="2" w:space="0" w:color="auto"/>
              <w:right w:val="nil"/>
            </w:tcBorders>
            <w:shd w:val="clear" w:color="auto" w:fill="95B3D7" w:themeFill="accent1" w:themeFillTint="99"/>
          </w:tcPr>
          <w:p w14:paraId="3E9A9EE2" w14:textId="77777777" w:rsidR="004A75CB" w:rsidRPr="00EB306E" w:rsidRDefault="004A75CB" w:rsidP="00E570F4">
            <w:pPr>
              <w:pStyle w:val="cuadroCabe"/>
              <w:jc w:val="right"/>
            </w:pPr>
            <w:r>
              <w:t>Diferencia</w:t>
            </w:r>
          </w:p>
        </w:tc>
        <w:tc>
          <w:tcPr>
            <w:tcW w:w="1290" w:type="dxa"/>
            <w:tcBorders>
              <w:top w:val="single" w:sz="4" w:space="0" w:color="auto"/>
              <w:left w:val="nil"/>
              <w:bottom w:val="single" w:sz="2" w:space="0" w:color="auto"/>
              <w:right w:val="nil"/>
            </w:tcBorders>
            <w:shd w:val="clear" w:color="auto" w:fill="95B3D7" w:themeFill="accent1" w:themeFillTint="99"/>
            <w:noWrap/>
            <w:vAlign w:val="center"/>
            <w:hideMark/>
          </w:tcPr>
          <w:p w14:paraId="4CCE2249" w14:textId="77777777" w:rsidR="004A75CB" w:rsidRPr="00EB306E" w:rsidRDefault="004A75CB" w:rsidP="00E570F4">
            <w:pPr>
              <w:pStyle w:val="cuadroCabe"/>
              <w:jc w:val="right"/>
            </w:pPr>
            <w:r w:rsidRPr="00EB306E">
              <w:t>% Variación</w:t>
            </w:r>
          </w:p>
        </w:tc>
      </w:tr>
      <w:tr w:rsidR="004A75CB" w:rsidRPr="006A52D7" w14:paraId="55232EB7" w14:textId="77777777" w:rsidTr="00E570F4">
        <w:trPr>
          <w:trHeight w:val="198"/>
          <w:jc w:val="center"/>
        </w:trPr>
        <w:tc>
          <w:tcPr>
            <w:tcW w:w="4253" w:type="dxa"/>
            <w:tcBorders>
              <w:top w:val="single" w:sz="2" w:space="0" w:color="auto"/>
              <w:bottom w:val="single" w:sz="2" w:space="0" w:color="auto"/>
            </w:tcBorders>
            <w:noWrap/>
            <w:vAlign w:val="bottom"/>
          </w:tcPr>
          <w:p w14:paraId="5787F9C1" w14:textId="77777777" w:rsidR="004A75CB" w:rsidRPr="006A52D7" w:rsidRDefault="004A75CB" w:rsidP="00E570F4">
            <w:pPr>
              <w:rPr>
                <w:rFonts w:ascii="Arial Narrow" w:hAnsi="Arial Narrow" w:cs="Calibri"/>
                <w:color w:val="000000"/>
                <w:sz w:val="20"/>
                <w:szCs w:val="20"/>
              </w:rPr>
            </w:pPr>
            <w:r w:rsidRPr="006A52D7">
              <w:rPr>
                <w:rFonts w:ascii="Arial Narrow" w:hAnsi="Arial Narrow" w:cs="Calibri"/>
                <w:color w:val="000000"/>
                <w:sz w:val="20"/>
                <w:szCs w:val="20"/>
              </w:rPr>
              <w:t>Complemento de productividad</w:t>
            </w:r>
          </w:p>
        </w:tc>
        <w:tc>
          <w:tcPr>
            <w:tcW w:w="1134" w:type="dxa"/>
            <w:tcBorders>
              <w:top w:val="single" w:sz="2" w:space="0" w:color="auto"/>
              <w:bottom w:val="single" w:sz="2" w:space="0" w:color="auto"/>
            </w:tcBorders>
            <w:vAlign w:val="bottom"/>
          </w:tcPr>
          <w:p w14:paraId="16854512" w14:textId="77777777" w:rsidR="004A75CB" w:rsidRPr="006A52D7" w:rsidRDefault="004A75CB" w:rsidP="00E570F4">
            <w:pPr>
              <w:jc w:val="right"/>
              <w:rPr>
                <w:rFonts w:ascii="Arial Narrow" w:hAnsi="Arial Narrow" w:cs="Calibri"/>
                <w:color w:val="000000"/>
                <w:sz w:val="20"/>
                <w:szCs w:val="20"/>
              </w:rPr>
            </w:pPr>
            <w:r w:rsidRPr="006A52D7">
              <w:rPr>
                <w:rFonts w:ascii="Arial Narrow" w:hAnsi="Arial Narrow" w:cs="Calibri"/>
                <w:color w:val="000000"/>
                <w:sz w:val="20"/>
                <w:szCs w:val="20"/>
              </w:rPr>
              <w:t>19.307.158</w:t>
            </w:r>
          </w:p>
        </w:tc>
        <w:tc>
          <w:tcPr>
            <w:tcW w:w="1134" w:type="dxa"/>
            <w:tcBorders>
              <w:top w:val="single" w:sz="2" w:space="0" w:color="auto"/>
              <w:bottom w:val="single" w:sz="2" w:space="0" w:color="auto"/>
            </w:tcBorders>
            <w:vAlign w:val="bottom"/>
          </w:tcPr>
          <w:p w14:paraId="11B782DB" w14:textId="77777777" w:rsidR="004A75CB" w:rsidRPr="006A52D7" w:rsidRDefault="004A75CB" w:rsidP="00E570F4">
            <w:pPr>
              <w:jc w:val="right"/>
              <w:rPr>
                <w:rFonts w:ascii="Arial Narrow" w:hAnsi="Arial Narrow" w:cs="Calibri"/>
                <w:color w:val="000000"/>
                <w:sz w:val="20"/>
                <w:szCs w:val="20"/>
              </w:rPr>
            </w:pPr>
            <w:r w:rsidRPr="006A52D7">
              <w:rPr>
                <w:rFonts w:ascii="Arial Narrow" w:hAnsi="Arial Narrow" w:cs="Calibri"/>
                <w:color w:val="000000"/>
                <w:sz w:val="20"/>
                <w:szCs w:val="20"/>
              </w:rPr>
              <w:t>28.323.395</w:t>
            </w:r>
          </w:p>
        </w:tc>
        <w:tc>
          <w:tcPr>
            <w:tcW w:w="1149" w:type="dxa"/>
            <w:tcBorders>
              <w:top w:val="single" w:sz="2" w:space="0" w:color="auto"/>
              <w:bottom w:val="single" w:sz="2" w:space="0" w:color="auto"/>
            </w:tcBorders>
            <w:vAlign w:val="bottom"/>
          </w:tcPr>
          <w:p w14:paraId="4823D1B1" w14:textId="77777777" w:rsidR="004A75CB" w:rsidRPr="006A52D7" w:rsidRDefault="004A75CB" w:rsidP="00E570F4">
            <w:pPr>
              <w:jc w:val="right"/>
              <w:rPr>
                <w:rFonts w:ascii="Arial Narrow" w:hAnsi="Arial Narrow" w:cs="Calibri"/>
                <w:sz w:val="20"/>
                <w:szCs w:val="20"/>
              </w:rPr>
            </w:pPr>
            <w:r w:rsidRPr="006A52D7">
              <w:rPr>
                <w:rFonts w:ascii="Arial Narrow" w:hAnsi="Arial Narrow" w:cs="Calibri"/>
                <w:sz w:val="20"/>
                <w:szCs w:val="20"/>
              </w:rPr>
              <w:t>9.016.238</w:t>
            </w:r>
          </w:p>
        </w:tc>
        <w:tc>
          <w:tcPr>
            <w:tcW w:w="1290" w:type="dxa"/>
            <w:tcBorders>
              <w:top w:val="single" w:sz="2" w:space="0" w:color="auto"/>
              <w:bottom w:val="single" w:sz="2" w:space="0" w:color="auto"/>
            </w:tcBorders>
            <w:noWrap/>
            <w:vAlign w:val="bottom"/>
          </w:tcPr>
          <w:p w14:paraId="21304DBE" w14:textId="77777777" w:rsidR="004A75CB" w:rsidRPr="006A52D7" w:rsidRDefault="004A75CB" w:rsidP="00E570F4">
            <w:pPr>
              <w:jc w:val="right"/>
              <w:rPr>
                <w:rFonts w:ascii="Arial Narrow" w:hAnsi="Arial Narrow" w:cs="Calibri"/>
                <w:sz w:val="20"/>
                <w:szCs w:val="20"/>
              </w:rPr>
            </w:pPr>
            <w:r w:rsidRPr="006A52D7">
              <w:rPr>
                <w:rFonts w:ascii="Arial Narrow" w:hAnsi="Arial Narrow" w:cs="Calibri"/>
                <w:sz w:val="20"/>
                <w:szCs w:val="20"/>
              </w:rPr>
              <w:t>47</w:t>
            </w:r>
          </w:p>
        </w:tc>
      </w:tr>
    </w:tbl>
    <w:p w14:paraId="41C40144" w14:textId="77777777" w:rsidR="00E56698" w:rsidRDefault="00E56698" w:rsidP="00E81126">
      <w:pPr>
        <w:pStyle w:val="texto"/>
        <w:tabs>
          <w:tab w:val="left" w:pos="480"/>
          <w:tab w:val="num" w:pos="600"/>
        </w:tabs>
        <w:spacing w:before="120"/>
        <w:jc w:val="both"/>
        <w:rPr>
          <w:rFonts w:cstheme="minorHAnsi"/>
          <w:szCs w:val="26"/>
        </w:rPr>
      </w:pPr>
      <w:r w:rsidRPr="00E56698">
        <w:rPr>
          <w:rFonts w:cstheme="minorHAnsi"/>
          <w:szCs w:val="26"/>
        </w:rPr>
        <w:t>E</w:t>
      </w:r>
      <w:r w:rsidR="00524FB9" w:rsidRPr="00E56698">
        <w:rPr>
          <w:rFonts w:cstheme="minorHAnsi"/>
          <w:szCs w:val="26"/>
        </w:rPr>
        <w:t xml:space="preserve">l principal motivo </w:t>
      </w:r>
      <w:r>
        <w:rPr>
          <w:rFonts w:cstheme="minorHAnsi"/>
          <w:szCs w:val="26"/>
        </w:rPr>
        <w:t xml:space="preserve">de este incremento </w:t>
      </w:r>
      <w:r w:rsidR="00524FB9" w:rsidRPr="00E56698">
        <w:rPr>
          <w:rFonts w:cstheme="minorHAnsi"/>
          <w:szCs w:val="26"/>
        </w:rPr>
        <w:t xml:space="preserve">es la mejora salarial de 400 </w:t>
      </w:r>
      <w:r w:rsidR="003E0898" w:rsidRPr="00E56698">
        <w:rPr>
          <w:rFonts w:cstheme="minorHAnsi"/>
          <w:szCs w:val="26"/>
        </w:rPr>
        <w:t xml:space="preserve">euros </w:t>
      </w:r>
      <w:r w:rsidR="00524FB9" w:rsidRPr="00E56698">
        <w:rPr>
          <w:rFonts w:cstheme="minorHAnsi"/>
          <w:szCs w:val="26"/>
        </w:rPr>
        <w:t>concedida a los médicos, que se ha materializado en concepto de producti</w:t>
      </w:r>
      <w:r w:rsidR="003E0898" w:rsidRPr="00E56698">
        <w:rPr>
          <w:rFonts w:cstheme="minorHAnsi"/>
          <w:szCs w:val="26"/>
        </w:rPr>
        <w:t xml:space="preserve">vidad a partir de </w:t>
      </w:r>
      <w:r w:rsidR="00E81126" w:rsidRPr="00E56698">
        <w:rPr>
          <w:rFonts w:cstheme="minorHAnsi"/>
          <w:szCs w:val="26"/>
        </w:rPr>
        <w:t>la entrada en vigor de la Ley Foral 11/2023, de 29 de marzo</w:t>
      </w:r>
      <w:r w:rsidR="00E81126" w:rsidRPr="00E56698">
        <w:rPr>
          <w:rStyle w:val="Refdenotaalpie"/>
          <w:rFonts w:cstheme="minorHAnsi"/>
          <w:szCs w:val="26"/>
        </w:rPr>
        <w:footnoteReference w:id="19"/>
      </w:r>
      <w:r>
        <w:rPr>
          <w:rFonts w:cstheme="minorHAnsi"/>
          <w:szCs w:val="26"/>
        </w:rPr>
        <w:t xml:space="preserve">. </w:t>
      </w:r>
    </w:p>
    <w:p w14:paraId="17715EEE" w14:textId="77777777" w:rsidR="00E56698" w:rsidRDefault="00E56698">
      <w:pPr>
        <w:rPr>
          <w:rFonts w:cstheme="minorHAnsi"/>
          <w:spacing w:val="6"/>
          <w:sz w:val="26"/>
          <w:szCs w:val="26"/>
        </w:rPr>
      </w:pPr>
      <w:r>
        <w:rPr>
          <w:rFonts w:cstheme="minorHAnsi"/>
          <w:szCs w:val="26"/>
        </w:rPr>
        <w:br w:type="page"/>
      </w:r>
    </w:p>
    <w:p w14:paraId="7353800A" w14:textId="77777777" w:rsidR="00E56698" w:rsidRDefault="00E56698" w:rsidP="006A52D7">
      <w:pPr>
        <w:pStyle w:val="texto"/>
        <w:tabs>
          <w:tab w:val="left" w:pos="480"/>
          <w:tab w:val="num" w:pos="600"/>
        </w:tabs>
        <w:jc w:val="both"/>
        <w:rPr>
          <w:rFonts w:cstheme="minorHAnsi"/>
          <w:szCs w:val="26"/>
        </w:rPr>
      </w:pPr>
      <w:r>
        <w:rPr>
          <w:rFonts w:cstheme="minorHAnsi"/>
          <w:szCs w:val="26"/>
        </w:rPr>
        <w:lastRenderedPageBreak/>
        <w:t xml:space="preserve">El desglose por conceptos de nómina proporciona la siguiente información: </w:t>
      </w:r>
    </w:p>
    <w:p w14:paraId="6563E695" w14:textId="77777777" w:rsidR="00E56698" w:rsidRPr="006A52D7" w:rsidRDefault="00E56698" w:rsidP="006A52D7">
      <w:pPr>
        <w:pStyle w:val="texto"/>
        <w:tabs>
          <w:tab w:val="left" w:pos="480"/>
          <w:tab w:val="num" w:pos="600"/>
        </w:tabs>
        <w:jc w:val="both"/>
        <w:rPr>
          <w:rFonts w:cstheme="minorHAnsi"/>
          <w:szCs w:val="26"/>
        </w:rPr>
      </w:pPr>
    </w:p>
    <w:tbl>
      <w:tblPr>
        <w:tblW w:w="5097" w:type="pct"/>
        <w:jc w:val="center"/>
        <w:tblCellMar>
          <w:left w:w="70" w:type="dxa"/>
          <w:right w:w="70" w:type="dxa"/>
        </w:tblCellMar>
        <w:tblLook w:val="04A0" w:firstRow="1" w:lastRow="0" w:firstColumn="1" w:lastColumn="0" w:noHBand="0" w:noVBand="1"/>
      </w:tblPr>
      <w:tblGrid>
        <w:gridCol w:w="4253"/>
        <w:gridCol w:w="1134"/>
        <w:gridCol w:w="1134"/>
        <w:gridCol w:w="1149"/>
        <w:gridCol w:w="1290"/>
      </w:tblGrid>
      <w:tr w:rsidR="006D7B9E" w:rsidRPr="00EB306E" w14:paraId="4F1E75E7" w14:textId="77777777" w:rsidTr="00E570F4">
        <w:trPr>
          <w:trHeight w:val="255"/>
          <w:jc w:val="center"/>
        </w:trPr>
        <w:tc>
          <w:tcPr>
            <w:tcW w:w="4253" w:type="dxa"/>
            <w:tcBorders>
              <w:top w:val="single" w:sz="4" w:space="0" w:color="auto"/>
              <w:left w:val="nil"/>
              <w:bottom w:val="single" w:sz="2" w:space="0" w:color="auto"/>
              <w:right w:val="nil"/>
            </w:tcBorders>
            <w:shd w:val="clear" w:color="auto" w:fill="95B3D7" w:themeFill="accent1" w:themeFillTint="99"/>
            <w:noWrap/>
            <w:vAlign w:val="center"/>
            <w:hideMark/>
          </w:tcPr>
          <w:p w14:paraId="4491D226" w14:textId="77777777" w:rsidR="006D7B9E" w:rsidRPr="00EB306E" w:rsidRDefault="006D7B9E" w:rsidP="00E56698">
            <w:pPr>
              <w:pStyle w:val="cuadroCabe"/>
            </w:pPr>
            <w:r>
              <w:t>Complemento de productividad SNS-</w:t>
            </w:r>
            <w:r w:rsidR="00E56698">
              <w:t>O</w:t>
            </w:r>
          </w:p>
        </w:tc>
        <w:tc>
          <w:tcPr>
            <w:tcW w:w="1134" w:type="dxa"/>
            <w:tcBorders>
              <w:top w:val="single" w:sz="4" w:space="0" w:color="auto"/>
              <w:left w:val="nil"/>
              <w:bottom w:val="single" w:sz="2" w:space="0" w:color="auto"/>
              <w:right w:val="nil"/>
            </w:tcBorders>
            <w:shd w:val="clear" w:color="auto" w:fill="95B3D7" w:themeFill="accent1" w:themeFillTint="99"/>
            <w:vAlign w:val="center"/>
            <w:hideMark/>
          </w:tcPr>
          <w:p w14:paraId="2937C47D" w14:textId="77777777" w:rsidR="006D7B9E" w:rsidRPr="00EB306E" w:rsidRDefault="006D7B9E" w:rsidP="00E570F4">
            <w:pPr>
              <w:pStyle w:val="cuadroCabe"/>
              <w:jc w:val="right"/>
            </w:pPr>
            <w:r>
              <w:t>2022</w:t>
            </w:r>
          </w:p>
        </w:tc>
        <w:tc>
          <w:tcPr>
            <w:tcW w:w="1134" w:type="dxa"/>
            <w:tcBorders>
              <w:top w:val="single" w:sz="4" w:space="0" w:color="auto"/>
              <w:left w:val="nil"/>
              <w:bottom w:val="single" w:sz="2" w:space="0" w:color="auto"/>
              <w:right w:val="nil"/>
            </w:tcBorders>
            <w:shd w:val="clear" w:color="auto" w:fill="95B3D7" w:themeFill="accent1" w:themeFillTint="99"/>
            <w:vAlign w:val="center"/>
            <w:hideMark/>
          </w:tcPr>
          <w:p w14:paraId="5B79AA3A" w14:textId="77777777" w:rsidR="006D7B9E" w:rsidRPr="00EB306E" w:rsidRDefault="006D7B9E" w:rsidP="00E570F4">
            <w:pPr>
              <w:pStyle w:val="cuadroCabe"/>
              <w:jc w:val="right"/>
            </w:pPr>
            <w:r w:rsidRPr="00EB306E">
              <w:t>202</w:t>
            </w:r>
            <w:r>
              <w:t>3</w:t>
            </w:r>
          </w:p>
        </w:tc>
        <w:tc>
          <w:tcPr>
            <w:tcW w:w="1149" w:type="dxa"/>
            <w:tcBorders>
              <w:top w:val="single" w:sz="4" w:space="0" w:color="auto"/>
              <w:left w:val="nil"/>
              <w:bottom w:val="single" w:sz="2" w:space="0" w:color="auto"/>
              <w:right w:val="nil"/>
            </w:tcBorders>
            <w:shd w:val="clear" w:color="auto" w:fill="95B3D7" w:themeFill="accent1" w:themeFillTint="99"/>
          </w:tcPr>
          <w:p w14:paraId="65846376" w14:textId="77777777" w:rsidR="006D7B9E" w:rsidRPr="00EB306E" w:rsidRDefault="006D7B9E" w:rsidP="00E570F4">
            <w:pPr>
              <w:pStyle w:val="cuadroCabe"/>
              <w:jc w:val="right"/>
            </w:pPr>
            <w:r>
              <w:t>Diferencia</w:t>
            </w:r>
          </w:p>
        </w:tc>
        <w:tc>
          <w:tcPr>
            <w:tcW w:w="1290" w:type="dxa"/>
            <w:tcBorders>
              <w:top w:val="single" w:sz="4" w:space="0" w:color="auto"/>
              <w:left w:val="nil"/>
              <w:bottom w:val="single" w:sz="2" w:space="0" w:color="auto"/>
              <w:right w:val="nil"/>
            </w:tcBorders>
            <w:shd w:val="clear" w:color="auto" w:fill="95B3D7" w:themeFill="accent1" w:themeFillTint="99"/>
            <w:noWrap/>
            <w:vAlign w:val="center"/>
            <w:hideMark/>
          </w:tcPr>
          <w:p w14:paraId="22E89164" w14:textId="77777777" w:rsidR="006D7B9E" w:rsidRPr="00EB306E" w:rsidRDefault="006D7B9E" w:rsidP="00E570F4">
            <w:pPr>
              <w:pStyle w:val="cuadroCabe"/>
              <w:jc w:val="right"/>
            </w:pPr>
            <w:r w:rsidRPr="00EB306E">
              <w:t>% Variación</w:t>
            </w:r>
          </w:p>
        </w:tc>
      </w:tr>
      <w:tr w:rsidR="006D7B9E" w:rsidRPr="00FB4351" w14:paraId="6EA55625" w14:textId="77777777" w:rsidTr="00E570F4">
        <w:trPr>
          <w:trHeight w:val="198"/>
          <w:jc w:val="center"/>
        </w:trPr>
        <w:tc>
          <w:tcPr>
            <w:tcW w:w="4253" w:type="dxa"/>
            <w:tcBorders>
              <w:top w:val="single" w:sz="2" w:space="0" w:color="auto"/>
              <w:bottom w:val="single" w:sz="2" w:space="0" w:color="auto"/>
            </w:tcBorders>
            <w:noWrap/>
            <w:vAlign w:val="bottom"/>
          </w:tcPr>
          <w:p w14:paraId="5E9E112F" w14:textId="77777777" w:rsidR="006D7B9E" w:rsidRPr="00E04706" w:rsidRDefault="006D7B9E" w:rsidP="00E570F4">
            <w:pPr>
              <w:rPr>
                <w:rFonts w:ascii="Arial Narrow" w:hAnsi="Arial Narrow" w:cs="Calibri"/>
                <w:color w:val="000000"/>
                <w:sz w:val="18"/>
                <w:szCs w:val="18"/>
              </w:rPr>
            </w:pPr>
            <w:r>
              <w:rPr>
                <w:rFonts w:ascii="Arial Narrow" w:hAnsi="Arial Narrow" w:cs="Calibri"/>
                <w:color w:val="000000"/>
                <w:sz w:val="18"/>
                <w:szCs w:val="18"/>
              </w:rPr>
              <w:t>Conceptos de nómina mejora salarial 400 €</w:t>
            </w:r>
          </w:p>
        </w:tc>
        <w:tc>
          <w:tcPr>
            <w:tcW w:w="1134" w:type="dxa"/>
            <w:tcBorders>
              <w:top w:val="single" w:sz="2" w:space="0" w:color="auto"/>
              <w:bottom w:val="single" w:sz="2" w:space="0" w:color="auto"/>
            </w:tcBorders>
            <w:vAlign w:val="bottom"/>
          </w:tcPr>
          <w:p w14:paraId="710611FC" w14:textId="77777777" w:rsidR="006D7B9E" w:rsidRPr="00E04706" w:rsidRDefault="006D7B9E" w:rsidP="00E570F4">
            <w:pPr>
              <w:jc w:val="right"/>
              <w:rPr>
                <w:rFonts w:ascii="Arial Narrow" w:hAnsi="Arial Narrow" w:cs="Calibri"/>
                <w:color w:val="000000"/>
                <w:sz w:val="18"/>
                <w:szCs w:val="18"/>
              </w:rPr>
            </w:pPr>
            <w:r>
              <w:rPr>
                <w:rFonts w:ascii="Arial Narrow" w:hAnsi="Arial Narrow" w:cs="Calibri"/>
                <w:color w:val="000000"/>
                <w:sz w:val="18"/>
                <w:szCs w:val="18"/>
              </w:rPr>
              <w:t>-</w:t>
            </w:r>
          </w:p>
        </w:tc>
        <w:tc>
          <w:tcPr>
            <w:tcW w:w="1134" w:type="dxa"/>
            <w:tcBorders>
              <w:top w:val="single" w:sz="2" w:space="0" w:color="auto"/>
              <w:bottom w:val="single" w:sz="2" w:space="0" w:color="auto"/>
            </w:tcBorders>
            <w:vAlign w:val="bottom"/>
          </w:tcPr>
          <w:p w14:paraId="10ECEF8E" w14:textId="77777777" w:rsidR="006D7B9E" w:rsidRPr="00E04706" w:rsidRDefault="006D7B9E" w:rsidP="00E570F4">
            <w:pPr>
              <w:jc w:val="right"/>
              <w:rPr>
                <w:rFonts w:ascii="Arial Narrow" w:hAnsi="Arial Narrow" w:cs="Calibri"/>
                <w:color w:val="000000"/>
                <w:sz w:val="18"/>
                <w:szCs w:val="18"/>
              </w:rPr>
            </w:pPr>
            <w:r>
              <w:rPr>
                <w:rFonts w:ascii="Arial Narrow" w:hAnsi="Arial Narrow" w:cs="Calibri"/>
                <w:color w:val="000000"/>
                <w:sz w:val="18"/>
                <w:szCs w:val="18"/>
              </w:rPr>
              <w:t>8.362.138</w:t>
            </w:r>
          </w:p>
        </w:tc>
        <w:tc>
          <w:tcPr>
            <w:tcW w:w="1149" w:type="dxa"/>
            <w:tcBorders>
              <w:top w:val="single" w:sz="2" w:space="0" w:color="auto"/>
              <w:bottom w:val="single" w:sz="2" w:space="0" w:color="auto"/>
            </w:tcBorders>
            <w:vAlign w:val="bottom"/>
          </w:tcPr>
          <w:p w14:paraId="6CAEC990" w14:textId="77777777" w:rsidR="006D7B9E" w:rsidRPr="00E04706" w:rsidRDefault="006D7B9E" w:rsidP="00E570F4">
            <w:pPr>
              <w:jc w:val="right"/>
              <w:rPr>
                <w:rFonts w:ascii="Arial Narrow" w:hAnsi="Arial Narrow" w:cs="Calibri"/>
                <w:sz w:val="18"/>
                <w:szCs w:val="18"/>
              </w:rPr>
            </w:pPr>
            <w:r>
              <w:rPr>
                <w:rFonts w:ascii="Arial Narrow" w:hAnsi="Arial Narrow" w:cs="Calibri"/>
                <w:sz w:val="18"/>
                <w:szCs w:val="18"/>
              </w:rPr>
              <w:t>8.362.138</w:t>
            </w:r>
          </w:p>
        </w:tc>
        <w:tc>
          <w:tcPr>
            <w:tcW w:w="1290" w:type="dxa"/>
            <w:tcBorders>
              <w:top w:val="single" w:sz="2" w:space="0" w:color="auto"/>
              <w:bottom w:val="single" w:sz="2" w:space="0" w:color="auto"/>
            </w:tcBorders>
            <w:noWrap/>
            <w:vAlign w:val="bottom"/>
          </w:tcPr>
          <w:p w14:paraId="0877953F" w14:textId="77777777" w:rsidR="006D7B9E" w:rsidRPr="00E04706" w:rsidRDefault="006D7B9E" w:rsidP="00E570F4">
            <w:pPr>
              <w:jc w:val="right"/>
              <w:rPr>
                <w:rFonts w:ascii="Arial Narrow" w:hAnsi="Arial Narrow" w:cs="Calibri"/>
                <w:sz w:val="18"/>
                <w:szCs w:val="18"/>
              </w:rPr>
            </w:pPr>
          </w:p>
        </w:tc>
      </w:tr>
      <w:tr w:rsidR="006D7B9E" w:rsidRPr="00FB4351" w14:paraId="270D2FAA" w14:textId="77777777" w:rsidTr="00E570F4">
        <w:trPr>
          <w:trHeight w:val="198"/>
          <w:jc w:val="center"/>
        </w:trPr>
        <w:tc>
          <w:tcPr>
            <w:tcW w:w="4253" w:type="dxa"/>
            <w:tcBorders>
              <w:top w:val="single" w:sz="2" w:space="0" w:color="auto"/>
              <w:bottom w:val="single" w:sz="2" w:space="0" w:color="auto"/>
            </w:tcBorders>
            <w:noWrap/>
            <w:vAlign w:val="bottom"/>
          </w:tcPr>
          <w:p w14:paraId="57E6B57D" w14:textId="77777777" w:rsidR="006D7B9E" w:rsidRDefault="006D7B9E" w:rsidP="00E570F4">
            <w:pPr>
              <w:rPr>
                <w:rFonts w:ascii="Arial Narrow" w:hAnsi="Arial Narrow" w:cs="Calibri"/>
                <w:color w:val="000000"/>
                <w:sz w:val="18"/>
                <w:szCs w:val="18"/>
              </w:rPr>
            </w:pPr>
            <w:r>
              <w:rPr>
                <w:rFonts w:ascii="Arial Narrow" w:hAnsi="Arial Narrow" w:cs="Calibri"/>
                <w:color w:val="000000"/>
                <w:sz w:val="18"/>
                <w:szCs w:val="18"/>
              </w:rPr>
              <w:t xml:space="preserve">Resto de conceptos de nómina </w:t>
            </w:r>
          </w:p>
        </w:tc>
        <w:tc>
          <w:tcPr>
            <w:tcW w:w="1134" w:type="dxa"/>
            <w:tcBorders>
              <w:top w:val="single" w:sz="2" w:space="0" w:color="auto"/>
              <w:bottom w:val="single" w:sz="2" w:space="0" w:color="auto"/>
            </w:tcBorders>
            <w:vAlign w:val="bottom"/>
          </w:tcPr>
          <w:p w14:paraId="48CD538D" w14:textId="77777777" w:rsidR="006D7B9E" w:rsidRDefault="00E56698" w:rsidP="00E570F4">
            <w:pPr>
              <w:jc w:val="right"/>
              <w:rPr>
                <w:rFonts w:ascii="Arial Narrow" w:hAnsi="Arial Narrow" w:cs="Calibri"/>
                <w:color w:val="000000"/>
                <w:sz w:val="18"/>
                <w:szCs w:val="18"/>
              </w:rPr>
            </w:pPr>
            <w:r>
              <w:rPr>
                <w:rFonts w:ascii="Arial Narrow" w:hAnsi="Arial Narrow" w:cs="Calibri"/>
                <w:color w:val="000000"/>
                <w:sz w:val="18"/>
                <w:szCs w:val="18"/>
              </w:rPr>
              <w:t>19.307.158</w:t>
            </w:r>
          </w:p>
        </w:tc>
        <w:tc>
          <w:tcPr>
            <w:tcW w:w="1134" w:type="dxa"/>
            <w:tcBorders>
              <w:top w:val="single" w:sz="2" w:space="0" w:color="auto"/>
              <w:bottom w:val="single" w:sz="2" w:space="0" w:color="auto"/>
            </w:tcBorders>
            <w:vAlign w:val="bottom"/>
          </w:tcPr>
          <w:p w14:paraId="080B2B95" w14:textId="77777777" w:rsidR="006D7B9E" w:rsidRDefault="00E56698" w:rsidP="00E570F4">
            <w:pPr>
              <w:jc w:val="right"/>
              <w:rPr>
                <w:rFonts w:ascii="Arial Narrow" w:hAnsi="Arial Narrow" w:cs="Calibri"/>
                <w:color w:val="000000"/>
                <w:sz w:val="18"/>
                <w:szCs w:val="18"/>
              </w:rPr>
            </w:pPr>
            <w:r>
              <w:rPr>
                <w:rFonts w:ascii="Arial Narrow" w:hAnsi="Arial Narrow" w:cs="Calibri"/>
                <w:color w:val="000000"/>
                <w:sz w:val="18"/>
                <w:szCs w:val="18"/>
              </w:rPr>
              <w:t>19.961.258</w:t>
            </w:r>
          </w:p>
        </w:tc>
        <w:tc>
          <w:tcPr>
            <w:tcW w:w="1149" w:type="dxa"/>
            <w:tcBorders>
              <w:top w:val="single" w:sz="2" w:space="0" w:color="auto"/>
              <w:bottom w:val="single" w:sz="2" w:space="0" w:color="auto"/>
            </w:tcBorders>
            <w:vAlign w:val="bottom"/>
          </w:tcPr>
          <w:p w14:paraId="2F93A110" w14:textId="77777777" w:rsidR="006D7B9E" w:rsidRDefault="00E56698" w:rsidP="00E570F4">
            <w:pPr>
              <w:jc w:val="right"/>
              <w:rPr>
                <w:rFonts w:ascii="Arial Narrow" w:hAnsi="Arial Narrow" w:cs="Calibri"/>
                <w:sz w:val="18"/>
                <w:szCs w:val="18"/>
              </w:rPr>
            </w:pPr>
            <w:r>
              <w:rPr>
                <w:rFonts w:ascii="Arial Narrow" w:hAnsi="Arial Narrow" w:cs="Calibri"/>
                <w:sz w:val="18"/>
                <w:szCs w:val="18"/>
              </w:rPr>
              <w:t>654.100</w:t>
            </w:r>
          </w:p>
        </w:tc>
        <w:tc>
          <w:tcPr>
            <w:tcW w:w="1290" w:type="dxa"/>
            <w:tcBorders>
              <w:top w:val="single" w:sz="2" w:space="0" w:color="auto"/>
              <w:bottom w:val="single" w:sz="2" w:space="0" w:color="auto"/>
            </w:tcBorders>
            <w:noWrap/>
            <w:vAlign w:val="bottom"/>
          </w:tcPr>
          <w:p w14:paraId="4D96A38D" w14:textId="77777777" w:rsidR="006D7B9E" w:rsidRDefault="006D7B9E" w:rsidP="00E570F4">
            <w:pPr>
              <w:jc w:val="right"/>
              <w:rPr>
                <w:rFonts w:ascii="Arial Narrow" w:hAnsi="Arial Narrow" w:cs="Calibri"/>
                <w:sz w:val="18"/>
                <w:szCs w:val="18"/>
              </w:rPr>
            </w:pPr>
          </w:p>
        </w:tc>
      </w:tr>
      <w:tr w:rsidR="00E56698" w:rsidRPr="00EB306E" w14:paraId="1481FDDF" w14:textId="77777777" w:rsidTr="00E56698">
        <w:trPr>
          <w:trHeight w:val="255"/>
          <w:jc w:val="center"/>
        </w:trPr>
        <w:tc>
          <w:tcPr>
            <w:tcW w:w="4253" w:type="dxa"/>
            <w:tcBorders>
              <w:top w:val="single" w:sz="4" w:space="0" w:color="auto"/>
              <w:left w:val="nil"/>
              <w:bottom w:val="single" w:sz="2" w:space="0" w:color="auto"/>
              <w:right w:val="nil"/>
            </w:tcBorders>
            <w:shd w:val="clear" w:color="auto" w:fill="95B3D7" w:themeFill="accent1" w:themeFillTint="99"/>
            <w:noWrap/>
            <w:vAlign w:val="center"/>
            <w:hideMark/>
          </w:tcPr>
          <w:p w14:paraId="3FEA65A0" w14:textId="77777777" w:rsidR="00E56698" w:rsidRPr="00EB306E" w:rsidRDefault="00E56698" w:rsidP="00E570F4">
            <w:pPr>
              <w:pStyle w:val="cuadroCabe"/>
            </w:pPr>
            <w:r>
              <w:t>Total</w:t>
            </w:r>
          </w:p>
        </w:tc>
        <w:tc>
          <w:tcPr>
            <w:tcW w:w="1134" w:type="dxa"/>
            <w:tcBorders>
              <w:top w:val="single" w:sz="4" w:space="0" w:color="auto"/>
              <w:left w:val="nil"/>
              <w:bottom w:val="single" w:sz="2" w:space="0" w:color="auto"/>
              <w:right w:val="nil"/>
            </w:tcBorders>
            <w:shd w:val="clear" w:color="auto" w:fill="95B3D7" w:themeFill="accent1" w:themeFillTint="99"/>
            <w:vAlign w:val="center"/>
          </w:tcPr>
          <w:p w14:paraId="1E496EF0" w14:textId="77777777" w:rsidR="00E56698" w:rsidRPr="00EB306E" w:rsidRDefault="00E56698" w:rsidP="00E570F4">
            <w:pPr>
              <w:pStyle w:val="cuadroCabe"/>
              <w:jc w:val="right"/>
            </w:pPr>
            <w:r>
              <w:t>19.307.158</w:t>
            </w:r>
          </w:p>
        </w:tc>
        <w:tc>
          <w:tcPr>
            <w:tcW w:w="1134" w:type="dxa"/>
            <w:tcBorders>
              <w:top w:val="single" w:sz="4" w:space="0" w:color="auto"/>
              <w:left w:val="nil"/>
              <w:bottom w:val="single" w:sz="2" w:space="0" w:color="auto"/>
              <w:right w:val="nil"/>
            </w:tcBorders>
            <w:shd w:val="clear" w:color="auto" w:fill="95B3D7" w:themeFill="accent1" w:themeFillTint="99"/>
            <w:vAlign w:val="center"/>
          </w:tcPr>
          <w:p w14:paraId="0231AF6E" w14:textId="77777777" w:rsidR="00E56698" w:rsidRPr="00EB306E" w:rsidRDefault="00E56698" w:rsidP="00E570F4">
            <w:pPr>
              <w:pStyle w:val="cuadroCabe"/>
              <w:jc w:val="right"/>
            </w:pPr>
            <w:r>
              <w:t>28.323.396</w:t>
            </w:r>
          </w:p>
        </w:tc>
        <w:tc>
          <w:tcPr>
            <w:tcW w:w="1149" w:type="dxa"/>
            <w:tcBorders>
              <w:top w:val="single" w:sz="4" w:space="0" w:color="auto"/>
              <w:left w:val="nil"/>
              <w:bottom w:val="single" w:sz="2" w:space="0" w:color="auto"/>
              <w:right w:val="nil"/>
            </w:tcBorders>
            <w:shd w:val="clear" w:color="auto" w:fill="95B3D7" w:themeFill="accent1" w:themeFillTint="99"/>
          </w:tcPr>
          <w:p w14:paraId="4723B1F4" w14:textId="77777777" w:rsidR="00E56698" w:rsidRPr="00EB306E" w:rsidRDefault="00E56698" w:rsidP="00E570F4">
            <w:pPr>
              <w:pStyle w:val="cuadroCabe"/>
              <w:jc w:val="right"/>
            </w:pPr>
            <w:r>
              <w:t>9.016.238</w:t>
            </w:r>
          </w:p>
        </w:tc>
        <w:tc>
          <w:tcPr>
            <w:tcW w:w="1290" w:type="dxa"/>
            <w:tcBorders>
              <w:top w:val="single" w:sz="4" w:space="0" w:color="auto"/>
              <w:left w:val="nil"/>
              <w:bottom w:val="single" w:sz="2" w:space="0" w:color="auto"/>
              <w:right w:val="nil"/>
            </w:tcBorders>
            <w:shd w:val="clear" w:color="auto" w:fill="95B3D7" w:themeFill="accent1" w:themeFillTint="99"/>
            <w:noWrap/>
            <w:vAlign w:val="center"/>
          </w:tcPr>
          <w:p w14:paraId="3F6EB0D0" w14:textId="77777777" w:rsidR="00E56698" w:rsidRPr="00EB306E" w:rsidRDefault="00E56698" w:rsidP="00E570F4">
            <w:pPr>
              <w:pStyle w:val="cuadroCabe"/>
              <w:jc w:val="right"/>
            </w:pPr>
            <w:r>
              <w:t>47%</w:t>
            </w:r>
          </w:p>
        </w:tc>
      </w:tr>
    </w:tbl>
    <w:p w14:paraId="59F5137A" w14:textId="77777777" w:rsidR="006D7B9E" w:rsidRPr="00E56698" w:rsidRDefault="00E56698" w:rsidP="006A52D7">
      <w:pPr>
        <w:pStyle w:val="texto"/>
        <w:tabs>
          <w:tab w:val="left" w:pos="480"/>
          <w:tab w:val="num" w:pos="600"/>
        </w:tabs>
        <w:spacing w:before="180"/>
        <w:jc w:val="both"/>
        <w:rPr>
          <w:rFonts w:cstheme="minorHAnsi"/>
          <w:szCs w:val="26"/>
        </w:rPr>
      </w:pPr>
      <w:r w:rsidRPr="00E56698">
        <w:rPr>
          <w:rFonts w:cstheme="minorHAnsi"/>
          <w:szCs w:val="26"/>
        </w:rPr>
        <w:t>Es decir, el 93 por ciento del incremento en el complemento de productividad en el SNS-O, se debe a la mejor salarial concedid</w:t>
      </w:r>
      <w:r>
        <w:rPr>
          <w:rFonts w:cstheme="minorHAnsi"/>
          <w:szCs w:val="26"/>
        </w:rPr>
        <w:t xml:space="preserve">a, citada anteriormente. </w:t>
      </w:r>
    </w:p>
    <w:p w14:paraId="29F90364" w14:textId="77777777" w:rsidR="00524FB9" w:rsidRDefault="00524FB9" w:rsidP="008C2B8E">
      <w:pPr>
        <w:pStyle w:val="texto"/>
        <w:numPr>
          <w:ilvl w:val="0"/>
          <w:numId w:val="6"/>
        </w:numPr>
        <w:tabs>
          <w:tab w:val="clear" w:pos="360"/>
          <w:tab w:val="num" w:pos="300"/>
          <w:tab w:val="left" w:pos="480"/>
          <w:tab w:val="num" w:pos="600"/>
        </w:tabs>
        <w:spacing w:before="120"/>
        <w:ind w:firstLine="289"/>
        <w:jc w:val="both"/>
        <w:rPr>
          <w:rFonts w:cstheme="minorHAnsi"/>
          <w:szCs w:val="26"/>
        </w:rPr>
      </w:pPr>
      <w:r w:rsidRPr="003E0898">
        <w:rPr>
          <w:rFonts w:cstheme="minorHAnsi"/>
          <w:szCs w:val="26"/>
        </w:rPr>
        <w:t>Las retribuciones al personal de ejercicios anteriores se han incrementado un 223</w:t>
      </w:r>
      <w:r w:rsidR="003E0898">
        <w:rPr>
          <w:rFonts w:cstheme="minorHAnsi"/>
          <w:szCs w:val="26"/>
        </w:rPr>
        <w:t xml:space="preserve"> por ciento</w:t>
      </w:r>
      <w:r w:rsidRPr="003E0898">
        <w:rPr>
          <w:rFonts w:cstheme="minorHAnsi"/>
          <w:szCs w:val="26"/>
        </w:rPr>
        <w:t>. El 89</w:t>
      </w:r>
      <w:r w:rsidR="003E0898">
        <w:rPr>
          <w:rFonts w:cstheme="minorHAnsi"/>
          <w:szCs w:val="26"/>
        </w:rPr>
        <w:t xml:space="preserve"> por ciento </w:t>
      </w:r>
      <w:r w:rsidRPr="003E0898">
        <w:rPr>
          <w:rFonts w:cstheme="minorHAnsi"/>
          <w:szCs w:val="26"/>
        </w:rPr>
        <w:t xml:space="preserve">de la subida corresponde a </w:t>
      </w:r>
      <w:r w:rsidR="003E0898">
        <w:rPr>
          <w:rFonts w:cstheme="minorHAnsi"/>
          <w:szCs w:val="26"/>
        </w:rPr>
        <w:t xml:space="preserve">la </w:t>
      </w:r>
      <w:r w:rsidRPr="003E0898">
        <w:rPr>
          <w:rFonts w:cstheme="minorHAnsi"/>
          <w:szCs w:val="26"/>
        </w:rPr>
        <w:t>Policía F</w:t>
      </w:r>
      <w:r w:rsidR="003E0898">
        <w:rPr>
          <w:rFonts w:cstheme="minorHAnsi"/>
          <w:szCs w:val="26"/>
        </w:rPr>
        <w:t xml:space="preserve">oral y </w:t>
      </w:r>
      <w:r w:rsidRPr="003E0898">
        <w:rPr>
          <w:rFonts w:cstheme="minorHAnsi"/>
          <w:szCs w:val="26"/>
        </w:rPr>
        <w:t xml:space="preserve">responde a los efectos de la aplicación del </w:t>
      </w:r>
      <w:r w:rsidR="003E0898">
        <w:rPr>
          <w:rFonts w:cstheme="minorHAnsi"/>
          <w:szCs w:val="26"/>
        </w:rPr>
        <w:t xml:space="preserve">anteriormente citado </w:t>
      </w:r>
      <w:r w:rsidRPr="003E0898">
        <w:rPr>
          <w:rFonts w:cstheme="minorHAnsi"/>
          <w:szCs w:val="26"/>
        </w:rPr>
        <w:t>D</w:t>
      </w:r>
      <w:r w:rsidR="00C15FEE">
        <w:rPr>
          <w:rFonts w:cstheme="minorHAnsi"/>
          <w:szCs w:val="26"/>
        </w:rPr>
        <w:t xml:space="preserve">ecreto Foral </w:t>
      </w:r>
      <w:r w:rsidRPr="003E0898">
        <w:rPr>
          <w:rFonts w:cstheme="minorHAnsi"/>
          <w:szCs w:val="26"/>
        </w:rPr>
        <w:t xml:space="preserve">227/2023, que incluye una regularización de retribuciones desde 2019. </w:t>
      </w:r>
    </w:p>
    <w:p w14:paraId="5103E586" w14:textId="77777777" w:rsidR="00614DC4" w:rsidRPr="00735A9B" w:rsidRDefault="00614DC4" w:rsidP="00A872CE">
      <w:pPr>
        <w:pStyle w:val="atitulo3"/>
        <w:spacing w:before="240"/>
      </w:pPr>
      <w:r w:rsidRPr="00735A9B">
        <w:t xml:space="preserve">Plantilla orgánica y oferta pública de empleo </w:t>
      </w:r>
    </w:p>
    <w:p w14:paraId="1D89297D" w14:textId="77777777" w:rsidR="00614DC4" w:rsidRDefault="00614DC4" w:rsidP="00024014">
      <w:pPr>
        <w:pStyle w:val="texto"/>
        <w:spacing w:after="120"/>
        <w:jc w:val="both"/>
      </w:pPr>
      <w:r w:rsidRPr="00735A9B">
        <w:t>La plantilla orgánica y la relación del personal fijo y eventual que desempeña cargos directivos de libre designación en la ACFN y en sus OOAA a 31 de diciembre de 202</w:t>
      </w:r>
      <w:r w:rsidR="00735A9B">
        <w:t xml:space="preserve">3, </w:t>
      </w:r>
      <w:r w:rsidR="00E81126">
        <w:t xml:space="preserve">no se ha publicado </w:t>
      </w:r>
      <w:r w:rsidR="00735A9B">
        <w:t>a la f</w:t>
      </w:r>
      <w:r w:rsidR="00E81126">
        <w:t xml:space="preserve">echa de emisión de este informe. </w:t>
      </w:r>
      <w:r w:rsidRPr="00735A9B">
        <w:t>Esta Cámara, tal y como viene reiterando en informes anteriores, destaca el retraso con el que se publica esta información.</w:t>
      </w:r>
    </w:p>
    <w:p w14:paraId="320951CA" w14:textId="77777777" w:rsidR="00614DC4" w:rsidRPr="00167AD4" w:rsidRDefault="00735A9B" w:rsidP="002D15F8">
      <w:pPr>
        <w:pStyle w:val="texto"/>
        <w:spacing w:after="240"/>
        <w:jc w:val="both"/>
      </w:pPr>
      <w:r w:rsidRPr="00167AD4">
        <w:t>No obstante, con la información que nos ha suministrado Función Pública, l</w:t>
      </w:r>
      <w:r w:rsidR="00614DC4" w:rsidRPr="00167AD4">
        <w:t>as plazas en la plantilla orgánica a 31 de diciembre de 202</w:t>
      </w:r>
      <w:r w:rsidRPr="00167AD4">
        <w:t>3</w:t>
      </w:r>
      <w:r w:rsidR="00614DC4" w:rsidRPr="00167AD4">
        <w:t xml:space="preserve"> ascendían a 2</w:t>
      </w:r>
      <w:r w:rsidRPr="00167AD4">
        <w:t>6.101</w:t>
      </w:r>
      <w:r w:rsidR="00614DC4" w:rsidRPr="00167AD4">
        <w:t>, cifra superior a la de 202</w:t>
      </w:r>
      <w:r w:rsidRPr="00167AD4">
        <w:t>2 en 241</w:t>
      </w:r>
      <w:r w:rsidR="00491877" w:rsidRPr="00167AD4">
        <w:t xml:space="preserve"> </w:t>
      </w:r>
      <w:r w:rsidR="00614DC4" w:rsidRPr="00167AD4">
        <w:t>plazas. Su clasificación entre cubiertas y vacantes es la que sigue:</w:t>
      </w:r>
    </w:p>
    <w:tbl>
      <w:tblPr>
        <w:tblW w:w="5081" w:type="pct"/>
        <w:jc w:val="center"/>
        <w:tblLook w:val="01E0" w:firstRow="1" w:lastRow="1" w:firstColumn="1" w:lastColumn="1" w:noHBand="0" w:noVBand="0"/>
      </w:tblPr>
      <w:tblGrid>
        <w:gridCol w:w="1328"/>
        <w:gridCol w:w="936"/>
        <w:gridCol w:w="997"/>
        <w:gridCol w:w="847"/>
        <w:gridCol w:w="1088"/>
        <w:gridCol w:w="902"/>
        <w:gridCol w:w="1032"/>
        <w:gridCol w:w="806"/>
        <w:gridCol w:w="995"/>
      </w:tblGrid>
      <w:tr w:rsidR="00491877" w:rsidRPr="00167AD4" w14:paraId="258EA517" w14:textId="77777777" w:rsidTr="00437F42">
        <w:trPr>
          <w:trHeight w:val="255"/>
          <w:jc w:val="center"/>
        </w:trPr>
        <w:tc>
          <w:tcPr>
            <w:tcW w:w="743" w:type="pct"/>
            <w:vMerge w:val="restart"/>
            <w:tcBorders>
              <w:top w:val="single" w:sz="4" w:space="0" w:color="auto"/>
              <w:left w:val="nil"/>
              <w:bottom w:val="single" w:sz="2" w:space="0" w:color="auto"/>
              <w:right w:val="nil"/>
            </w:tcBorders>
            <w:shd w:val="clear" w:color="auto" w:fill="8DB3E2"/>
            <w:vAlign w:val="center"/>
            <w:hideMark/>
          </w:tcPr>
          <w:p w14:paraId="2A9380C2" w14:textId="77777777" w:rsidR="00614DC4" w:rsidRPr="00167AD4" w:rsidRDefault="00614DC4" w:rsidP="004101A9">
            <w:pPr>
              <w:pStyle w:val="cuadroCabe"/>
            </w:pPr>
            <w:r w:rsidRPr="00167AD4">
              <w:t>Plazas</w:t>
            </w:r>
          </w:p>
        </w:tc>
        <w:tc>
          <w:tcPr>
            <w:tcW w:w="1082" w:type="pct"/>
            <w:gridSpan w:val="2"/>
            <w:tcBorders>
              <w:top w:val="single" w:sz="4" w:space="0" w:color="auto"/>
              <w:left w:val="nil"/>
              <w:bottom w:val="single" w:sz="2" w:space="0" w:color="auto"/>
              <w:right w:val="single" w:sz="2" w:space="0" w:color="auto"/>
            </w:tcBorders>
            <w:shd w:val="clear" w:color="auto" w:fill="8DB3E2"/>
            <w:vAlign w:val="center"/>
            <w:hideMark/>
          </w:tcPr>
          <w:p w14:paraId="77BF6C2A" w14:textId="77777777" w:rsidR="00614DC4" w:rsidRPr="00167AD4" w:rsidRDefault="00614DC4" w:rsidP="008C0F2B">
            <w:pPr>
              <w:pStyle w:val="cuadroCabe"/>
              <w:jc w:val="center"/>
            </w:pPr>
            <w:r w:rsidRPr="00167AD4">
              <w:t>Admón. Núcleo</w:t>
            </w:r>
          </w:p>
        </w:tc>
        <w:tc>
          <w:tcPr>
            <w:tcW w:w="1083" w:type="pct"/>
            <w:gridSpan w:val="2"/>
            <w:tcBorders>
              <w:top w:val="single" w:sz="4" w:space="0" w:color="auto"/>
              <w:left w:val="single" w:sz="2" w:space="0" w:color="auto"/>
              <w:bottom w:val="single" w:sz="2" w:space="0" w:color="auto"/>
              <w:right w:val="single" w:sz="2" w:space="0" w:color="auto"/>
            </w:tcBorders>
            <w:shd w:val="clear" w:color="auto" w:fill="8DB3E2"/>
            <w:vAlign w:val="center"/>
            <w:hideMark/>
          </w:tcPr>
          <w:p w14:paraId="05A5715C" w14:textId="77777777" w:rsidR="00614DC4" w:rsidRPr="00167AD4" w:rsidRDefault="00614DC4" w:rsidP="008C0F2B">
            <w:pPr>
              <w:pStyle w:val="cuadroCabe"/>
              <w:jc w:val="center"/>
            </w:pPr>
            <w:r w:rsidRPr="00167AD4">
              <w:t>Educación</w:t>
            </w:r>
          </w:p>
        </w:tc>
        <w:tc>
          <w:tcPr>
            <w:tcW w:w="1083" w:type="pct"/>
            <w:gridSpan w:val="2"/>
            <w:tcBorders>
              <w:top w:val="single" w:sz="4" w:space="0" w:color="auto"/>
              <w:left w:val="single" w:sz="2" w:space="0" w:color="auto"/>
              <w:bottom w:val="single" w:sz="2" w:space="0" w:color="auto"/>
              <w:right w:val="single" w:sz="2" w:space="0" w:color="auto"/>
            </w:tcBorders>
            <w:shd w:val="clear" w:color="auto" w:fill="8DB3E2"/>
            <w:vAlign w:val="center"/>
            <w:hideMark/>
          </w:tcPr>
          <w:p w14:paraId="36FA91B1" w14:textId="77777777" w:rsidR="00614DC4" w:rsidRPr="00167AD4" w:rsidRDefault="00614DC4" w:rsidP="008C0F2B">
            <w:pPr>
              <w:pStyle w:val="cuadroCabe"/>
              <w:jc w:val="center"/>
            </w:pPr>
            <w:r w:rsidRPr="00167AD4">
              <w:t>SNS-O</w:t>
            </w:r>
          </w:p>
        </w:tc>
        <w:tc>
          <w:tcPr>
            <w:tcW w:w="1008" w:type="pct"/>
            <w:gridSpan w:val="2"/>
            <w:tcBorders>
              <w:top w:val="single" w:sz="4" w:space="0" w:color="auto"/>
              <w:left w:val="single" w:sz="2" w:space="0" w:color="auto"/>
              <w:bottom w:val="single" w:sz="2" w:space="0" w:color="auto"/>
              <w:right w:val="nil"/>
            </w:tcBorders>
            <w:shd w:val="clear" w:color="auto" w:fill="8DB3E2"/>
            <w:vAlign w:val="center"/>
            <w:hideMark/>
          </w:tcPr>
          <w:p w14:paraId="45B400C7" w14:textId="77777777" w:rsidR="00614DC4" w:rsidRPr="00167AD4" w:rsidRDefault="00614DC4" w:rsidP="008C0F2B">
            <w:pPr>
              <w:pStyle w:val="cuadroCabe"/>
              <w:jc w:val="center"/>
            </w:pPr>
            <w:r w:rsidRPr="00167AD4">
              <w:t>Total</w:t>
            </w:r>
          </w:p>
        </w:tc>
      </w:tr>
      <w:tr w:rsidR="00491877" w:rsidRPr="00167AD4" w14:paraId="19F6E8DF" w14:textId="77777777" w:rsidTr="00437F42">
        <w:trPr>
          <w:trHeight w:val="255"/>
          <w:jc w:val="center"/>
        </w:trPr>
        <w:tc>
          <w:tcPr>
            <w:tcW w:w="0" w:type="auto"/>
            <w:vMerge/>
            <w:tcBorders>
              <w:top w:val="single" w:sz="4" w:space="0" w:color="auto"/>
              <w:left w:val="nil"/>
              <w:bottom w:val="single" w:sz="2" w:space="0" w:color="auto"/>
              <w:right w:val="nil"/>
            </w:tcBorders>
            <w:vAlign w:val="center"/>
            <w:hideMark/>
          </w:tcPr>
          <w:p w14:paraId="6C60322D" w14:textId="77777777" w:rsidR="00614DC4" w:rsidRPr="00167AD4" w:rsidRDefault="00614DC4" w:rsidP="004101A9">
            <w:pPr>
              <w:pStyle w:val="cuadroCabe"/>
            </w:pPr>
          </w:p>
        </w:tc>
        <w:tc>
          <w:tcPr>
            <w:tcW w:w="524" w:type="pct"/>
            <w:tcBorders>
              <w:top w:val="single" w:sz="2" w:space="0" w:color="auto"/>
              <w:left w:val="nil"/>
              <w:bottom w:val="single" w:sz="2" w:space="0" w:color="auto"/>
              <w:right w:val="nil"/>
            </w:tcBorders>
            <w:shd w:val="clear" w:color="auto" w:fill="8DB3E2"/>
            <w:vAlign w:val="center"/>
            <w:hideMark/>
          </w:tcPr>
          <w:p w14:paraId="4171EBD9" w14:textId="77777777" w:rsidR="00614DC4" w:rsidRPr="00167AD4" w:rsidRDefault="00614DC4" w:rsidP="00491877">
            <w:pPr>
              <w:pStyle w:val="cuadroCabe"/>
              <w:jc w:val="right"/>
            </w:pPr>
            <w:r w:rsidRPr="00167AD4">
              <w:t>202</w:t>
            </w:r>
            <w:r w:rsidR="00491877" w:rsidRPr="00167AD4">
              <w:t>2</w:t>
            </w:r>
          </w:p>
        </w:tc>
        <w:tc>
          <w:tcPr>
            <w:tcW w:w="558" w:type="pct"/>
            <w:tcBorders>
              <w:top w:val="single" w:sz="2" w:space="0" w:color="auto"/>
              <w:left w:val="nil"/>
              <w:bottom w:val="single" w:sz="2" w:space="0" w:color="auto"/>
              <w:right w:val="single" w:sz="2" w:space="0" w:color="auto"/>
            </w:tcBorders>
            <w:shd w:val="clear" w:color="auto" w:fill="8DB3E2"/>
            <w:vAlign w:val="center"/>
            <w:hideMark/>
          </w:tcPr>
          <w:p w14:paraId="4A71B547" w14:textId="77777777" w:rsidR="00614DC4" w:rsidRPr="00167AD4" w:rsidRDefault="00491877" w:rsidP="004101A9">
            <w:pPr>
              <w:pStyle w:val="cuadroCabe"/>
              <w:jc w:val="right"/>
            </w:pPr>
            <w:r w:rsidRPr="00167AD4">
              <w:t>2023</w:t>
            </w:r>
          </w:p>
        </w:tc>
        <w:tc>
          <w:tcPr>
            <w:tcW w:w="474" w:type="pct"/>
            <w:tcBorders>
              <w:top w:val="single" w:sz="2" w:space="0" w:color="auto"/>
              <w:left w:val="nil"/>
              <w:bottom w:val="single" w:sz="2" w:space="0" w:color="auto"/>
              <w:right w:val="nil"/>
            </w:tcBorders>
            <w:shd w:val="clear" w:color="auto" w:fill="8DB3E2"/>
            <w:vAlign w:val="center"/>
            <w:hideMark/>
          </w:tcPr>
          <w:p w14:paraId="07444FA5" w14:textId="77777777" w:rsidR="00614DC4" w:rsidRPr="00167AD4" w:rsidRDefault="00491877" w:rsidP="004101A9">
            <w:pPr>
              <w:pStyle w:val="cuadroCabe"/>
              <w:jc w:val="right"/>
            </w:pPr>
            <w:r w:rsidRPr="00167AD4">
              <w:t>2022</w:t>
            </w:r>
          </w:p>
        </w:tc>
        <w:tc>
          <w:tcPr>
            <w:tcW w:w="609" w:type="pct"/>
            <w:tcBorders>
              <w:top w:val="single" w:sz="2" w:space="0" w:color="auto"/>
              <w:left w:val="nil"/>
              <w:bottom w:val="single" w:sz="2" w:space="0" w:color="auto"/>
              <w:right w:val="single" w:sz="2" w:space="0" w:color="auto"/>
            </w:tcBorders>
            <w:shd w:val="clear" w:color="auto" w:fill="8DB3E2"/>
            <w:vAlign w:val="center"/>
            <w:hideMark/>
          </w:tcPr>
          <w:p w14:paraId="62B0212A" w14:textId="77777777" w:rsidR="00614DC4" w:rsidRPr="00167AD4" w:rsidRDefault="00491877" w:rsidP="004101A9">
            <w:pPr>
              <w:pStyle w:val="cuadroCabe"/>
              <w:jc w:val="right"/>
            </w:pPr>
            <w:r w:rsidRPr="00167AD4">
              <w:t>2023</w:t>
            </w:r>
          </w:p>
        </w:tc>
        <w:tc>
          <w:tcPr>
            <w:tcW w:w="505" w:type="pct"/>
            <w:tcBorders>
              <w:top w:val="single" w:sz="2" w:space="0" w:color="auto"/>
              <w:left w:val="nil"/>
              <w:bottom w:val="single" w:sz="2" w:space="0" w:color="auto"/>
              <w:right w:val="nil"/>
            </w:tcBorders>
            <w:shd w:val="clear" w:color="auto" w:fill="8DB3E2"/>
            <w:vAlign w:val="center"/>
            <w:hideMark/>
          </w:tcPr>
          <w:p w14:paraId="19F53941" w14:textId="77777777" w:rsidR="00614DC4" w:rsidRPr="00167AD4" w:rsidRDefault="00491877" w:rsidP="004101A9">
            <w:pPr>
              <w:pStyle w:val="cuadroCabe"/>
              <w:jc w:val="right"/>
            </w:pPr>
            <w:r w:rsidRPr="00167AD4">
              <w:t>2022</w:t>
            </w:r>
          </w:p>
        </w:tc>
        <w:tc>
          <w:tcPr>
            <w:tcW w:w="578" w:type="pct"/>
            <w:tcBorders>
              <w:top w:val="single" w:sz="2" w:space="0" w:color="auto"/>
              <w:left w:val="nil"/>
              <w:bottom w:val="single" w:sz="2" w:space="0" w:color="auto"/>
              <w:right w:val="single" w:sz="2" w:space="0" w:color="auto"/>
            </w:tcBorders>
            <w:shd w:val="clear" w:color="auto" w:fill="8DB3E2"/>
            <w:vAlign w:val="center"/>
            <w:hideMark/>
          </w:tcPr>
          <w:p w14:paraId="6FA222CA" w14:textId="77777777" w:rsidR="00614DC4" w:rsidRPr="00167AD4" w:rsidRDefault="00491877" w:rsidP="004101A9">
            <w:pPr>
              <w:pStyle w:val="cuadroCabe"/>
              <w:jc w:val="right"/>
            </w:pPr>
            <w:r w:rsidRPr="00167AD4">
              <w:t>2023</w:t>
            </w:r>
          </w:p>
        </w:tc>
        <w:tc>
          <w:tcPr>
            <w:tcW w:w="451" w:type="pct"/>
            <w:tcBorders>
              <w:top w:val="single" w:sz="2" w:space="0" w:color="auto"/>
              <w:left w:val="nil"/>
              <w:bottom w:val="single" w:sz="2" w:space="0" w:color="auto"/>
              <w:right w:val="nil"/>
            </w:tcBorders>
            <w:shd w:val="clear" w:color="auto" w:fill="8DB3E2"/>
            <w:vAlign w:val="center"/>
            <w:hideMark/>
          </w:tcPr>
          <w:p w14:paraId="3A1D97B8" w14:textId="77777777" w:rsidR="00614DC4" w:rsidRPr="00167AD4" w:rsidRDefault="00491877" w:rsidP="004101A9">
            <w:pPr>
              <w:pStyle w:val="cuadroCabe"/>
              <w:jc w:val="right"/>
            </w:pPr>
            <w:r w:rsidRPr="00167AD4">
              <w:t>2022</w:t>
            </w:r>
          </w:p>
        </w:tc>
        <w:tc>
          <w:tcPr>
            <w:tcW w:w="557" w:type="pct"/>
            <w:tcBorders>
              <w:top w:val="single" w:sz="2" w:space="0" w:color="auto"/>
              <w:left w:val="nil"/>
              <w:bottom w:val="single" w:sz="2" w:space="0" w:color="auto"/>
              <w:right w:val="single" w:sz="2" w:space="0" w:color="auto"/>
            </w:tcBorders>
            <w:shd w:val="clear" w:color="auto" w:fill="8DB3E2"/>
            <w:vAlign w:val="center"/>
            <w:hideMark/>
          </w:tcPr>
          <w:p w14:paraId="1C523CE5" w14:textId="77777777" w:rsidR="00614DC4" w:rsidRPr="00167AD4" w:rsidRDefault="00491877" w:rsidP="004101A9">
            <w:pPr>
              <w:pStyle w:val="cuadroCabe"/>
              <w:jc w:val="right"/>
            </w:pPr>
            <w:r w:rsidRPr="00167AD4">
              <w:t>2023</w:t>
            </w:r>
          </w:p>
        </w:tc>
      </w:tr>
      <w:tr w:rsidR="00491877" w:rsidRPr="00167AD4" w14:paraId="69E35679" w14:textId="77777777" w:rsidTr="00182B19">
        <w:trPr>
          <w:trHeight w:val="198"/>
          <w:jc w:val="center"/>
        </w:trPr>
        <w:tc>
          <w:tcPr>
            <w:tcW w:w="743" w:type="pct"/>
            <w:tcBorders>
              <w:top w:val="single" w:sz="2" w:space="0" w:color="auto"/>
              <w:left w:val="nil"/>
              <w:bottom w:val="single" w:sz="2" w:space="0" w:color="auto"/>
              <w:right w:val="nil"/>
            </w:tcBorders>
            <w:vAlign w:val="center"/>
            <w:hideMark/>
          </w:tcPr>
          <w:p w14:paraId="30507806" w14:textId="77777777" w:rsidR="00491877" w:rsidRPr="00167AD4" w:rsidRDefault="00491877" w:rsidP="00491877">
            <w:pPr>
              <w:pStyle w:val="cuatexto"/>
            </w:pPr>
            <w:r w:rsidRPr="00167AD4">
              <w:t>Cubiertas</w:t>
            </w:r>
          </w:p>
        </w:tc>
        <w:tc>
          <w:tcPr>
            <w:tcW w:w="524" w:type="pct"/>
            <w:tcBorders>
              <w:top w:val="single" w:sz="2" w:space="0" w:color="auto"/>
              <w:left w:val="nil"/>
              <w:bottom w:val="single" w:sz="2" w:space="0" w:color="auto"/>
              <w:right w:val="single" w:sz="2" w:space="0" w:color="auto"/>
            </w:tcBorders>
            <w:vAlign w:val="center"/>
          </w:tcPr>
          <w:p w14:paraId="1A193CD3" w14:textId="77777777" w:rsidR="00491877" w:rsidRPr="00167AD4" w:rsidRDefault="00491877" w:rsidP="00491877">
            <w:pPr>
              <w:pStyle w:val="cuatexto"/>
              <w:jc w:val="right"/>
            </w:pPr>
            <w:r w:rsidRPr="00167AD4">
              <w:t>4.484</w:t>
            </w:r>
          </w:p>
        </w:tc>
        <w:tc>
          <w:tcPr>
            <w:tcW w:w="558" w:type="pct"/>
            <w:tcBorders>
              <w:top w:val="single" w:sz="2" w:space="0" w:color="auto"/>
              <w:left w:val="nil"/>
              <w:bottom w:val="single" w:sz="2" w:space="0" w:color="auto"/>
              <w:right w:val="single" w:sz="2" w:space="0" w:color="auto"/>
            </w:tcBorders>
            <w:vAlign w:val="center"/>
          </w:tcPr>
          <w:p w14:paraId="553F186F" w14:textId="77777777" w:rsidR="00491877" w:rsidRPr="00167AD4" w:rsidRDefault="00AA4957" w:rsidP="00491877">
            <w:pPr>
              <w:pStyle w:val="cuatexto"/>
              <w:jc w:val="right"/>
            </w:pPr>
            <w:r w:rsidRPr="00167AD4">
              <w:t>4.758</w:t>
            </w:r>
          </w:p>
        </w:tc>
        <w:tc>
          <w:tcPr>
            <w:tcW w:w="474" w:type="pct"/>
            <w:tcBorders>
              <w:top w:val="single" w:sz="2" w:space="0" w:color="auto"/>
              <w:left w:val="nil"/>
              <w:bottom w:val="single" w:sz="2" w:space="0" w:color="auto"/>
              <w:right w:val="single" w:sz="2" w:space="0" w:color="auto"/>
            </w:tcBorders>
            <w:vAlign w:val="center"/>
          </w:tcPr>
          <w:p w14:paraId="7099337C" w14:textId="77777777" w:rsidR="00491877" w:rsidRPr="00167AD4" w:rsidRDefault="00491877" w:rsidP="00491877">
            <w:pPr>
              <w:pStyle w:val="cuatexto"/>
              <w:jc w:val="right"/>
            </w:pPr>
            <w:r w:rsidRPr="00167AD4">
              <w:t>6.158</w:t>
            </w:r>
          </w:p>
        </w:tc>
        <w:tc>
          <w:tcPr>
            <w:tcW w:w="609" w:type="pct"/>
            <w:tcBorders>
              <w:top w:val="single" w:sz="2" w:space="0" w:color="auto"/>
              <w:left w:val="nil"/>
              <w:bottom w:val="single" w:sz="2" w:space="0" w:color="auto"/>
              <w:right w:val="single" w:sz="2" w:space="0" w:color="auto"/>
            </w:tcBorders>
            <w:vAlign w:val="center"/>
          </w:tcPr>
          <w:p w14:paraId="40592218" w14:textId="77777777" w:rsidR="00491877" w:rsidRPr="00167AD4" w:rsidRDefault="00AA4957" w:rsidP="00491877">
            <w:pPr>
              <w:pStyle w:val="cuatexto"/>
              <w:jc w:val="right"/>
            </w:pPr>
            <w:r w:rsidRPr="00167AD4">
              <w:t>6.475</w:t>
            </w:r>
          </w:p>
        </w:tc>
        <w:tc>
          <w:tcPr>
            <w:tcW w:w="505" w:type="pct"/>
            <w:tcBorders>
              <w:top w:val="single" w:sz="2" w:space="0" w:color="auto"/>
              <w:left w:val="nil"/>
              <w:bottom w:val="single" w:sz="2" w:space="0" w:color="auto"/>
              <w:right w:val="single" w:sz="2" w:space="0" w:color="auto"/>
            </w:tcBorders>
            <w:vAlign w:val="center"/>
          </w:tcPr>
          <w:p w14:paraId="367DCAE9" w14:textId="77777777" w:rsidR="00491877" w:rsidRPr="00167AD4" w:rsidRDefault="00491877" w:rsidP="00491877">
            <w:pPr>
              <w:pStyle w:val="cuatexto"/>
              <w:jc w:val="right"/>
            </w:pPr>
            <w:r w:rsidRPr="00167AD4">
              <w:t>6.156</w:t>
            </w:r>
          </w:p>
        </w:tc>
        <w:tc>
          <w:tcPr>
            <w:tcW w:w="578" w:type="pct"/>
            <w:tcBorders>
              <w:top w:val="single" w:sz="2" w:space="0" w:color="auto"/>
              <w:left w:val="nil"/>
              <w:bottom w:val="single" w:sz="2" w:space="0" w:color="auto"/>
              <w:right w:val="single" w:sz="2" w:space="0" w:color="auto"/>
            </w:tcBorders>
            <w:vAlign w:val="center"/>
          </w:tcPr>
          <w:p w14:paraId="12DE1E78" w14:textId="77777777" w:rsidR="00491877" w:rsidRPr="00167AD4" w:rsidRDefault="00AA4957" w:rsidP="00491877">
            <w:pPr>
              <w:pStyle w:val="cuatexto"/>
              <w:jc w:val="right"/>
            </w:pPr>
            <w:r w:rsidRPr="00167AD4">
              <w:t>7.311</w:t>
            </w:r>
          </w:p>
        </w:tc>
        <w:tc>
          <w:tcPr>
            <w:tcW w:w="451" w:type="pct"/>
            <w:tcBorders>
              <w:top w:val="single" w:sz="2" w:space="0" w:color="auto"/>
              <w:left w:val="nil"/>
              <w:bottom w:val="single" w:sz="2" w:space="0" w:color="auto"/>
              <w:right w:val="nil"/>
            </w:tcBorders>
            <w:vAlign w:val="center"/>
          </w:tcPr>
          <w:p w14:paraId="6E43A28E" w14:textId="77777777" w:rsidR="00491877" w:rsidRPr="00167AD4" w:rsidRDefault="00491877" w:rsidP="00491877">
            <w:pPr>
              <w:pStyle w:val="cuatexto"/>
              <w:jc w:val="right"/>
            </w:pPr>
            <w:r w:rsidRPr="00167AD4">
              <w:t>16.798</w:t>
            </w:r>
          </w:p>
        </w:tc>
        <w:tc>
          <w:tcPr>
            <w:tcW w:w="557" w:type="pct"/>
            <w:tcBorders>
              <w:top w:val="single" w:sz="2" w:space="0" w:color="auto"/>
              <w:left w:val="nil"/>
              <w:bottom w:val="single" w:sz="2" w:space="0" w:color="auto"/>
              <w:right w:val="nil"/>
            </w:tcBorders>
            <w:vAlign w:val="center"/>
          </w:tcPr>
          <w:p w14:paraId="33C00DEF" w14:textId="77777777" w:rsidR="00491877" w:rsidRPr="0067536B" w:rsidRDefault="00AA4957" w:rsidP="00491877">
            <w:pPr>
              <w:pStyle w:val="cuatexto"/>
              <w:jc w:val="right"/>
            </w:pPr>
            <w:r w:rsidRPr="0067536B">
              <w:t>18.544</w:t>
            </w:r>
          </w:p>
        </w:tc>
      </w:tr>
      <w:tr w:rsidR="00491877" w:rsidRPr="00167AD4" w14:paraId="209554EB" w14:textId="77777777" w:rsidTr="00182B19">
        <w:trPr>
          <w:trHeight w:val="198"/>
          <w:jc w:val="center"/>
        </w:trPr>
        <w:tc>
          <w:tcPr>
            <w:tcW w:w="743" w:type="pct"/>
            <w:tcBorders>
              <w:top w:val="single" w:sz="2" w:space="0" w:color="auto"/>
              <w:left w:val="nil"/>
              <w:bottom w:val="single" w:sz="4" w:space="0" w:color="auto"/>
              <w:right w:val="nil"/>
            </w:tcBorders>
            <w:vAlign w:val="center"/>
            <w:hideMark/>
          </w:tcPr>
          <w:p w14:paraId="51795931" w14:textId="77777777" w:rsidR="00491877" w:rsidRPr="00167AD4" w:rsidRDefault="00491877" w:rsidP="00491877">
            <w:pPr>
              <w:pStyle w:val="cuatexto"/>
            </w:pPr>
            <w:r w:rsidRPr="00167AD4">
              <w:t xml:space="preserve">Vacantes </w:t>
            </w:r>
          </w:p>
        </w:tc>
        <w:tc>
          <w:tcPr>
            <w:tcW w:w="524" w:type="pct"/>
            <w:tcBorders>
              <w:top w:val="single" w:sz="2" w:space="0" w:color="auto"/>
              <w:left w:val="nil"/>
              <w:bottom w:val="single" w:sz="4" w:space="0" w:color="auto"/>
              <w:right w:val="single" w:sz="2" w:space="0" w:color="auto"/>
            </w:tcBorders>
            <w:vAlign w:val="center"/>
          </w:tcPr>
          <w:p w14:paraId="375F8298" w14:textId="77777777" w:rsidR="00491877" w:rsidRPr="00167AD4" w:rsidRDefault="00491877" w:rsidP="00491877">
            <w:pPr>
              <w:pStyle w:val="cuatexto"/>
              <w:jc w:val="right"/>
            </w:pPr>
            <w:r w:rsidRPr="00167AD4">
              <w:t>2.588</w:t>
            </w:r>
          </w:p>
        </w:tc>
        <w:tc>
          <w:tcPr>
            <w:tcW w:w="558" w:type="pct"/>
            <w:tcBorders>
              <w:top w:val="single" w:sz="2" w:space="0" w:color="auto"/>
              <w:left w:val="nil"/>
              <w:bottom w:val="single" w:sz="4" w:space="0" w:color="auto"/>
              <w:right w:val="single" w:sz="2" w:space="0" w:color="auto"/>
            </w:tcBorders>
            <w:vAlign w:val="center"/>
          </w:tcPr>
          <w:p w14:paraId="6621DA3B" w14:textId="77777777" w:rsidR="00491877" w:rsidRPr="00167AD4" w:rsidRDefault="00AA4957" w:rsidP="00491877">
            <w:pPr>
              <w:pStyle w:val="cuatexto"/>
              <w:jc w:val="right"/>
            </w:pPr>
            <w:r w:rsidRPr="00167AD4">
              <w:t>2.460</w:t>
            </w:r>
          </w:p>
        </w:tc>
        <w:tc>
          <w:tcPr>
            <w:tcW w:w="474" w:type="pct"/>
            <w:tcBorders>
              <w:top w:val="single" w:sz="2" w:space="0" w:color="auto"/>
              <w:left w:val="nil"/>
              <w:bottom w:val="single" w:sz="4" w:space="0" w:color="auto"/>
              <w:right w:val="single" w:sz="2" w:space="0" w:color="auto"/>
            </w:tcBorders>
            <w:vAlign w:val="center"/>
          </w:tcPr>
          <w:p w14:paraId="3BBE018B" w14:textId="77777777" w:rsidR="00491877" w:rsidRPr="00167AD4" w:rsidRDefault="00491877" w:rsidP="00491877">
            <w:pPr>
              <w:pStyle w:val="cuatexto"/>
              <w:jc w:val="right"/>
            </w:pPr>
            <w:r w:rsidRPr="00167AD4">
              <w:t>2.617</w:t>
            </w:r>
          </w:p>
        </w:tc>
        <w:tc>
          <w:tcPr>
            <w:tcW w:w="609" w:type="pct"/>
            <w:tcBorders>
              <w:top w:val="single" w:sz="2" w:space="0" w:color="auto"/>
              <w:left w:val="nil"/>
              <w:bottom w:val="single" w:sz="4" w:space="0" w:color="auto"/>
              <w:right w:val="single" w:sz="2" w:space="0" w:color="auto"/>
            </w:tcBorders>
            <w:vAlign w:val="center"/>
          </w:tcPr>
          <w:p w14:paraId="034E11DC" w14:textId="77777777" w:rsidR="00491877" w:rsidRPr="00167AD4" w:rsidRDefault="00AA4957" w:rsidP="00491877">
            <w:pPr>
              <w:pStyle w:val="cuatexto"/>
              <w:jc w:val="right"/>
            </w:pPr>
            <w:r w:rsidRPr="00167AD4">
              <w:t>2.396</w:t>
            </w:r>
          </w:p>
        </w:tc>
        <w:tc>
          <w:tcPr>
            <w:tcW w:w="505" w:type="pct"/>
            <w:tcBorders>
              <w:top w:val="single" w:sz="2" w:space="0" w:color="auto"/>
              <w:left w:val="nil"/>
              <w:bottom w:val="single" w:sz="4" w:space="0" w:color="auto"/>
              <w:right w:val="single" w:sz="2" w:space="0" w:color="auto"/>
            </w:tcBorders>
            <w:vAlign w:val="center"/>
          </w:tcPr>
          <w:p w14:paraId="650FC8A9" w14:textId="77777777" w:rsidR="00491877" w:rsidRPr="00167AD4" w:rsidRDefault="00491877" w:rsidP="00491877">
            <w:pPr>
              <w:pStyle w:val="cuatexto"/>
              <w:jc w:val="right"/>
            </w:pPr>
            <w:r w:rsidRPr="00167AD4">
              <w:t>3.857</w:t>
            </w:r>
          </w:p>
        </w:tc>
        <w:tc>
          <w:tcPr>
            <w:tcW w:w="578" w:type="pct"/>
            <w:tcBorders>
              <w:top w:val="single" w:sz="2" w:space="0" w:color="auto"/>
              <w:left w:val="nil"/>
              <w:bottom w:val="single" w:sz="4" w:space="0" w:color="auto"/>
              <w:right w:val="single" w:sz="2" w:space="0" w:color="auto"/>
            </w:tcBorders>
            <w:vAlign w:val="center"/>
          </w:tcPr>
          <w:p w14:paraId="2991EDE4" w14:textId="77777777" w:rsidR="00491877" w:rsidRPr="00167AD4" w:rsidRDefault="00AA4957" w:rsidP="00491877">
            <w:pPr>
              <w:pStyle w:val="cuatexto"/>
              <w:jc w:val="right"/>
            </w:pPr>
            <w:r w:rsidRPr="00167AD4">
              <w:t>2.701</w:t>
            </w:r>
          </w:p>
        </w:tc>
        <w:tc>
          <w:tcPr>
            <w:tcW w:w="451" w:type="pct"/>
            <w:tcBorders>
              <w:top w:val="single" w:sz="2" w:space="0" w:color="auto"/>
              <w:left w:val="nil"/>
              <w:bottom w:val="single" w:sz="4" w:space="0" w:color="auto"/>
              <w:right w:val="nil"/>
            </w:tcBorders>
            <w:vAlign w:val="center"/>
          </w:tcPr>
          <w:p w14:paraId="5E5FFCEC" w14:textId="77777777" w:rsidR="00491877" w:rsidRPr="00167AD4" w:rsidRDefault="00491877" w:rsidP="00491877">
            <w:pPr>
              <w:pStyle w:val="cuatexto"/>
              <w:jc w:val="right"/>
            </w:pPr>
            <w:r w:rsidRPr="00167AD4">
              <w:t>9.062</w:t>
            </w:r>
          </w:p>
        </w:tc>
        <w:tc>
          <w:tcPr>
            <w:tcW w:w="557" w:type="pct"/>
            <w:tcBorders>
              <w:top w:val="single" w:sz="2" w:space="0" w:color="auto"/>
              <w:left w:val="nil"/>
              <w:bottom w:val="single" w:sz="4" w:space="0" w:color="auto"/>
              <w:right w:val="nil"/>
            </w:tcBorders>
            <w:vAlign w:val="center"/>
          </w:tcPr>
          <w:p w14:paraId="2376D34F" w14:textId="77777777" w:rsidR="00491877" w:rsidRPr="0067536B" w:rsidRDefault="00AA4957" w:rsidP="00491877">
            <w:pPr>
              <w:pStyle w:val="cuatexto"/>
              <w:jc w:val="right"/>
            </w:pPr>
            <w:r w:rsidRPr="0067536B">
              <w:t>7.5</w:t>
            </w:r>
            <w:r w:rsidR="00E91178" w:rsidRPr="0067536B">
              <w:t>5</w:t>
            </w:r>
            <w:r w:rsidRPr="0067536B">
              <w:t>7</w:t>
            </w:r>
          </w:p>
        </w:tc>
      </w:tr>
      <w:tr w:rsidR="00491877" w:rsidRPr="00167AD4" w14:paraId="3FE70539" w14:textId="77777777" w:rsidTr="002559B3">
        <w:trPr>
          <w:trHeight w:val="255"/>
          <w:jc w:val="center"/>
        </w:trPr>
        <w:tc>
          <w:tcPr>
            <w:tcW w:w="743" w:type="pct"/>
            <w:tcBorders>
              <w:top w:val="single" w:sz="4" w:space="0" w:color="auto"/>
              <w:left w:val="nil"/>
              <w:bottom w:val="single" w:sz="4" w:space="0" w:color="auto"/>
              <w:right w:val="nil"/>
            </w:tcBorders>
            <w:shd w:val="clear" w:color="auto" w:fill="8DB3E2"/>
            <w:vAlign w:val="center"/>
            <w:hideMark/>
          </w:tcPr>
          <w:p w14:paraId="1BE77F55" w14:textId="77777777" w:rsidR="00491877" w:rsidRPr="00167AD4" w:rsidRDefault="00491877" w:rsidP="00491877">
            <w:pPr>
              <w:pStyle w:val="cuadroCabe"/>
            </w:pPr>
            <w:r w:rsidRPr="00167AD4">
              <w:t>Total plazas</w:t>
            </w:r>
          </w:p>
        </w:tc>
        <w:tc>
          <w:tcPr>
            <w:tcW w:w="524" w:type="pct"/>
            <w:tcBorders>
              <w:top w:val="single" w:sz="4" w:space="0" w:color="auto"/>
              <w:left w:val="nil"/>
              <w:bottom w:val="single" w:sz="4" w:space="0" w:color="auto"/>
              <w:right w:val="single" w:sz="2" w:space="0" w:color="auto"/>
            </w:tcBorders>
            <w:shd w:val="clear" w:color="auto" w:fill="8DB3E2"/>
            <w:vAlign w:val="center"/>
          </w:tcPr>
          <w:p w14:paraId="1B0CB00E" w14:textId="77777777" w:rsidR="00491877" w:rsidRPr="00167AD4" w:rsidRDefault="00491877" w:rsidP="00491877">
            <w:pPr>
              <w:pStyle w:val="cuadroCabe"/>
              <w:jc w:val="right"/>
            </w:pPr>
            <w:r w:rsidRPr="00167AD4">
              <w:t>7.072</w:t>
            </w:r>
          </w:p>
        </w:tc>
        <w:tc>
          <w:tcPr>
            <w:tcW w:w="558" w:type="pct"/>
            <w:tcBorders>
              <w:top w:val="single" w:sz="4" w:space="0" w:color="auto"/>
              <w:left w:val="nil"/>
              <w:bottom w:val="single" w:sz="4" w:space="0" w:color="auto"/>
              <w:right w:val="single" w:sz="2" w:space="0" w:color="auto"/>
            </w:tcBorders>
            <w:shd w:val="clear" w:color="auto" w:fill="8DB3E2"/>
            <w:vAlign w:val="center"/>
          </w:tcPr>
          <w:p w14:paraId="50CACA33" w14:textId="77777777" w:rsidR="00491877" w:rsidRPr="00167AD4" w:rsidRDefault="00AA4957" w:rsidP="00491877">
            <w:pPr>
              <w:pStyle w:val="cuadroCabe"/>
              <w:jc w:val="right"/>
            </w:pPr>
            <w:r w:rsidRPr="00167AD4">
              <w:t>7.218</w:t>
            </w:r>
          </w:p>
        </w:tc>
        <w:tc>
          <w:tcPr>
            <w:tcW w:w="474" w:type="pct"/>
            <w:tcBorders>
              <w:top w:val="single" w:sz="4" w:space="0" w:color="auto"/>
              <w:left w:val="nil"/>
              <w:bottom w:val="single" w:sz="4" w:space="0" w:color="auto"/>
              <w:right w:val="single" w:sz="2" w:space="0" w:color="auto"/>
            </w:tcBorders>
            <w:shd w:val="clear" w:color="auto" w:fill="8DB3E2"/>
            <w:vAlign w:val="center"/>
          </w:tcPr>
          <w:p w14:paraId="0EBBDA73" w14:textId="77777777" w:rsidR="00491877" w:rsidRPr="00167AD4" w:rsidRDefault="00491877" w:rsidP="00491877">
            <w:pPr>
              <w:pStyle w:val="cuadroCabe"/>
              <w:jc w:val="right"/>
            </w:pPr>
            <w:r w:rsidRPr="00167AD4">
              <w:t>8.775</w:t>
            </w:r>
          </w:p>
        </w:tc>
        <w:tc>
          <w:tcPr>
            <w:tcW w:w="609" w:type="pct"/>
            <w:tcBorders>
              <w:top w:val="single" w:sz="4" w:space="0" w:color="auto"/>
              <w:left w:val="nil"/>
              <w:bottom w:val="single" w:sz="4" w:space="0" w:color="auto"/>
              <w:right w:val="single" w:sz="2" w:space="0" w:color="auto"/>
            </w:tcBorders>
            <w:shd w:val="clear" w:color="auto" w:fill="8DB3E2"/>
            <w:vAlign w:val="center"/>
          </w:tcPr>
          <w:p w14:paraId="57B83209" w14:textId="77777777" w:rsidR="00491877" w:rsidRPr="00167AD4" w:rsidRDefault="00AA4957" w:rsidP="00491877">
            <w:pPr>
              <w:pStyle w:val="cuadroCabe"/>
              <w:jc w:val="right"/>
            </w:pPr>
            <w:r w:rsidRPr="00167AD4">
              <w:t>8.871</w:t>
            </w:r>
          </w:p>
        </w:tc>
        <w:tc>
          <w:tcPr>
            <w:tcW w:w="505" w:type="pct"/>
            <w:tcBorders>
              <w:top w:val="single" w:sz="4" w:space="0" w:color="auto"/>
              <w:left w:val="nil"/>
              <w:bottom w:val="single" w:sz="4" w:space="0" w:color="auto"/>
              <w:right w:val="single" w:sz="2" w:space="0" w:color="auto"/>
            </w:tcBorders>
            <w:shd w:val="clear" w:color="auto" w:fill="8DB3E2"/>
            <w:vAlign w:val="center"/>
          </w:tcPr>
          <w:p w14:paraId="50646F51" w14:textId="77777777" w:rsidR="00491877" w:rsidRPr="00167AD4" w:rsidRDefault="00491877" w:rsidP="00491877">
            <w:pPr>
              <w:pStyle w:val="cuadroCabe"/>
              <w:jc w:val="right"/>
            </w:pPr>
            <w:r w:rsidRPr="00167AD4">
              <w:t>10.013</w:t>
            </w:r>
          </w:p>
        </w:tc>
        <w:tc>
          <w:tcPr>
            <w:tcW w:w="578" w:type="pct"/>
            <w:tcBorders>
              <w:top w:val="single" w:sz="4" w:space="0" w:color="auto"/>
              <w:left w:val="nil"/>
              <w:bottom w:val="single" w:sz="4" w:space="0" w:color="auto"/>
              <w:right w:val="single" w:sz="2" w:space="0" w:color="auto"/>
            </w:tcBorders>
            <w:shd w:val="clear" w:color="auto" w:fill="8DB3E2"/>
            <w:vAlign w:val="center"/>
          </w:tcPr>
          <w:p w14:paraId="380F4D6B" w14:textId="77777777" w:rsidR="00491877" w:rsidRPr="00167AD4" w:rsidRDefault="00AA4957" w:rsidP="00491877">
            <w:pPr>
              <w:pStyle w:val="cuadroCabe"/>
              <w:jc w:val="right"/>
            </w:pPr>
            <w:r w:rsidRPr="00167AD4">
              <w:t>10.012</w:t>
            </w:r>
          </w:p>
        </w:tc>
        <w:tc>
          <w:tcPr>
            <w:tcW w:w="451" w:type="pct"/>
            <w:tcBorders>
              <w:top w:val="single" w:sz="4" w:space="0" w:color="auto"/>
              <w:left w:val="nil"/>
              <w:bottom w:val="single" w:sz="4" w:space="0" w:color="auto"/>
              <w:right w:val="nil"/>
            </w:tcBorders>
            <w:shd w:val="clear" w:color="auto" w:fill="8DB3E2"/>
            <w:vAlign w:val="center"/>
          </w:tcPr>
          <w:p w14:paraId="3E19D74A" w14:textId="77777777" w:rsidR="00491877" w:rsidRPr="00167AD4" w:rsidRDefault="00491877" w:rsidP="00491877">
            <w:pPr>
              <w:pStyle w:val="cuadroCabe"/>
              <w:jc w:val="right"/>
            </w:pPr>
            <w:r w:rsidRPr="00167AD4">
              <w:t>25.860</w:t>
            </w:r>
          </w:p>
        </w:tc>
        <w:tc>
          <w:tcPr>
            <w:tcW w:w="557" w:type="pct"/>
            <w:tcBorders>
              <w:top w:val="single" w:sz="4" w:space="0" w:color="auto"/>
              <w:left w:val="nil"/>
              <w:bottom w:val="single" w:sz="4" w:space="0" w:color="auto"/>
              <w:right w:val="nil"/>
            </w:tcBorders>
            <w:shd w:val="clear" w:color="auto" w:fill="8DB3E2"/>
            <w:vAlign w:val="center"/>
          </w:tcPr>
          <w:p w14:paraId="00650E6C" w14:textId="77777777" w:rsidR="00491877" w:rsidRPr="00167AD4" w:rsidRDefault="00AA4957" w:rsidP="00491877">
            <w:pPr>
              <w:pStyle w:val="cuadroCabe"/>
              <w:jc w:val="right"/>
            </w:pPr>
            <w:r w:rsidRPr="00167AD4">
              <w:t>26.101</w:t>
            </w:r>
          </w:p>
        </w:tc>
      </w:tr>
    </w:tbl>
    <w:p w14:paraId="1CC03A32" w14:textId="77777777" w:rsidR="00426AC6" w:rsidRDefault="003301E9" w:rsidP="002D15F8">
      <w:pPr>
        <w:pStyle w:val="texto"/>
        <w:spacing w:before="240"/>
        <w:jc w:val="both"/>
      </w:pPr>
      <w:r w:rsidRPr="003301E9">
        <w:t>El 38</w:t>
      </w:r>
      <w:r w:rsidR="00614DC4" w:rsidRPr="003301E9">
        <w:t xml:space="preserve"> por ciento de las plazas corresponde al SNS-O, un 34 por ciento a Educación y el 2</w:t>
      </w:r>
      <w:r w:rsidRPr="003301E9">
        <w:t>8</w:t>
      </w:r>
      <w:r w:rsidR="00614DC4" w:rsidRPr="003301E9">
        <w:t xml:space="preserve"> por ciento restante a la Administración N</w:t>
      </w:r>
      <w:r w:rsidRPr="003301E9">
        <w:t>úcleo</w:t>
      </w:r>
      <w:r>
        <w:rPr>
          <w:color w:val="FF0000"/>
        </w:rPr>
        <w:t xml:space="preserve">. </w:t>
      </w:r>
      <w:r w:rsidRPr="00426AC6">
        <w:t>Del total de plazas, el 71 por ciento está cubierto y el 29</w:t>
      </w:r>
      <w:r w:rsidR="00614DC4" w:rsidRPr="00426AC6">
        <w:t xml:space="preserve"> por ciento vacante. </w:t>
      </w:r>
      <w:r w:rsidR="00426AC6">
        <w:t xml:space="preserve">Destacamos la variación de estos porcentajes respecto al ejercicio anterior, que eran del 65 y 35 por ciento respectivamente. </w:t>
      </w:r>
    </w:p>
    <w:p w14:paraId="158553E7" w14:textId="77777777" w:rsidR="00614DC4" w:rsidRPr="00AB1E56" w:rsidRDefault="00614DC4" w:rsidP="005F5001">
      <w:pPr>
        <w:pStyle w:val="texto"/>
        <w:spacing w:before="120" w:after="240"/>
        <w:jc w:val="both"/>
      </w:pPr>
      <w:r w:rsidRPr="00AB1E56">
        <w:t>La distribución de las plazas cubiertas por tipología en 202</w:t>
      </w:r>
      <w:r w:rsidR="007748D4" w:rsidRPr="00AB1E56">
        <w:t>2</w:t>
      </w:r>
      <w:r w:rsidRPr="00AB1E56">
        <w:t xml:space="preserve"> y 202</w:t>
      </w:r>
      <w:r w:rsidR="007748D4" w:rsidRPr="00AB1E56">
        <w:t>3</w:t>
      </w:r>
      <w:r w:rsidRPr="00AB1E56">
        <w:t xml:space="preserve"> es la siguiente:</w:t>
      </w:r>
    </w:p>
    <w:tbl>
      <w:tblPr>
        <w:tblW w:w="5000" w:type="pct"/>
        <w:jc w:val="center"/>
        <w:tblCellMar>
          <w:top w:w="10" w:type="dxa"/>
          <w:left w:w="10" w:type="dxa"/>
          <w:bottom w:w="10" w:type="dxa"/>
          <w:right w:w="10" w:type="dxa"/>
        </w:tblCellMar>
        <w:tblLook w:val="04A0" w:firstRow="1" w:lastRow="0" w:firstColumn="1" w:lastColumn="0" w:noHBand="0" w:noVBand="1"/>
      </w:tblPr>
      <w:tblGrid>
        <w:gridCol w:w="3000"/>
        <w:gridCol w:w="2647"/>
        <w:gridCol w:w="1440"/>
        <w:gridCol w:w="1702"/>
      </w:tblGrid>
      <w:tr w:rsidR="00491877" w:rsidRPr="00AB1E56" w14:paraId="152E12AA" w14:textId="77777777" w:rsidTr="00182B19">
        <w:trPr>
          <w:trHeight w:val="255"/>
          <w:jc w:val="center"/>
        </w:trPr>
        <w:tc>
          <w:tcPr>
            <w:tcW w:w="3213" w:type="pct"/>
            <w:gridSpan w:val="2"/>
            <w:tcBorders>
              <w:top w:val="single" w:sz="4" w:space="0" w:color="auto"/>
              <w:left w:val="nil"/>
              <w:bottom w:val="single" w:sz="2" w:space="0" w:color="auto"/>
              <w:right w:val="nil"/>
            </w:tcBorders>
            <w:shd w:val="clear" w:color="auto" w:fill="8DB3E2"/>
            <w:vAlign w:val="center"/>
            <w:hideMark/>
          </w:tcPr>
          <w:p w14:paraId="36F08030" w14:textId="77777777" w:rsidR="00614DC4" w:rsidRPr="00AB1E56" w:rsidRDefault="00614DC4" w:rsidP="004101A9">
            <w:pPr>
              <w:pStyle w:val="cuadroCabe"/>
            </w:pPr>
            <w:r w:rsidRPr="00AB1E56">
              <w:t>Tipo de plaza cubierta</w:t>
            </w:r>
          </w:p>
        </w:tc>
        <w:tc>
          <w:tcPr>
            <w:tcW w:w="819" w:type="pct"/>
            <w:tcBorders>
              <w:top w:val="single" w:sz="4" w:space="0" w:color="auto"/>
              <w:left w:val="nil"/>
              <w:bottom w:val="single" w:sz="2" w:space="0" w:color="auto"/>
              <w:right w:val="nil"/>
            </w:tcBorders>
            <w:shd w:val="clear" w:color="auto" w:fill="8DB3E2"/>
            <w:vAlign w:val="center"/>
            <w:hideMark/>
          </w:tcPr>
          <w:p w14:paraId="43727EEA" w14:textId="77777777" w:rsidR="00614DC4" w:rsidRPr="00AB1E56" w:rsidRDefault="00614DC4" w:rsidP="00491877">
            <w:pPr>
              <w:pStyle w:val="cuadroCabe"/>
              <w:jc w:val="right"/>
            </w:pPr>
            <w:r w:rsidRPr="00AB1E56">
              <w:t>202</w:t>
            </w:r>
            <w:r w:rsidR="00491877" w:rsidRPr="00AB1E56">
              <w:t>2</w:t>
            </w:r>
          </w:p>
        </w:tc>
        <w:tc>
          <w:tcPr>
            <w:tcW w:w="968" w:type="pct"/>
            <w:tcBorders>
              <w:top w:val="single" w:sz="4" w:space="0" w:color="auto"/>
              <w:left w:val="nil"/>
              <w:bottom w:val="single" w:sz="2" w:space="0" w:color="auto"/>
              <w:right w:val="nil"/>
            </w:tcBorders>
            <w:shd w:val="clear" w:color="auto" w:fill="8DB3E2"/>
            <w:vAlign w:val="center"/>
            <w:hideMark/>
          </w:tcPr>
          <w:p w14:paraId="1A7BA9CE" w14:textId="77777777" w:rsidR="00614DC4" w:rsidRPr="00AB1E56" w:rsidRDefault="00491877" w:rsidP="00491877">
            <w:pPr>
              <w:pStyle w:val="cuadroCabe"/>
              <w:jc w:val="right"/>
            </w:pPr>
            <w:r w:rsidRPr="00AB1E56">
              <w:t>2023</w:t>
            </w:r>
          </w:p>
        </w:tc>
      </w:tr>
      <w:tr w:rsidR="00491877" w:rsidRPr="00AB1E56" w14:paraId="5CB60EEB" w14:textId="77777777" w:rsidTr="00491877">
        <w:trPr>
          <w:trHeight w:val="198"/>
          <w:jc w:val="center"/>
        </w:trPr>
        <w:tc>
          <w:tcPr>
            <w:tcW w:w="1707" w:type="pct"/>
            <w:vMerge w:val="restart"/>
            <w:tcBorders>
              <w:top w:val="single" w:sz="2" w:space="0" w:color="auto"/>
              <w:left w:val="nil"/>
              <w:bottom w:val="single" w:sz="2" w:space="0" w:color="auto"/>
              <w:right w:val="nil"/>
            </w:tcBorders>
            <w:vAlign w:val="center"/>
            <w:hideMark/>
          </w:tcPr>
          <w:p w14:paraId="238EBA88" w14:textId="77777777" w:rsidR="00491877" w:rsidRPr="00AB1E56" w:rsidRDefault="00491877" w:rsidP="00491877">
            <w:pPr>
              <w:pStyle w:val="cuatexto"/>
            </w:pPr>
            <w:r w:rsidRPr="00AB1E56">
              <w:t>Plazas no básicas</w:t>
            </w:r>
          </w:p>
        </w:tc>
        <w:tc>
          <w:tcPr>
            <w:tcW w:w="1506" w:type="pct"/>
            <w:tcBorders>
              <w:top w:val="single" w:sz="2" w:space="0" w:color="auto"/>
              <w:left w:val="nil"/>
              <w:bottom w:val="single" w:sz="2" w:space="0" w:color="auto"/>
              <w:right w:val="nil"/>
            </w:tcBorders>
            <w:vAlign w:val="center"/>
            <w:hideMark/>
          </w:tcPr>
          <w:p w14:paraId="3596C4C8" w14:textId="77777777" w:rsidR="00491877" w:rsidRPr="00AB1E56" w:rsidRDefault="00491877" w:rsidP="00491877">
            <w:pPr>
              <w:pStyle w:val="cuatexto"/>
            </w:pPr>
            <w:r w:rsidRPr="00AB1E56">
              <w:t>Personal eventual</w:t>
            </w:r>
          </w:p>
        </w:tc>
        <w:tc>
          <w:tcPr>
            <w:tcW w:w="819" w:type="pct"/>
            <w:tcBorders>
              <w:top w:val="single" w:sz="2" w:space="0" w:color="auto"/>
              <w:left w:val="nil"/>
              <w:bottom w:val="single" w:sz="2" w:space="0" w:color="auto"/>
              <w:right w:val="nil"/>
            </w:tcBorders>
            <w:vAlign w:val="center"/>
          </w:tcPr>
          <w:p w14:paraId="7407EA2B" w14:textId="77777777" w:rsidR="00491877" w:rsidRPr="00AB1E56" w:rsidRDefault="00491877" w:rsidP="00491877">
            <w:pPr>
              <w:pStyle w:val="cuatexto"/>
              <w:jc w:val="right"/>
              <w:rPr>
                <w:rFonts w:cs="Arial"/>
              </w:rPr>
            </w:pPr>
            <w:r w:rsidRPr="00AB1E56">
              <w:rPr>
                <w:rFonts w:cs="Arial"/>
              </w:rPr>
              <w:t>148</w:t>
            </w:r>
          </w:p>
        </w:tc>
        <w:tc>
          <w:tcPr>
            <w:tcW w:w="968" w:type="pct"/>
            <w:tcBorders>
              <w:top w:val="single" w:sz="2" w:space="0" w:color="auto"/>
              <w:left w:val="nil"/>
              <w:bottom w:val="single" w:sz="2" w:space="0" w:color="auto"/>
              <w:right w:val="nil"/>
            </w:tcBorders>
            <w:vAlign w:val="center"/>
          </w:tcPr>
          <w:p w14:paraId="6EAF78B1" w14:textId="77777777" w:rsidR="00491877" w:rsidRPr="00AB1E56" w:rsidRDefault="003301E9" w:rsidP="00491877">
            <w:pPr>
              <w:pStyle w:val="cuatexto"/>
              <w:jc w:val="right"/>
              <w:rPr>
                <w:rFonts w:cs="Arial"/>
              </w:rPr>
            </w:pPr>
            <w:r w:rsidRPr="00AB1E56">
              <w:rPr>
                <w:rFonts w:cs="Arial"/>
              </w:rPr>
              <w:t>154</w:t>
            </w:r>
          </w:p>
        </w:tc>
      </w:tr>
      <w:tr w:rsidR="00491877" w:rsidRPr="00AB1E56" w14:paraId="20956943" w14:textId="77777777" w:rsidTr="00491877">
        <w:trPr>
          <w:trHeight w:val="198"/>
          <w:jc w:val="center"/>
        </w:trPr>
        <w:tc>
          <w:tcPr>
            <w:tcW w:w="0" w:type="auto"/>
            <w:vMerge/>
            <w:tcBorders>
              <w:top w:val="single" w:sz="2" w:space="0" w:color="auto"/>
              <w:left w:val="nil"/>
              <w:bottom w:val="single" w:sz="2" w:space="0" w:color="auto"/>
              <w:right w:val="nil"/>
            </w:tcBorders>
            <w:vAlign w:val="center"/>
            <w:hideMark/>
          </w:tcPr>
          <w:p w14:paraId="4F672782" w14:textId="77777777" w:rsidR="00491877" w:rsidRPr="00AB1E56" w:rsidRDefault="00491877" w:rsidP="00491877">
            <w:pPr>
              <w:pStyle w:val="cuatexto"/>
            </w:pPr>
          </w:p>
        </w:tc>
        <w:tc>
          <w:tcPr>
            <w:tcW w:w="1506" w:type="pct"/>
            <w:tcBorders>
              <w:top w:val="single" w:sz="2" w:space="0" w:color="auto"/>
              <w:left w:val="nil"/>
              <w:bottom w:val="single" w:sz="2" w:space="0" w:color="auto"/>
              <w:right w:val="nil"/>
            </w:tcBorders>
            <w:vAlign w:val="center"/>
            <w:hideMark/>
          </w:tcPr>
          <w:p w14:paraId="436393C6" w14:textId="77777777" w:rsidR="00491877" w:rsidRPr="00AB1E56" w:rsidRDefault="00491877" w:rsidP="00491877">
            <w:pPr>
              <w:pStyle w:val="cuatexto"/>
            </w:pPr>
            <w:r w:rsidRPr="00AB1E56">
              <w:t>Jefaturas</w:t>
            </w:r>
          </w:p>
        </w:tc>
        <w:tc>
          <w:tcPr>
            <w:tcW w:w="819" w:type="pct"/>
            <w:tcBorders>
              <w:top w:val="single" w:sz="2" w:space="0" w:color="auto"/>
              <w:left w:val="nil"/>
              <w:bottom w:val="single" w:sz="2" w:space="0" w:color="auto"/>
              <w:right w:val="nil"/>
            </w:tcBorders>
            <w:vAlign w:val="center"/>
          </w:tcPr>
          <w:p w14:paraId="5E28DBD5" w14:textId="77777777" w:rsidR="00491877" w:rsidRPr="00AB1E56" w:rsidRDefault="00491877" w:rsidP="00491877">
            <w:pPr>
              <w:pStyle w:val="cuatexto"/>
              <w:jc w:val="right"/>
              <w:rPr>
                <w:rFonts w:cs="Arial"/>
              </w:rPr>
            </w:pPr>
            <w:r w:rsidRPr="00AB1E56">
              <w:rPr>
                <w:rFonts w:cs="Arial"/>
              </w:rPr>
              <w:t>1.543</w:t>
            </w:r>
          </w:p>
        </w:tc>
        <w:tc>
          <w:tcPr>
            <w:tcW w:w="968" w:type="pct"/>
            <w:tcBorders>
              <w:top w:val="single" w:sz="2" w:space="0" w:color="auto"/>
              <w:left w:val="nil"/>
              <w:bottom w:val="single" w:sz="2" w:space="0" w:color="auto"/>
              <w:right w:val="nil"/>
            </w:tcBorders>
            <w:vAlign w:val="center"/>
          </w:tcPr>
          <w:p w14:paraId="60867077" w14:textId="77777777" w:rsidR="00491877" w:rsidRPr="00AB1E56" w:rsidRDefault="003301E9" w:rsidP="00491877">
            <w:pPr>
              <w:pStyle w:val="cuatexto"/>
              <w:jc w:val="right"/>
              <w:rPr>
                <w:rFonts w:cs="Arial"/>
              </w:rPr>
            </w:pPr>
            <w:r w:rsidRPr="00AB1E56">
              <w:rPr>
                <w:rFonts w:cs="Arial"/>
              </w:rPr>
              <w:t>1.561</w:t>
            </w:r>
          </w:p>
        </w:tc>
      </w:tr>
      <w:tr w:rsidR="00491877" w:rsidRPr="00AB1E56" w14:paraId="74399493" w14:textId="77777777" w:rsidTr="00182B19">
        <w:trPr>
          <w:trHeight w:val="198"/>
          <w:jc w:val="center"/>
        </w:trPr>
        <w:tc>
          <w:tcPr>
            <w:tcW w:w="3213" w:type="pct"/>
            <w:gridSpan w:val="2"/>
            <w:tcBorders>
              <w:top w:val="single" w:sz="2" w:space="0" w:color="auto"/>
              <w:left w:val="nil"/>
              <w:bottom w:val="single" w:sz="4" w:space="0" w:color="auto"/>
              <w:right w:val="nil"/>
            </w:tcBorders>
            <w:vAlign w:val="center"/>
            <w:hideMark/>
          </w:tcPr>
          <w:p w14:paraId="1EF3F5A0" w14:textId="77777777" w:rsidR="00491877" w:rsidRPr="00AB1E56" w:rsidRDefault="00491877" w:rsidP="00491877">
            <w:pPr>
              <w:pStyle w:val="cuatexto"/>
            </w:pPr>
            <w:r w:rsidRPr="00AB1E56">
              <w:t xml:space="preserve">Plazas básicas </w:t>
            </w:r>
          </w:p>
        </w:tc>
        <w:tc>
          <w:tcPr>
            <w:tcW w:w="819" w:type="pct"/>
            <w:tcBorders>
              <w:top w:val="single" w:sz="2" w:space="0" w:color="auto"/>
              <w:left w:val="nil"/>
              <w:bottom w:val="single" w:sz="4" w:space="0" w:color="auto"/>
              <w:right w:val="nil"/>
            </w:tcBorders>
            <w:vAlign w:val="center"/>
          </w:tcPr>
          <w:p w14:paraId="1022BD24" w14:textId="77777777" w:rsidR="00491877" w:rsidRPr="00AB1E56" w:rsidRDefault="00491877" w:rsidP="00491877">
            <w:pPr>
              <w:pStyle w:val="cuatexto"/>
              <w:jc w:val="right"/>
              <w:rPr>
                <w:rFonts w:cs="Arial"/>
              </w:rPr>
            </w:pPr>
            <w:r w:rsidRPr="00AB1E56">
              <w:rPr>
                <w:rFonts w:cs="Arial"/>
              </w:rPr>
              <w:t>15.107</w:t>
            </w:r>
          </w:p>
        </w:tc>
        <w:tc>
          <w:tcPr>
            <w:tcW w:w="968" w:type="pct"/>
            <w:tcBorders>
              <w:top w:val="single" w:sz="2" w:space="0" w:color="auto"/>
              <w:left w:val="nil"/>
              <w:bottom w:val="single" w:sz="4" w:space="0" w:color="auto"/>
              <w:right w:val="nil"/>
            </w:tcBorders>
            <w:vAlign w:val="center"/>
          </w:tcPr>
          <w:p w14:paraId="1FBEC288" w14:textId="77777777" w:rsidR="00491877" w:rsidRPr="00AB1E56" w:rsidRDefault="003301E9" w:rsidP="00491877">
            <w:pPr>
              <w:pStyle w:val="cuatexto"/>
              <w:jc w:val="right"/>
              <w:rPr>
                <w:rFonts w:cs="Arial"/>
              </w:rPr>
            </w:pPr>
            <w:r w:rsidRPr="00AB1E56">
              <w:rPr>
                <w:rFonts w:cs="Arial"/>
              </w:rPr>
              <w:t>16.829</w:t>
            </w:r>
          </w:p>
        </w:tc>
      </w:tr>
      <w:tr w:rsidR="00491877" w:rsidRPr="00AB1E56" w14:paraId="7D5BA707" w14:textId="77777777" w:rsidTr="00491877">
        <w:trPr>
          <w:trHeight w:val="255"/>
          <w:jc w:val="center"/>
        </w:trPr>
        <w:tc>
          <w:tcPr>
            <w:tcW w:w="3213" w:type="pct"/>
            <w:gridSpan w:val="2"/>
            <w:tcBorders>
              <w:top w:val="single" w:sz="4" w:space="0" w:color="auto"/>
              <w:left w:val="nil"/>
              <w:bottom w:val="single" w:sz="4" w:space="0" w:color="auto"/>
              <w:right w:val="nil"/>
            </w:tcBorders>
            <w:shd w:val="clear" w:color="auto" w:fill="8DB3E2"/>
            <w:vAlign w:val="center"/>
            <w:hideMark/>
          </w:tcPr>
          <w:p w14:paraId="6005BBF1" w14:textId="77777777" w:rsidR="00491877" w:rsidRPr="00AB1E56" w:rsidRDefault="00491877" w:rsidP="00491877">
            <w:pPr>
              <w:pStyle w:val="cuadroCabe"/>
            </w:pPr>
            <w:r w:rsidRPr="00AB1E56">
              <w:t>Total plazas cubiertas</w:t>
            </w:r>
          </w:p>
        </w:tc>
        <w:tc>
          <w:tcPr>
            <w:tcW w:w="819" w:type="pct"/>
            <w:tcBorders>
              <w:top w:val="single" w:sz="4" w:space="0" w:color="auto"/>
              <w:left w:val="nil"/>
              <w:bottom w:val="single" w:sz="4" w:space="0" w:color="auto"/>
              <w:right w:val="nil"/>
            </w:tcBorders>
            <w:shd w:val="clear" w:color="auto" w:fill="8DB3E2"/>
            <w:vAlign w:val="center"/>
          </w:tcPr>
          <w:p w14:paraId="57080629" w14:textId="77777777" w:rsidR="00491877" w:rsidRPr="00AB1E56" w:rsidRDefault="00491877" w:rsidP="00491877">
            <w:pPr>
              <w:pStyle w:val="cuadroCabe"/>
              <w:jc w:val="right"/>
            </w:pPr>
            <w:r w:rsidRPr="00AB1E56">
              <w:t>16.798</w:t>
            </w:r>
          </w:p>
        </w:tc>
        <w:tc>
          <w:tcPr>
            <w:tcW w:w="968" w:type="pct"/>
            <w:tcBorders>
              <w:top w:val="single" w:sz="4" w:space="0" w:color="auto"/>
              <w:left w:val="nil"/>
              <w:bottom w:val="single" w:sz="4" w:space="0" w:color="auto"/>
              <w:right w:val="nil"/>
            </w:tcBorders>
            <w:shd w:val="clear" w:color="auto" w:fill="8DB3E2"/>
            <w:vAlign w:val="center"/>
          </w:tcPr>
          <w:p w14:paraId="69E1252A" w14:textId="77777777" w:rsidR="00491877" w:rsidRPr="00AB1E56" w:rsidRDefault="003301E9" w:rsidP="00491877">
            <w:pPr>
              <w:pStyle w:val="cuadroCabe"/>
              <w:jc w:val="right"/>
            </w:pPr>
            <w:r w:rsidRPr="00AB1E56">
              <w:t>18.544</w:t>
            </w:r>
          </w:p>
        </w:tc>
      </w:tr>
    </w:tbl>
    <w:p w14:paraId="4023B187" w14:textId="77777777" w:rsidR="00614DC4" w:rsidRPr="00AB1E56" w:rsidRDefault="00614DC4" w:rsidP="00F34E94">
      <w:pPr>
        <w:pStyle w:val="texto"/>
        <w:spacing w:before="240" w:after="120"/>
        <w:jc w:val="both"/>
      </w:pPr>
      <w:r w:rsidRPr="00AB1E56">
        <w:lastRenderedPageBreak/>
        <w:t>El total de plazas cubiertas en 202</w:t>
      </w:r>
      <w:r w:rsidR="00AB1E56" w:rsidRPr="00AB1E56">
        <w:t>3</w:t>
      </w:r>
      <w:r w:rsidRPr="00AB1E56">
        <w:t xml:space="preserve"> asciende a 1</w:t>
      </w:r>
      <w:r w:rsidR="00AB1E56" w:rsidRPr="00AB1E56">
        <w:t>8.544</w:t>
      </w:r>
      <w:r w:rsidRPr="00AB1E56">
        <w:t xml:space="preserve"> cifra superior a la de 202</w:t>
      </w:r>
      <w:r w:rsidR="008441A6">
        <w:t>2</w:t>
      </w:r>
      <w:r w:rsidRPr="00AB1E56">
        <w:t xml:space="preserve"> en un </w:t>
      </w:r>
      <w:r w:rsidR="00AB1E56" w:rsidRPr="00AB1E56">
        <w:t xml:space="preserve">diez </w:t>
      </w:r>
      <w:r w:rsidRPr="00AB1E56">
        <w:t>por ciento (</w:t>
      </w:r>
      <w:r w:rsidR="00AB1E56" w:rsidRPr="00AB1E56">
        <w:t>1.746</w:t>
      </w:r>
      <w:r w:rsidR="008441A6">
        <w:t xml:space="preserve"> plazas). S</w:t>
      </w:r>
      <w:r w:rsidRPr="00AB1E56">
        <w:t>obre 202</w:t>
      </w:r>
      <w:r w:rsidR="00AB1E56" w:rsidRPr="00AB1E56">
        <w:t>2</w:t>
      </w:r>
      <w:r w:rsidRPr="00AB1E56">
        <w:t>, la variación más significativa se halla en las plazas básicas que aumentan un</w:t>
      </w:r>
      <w:r w:rsidR="00AB1E56" w:rsidRPr="00AB1E56">
        <w:t xml:space="preserve"> 11 </w:t>
      </w:r>
      <w:r w:rsidRPr="00AB1E56">
        <w:t>por ciento (</w:t>
      </w:r>
      <w:r w:rsidR="00AB1E56" w:rsidRPr="00AB1E56">
        <w:t>1.722</w:t>
      </w:r>
      <w:r w:rsidRPr="00AB1E56">
        <w:t xml:space="preserve"> plazas).</w:t>
      </w:r>
    </w:p>
    <w:p w14:paraId="345E56CB" w14:textId="77777777" w:rsidR="00614DC4" w:rsidRDefault="00614DC4" w:rsidP="002D15F8">
      <w:pPr>
        <w:pStyle w:val="texto"/>
        <w:spacing w:after="120"/>
        <w:jc w:val="both"/>
      </w:pPr>
      <w:r w:rsidRPr="00E91178">
        <w:t>Según consta en la memor</w:t>
      </w:r>
      <w:r w:rsidR="00E91178" w:rsidRPr="00E91178">
        <w:t xml:space="preserve">ia de las Cuentas Generales, </w:t>
      </w:r>
      <w:r w:rsidR="00E81126">
        <w:t xml:space="preserve">en </w:t>
      </w:r>
      <w:r w:rsidR="00E91178" w:rsidRPr="00E91178">
        <w:t>2.546</w:t>
      </w:r>
      <w:r w:rsidRPr="00E91178">
        <w:t xml:space="preserve"> plazas no </w:t>
      </w:r>
      <w:r w:rsidR="00E81126">
        <w:t xml:space="preserve">se ejercen </w:t>
      </w:r>
      <w:r w:rsidRPr="00E91178">
        <w:t>por sus titulares por varios motivos: excedencias, reservas por jefaturas, comisiones de servicios, servicios especiales por formación, perfeccionamiento o investigación, etc.</w:t>
      </w:r>
    </w:p>
    <w:p w14:paraId="22347FEA" w14:textId="77777777" w:rsidR="00614DC4" w:rsidRPr="000D7CCD" w:rsidRDefault="00614DC4" w:rsidP="00024014">
      <w:pPr>
        <w:pStyle w:val="texto"/>
        <w:keepNext/>
        <w:spacing w:after="240"/>
        <w:jc w:val="both"/>
      </w:pPr>
      <w:r w:rsidRPr="000D7CCD">
        <w:t xml:space="preserve">La situación y evolución de las plazas </w:t>
      </w:r>
      <w:r w:rsidR="00E81126">
        <w:t xml:space="preserve">vacantes </w:t>
      </w:r>
      <w:r w:rsidRPr="000D7CCD">
        <w:t>sobre el total de puestos se observa en el siguiente cuadro:</w:t>
      </w:r>
    </w:p>
    <w:tbl>
      <w:tblPr>
        <w:tblW w:w="4999" w:type="pct"/>
        <w:jc w:val="center"/>
        <w:tblCellMar>
          <w:top w:w="10" w:type="dxa"/>
          <w:left w:w="10" w:type="dxa"/>
          <w:bottom w:w="10" w:type="dxa"/>
          <w:right w:w="10" w:type="dxa"/>
        </w:tblCellMar>
        <w:tblLook w:val="04A0" w:firstRow="1" w:lastRow="0" w:firstColumn="1" w:lastColumn="0" w:noHBand="0" w:noVBand="1"/>
      </w:tblPr>
      <w:tblGrid>
        <w:gridCol w:w="5545"/>
        <w:gridCol w:w="1622"/>
        <w:gridCol w:w="1620"/>
      </w:tblGrid>
      <w:tr w:rsidR="000D7CCD" w:rsidRPr="000D7CCD" w14:paraId="371BDD27" w14:textId="77777777" w:rsidTr="00182B19">
        <w:trPr>
          <w:trHeight w:val="255"/>
          <w:jc w:val="center"/>
        </w:trPr>
        <w:tc>
          <w:tcPr>
            <w:tcW w:w="3155" w:type="pct"/>
            <w:tcBorders>
              <w:top w:val="single" w:sz="4" w:space="0" w:color="auto"/>
              <w:left w:val="nil"/>
              <w:bottom w:val="single" w:sz="4" w:space="0" w:color="auto"/>
              <w:right w:val="nil"/>
            </w:tcBorders>
            <w:shd w:val="clear" w:color="auto" w:fill="8DB3E2"/>
            <w:vAlign w:val="center"/>
            <w:hideMark/>
          </w:tcPr>
          <w:p w14:paraId="531C0980" w14:textId="77777777" w:rsidR="00614DC4" w:rsidRPr="000D7CCD" w:rsidRDefault="00614DC4" w:rsidP="004101A9">
            <w:pPr>
              <w:pStyle w:val="cuadroCabe"/>
            </w:pPr>
            <w:r w:rsidRPr="000D7CCD">
              <w:t>Concepto</w:t>
            </w:r>
          </w:p>
        </w:tc>
        <w:tc>
          <w:tcPr>
            <w:tcW w:w="923" w:type="pct"/>
            <w:tcBorders>
              <w:top w:val="single" w:sz="4" w:space="0" w:color="auto"/>
              <w:left w:val="nil"/>
              <w:bottom w:val="single" w:sz="4" w:space="0" w:color="auto"/>
              <w:right w:val="nil"/>
            </w:tcBorders>
            <w:shd w:val="clear" w:color="auto" w:fill="8DB3E2"/>
            <w:vAlign w:val="center"/>
            <w:hideMark/>
          </w:tcPr>
          <w:p w14:paraId="75A55700" w14:textId="77777777" w:rsidR="00614DC4" w:rsidRPr="000D7CCD" w:rsidRDefault="00614DC4" w:rsidP="000D7CCD">
            <w:pPr>
              <w:pStyle w:val="cuadroCabe"/>
              <w:jc w:val="right"/>
            </w:pPr>
            <w:r w:rsidRPr="000D7CCD">
              <w:t>202</w:t>
            </w:r>
            <w:r w:rsidR="000D7CCD" w:rsidRPr="000D7CCD">
              <w:t>2</w:t>
            </w:r>
          </w:p>
        </w:tc>
        <w:tc>
          <w:tcPr>
            <w:tcW w:w="922" w:type="pct"/>
            <w:tcBorders>
              <w:top w:val="single" w:sz="4" w:space="0" w:color="auto"/>
              <w:left w:val="nil"/>
              <w:bottom w:val="single" w:sz="4" w:space="0" w:color="auto"/>
              <w:right w:val="nil"/>
            </w:tcBorders>
            <w:shd w:val="clear" w:color="auto" w:fill="8DB3E2"/>
            <w:vAlign w:val="center"/>
            <w:hideMark/>
          </w:tcPr>
          <w:p w14:paraId="6307A398" w14:textId="77777777" w:rsidR="00614DC4" w:rsidRPr="000D7CCD" w:rsidRDefault="000D7CCD" w:rsidP="004101A9">
            <w:pPr>
              <w:pStyle w:val="cuadroCabe"/>
              <w:jc w:val="right"/>
            </w:pPr>
            <w:r w:rsidRPr="000D7CCD">
              <w:t>2023</w:t>
            </w:r>
          </w:p>
        </w:tc>
      </w:tr>
      <w:tr w:rsidR="000D7CCD" w:rsidRPr="000D7CCD" w14:paraId="0616F10A" w14:textId="77777777" w:rsidTr="00E60BC5">
        <w:trPr>
          <w:trHeight w:val="198"/>
          <w:jc w:val="center"/>
        </w:trPr>
        <w:tc>
          <w:tcPr>
            <w:tcW w:w="3155" w:type="pct"/>
            <w:tcBorders>
              <w:top w:val="single" w:sz="4" w:space="0" w:color="auto"/>
              <w:left w:val="nil"/>
              <w:bottom w:val="single" w:sz="2" w:space="0" w:color="auto"/>
              <w:right w:val="nil"/>
            </w:tcBorders>
            <w:vAlign w:val="center"/>
            <w:hideMark/>
          </w:tcPr>
          <w:p w14:paraId="43000054" w14:textId="77777777" w:rsidR="000D7CCD" w:rsidRPr="000D7CCD" w:rsidRDefault="000D7CCD" w:rsidP="000D7CCD">
            <w:pPr>
              <w:pStyle w:val="cuatexto"/>
            </w:pPr>
            <w:r w:rsidRPr="000D7CCD">
              <w:t>Total plazas</w:t>
            </w:r>
          </w:p>
        </w:tc>
        <w:tc>
          <w:tcPr>
            <w:tcW w:w="923" w:type="pct"/>
            <w:tcBorders>
              <w:top w:val="single" w:sz="4" w:space="0" w:color="auto"/>
              <w:left w:val="nil"/>
              <w:bottom w:val="single" w:sz="2" w:space="0" w:color="auto"/>
              <w:right w:val="nil"/>
            </w:tcBorders>
            <w:vAlign w:val="center"/>
          </w:tcPr>
          <w:p w14:paraId="72196437" w14:textId="77777777" w:rsidR="000D7CCD" w:rsidRPr="000D7CCD" w:rsidRDefault="000D7CCD" w:rsidP="000D7CCD">
            <w:pPr>
              <w:pStyle w:val="cuatexto"/>
              <w:jc w:val="right"/>
            </w:pPr>
            <w:r w:rsidRPr="000D7CCD">
              <w:t>25.860</w:t>
            </w:r>
          </w:p>
        </w:tc>
        <w:tc>
          <w:tcPr>
            <w:tcW w:w="922" w:type="pct"/>
            <w:tcBorders>
              <w:top w:val="single" w:sz="4" w:space="0" w:color="auto"/>
              <w:left w:val="nil"/>
              <w:bottom w:val="single" w:sz="2" w:space="0" w:color="auto"/>
              <w:right w:val="nil"/>
            </w:tcBorders>
            <w:vAlign w:val="center"/>
          </w:tcPr>
          <w:p w14:paraId="532679AE" w14:textId="77777777" w:rsidR="000D7CCD" w:rsidRPr="000D7CCD" w:rsidRDefault="000D7CCD" w:rsidP="000D7CCD">
            <w:pPr>
              <w:pStyle w:val="cuatexto"/>
              <w:jc w:val="right"/>
            </w:pPr>
            <w:r w:rsidRPr="000D7CCD">
              <w:t>26.101</w:t>
            </w:r>
          </w:p>
        </w:tc>
      </w:tr>
      <w:tr w:rsidR="009E3B34" w:rsidRPr="009E3B34" w14:paraId="7BBE581B" w14:textId="77777777" w:rsidTr="00E60BC5">
        <w:trPr>
          <w:trHeight w:val="198"/>
          <w:jc w:val="center"/>
        </w:trPr>
        <w:tc>
          <w:tcPr>
            <w:tcW w:w="3155" w:type="pct"/>
            <w:tcBorders>
              <w:top w:val="single" w:sz="2" w:space="0" w:color="auto"/>
              <w:left w:val="nil"/>
              <w:bottom w:val="single" w:sz="2" w:space="0" w:color="auto"/>
              <w:right w:val="nil"/>
            </w:tcBorders>
            <w:vAlign w:val="center"/>
            <w:hideMark/>
          </w:tcPr>
          <w:p w14:paraId="3929C488" w14:textId="77777777" w:rsidR="000D7CCD" w:rsidRPr="000D7CCD" w:rsidRDefault="000D7CCD" w:rsidP="000D7CCD">
            <w:pPr>
              <w:pStyle w:val="cuatexto"/>
            </w:pPr>
            <w:r w:rsidRPr="000D7CCD">
              <w:t>Vacantes</w:t>
            </w:r>
          </w:p>
        </w:tc>
        <w:tc>
          <w:tcPr>
            <w:tcW w:w="923" w:type="pct"/>
            <w:tcBorders>
              <w:top w:val="single" w:sz="2" w:space="0" w:color="auto"/>
              <w:left w:val="nil"/>
              <w:bottom w:val="single" w:sz="2" w:space="0" w:color="auto"/>
              <w:right w:val="nil"/>
            </w:tcBorders>
            <w:vAlign w:val="center"/>
          </w:tcPr>
          <w:p w14:paraId="12655C37" w14:textId="77777777" w:rsidR="000D7CCD" w:rsidRPr="000D7CCD" w:rsidRDefault="000D7CCD" w:rsidP="000D7CCD">
            <w:pPr>
              <w:pStyle w:val="cuatexto"/>
              <w:jc w:val="right"/>
            </w:pPr>
            <w:r w:rsidRPr="000D7CCD">
              <w:t>9.062</w:t>
            </w:r>
          </w:p>
        </w:tc>
        <w:tc>
          <w:tcPr>
            <w:tcW w:w="922" w:type="pct"/>
            <w:tcBorders>
              <w:top w:val="single" w:sz="2" w:space="0" w:color="auto"/>
              <w:left w:val="nil"/>
              <w:bottom w:val="single" w:sz="2" w:space="0" w:color="auto"/>
              <w:right w:val="nil"/>
            </w:tcBorders>
            <w:vAlign w:val="center"/>
          </w:tcPr>
          <w:p w14:paraId="558F7668" w14:textId="77777777" w:rsidR="000D7CCD" w:rsidRPr="009E3B34" w:rsidRDefault="000D7CCD" w:rsidP="000D7CCD">
            <w:pPr>
              <w:pStyle w:val="cuatexto"/>
              <w:jc w:val="right"/>
              <w:rPr>
                <w:highlight w:val="yellow"/>
              </w:rPr>
            </w:pPr>
            <w:r w:rsidRPr="0067536B">
              <w:t>7.557</w:t>
            </w:r>
          </w:p>
        </w:tc>
      </w:tr>
      <w:tr w:rsidR="000D7CCD" w:rsidRPr="000D7CCD" w14:paraId="1FCF41F3" w14:textId="77777777" w:rsidTr="00E60BC5">
        <w:trPr>
          <w:trHeight w:val="198"/>
          <w:jc w:val="center"/>
        </w:trPr>
        <w:tc>
          <w:tcPr>
            <w:tcW w:w="3155" w:type="pct"/>
            <w:tcBorders>
              <w:top w:val="single" w:sz="2" w:space="0" w:color="auto"/>
              <w:left w:val="nil"/>
              <w:bottom w:val="single" w:sz="2" w:space="0" w:color="auto"/>
              <w:right w:val="nil"/>
            </w:tcBorders>
            <w:vAlign w:val="center"/>
            <w:hideMark/>
          </w:tcPr>
          <w:p w14:paraId="50470C54" w14:textId="77777777" w:rsidR="000D7CCD" w:rsidRPr="000D7CCD" w:rsidRDefault="000D7CCD" w:rsidP="000D7CCD">
            <w:pPr>
              <w:pStyle w:val="cuatexto"/>
            </w:pPr>
            <w:r w:rsidRPr="000D7CCD">
              <w:t>% Vacantes sobre total puestos</w:t>
            </w:r>
          </w:p>
        </w:tc>
        <w:tc>
          <w:tcPr>
            <w:tcW w:w="923" w:type="pct"/>
            <w:tcBorders>
              <w:top w:val="single" w:sz="2" w:space="0" w:color="auto"/>
              <w:left w:val="nil"/>
              <w:bottom w:val="single" w:sz="2" w:space="0" w:color="auto"/>
              <w:right w:val="nil"/>
            </w:tcBorders>
            <w:vAlign w:val="center"/>
          </w:tcPr>
          <w:p w14:paraId="50B0CA8E" w14:textId="77777777" w:rsidR="000D7CCD" w:rsidRPr="000D7CCD" w:rsidRDefault="000D7CCD" w:rsidP="000D7CCD">
            <w:pPr>
              <w:pStyle w:val="cuatexto"/>
              <w:jc w:val="right"/>
            </w:pPr>
            <w:r w:rsidRPr="000D7CCD">
              <w:t>35</w:t>
            </w:r>
          </w:p>
        </w:tc>
        <w:tc>
          <w:tcPr>
            <w:tcW w:w="922" w:type="pct"/>
            <w:tcBorders>
              <w:top w:val="single" w:sz="2" w:space="0" w:color="auto"/>
              <w:left w:val="nil"/>
              <w:bottom w:val="single" w:sz="2" w:space="0" w:color="auto"/>
              <w:right w:val="nil"/>
            </w:tcBorders>
            <w:vAlign w:val="center"/>
          </w:tcPr>
          <w:p w14:paraId="295793D6" w14:textId="77777777" w:rsidR="000D7CCD" w:rsidRPr="000D7CCD" w:rsidRDefault="000D7CCD" w:rsidP="000D7CCD">
            <w:pPr>
              <w:pStyle w:val="cuatexto"/>
              <w:jc w:val="right"/>
            </w:pPr>
            <w:r w:rsidRPr="000D7CCD">
              <w:t>29</w:t>
            </w:r>
          </w:p>
        </w:tc>
      </w:tr>
      <w:tr w:rsidR="000D7CCD" w:rsidRPr="000D7CCD" w14:paraId="5878C94B" w14:textId="77777777" w:rsidTr="00182B19">
        <w:trPr>
          <w:trHeight w:val="198"/>
          <w:jc w:val="center"/>
        </w:trPr>
        <w:tc>
          <w:tcPr>
            <w:tcW w:w="3155" w:type="pct"/>
            <w:tcBorders>
              <w:top w:val="single" w:sz="2" w:space="0" w:color="auto"/>
              <w:left w:val="nil"/>
              <w:bottom w:val="single" w:sz="2" w:space="0" w:color="auto"/>
              <w:right w:val="nil"/>
            </w:tcBorders>
            <w:vAlign w:val="center"/>
            <w:hideMark/>
          </w:tcPr>
          <w:p w14:paraId="6D21CC82" w14:textId="77777777" w:rsidR="000D7CCD" w:rsidRPr="000D7CCD" w:rsidRDefault="000D7CCD" w:rsidP="000D7CCD">
            <w:pPr>
              <w:pStyle w:val="cuatexto"/>
            </w:pPr>
            <w:r w:rsidRPr="000D7CCD">
              <w:t>Vacantes ocupadas</w:t>
            </w:r>
          </w:p>
        </w:tc>
        <w:tc>
          <w:tcPr>
            <w:tcW w:w="923" w:type="pct"/>
            <w:tcBorders>
              <w:top w:val="single" w:sz="2" w:space="0" w:color="auto"/>
              <w:left w:val="nil"/>
              <w:bottom w:val="single" w:sz="2" w:space="0" w:color="auto"/>
              <w:right w:val="nil"/>
            </w:tcBorders>
            <w:vAlign w:val="center"/>
          </w:tcPr>
          <w:p w14:paraId="44AF9123" w14:textId="77777777" w:rsidR="000D7CCD" w:rsidRPr="000D7CCD" w:rsidRDefault="000D7CCD" w:rsidP="000D7CCD">
            <w:pPr>
              <w:pStyle w:val="cuatexto"/>
              <w:jc w:val="right"/>
            </w:pPr>
            <w:r w:rsidRPr="000D7CCD">
              <w:t>5.768</w:t>
            </w:r>
          </w:p>
        </w:tc>
        <w:tc>
          <w:tcPr>
            <w:tcW w:w="922" w:type="pct"/>
            <w:tcBorders>
              <w:top w:val="single" w:sz="2" w:space="0" w:color="auto"/>
              <w:left w:val="nil"/>
              <w:bottom w:val="single" w:sz="2" w:space="0" w:color="auto"/>
              <w:right w:val="nil"/>
            </w:tcBorders>
            <w:vAlign w:val="center"/>
          </w:tcPr>
          <w:p w14:paraId="1E5FB393" w14:textId="77777777" w:rsidR="000D7CCD" w:rsidRPr="000D7CCD" w:rsidRDefault="000D7CCD" w:rsidP="000D7CCD">
            <w:pPr>
              <w:pStyle w:val="cuatexto"/>
              <w:jc w:val="right"/>
            </w:pPr>
            <w:r w:rsidRPr="000D7CCD">
              <w:t>4.510</w:t>
            </w:r>
          </w:p>
        </w:tc>
      </w:tr>
      <w:tr w:rsidR="000D7CCD" w:rsidRPr="000D7CCD" w14:paraId="45BF67EB" w14:textId="77777777" w:rsidTr="00182B19">
        <w:trPr>
          <w:trHeight w:val="198"/>
          <w:jc w:val="center"/>
        </w:trPr>
        <w:tc>
          <w:tcPr>
            <w:tcW w:w="3155" w:type="pct"/>
            <w:tcBorders>
              <w:top w:val="single" w:sz="2" w:space="0" w:color="auto"/>
              <w:left w:val="nil"/>
              <w:bottom w:val="single" w:sz="4" w:space="0" w:color="auto"/>
              <w:right w:val="nil"/>
            </w:tcBorders>
            <w:vAlign w:val="center"/>
            <w:hideMark/>
          </w:tcPr>
          <w:p w14:paraId="2CCF399C" w14:textId="77777777" w:rsidR="000D7CCD" w:rsidRPr="000D7CCD" w:rsidRDefault="000D7CCD" w:rsidP="000D7CCD">
            <w:pPr>
              <w:pStyle w:val="cuatexto"/>
            </w:pPr>
            <w:r w:rsidRPr="000D7CCD">
              <w:t>% Vacantes ocupadas sobre total vacantes</w:t>
            </w:r>
          </w:p>
        </w:tc>
        <w:tc>
          <w:tcPr>
            <w:tcW w:w="923" w:type="pct"/>
            <w:tcBorders>
              <w:top w:val="single" w:sz="2" w:space="0" w:color="auto"/>
              <w:left w:val="nil"/>
              <w:bottom w:val="single" w:sz="4" w:space="0" w:color="auto"/>
              <w:right w:val="nil"/>
            </w:tcBorders>
            <w:vAlign w:val="center"/>
          </w:tcPr>
          <w:p w14:paraId="24E1D6B6" w14:textId="77777777" w:rsidR="000D7CCD" w:rsidRPr="000D7CCD" w:rsidRDefault="000D7CCD" w:rsidP="000D7CCD">
            <w:pPr>
              <w:pStyle w:val="cuatexto"/>
              <w:jc w:val="right"/>
            </w:pPr>
            <w:r w:rsidRPr="000D7CCD">
              <w:t>64</w:t>
            </w:r>
          </w:p>
        </w:tc>
        <w:tc>
          <w:tcPr>
            <w:tcW w:w="922" w:type="pct"/>
            <w:tcBorders>
              <w:top w:val="single" w:sz="2" w:space="0" w:color="auto"/>
              <w:left w:val="nil"/>
              <w:bottom w:val="single" w:sz="4" w:space="0" w:color="auto"/>
              <w:right w:val="nil"/>
            </w:tcBorders>
            <w:vAlign w:val="center"/>
          </w:tcPr>
          <w:p w14:paraId="06F6D113" w14:textId="77777777" w:rsidR="000D7CCD" w:rsidRPr="000D7CCD" w:rsidRDefault="000D7CCD" w:rsidP="000D7CCD">
            <w:pPr>
              <w:pStyle w:val="cuatexto"/>
              <w:jc w:val="right"/>
            </w:pPr>
            <w:r w:rsidRPr="000D7CCD">
              <w:t>60</w:t>
            </w:r>
          </w:p>
        </w:tc>
      </w:tr>
    </w:tbl>
    <w:p w14:paraId="5B028E0B" w14:textId="77777777" w:rsidR="00614DC4" w:rsidRPr="000D7CCD" w:rsidRDefault="00614DC4" w:rsidP="002D15F8">
      <w:pPr>
        <w:pStyle w:val="texto"/>
        <w:spacing w:before="240" w:after="120"/>
        <w:jc w:val="both"/>
      </w:pPr>
      <w:r w:rsidRPr="000D7CCD">
        <w:t>En 202</w:t>
      </w:r>
      <w:r w:rsidR="000D7CCD" w:rsidRPr="000D7CCD">
        <w:t>3</w:t>
      </w:r>
      <w:r w:rsidR="008441A6">
        <w:t xml:space="preserve">, el </w:t>
      </w:r>
      <w:r w:rsidR="000D7CCD" w:rsidRPr="000D7CCD">
        <w:t xml:space="preserve">29 </w:t>
      </w:r>
      <w:r w:rsidRPr="000D7CCD">
        <w:t>por ciento del total de plazas estaban vacantes y dentro de éstas, el 6</w:t>
      </w:r>
      <w:r w:rsidR="000D7CCD" w:rsidRPr="000D7CCD">
        <w:t>0</w:t>
      </w:r>
      <w:r w:rsidRPr="000D7CCD">
        <w:t xml:space="preserve"> por ciento estaban cubiertas, porcentajes </w:t>
      </w:r>
      <w:r w:rsidR="000D7CCD" w:rsidRPr="000D7CCD">
        <w:t xml:space="preserve">inferiores </w:t>
      </w:r>
      <w:r w:rsidRPr="000D7CCD">
        <w:t>a los de 202</w:t>
      </w:r>
      <w:r w:rsidR="000D7CCD" w:rsidRPr="000D7CCD">
        <w:t>2</w:t>
      </w:r>
      <w:r w:rsidRPr="000D7CCD">
        <w:t xml:space="preserve">. </w:t>
      </w:r>
    </w:p>
    <w:p w14:paraId="0C101683" w14:textId="77777777" w:rsidR="00614DC4" w:rsidRPr="0067536B" w:rsidRDefault="00614DC4" w:rsidP="002D15F8">
      <w:pPr>
        <w:pStyle w:val="texto"/>
        <w:spacing w:after="120"/>
        <w:jc w:val="both"/>
        <w:rPr>
          <w:rFonts w:cs="Arial"/>
          <w:b/>
        </w:rPr>
      </w:pPr>
      <w:r w:rsidRPr="0067536B">
        <w:t xml:space="preserve">Hemos verificado que los datos </w:t>
      </w:r>
      <w:r w:rsidR="00E81126">
        <w:t xml:space="preserve">que sirven de base </w:t>
      </w:r>
      <w:r w:rsidRPr="0067536B">
        <w:t>en</w:t>
      </w:r>
      <w:r w:rsidR="0067536B" w:rsidRPr="0067536B">
        <w:t xml:space="preserve"> el documento de</w:t>
      </w:r>
      <w:r w:rsidRPr="0067536B">
        <w:t xml:space="preserve"> la plantilla orgánica </w:t>
      </w:r>
      <w:r w:rsidR="0067536B" w:rsidRPr="0067536B">
        <w:t xml:space="preserve">que debe publicarse </w:t>
      </w:r>
      <w:r w:rsidRPr="0067536B">
        <w:t>y la información aportada al respecto en la memoria de las Cuentas Generales son coincidentes</w:t>
      </w:r>
      <w:r w:rsidRPr="0067536B">
        <w:rPr>
          <w:rFonts w:cs="Arial"/>
        </w:rPr>
        <w:t>.</w:t>
      </w:r>
    </w:p>
    <w:p w14:paraId="603C6340" w14:textId="77777777" w:rsidR="00B17021" w:rsidRDefault="00614DC4" w:rsidP="00024014">
      <w:pPr>
        <w:pStyle w:val="texto"/>
        <w:spacing w:after="120"/>
        <w:jc w:val="both"/>
      </w:pPr>
      <w:r w:rsidRPr="00E91178">
        <w:t xml:space="preserve">El Gobierno aprobó mediante </w:t>
      </w:r>
      <w:r w:rsidR="009B073D" w:rsidRPr="00E91178">
        <w:t>17</w:t>
      </w:r>
      <w:r w:rsidRPr="00E91178">
        <w:t xml:space="preserve"> decretos forales modificacion</w:t>
      </w:r>
      <w:r w:rsidR="009B073D" w:rsidRPr="00E91178">
        <w:t>es de plantilla para amortizar 61</w:t>
      </w:r>
      <w:r w:rsidRPr="00E91178">
        <w:t xml:space="preserve"> plazas (</w:t>
      </w:r>
      <w:r w:rsidR="009B073D" w:rsidRPr="00E91178">
        <w:t>27</w:t>
      </w:r>
      <w:r w:rsidRPr="00E91178">
        <w:t xml:space="preserve"> de la Administración Núcleo, </w:t>
      </w:r>
      <w:r w:rsidR="009B073D" w:rsidRPr="00E91178">
        <w:t xml:space="preserve">tres </w:t>
      </w:r>
      <w:r w:rsidRPr="00E91178">
        <w:t xml:space="preserve">del Departamento de Educación y </w:t>
      </w:r>
      <w:r w:rsidR="009B073D" w:rsidRPr="00E91178">
        <w:t>31</w:t>
      </w:r>
      <w:r w:rsidRPr="00E91178">
        <w:t xml:space="preserve"> del D</w:t>
      </w:r>
      <w:r w:rsidR="009B073D" w:rsidRPr="00E91178">
        <w:t>epartamento de Salud) y crear 247</w:t>
      </w:r>
      <w:r w:rsidRPr="00E91178">
        <w:t xml:space="preserve"> (</w:t>
      </w:r>
      <w:r w:rsidR="009B073D" w:rsidRPr="00E91178">
        <w:t>98 de la Administración Núcleo, 113 del Departamento de Educación y 36 del Departa</w:t>
      </w:r>
      <w:r w:rsidRPr="00E91178">
        <w:t>mento de Sa</w:t>
      </w:r>
      <w:r w:rsidR="009B073D" w:rsidRPr="00E91178">
        <w:t xml:space="preserve">lud). </w:t>
      </w:r>
    </w:p>
    <w:p w14:paraId="07B868EB" w14:textId="77777777" w:rsidR="00614DC4" w:rsidRPr="00E91178" w:rsidRDefault="009B073D" w:rsidP="002D15F8">
      <w:pPr>
        <w:pStyle w:val="texto"/>
        <w:jc w:val="both"/>
      </w:pPr>
      <w:r w:rsidRPr="00E91178">
        <w:t>Además de estas modificaciones existe una variación neta de 55 plazas (147 nuevas y 92 que se eliminan), resultado de</w:t>
      </w:r>
      <w:r w:rsidR="00E91178" w:rsidRPr="00E91178">
        <w:t xml:space="preserve"> los </w:t>
      </w:r>
      <w:r w:rsidRPr="00E91178">
        <w:t>cambio</w:t>
      </w:r>
      <w:r w:rsidR="00E91178" w:rsidRPr="00E91178">
        <w:t>s</w:t>
      </w:r>
      <w:r w:rsidRPr="00E91178">
        <w:t xml:space="preserve"> de estructura que s</w:t>
      </w:r>
      <w:r w:rsidR="00E91178" w:rsidRPr="00E91178">
        <w:t xml:space="preserve">e aprueban con el nuevo gobierno, resultante de las elecciones </w:t>
      </w:r>
      <w:r w:rsidR="00E81126">
        <w:t>autonómicas</w:t>
      </w:r>
      <w:r w:rsidR="00E91178" w:rsidRPr="00E91178">
        <w:t xml:space="preserve">. El detalle es el siguiente: </w:t>
      </w:r>
    </w:p>
    <w:p w14:paraId="489DAA9B" w14:textId="77777777" w:rsidR="000D7CCD" w:rsidRDefault="000D7CCD" w:rsidP="002D15F8">
      <w:pPr>
        <w:pStyle w:val="texto"/>
        <w:jc w:val="both"/>
        <w:rPr>
          <w:color w:val="FF0000"/>
        </w:rPr>
      </w:pPr>
    </w:p>
    <w:tbl>
      <w:tblPr>
        <w:tblW w:w="8789" w:type="dxa"/>
        <w:jc w:val="center"/>
        <w:tblCellMar>
          <w:left w:w="70" w:type="dxa"/>
          <w:right w:w="70" w:type="dxa"/>
        </w:tblCellMar>
        <w:tblLook w:val="04A0" w:firstRow="1" w:lastRow="0" w:firstColumn="1" w:lastColumn="0" w:noHBand="0" w:noVBand="1"/>
      </w:tblPr>
      <w:tblGrid>
        <w:gridCol w:w="5780"/>
        <w:gridCol w:w="3009"/>
      </w:tblGrid>
      <w:tr w:rsidR="000D7CCD" w14:paraId="1F0BCB89" w14:textId="77777777" w:rsidTr="006A52D7">
        <w:trPr>
          <w:trHeight w:val="255"/>
          <w:jc w:val="center"/>
        </w:trPr>
        <w:tc>
          <w:tcPr>
            <w:tcW w:w="5780" w:type="dxa"/>
            <w:tcBorders>
              <w:top w:val="single" w:sz="4" w:space="0" w:color="auto"/>
              <w:left w:val="nil"/>
              <w:bottom w:val="single" w:sz="4" w:space="0" w:color="auto"/>
              <w:right w:val="nil"/>
            </w:tcBorders>
            <w:shd w:val="clear" w:color="000000" w:fill="8DB3E2"/>
            <w:vAlign w:val="center"/>
            <w:hideMark/>
          </w:tcPr>
          <w:p w14:paraId="63A6CEBA" w14:textId="77777777" w:rsidR="000D7CCD" w:rsidRDefault="000D7CCD">
            <w:pPr>
              <w:rPr>
                <w:rFonts w:ascii="Arial" w:hAnsi="Arial" w:cs="Arial"/>
                <w:color w:val="000000"/>
                <w:sz w:val="18"/>
                <w:szCs w:val="18"/>
              </w:rPr>
            </w:pPr>
            <w:r>
              <w:rPr>
                <w:rFonts w:ascii="Arial" w:hAnsi="Arial" w:cs="Arial"/>
                <w:color w:val="000000"/>
                <w:sz w:val="18"/>
                <w:szCs w:val="18"/>
              </w:rPr>
              <w:t>Concepto</w:t>
            </w:r>
          </w:p>
        </w:tc>
        <w:tc>
          <w:tcPr>
            <w:tcW w:w="3009" w:type="dxa"/>
            <w:tcBorders>
              <w:top w:val="single" w:sz="4" w:space="0" w:color="auto"/>
              <w:left w:val="nil"/>
              <w:bottom w:val="single" w:sz="4" w:space="0" w:color="auto"/>
              <w:right w:val="nil"/>
            </w:tcBorders>
            <w:shd w:val="clear" w:color="000000" w:fill="8DB3E2"/>
            <w:vAlign w:val="center"/>
            <w:hideMark/>
          </w:tcPr>
          <w:p w14:paraId="1155AE48" w14:textId="77777777" w:rsidR="000D7CCD" w:rsidRDefault="000D7CCD">
            <w:pPr>
              <w:jc w:val="right"/>
              <w:rPr>
                <w:rFonts w:ascii="Arial" w:hAnsi="Arial" w:cs="Arial"/>
                <w:color w:val="000000"/>
                <w:sz w:val="18"/>
                <w:szCs w:val="18"/>
              </w:rPr>
            </w:pPr>
            <w:r>
              <w:rPr>
                <w:rFonts w:ascii="Arial" w:hAnsi="Arial" w:cs="Arial"/>
                <w:color w:val="000000"/>
                <w:sz w:val="18"/>
                <w:szCs w:val="18"/>
              </w:rPr>
              <w:t>Plazas</w:t>
            </w:r>
          </w:p>
        </w:tc>
      </w:tr>
      <w:tr w:rsidR="000D7CCD" w14:paraId="585C3E72" w14:textId="77777777" w:rsidTr="006A52D7">
        <w:trPr>
          <w:trHeight w:val="198"/>
          <w:jc w:val="center"/>
        </w:trPr>
        <w:tc>
          <w:tcPr>
            <w:tcW w:w="5780" w:type="dxa"/>
            <w:tcBorders>
              <w:top w:val="single" w:sz="4" w:space="0" w:color="auto"/>
              <w:left w:val="nil"/>
              <w:bottom w:val="single" w:sz="2" w:space="0" w:color="auto"/>
              <w:right w:val="nil"/>
            </w:tcBorders>
            <w:shd w:val="clear" w:color="auto" w:fill="auto"/>
            <w:vAlign w:val="center"/>
            <w:hideMark/>
          </w:tcPr>
          <w:p w14:paraId="228C1645" w14:textId="77777777" w:rsidR="000D7CCD" w:rsidRPr="00E60BC5" w:rsidRDefault="000D7CCD">
            <w:pPr>
              <w:rPr>
                <w:rFonts w:ascii="Arial Narrow" w:hAnsi="Arial Narrow" w:cs="Calibri"/>
                <w:color w:val="000000"/>
                <w:sz w:val="20"/>
                <w:szCs w:val="20"/>
              </w:rPr>
            </w:pPr>
            <w:r w:rsidRPr="00E60BC5">
              <w:rPr>
                <w:rFonts w:ascii="Arial Narrow" w:hAnsi="Arial Narrow" w:cs="Calibri"/>
                <w:color w:val="000000"/>
                <w:sz w:val="20"/>
                <w:szCs w:val="20"/>
              </w:rPr>
              <w:t>Plazas Plantilla Orgánica 2022</w:t>
            </w:r>
          </w:p>
        </w:tc>
        <w:tc>
          <w:tcPr>
            <w:tcW w:w="3009" w:type="dxa"/>
            <w:tcBorders>
              <w:top w:val="single" w:sz="4" w:space="0" w:color="auto"/>
              <w:left w:val="nil"/>
              <w:bottom w:val="single" w:sz="2" w:space="0" w:color="auto"/>
              <w:right w:val="nil"/>
            </w:tcBorders>
            <w:shd w:val="clear" w:color="auto" w:fill="auto"/>
            <w:vAlign w:val="center"/>
            <w:hideMark/>
          </w:tcPr>
          <w:p w14:paraId="733F2430" w14:textId="77777777" w:rsidR="000D7CCD" w:rsidRPr="00E60BC5" w:rsidRDefault="000D7CCD">
            <w:pPr>
              <w:jc w:val="right"/>
              <w:rPr>
                <w:rFonts w:ascii="Arial Narrow" w:hAnsi="Arial Narrow" w:cs="Calibri"/>
                <w:color w:val="000000"/>
                <w:sz w:val="20"/>
                <w:szCs w:val="20"/>
              </w:rPr>
            </w:pPr>
            <w:r w:rsidRPr="00E60BC5">
              <w:rPr>
                <w:rFonts w:ascii="Arial Narrow" w:hAnsi="Arial Narrow" w:cs="Calibri"/>
                <w:color w:val="000000"/>
                <w:sz w:val="20"/>
                <w:szCs w:val="20"/>
              </w:rPr>
              <w:t>25.860</w:t>
            </w:r>
          </w:p>
        </w:tc>
      </w:tr>
      <w:tr w:rsidR="000D7CCD" w14:paraId="6E370E3A" w14:textId="77777777" w:rsidTr="006A52D7">
        <w:trPr>
          <w:trHeight w:val="198"/>
          <w:jc w:val="center"/>
        </w:trPr>
        <w:tc>
          <w:tcPr>
            <w:tcW w:w="5780" w:type="dxa"/>
            <w:tcBorders>
              <w:top w:val="single" w:sz="2" w:space="0" w:color="auto"/>
              <w:left w:val="nil"/>
              <w:bottom w:val="single" w:sz="2" w:space="0" w:color="auto"/>
              <w:right w:val="nil"/>
            </w:tcBorders>
            <w:shd w:val="clear" w:color="auto" w:fill="auto"/>
            <w:vAlign w:val="center"/>
            <w:hideMark/>
          </w:tcPr>
          <w:p w14:paraId="65D482BD" w14:textId="77777777" w:rsidR="000D7CCD" w:rsidRPr="00E60BC5" w:rsidRDefault="000D7CCD">
            <w:pPr>
              <w:rPr>
                <w:rFonts w:ascii="Arial Narrow" w:hAnsi="Arial Narrow" w:cs="Calibri"/>
                <w:color w:val="000000"/>
                <w:sz w:val="20"/>
                <w:szCs w:val="20"/>
              </w:rPr>
            </w:pPr>
            <w:r w:rsidRPr="00E60BC5">
              <w:rPr>
                <w:rFonts w:ascii="Arial Narrow" w:hAnsi="Arial Narrow" w:cs="Calibri"/>
                <w:color w:val="000000"/>
                <w:sz w:val="20"/>
                <w:szCs w:val="20"/>
              </w:rPr>
              <w:t>Creación de plazas mediante Decreto Foral y publicación en el BON</w:t>
            </w:r>
          </w:p>
        </w:tc>
        <w:tc>
          <w:tcPr>
            <w:tcW w:w="3009" w:type="dxa"/>
            <w:tcBorders>
              <w:top w:val="single" w:sz="2" w:space="0" w:color="auto"/>
              <w:left w:val="nil"/>
              <w:bottom w:val="single" w:sz="2" w:space="0" w:color="auto"/>
              <w:right w:val="nil"/>
            </w:tcBorders>
            <w:shd w:val="clear" w:color="auto" w:fill="auto"/>
            <w:vAlign w:val="center"/>
            <w:hideMark/>
          </w:tcPr>
          <w:p w14:paraId="24A87902" w14:textId="77777777" w:rsidR="000D7CCD" w:rsidRPr="00E60BC5" w:rsidRDefault="000D7CCD">
            <w:pPr>
              <w:jc w:val="right"/>
              <w:rPr>
                <w:rFonts w:ascii="Arial Narrow" w:hAnsi="Arial Narrow" w:cs="Calibri"/>
                <w:color w:val="000000"/>
                <w:sz w:val="20"/>
                <w:szCs w:val="20"/>
              </w:rPr>
            </w:pPr>
            <w:r w:rsidRPr="00E60BC5">
              <w:rPr>
                <w:rFonts w:ascii="Arial Narrow" w:hAnsi="Arial Narrow" w:cs="Calibri"/>
                <w:color w:val="000000"/>
                <w:sz w:val="20"/>
                <w:szCs w:val="20"/>
              </w:rPr>
              <w:t>247</w:t>
            </w:r>
          </w:p>
        </w:tc>
      </w:tr>
      <w:tr w:rsidR="000D7CCD" w14:paraId="443D4957" w14:textId="77777777" w:rsidTr="006A52D7">
        <w:trPr>
          <w:trHeight w:val="198"/>
          <w:jc w:val="center"/>
        </w:trPr>
        <w:tc>
          <w:tcPr>
            <w:tcW w:w="5780" w:type="dxa"/>
            <w:tcBorders>
              <w:top w:val="single" w:sz="2" w:space="0" w:color="auto"/>
              <w:left w:val="nil"/>
              <w:bottom w:val="single" w:sz="2" w:space="0" w:color="auto"/>
              <w:right w:val="nil"/>
            </w:tcBorders>
            <w:shd w:val="clear" w:color="auto" w:fill="auto"/>
            <w:vAlign w:val="center"/>
            <w:hideMark/>
          </w:tcPr>
          <w:p w14:paraId="5129B25E" w14:textId="77777777" w:rsidR="000D7CCD" w:rsidRPr="00E60BC5" w:rsidRDefault="000D7CCD">
            <w:pPr>
              <w:rPr>
                <w:rFonts w:ascii="Arial Narrow" w:hAnsi="Arial Narrow" w:cs="Calibri"/>
                <w:color w:val="000000"/>
                <w:sz w:val="20"/>
                <w:szCs w:val="20"/>
              </w:rPr>
            </w:pPr>
            <w:r w:rsidRPr="00E60BC5">
              <w:rPr>
                <w:rFonts w:ascii="Arial Narrow" w:hAnsi="Arial Narrow" w:cs="Calibri"/>
                <w:color w:val="000000"/>
                <w:sz w:val="20"/>
                <w:szCs w:val="20"/>
              </w:rPr>
              <w:t>Creadas por el cambio de Gobierno</w:t>
            </w:r>
          </w:p>
        </w:tc>
        <w:tc>
          <w:tcPr>
            <w:tcW w:w="3009" w:type="dxa"/>
            <w:tcBorders>
              <w:top w:val="single" w:sz="2" w:space="0" w:color="auto"/>
              <w:left w:val="nil"/>
              <w:bottom w:val="single" w:sz="2" w:space="0" w:color="auto"/>
              <w:right w:val="nil"/>
            </w:tcBorders>
            <w:shd w:val="clear" w:color="auto" w:fill="auto"/>
            <w:vAlign w:val="center"/>
            <w:hideMark/>
          </w:tcPr>
          <w:p w14:paraId="47AC9E2F" w14:textId="77777777" w:rsidR="000D7CCD" w:rsidRPr="00E60BC5" w:rsidRDefault="000D7CCD">
            <w:pPr>
              <w:jc w:val="right"/>
              <w:rPr>
                <w:rFonts w:ascii="Arial Narrow" w:hAnsi="Arial Narrow" w:cs="Calibri"/>
                <w:color w:val="000000"/>
                <w:sz w:val="20"/>
                <w:szCs w:val="20"/>
              </w:rPr>
            </w:pPr>
            <w:r w:rsidRPr="00E60BC5">
              <w:rPr>
                <w:rFonts w:ascii="Arial Narrow" w:hAnsi="Arial Narrow" w:cs="Calibri"/>
                <w:color w:val="000000"/>
                <w:sz w:val="20"/>
                <w:szCs w:val="20"/>
              </w:rPr>
              <w:t>147</w:t>
            </w:r>
          </w:p>
        </w:tc>
      </w:tr>
      <w:tr w:rsidR="000D7CCD" w14:paraId="7F81EDE9" w14:textId="77777777" w:rsidTr="006A52D7">
        <w:trPr>
          <w:trHeight w:val="198"/>
          <w:jc w:val="center"/>
        </w:trPr>
        <w:tc>
          <w:tcPr>
            <w:tcW w:w="5780" w:type="dxa"/>
            <w:tcBorders>
              <w:top w:val="single" w:sz="2" w:space="0" w:color="auto"/>
              <w:left w:val="nil"/>
              <w:bottom w:val="single" w:sz="2" w:space="0" w:color="auto"/>
              <w:right w:val="nil"/>
            </w:tcBorders>
            <w:shd w:val="clear" w:color="auto" w:fill="auto"/>
            <w:vAlign w:val="center"/>
            <w:hideMark/>
          </w:tcPr>
          <w:p w14:paraId="7E336764" w14:textId="77777777" w:rsidR="000D7CCD" w:rsidRPr="00E60BC5" w:rsidRDefault="000D7CCD">
            <w:pPr>
              <w:rPr>
                <w:rFonts w:ascii="Arial Narrow" w:hAnsi="Arial Narrow" w:cs="Calibri"/>
                <w:color w:val="000000"/>
                <w:sz w:val="20"/>
                <w:szCs w:val="20"/>
              </w:rPr>
            </w:pPr>
            <w:r w:rsidRPr="00E60BC5">
              <w:rPr>
                <w:rFonts w:ascii="Arial Narrow" w:hAnsi="Arial Narrow" w:cs="Calibri"/>
                <w:color w:val="000000"/>
                <w:sz w:val="20"/>
                <w:szCs w:val="20"/>
              </w:rPr>
              <w:t>Amortización de plazas mediante Decreto Foral y publicación en el BON</w:t>
            </w:r>
          </w:p>
        </w:tc>
        <w:tc>
          <w:tcPr>
            <w:tcW w:w="3009" w:type="dxa"/>
            <w:tcBorders>
              <w:top w:val="single" w:sz="2" w:space="0" w:color="auto"/>
              <w:left w:val="nil"/>
              <w:bottom w:val="single" w:sz="2" w:space="0" w:color="auto"/>
              <w:right w:val="nil"/>
            </w:tcBorders>
            <w:shd w:val="clear" w:color="auto" w:fill="auto"/>
            <w:vAlign w:val="center"/>
            <w:hideMark/>
          </w:tcPr>
          <w:p w14:paraId="151270E6" w14:textId="77777777" w:rsidR="000D7CCD" w:rsidRPr="00E60BC5" w:rsidRDefault="000D7CCD">
            <w:pPr>
              <w:jc w:val="right"/>
              <w:rPr>
                <w:rFonts w:ascii="Arial Narrow" w:hAnsi="Arial Narrow" w:cs="Calibri"/>
                <w:color w:val="000000"/>
                <w:sz w:val="20"/>
                <w:szCs w:val="20"/>
              </w:rPr>
            </w:pPr>
            <w:r w:rsidRPr="00E60BC5">
              <w:rPr>
                <w:rFonts w:ascii="Arial Narrow" w:hAnsi="Arial Narrow" w:cs="Calibri"/>
                <w:color w:val="000000"/>
                <w:sz w:val="20"/>
                <w:szCs w:val="20"/>
              </w:rPr>
              <w:t>-61</w:t>
            </w:r>
          </w:p>
        </w:tc>
      </w:tr>
      <w:tr w:rsidR="000D7CCD" w14:paraId="6D917598" w14:textId="77777777" w:rsidTr="006A52D7">
        <w:trPr>
          <w:trHeight w:val="198"/>
          <w:jc w:val="center"/>
        </w:trPr>
        <w:tc>
          <w:tcPr>
            <w:tcW w:w="5780" w:type="dxa"/>
            <w:tcBorders>
              <w:top w:val="single" w:sz="2" w:space="0" w:color="auto"/>
              <w:left w:val="nil"/>
              <w:bottom w:val="single" w:sz="2" w:space="0" w:color="auto"/>
              <w:right w:val="nil"/>
            </w:tcBorders>
            <w:shd w:val="clear" w:color="auto" w:fill="auto"/>
            <w:vAlign w:val="center"/>
            <w:hideMark/>
          </w:tcPr>
          <w:p w14:paraId="3690F2FD" w14:textId="77777777" w:rsidR="000D7CCD" w:rsidRPr="00E60BC5" w:rsidRDefault="008441A6">
            <w:pPr>
              <w:rPr>
                <w:rFonts w:ascii="Arial Narrow" w:hAnsi="Arial Narrow" w:cs="Calibri"/>
                <w:color w:val="000000"/>
                <w:sz w:val="20"/>
                <w:szCs w:val="20"/>
              </w:rPr>
            </w:pPr>
            <w:r>
              <w:rPr>
                <w:rFonts w:ascii="Arial Narrow" w:hAnsi="Arial Narrow" w:cs="Calibri"/>
                <w:color w:val="000000"/>
                <w:sz w:val="20"/>
                <w:szCs w:val="20"/>
              </w:rPr>
              <w:t>Anulación</w:t>
            </w:r>
            <w:r w:rsidR="000D7CCD" w:rsidRPr="00E60BC5">
              <w:rPr>
                <w:rFonts w:ascii="Arial Narrow" w:hAnsi="Arial Narrow" w:cs="Calibri"/>
                <w:color w:val="000000"/>
                <w:sz w:val="20"/>
                <w:szCs w:val="20"/>
              </w:rPr>
              <w:t xml:space="preserve"> de plazas por el cambio de Gobierno</w:t>
            </w:r>
          </w:p>
        </w:tc>
        <w:tc>
          <w:tcPr>
            <w:tcW w:w="3009" w:type="dxa"/>
            <w:tcBorders>
              <w:top w:val="single" w:sz="2" w:space="0" w:color="auto"/>
              <w:left w:val="nil"/>
              <w:bottom w:val="single" w:sz="2" w:space="0" w:color="auto"/>
              <w:right w:val="nil"/>
            </w:tcBorders>
            <w:shd w:val="clear" w:color="auto" w:fill="auto"/>
            <w:vAlign w:val="center"/>
            <w:hideMark/>
          </w:tcPr>
          <w:p w14:paraId="71C6AAC0" w14:textId="77777777" w:rsidR="000D7CCD" w:rsidRPr="00E60BC5" w:rsidRDefault="000D7CCD">
            <w:pPr>
              <w:jc w:val="right"/>
              <w:rPr>
                <w:rFonts w:ascii="Arial Narrow" w:hAnsi="Arial Narrow" w:cs="Calibri"/>
                <w:color w:val="000000"/>
                <w:sz w:val="20"/>
                <w:szCs w:val="20"/>
              </w:rPr>
            </w:pPr>
            <w:r w:rsidRPr="00E60BC5">
              <w:rPr>
                <w:rFonts w:ascii="Arial Narrow" w:hAnsi="Arial Narrow" w:cs="Calibri"/>
                <w:color w:val="000000"/>
                <w:sz w:val="20"/>
                <w:szCs w:val="20"/>
              </w:rPr>
              <w:t>-92</w:t>
            </w:r>
          </w:p>
        </w:tc>
      </w:tr>
      <w:tr w:rsidR="000D7CCD" w14:paraId="5EDE7557" w14:textId="77777777" w:rsidTr="006A52D7">
        <w:trPr>
          <w:trHeight w:val="198"/>
          <w:jc w:val="center"/>
        </w:trPr>
        <w:tc>
          <w:tcPr>
            <w:tcW w:w="5780" w:type="dxa"/>
            <w:tcBorders>
              <w:top w:val="single" w:sz="2" w:space="0" w:color="auto"/>
              <w:left w:val="nil"/>
              <w:bottom w:val="single" w:sz="4" w:space="0" w:color="auto"/>
              <w:right w:val="nil"/>
            </w:tcBorders>
            <w:shd w:val="clear" w:color="auto" w:fill="auto"/>
            <w:vAlign w:val="center"/>
            <w:hideMark/>
          </w:tcPr>
          <w:p w14:paraId="00592D27" w14:textId="77777777" w:rsidR="000D7CCD" w:rsidRPr="00E60BC5" w:rsidRDefault="000D7CCD">
            <w:pPr>
              <w:rPr>
                <w:rFonts w:ascii="Arial Narrow" w:hAnsi="Arial Narrow" w:cs="Calibri"/>
                <w:color w:val="000000"/>
                <w:sz w:val="20"/>
                <w:szCs w:val="20"/>
              </w:rPr>
            </w:pPr>
            <w:r w:rsidRPr="00E60BC5">
              <w:rPr>
                <w:rFonts w:ascii="Arial Narrow" w:hAnsi="Arial Narrow" w:cs="Calibri"/>
                <w:color w:val="000000"/>
                <w:sz w:val="20"/>
                <w:szCs w:val="20"/>
              </w:rPr>
              <w:t>Plazas plantilla Orgánica 2023</w:t>
            </w:r>
          </w:p>
        </w:tc>
        <w:tc>
          <w:tcPr>
            <w:tcW w:w="3009" w:type="dxa"/>
            <w:tcBorders>
              <w:top w:val="single" w:sz="2" w:space="0" w:color="auto"/>
              <w:left w:val="nil"/>
              <w:bottom w:val="single" w:sz="4" w:space="0" w:color="auto"/>
              <w:right w:val="nil"/>
            </w:tcBorders>
            <w:shd w:val="clear" w:color="auto" w:fill="auto"/>
            <w:vAlign w:val="center"/>
            <w:hideMark/>
          </w:tcPr>
          <w:p w14:paraId="7825D80D" w14:textId="77777777" w:rsidR="000D7CCD" w:rsidRPr="00E60BC5" w:rsidRDefault="000D7CCD">
            <w:pPr>
              <w:jc w:val="right"/>
              <w:rPr>
                <w:rFonts w:ascii="Arial Narrow" w:hAnsi="Arial Narrow" w:cs="Calibri"/>
                <w:color w:val="000000"/>
                <w:sz w:val="20"/>
                <w:szCs w:val="20"/>
              </w:rPr>
            </w:pPr>
            <w:r w:rsidRPr="00E60BC5">
              <w:rPr>
                <w:rFonts w:ascii="Arial Narrow" w:hAnsi="Arial Narrow" w:cs="Calibri"/>
                <w:color w:val="000000"/>
                <w:sz w:val="20"/>
                <w:szCs w:val="20"/>
              </w:rPr>
              <w:t>26.101</w:t>
            </w:r>
          </w:p>
        </w:tc>
      </w:tr>
    </w:tbl>
    <w:p w14:paraId="1748742F" w14:textId="77777777" w:rsidR="00614DC4" w:rsidRPr="0067536B" w:rsidRDefault="00614DC4" w:rsidP="00A872CE">
      <w:pPr>
        <w:pStyle w:val="texto"/>
        <w:spacing w:before="240"/>
        <w:jc w:val="both"/>
      </w:pPr>
      <w:r w:rsidRPr="0067536B">
        <w:t>Hemos constatado que todas estas modificaciones se han incorporado a</w:t>
      </w:r>
      <w:r w:rsidR="009B073D" w:rsidRPr="0067536B">
        <w:t xml:space="preserve">l documento de la plantilla que debe publicarse. </w:t>
      </w:r>
    </w:p>
    <w:p w14:paraId="519DDFED" w14:textId="77777777" w:rsidR="00614DC4" w:rsidRPr="009C25CD" w:rsidRDefault="00614DC4" w:rsidP="00A872CE">
      <w:pPr>
        <w:pStyle w:val="atitulo3"/>
        <w:spacing w:before="240"/>
      </w:pPr>
      <w:r w:rsidRPr="009C25CD">
        <w:lastRenderedPageBreak/>
        <w:t>Análisis de la tasa de reposición y estabilización</w:t>
      </w:r>
    </w:p>
    <w:p w14:paraId="30A4716C" w14:textId="77777777" w:rsidR="00B17021" w:rsidRPr="009C25CD" w:rsidRDefault="00614DC4" w:rsidP="006A52D7">
      <w:pPr>
        <w:pStyle w:val="texto"/>
        <w:spacing w:before="240" w:after="180"/>
        <w:jc w:val="both"/>
      </w:pPr>
      <w:r w:rsidRPr="009C25CD">
        <w:t>A lo largo de 202</w:t>
      </w:r>
      <w:r w:rsidR="007748D4" w:rsidRPr="009C25CD">
        <w:t>3</w:t>
      </w:r>
      <w:r w:rsidRPr="009C25CD">
        <w:t xml:space="preserve"> se han aprobado sucesivas </w:t>
      </w:r>
      <w:r w:rsidR="00375E4D">
        <w:t xml:space="preserve">Ofertas Públicas de Empleo (en adelante </w:t>
      </w:r>
      <w:r w:rsidRPr="009C25CD">
        <w:t>OPE</w:t>
      </w:r>
      <w:r w:rsidR="00375E4D">
        <w:t>)</w:t>
      </w:r>
      <w:r w:rsidRPr="009C25CD">
        <w:t xml:space="preserve"> contemplando las siguientes plazas:</w:t>
      </w:r>
      <w:r w:rsidR="000A562A" w:rsidRPr="009C25CD">
        <w:t xml:space="preserve"> </w:t>
      </w:r>
    </w:p>
    <w:tbl>
      <w:tblPr>
        <w:tblW w:w="5000" w:type="pct"/>
        <w:jc w:val="center"/>
        <w:tblCellMar>
          <w:left w:w="30" w:type="dxa"/>
          <w:right w:w="30" w:type="dxa"/>
        </w:tblCellMar>
        <w:tblLook w:val="04A0" w:firstRow="1" w:lastRow="0" w:firstColumn="1" w:lastColumn="0" w:noHBand="0" w:noVBand="1"/>
      </w:tblPr>
      <w:tblGrid>
        <w:gridCol w:w="3323"/>
        <w:gridCol w:w="2772"/>
        <w:gridCol w:w="1254"/>
        <w:gridCol w:w="589"/>
        <w:gridCol w:w="851"/>
      </w:tblGrid>
      <w:tr w:rsidR="009C25CD" w:rsidRPr="009C25CD" w14:paraId="5D28A1AA" w14:textId="77777777" w:rsidTr="00E04706">
        <w:trPr>
          <w:trHeight w:val="255"/>
          <w:jc w:val="center"/>
        </w:trPr>
        <w:tc>
          <w:tcPr>
            <w:tcW w:w="3323" w:type="dxa"/>
            <w:tcBorders>
              <w:top w:val="single" w:sz="4" w:space="0" w:color="auto"/>
              <w:left w:val="nil"/>
              <w:bottom w:val="single" w:sz="4" w:space="0" w:color="auto"/>
              <w:right w:val="nil"/>
            </w:tcBorders>
            <w:shd w:val="clear" w:color="auto" w:fill="8DB3E2"/>
            <w:vAlign w:val="center"/>
          </w:tcPr>
          <w:p w14:paraId="2FA00C69" w14:textId="77777777" w:rsidR="00B17021" w:rsidRPr="009C25CD" w:rsidRDefault="00B17021" w:rsidP="00B17021">
            <w:pPr>
              <w:pStyle w:val="cuadroCabe"/>
            </w:pPr>
          </w:p>
        </w:tc>
        <w:tc>
          <w:tcPr>
            <w:tcW w:w="2772" w:type="dxa"/>
            <w:tcBorders>
              <w:top w:val="single" w:sz="4" w:space="0" w:color="auto"/>
              <w:left w:val="nil"/>
              <w:bottom w:val="single" w:sz="4" w:space="0" w:color="auto"/>
              <w:right w:val="nil"/>
            </w:tcBorders>
            <w:shd w:val="clear" w:color="auto" w:fill="8DB3E2"/>
            <w:vAlign w:val="center"/>
            <w:hideMark/>
          </w:tcPr>
          <w:p w14:paraId="2A08D942" w14:textId="77777777" w:rsidR="00B17021" w:rsidRPr="009C25CD" w:rsidRDefault="00B17021" w:rsidP="00B17021">
            <w:pPr>
              <w:pStyle w:val="cuadroCabe"/>
              <w:jc w:val="right"/>
            </w:pPr>
            <w:r w:rsidRPr="009C25CD">
              <w:t>Administración núcleo</w:t>
            </w:r>
          </w:p>
        </w:tc>
        <w:tc>
          <w:tcPr>
            <w:tcW w:w="1254" w:type="dxa"/>
            <w:tcBorders>
              <w:top w:val="single" w:sz="4" w:space="0" w:color="auto"/>
              <w:left w:val="nil"/>
              <w:bottom w:val="single" w:sz="4" w:space="0" w:color="auto"/>
              <w:right w:val="nil"/>
            </w:tcBorders>
            <w:shd w:val="clear" w:color="auto" w:fill="8DB3E2"/>
            <w:vAlign w:val="center"/>
            <w:hideMark/>
          </w:tcPr>
          <w:p w14:paraId="30838CE6" w14:textId="77777777" w:rsidR="00B17021" w:rsidRPr="009C25CD" w:rsidRDefault="00B17021" w:rsidP="00B17021">
            <w:pPr>
              <w:pStyle w:val="cuadroCabe"/>
              <w:jc w:val="right"/>
            </w:pPr>
            <w:r w:rsidRPr="009C25CD">
              <w:t>Educación</w:t>
            </w:r>
          </w:p>
        </w:tc>
        <w:tc>
          <w:tcPr>
            <w:tcW w:w="589" w:type="dxa"/>
            <w:tcBorders>
              <w:top w:val="single" w:sz="4" w:space="0" w:color="auto"/>
              <w:left w:val="nil"/>
              <w:bottom w:val="single" w:sz="4" w:space="0" w:color="auto"/>
              <w:right w:val="nil"/>
            </w:tcBorders>
            <w:shd w:val="clear" w:color="auto" w:fill="8DB3E2"/>
            <w:vAlign w:val="center"/>
          </w:tcPr>
          <w:p w14:paraId="41C117D1" w14:textId="77777777" w:rsidR="00B17021" w:rsidRPr="009C25CD" w:rsidRDefault="00B17021" w:rsidP="00B17021">
            <w:pPr>
              <w:pStyle w:val="cuadroCabe"/>
              <w:jc w:val="right"/>
            </w:pPr>
            <w:r w:rsidRPr="009C25CD">
              <w:t>Salud</w:t>
            </w:r>
          </w:p>
        </w:tc>
        <w:tc>
          <w:tcPr>
            <w:tcW w:w="851" w:type="dxa"/>
            <w:tcBorders>
              <w:top w:val="single" w:sz="4" w:space="0" w:color="auto"/>
              <w:left w:val="nil"/>
              <w:bottom w:val="single" w:sz="4" w:space="0" w:color="auto"/>
              <w:right w:val="nil"/>
            </w:tcBorders>
            <w:shd w:val="clear" w:color="auto" w:fill="8DB3E2"/>
            <w:vAlign w:val="center"/>
            <w:hideMark/>
          </w:tcPr>
          <w:p w14:paraId="27BB729C" w14:textId="77777777" w:rsidR="00B17021" w:rsidRPr="009C25CD" w:rsidRDefault="00B17021" w:rsidP="00B17021">
            <w:pPr>
              <w:pStyle w:val="cuadroCabe"/>
              <w:jc w:val="right"/>
            </w:pPr>
            <w:r w:rsidRPr="009C25CD">
              <w:t>Total</w:t>
            </w:r>
          </w:p>
        </w:tc>
      </w:tr>
      <w:tr w:rsidR="00710D7B" w:rsidRPr="009C25CD" w14:paraId="64BC535F" w14:textId="77777777" w:rsidTr="00182B19">
        <w:trPr>
          <w:trHeight w:val="198"/>
          <w:jc w:val="center"/>
        </w:trPr>
        <w:tc>
          <w:tcPr>
            <w:tcW w:w="3323" w:type="dxa"/>
            <w:tcBorders>
              <w:top w:val="single" w:sz="4" w:space="0" w:color="auto"/>
              <w:left w:val="nil"/>
              <w:bottom w:val="single" w:sz="2" w:space="0" w:color="auto"/>
              <w:right w:val="nil"/>
            </w:tcBorders>
            <w:vAlign w:val="center"/>
          </w:tcPr>
          <w:p w14:paraId="7ACECC2C" w14:textId="77777777" w:rsidR="00710D7B" w:rsidRPr="009C25CD" w:rsidRDefault="00710D7B" w:rsidP="00710D7B">
            <w:pPr>
              <w:pStyle w:val="cuatexto"/>
              <w:rPr>
                <w:szCs w:val="20"/>
              </w:rPr>
            </w:pPr>
            <w:r w:rsidRPr="009C25CD">
              <w:rPr>
                <w:szCs w:val="20"/>
              </w:rPr>
              <w:t>Tasa de reposición ordinaria</w:t>
            </w:r>
          </w:p>
        </w:tc>
        <w:tc>
          <w:tcPr>
            <w:tcW w:w="2772" w:type="dxa"/>
            <w:tcBorders>
              <w:top w:val="single" w:sz="4" w:space="0" w:color="auto"/>
              <w:left w:val="nil"/>
              <w:bottom w:val="single" w:sz="2" w:space="0" w:color="auto"/>
              <w:right w:val="nil"/>
            </w:tcBorders>
            <w:vAlign w:val="center"/>
          </w:tcPr>
          <w:p w14:paraId="6A7BB6E2" w14:textId="77777777" w:rsidR="00710D7B" w:rsidRPr="009C25CD" w:rsidRDefault="00710D7B" w:rsidP="00710D7B">
            <w:pPr>
              <w:jc w:val="right"/>
              <w:rPr>
                <w:rFonts w:ascii="Arial Narrow" w:hAnsi="Arial Narrow" w:cs="Calibri"/>
                <w:sz w:val="20"/>
                <w:szCs w:val="20"/>
              </w:rPr>
            </w:pPr>
            <w:r w:rsidRPr="009C25CD">
              <w:rPr>
                <w:rFonts w:ascii="Arial Narrow" w:hAnsi="Arial Narrow" w:cs="Calibri"/>
                <w:sz w:val="20"/>
                <w:szCs w:val="20"/>
              </w:rPr>
              <w:t>306</w:t>
            </w:r>
          </w:p>
        </w:tc>
        <w:tc>
          <w:tcPr>
            <w:tcW w:w="1254" w:type="dxa"/>
            <w:tcBorders>
              <w:top w:val="single" w:sz="4" w:space="0" w:color="auto"/>
              <w:left w:val="nil"/>
              <w:bottom w:val="single" w:sz="2" w:space="0" w:color="auto"/>
              <w:right w:val="nil"/>
            </w:tcBorders>
            <w:vAlign w:val="center"/>
          </w:tcPr>
          <w:p w14:paraId="2723E288" w14:textId="77777777" w:rsidR="00710D7B" w:rsidRPr="009C25CD" w:rsidRDefault="00710D7B" w:rsidP="00710D7B">
            <w:pPr>
              <w:jc w:val="right"/>
              <w:rPr>
                <w:rFonts w:ascii="Arial Narrow" w:hAnsi="Arial Narrow" w:cs="Calibri"/>
                <w:sz w:val="20"/>
                <w:szCs w:val="20"/>
              </w:rPr>
            </w:pPr>
            <w:r w:rsidRPr="009C25CD">
              <w:rPr>
                <w:rFonts w:ascii="Arial Narrow" w:hAnsi="Arial Narrow" w:cs="Calibri"/>
                <w:sz w:val="20"/>
                <w:szCs w:val="20"/>
              </w:rPr>
              <w:t>260</w:t>
            </w:r>
          </w:p>
        </w:tc>
        <w:tc>
          <w:tcPr>
            <w:tcW w:w="589" w:type="dxa"/>
            <w:tcBorders>
              <w:top w:val="single" w:sz="4" w:space="0" w:color="auto"/>
              <w:left w:val="nil"/>
              <w:bottom w:val="single" w:sz="2" w:space="0" w:color="auto"/>
              <w:right w:val="nil"/>
            </w:tcBorders>
            <w:vAlign w:val="center"/>
          </w:tcPr>
          <w:p w14:paraId="26B63A7F" w14:textId="77777777" w:rsidR="00710D7B" w:rsidRPr="009C25CD" w:rsidRDefault="00710D7B" w:rsidP="00710D7B">
            <w:pPr>
              <w:jc w:val="right"/>
              <w:rPr>
                <w:rFonts w:ascii="Arial Narrow" w:hAnsi="Arial Narrow" w:cs="Calibri"/>
                <w:sz w:val="20"/>
                <w:szCs w:val="20"/>
              </w:rPr>
            </w:pPr>
            <w:r w:rsidRPr="009C25CD">
              <w:rPr>
                <w:rFonts w:ascii="Arial Narrow" w:hAnsi="Arial Narrow" w:cs="Calibri"/>
                <w:sz w:val="20"/>
                <w:szCs w:val="20"/>
              </w:rPr>
              <w:t>290</w:t>
            </w:r>
          </w:p>
        </w:tc>
        <w:tc>
          <w:tcPr>
            <w:tcW w:w="851" w:type="dxa"/>
            <w:tcBorders>
              <w:top w:val="single" w:sz="4" w:space="0" w:color="auto"/>
              <w:left w:val="nil"/>
              <w:bottom w:val="single" w:sz="2" w:space="0" w:color="auto"/>
              <w:right w:val="nil"/>
            </w:tcBorders>
            <w:vAlign w:val="center"/>
          </w:tcPr>
          <w:p w14:paraId="37EEF1BB" w14:textId="77777777" w:rsidR="00710D7B" w:rsidRPr="009C25CD" w:rsidRDefault="00710D7B" w:rsidP="00710D7B">
            <w:pPr>
              <w:jc w:val="right"/>
              <w:rPr>
                <w:rFonts w:ascii="Arial Narrow" w:hAnsi="Arial Narrow" w:cs="Calibri"/>
                <w:sz w:val="20"/>
                <w:szCs w:val="20"/>
              </w:rPr>
            </w:pPr>
            <w:r w:rsidRPr="009C25CD">
              <w:rPr>
                <w:rFonts w:ascii="Arial Narrow" w:hAnsi="Arial Narrow" w:cs="Calibri"/>
                <w:sz w:val="20"/>
                <w:szCs w:val="20"/>
              </w:rPr>
              <w:t>856</w:t>
            </w:r>
          </w:p>
        </w:tc>
      </w:tr>
      <w:tr w:rsidR="00710D7B" w:rsidRPr="009C25CD" w14:paraId="68FE134B" w14:textId="77777777" w:rsidTr="00182B19">
        <w:trPr>
          <w:trHeight w:val="198"/>
          <w:jc w:val="center"/>
        </w:trPr>
        <w:tc>
          <w:tcPr>
            <w:tcW w:w="3323" w:type="dxa"/>
            <w:tcBorders>
              <w:top w:val="single" w:sz="2" w:space="0" w:color="auto"/>
              <w:left w:val="nil"/>
              <w:bottom w:val="single" w:sz="4" w:space="0" w:color="auto"/>
              <w:right w:val="nil"/>
            </w:tcBorders>
            <w:vAlign w:val="center"/>
          </w:tcPr>
          <w:p w14:paraId="27D74572" w14:textId="77777777" w:rsidR="00710D7B" w:rsidRPr="009C25CD" w:rsidRDefault="00710D7B" w:rsidP="00710D7B">
            <w:pPr>
              <w:pStyle w:val="cuatexto"/>
              <w:rPr>
                <w:szCs w:val="20"/>
              </w:rPr>
            </w:pPr>
            <w:r w:rsidRPr="009C25CD">
              <w:rPr>
                <w:szCs w:val="20"/>
              </w:rPr>
              <w:t>Tasa de reposición específica</w:t>
            </w:r>
          </w:p>
        </w:tc>
        <w:tc>
          <w:tcPr>
            <w:tcW w:w="2772" w:type="dxa"/>
            <w:tcBorders>
              <w:top w:val="single" w:sz="2" w:space="0" w:color="auto"/>
              <w:left w:val="nil"/>
              <w:bottom w:val="single" w:sz="4" w:space="0" w:color="auto"/>
              <w:right w:val="nil"/>
            </w:tcBorders>
            <w:vAlign w:val="center"/>
          </w:tcPr>
          <w:p w14:paraId="088FE967" w14:textId="77777777" w:rsidR="00710D7B" w:rsidRPr="009C25CD" w:rsidRDefault="00710D7B" w:rsidP="00710D7B">
            <w:pPr>
              <w:jc w:val="right"/>
              <w:rPr>
                <w:rFonts w:ascii="Arial Narrow" w:hAnsi="Arial Narrow" w:cs="Calibri"/>
                <w:sz w:val="20"/>
                <w:szCs w:val="20"/>
              </w:rPr>
            </w:pPr>
            <w:r w:rsidRPr="009C25CD">
              <w:rPr>
                <w:rFonts w:ascii="Arial Narrow" w:hAnsi="Arial Narrow" w:cs="Calibri"/>
                <w:sz w:val="20"/>
                <w:szCs w:val="20"/>
              </w:rPr>
              <w:t>601</w:t>
            </w:r>
          </w:p>
        </w:tc>
        <w:tc>
          <w:tcPr>
            <w:tcW w:w="1254" w:type="dxa"/>
            <w:tcBorders>
              <w:top w:val="single" w:sz="2" w:space="0" w:color="auto"/>
              <w:left w:val="nil"/>
              <w:bottom w:val="single" w:sz="4" w:space="0" w:color="auto"/>
              <w:right w:val="nil"/>
            </w:tcBorders>
            <w:vAlign w:val="center"/>
          </w:tcPr>
          <w:p w14:paraId="13F9D6BC" w14:textId="77777777" w:rsidR="00710D7B" w:rsidRPr="009C25CD" w:rsidRDefault="00710D7B" w:rsidP="00710D7B">
            <w:pPr>
              <w:jc w:val="right"/>
              <w:rPr>
                <w:rFonts w:ascii="Arial Narrow" w:hAnsi="Arial Narrow" w:cs="Calibri"/>
                <w:sz w:val="20"/>
                <w:szCs w:val="20"/>
              </w:rPr>
            </w:pPr>
            <w:r w:rsidRPr="009C25CD">
              <w:rPr>
                <w:rFonts w:ascii="Arial Narrow" w:hAnsi="Arial Narrow" w:cs="Calibri"/>
                <w:sz w:val="20"/>
                <w:szCs w:val="20"/>
              </w:rPr>
              <w:t>267</w:t>
            </w:r>
          </w:p>
        </w:tc>
        <w:tc>
          <w:tcPr>
            <w:tcW w:w="589" w:type="dxa"/>
            <w:tcBorders>
              <w:top w:val="single" w:sz="2" w:space="0" w:color="auto"/>
              <w:left w:val="nil"/>
              <w:bottom w:val="single" w:sz="4" w:space="0" w:color="auto"/>
              <w:right w:val="nil"/>
            </w:tcBorders>
            <w:vAlign w:val="center"/>
          </w:tcPr>
          <w:p w14:paraId="72AF9441" w14:textId="77777777" w:rsidR="00710D7B" w:rsidRPr="009C25CD" w:rsidRDefault="00710D7B" w:rsidP="00710D7B">
            <w:pPr>
              <w:jc w:val="right"/>
              <w:rPr>
                <w:rFonts w:ascii="Arial Narrow" w:hAnsi="Arial Narrow" w:cs="Calibri"/>
                <w:sz w:val="20"/>
                <w:szCs w:val="20"/>
              </w:rPr>
            </w:pPr>
            <w:r w:rsidRPr="009C25CD">
              <w:rPr>
                <w:rFonts w:ascii="Arial Narrow" w:hAnsi="Arial Narrow" w:cs="Calibri"/>
                <w:sz w:val="20"/>
                <w:szCs w:val="20"/>
              </w:rPr>
              <w:t>281</w:t>
            </w:r>
          </w:p>
        </w:tc>
        <w:tc>
          <w:tcPr>
            <w:tcW w:w="851" w:type="dxa"/>
            <w:tcBorders>
              <w:top w:val="single" w:sz="2" w:space="0" w:color="auto"/>
              <w:left w:val="nil"/>
              <w:bottom w:val="single" w:sz="4" w:space="0" w:color="auto"/>
              <w:right w:val="nil"/>
            </w:tcBorders>
            <w:vAlign w:val="center"/>
          </w:tcPr>
          <w:p w14:paraId="54D77706" w14:textId="77777777" w:rsidR="00710D7B" w:rsidRPr="009C25CD" w:rsidRDefault="00710D7B" w:rsidP="00710D7B">
            <w:pPr>
              <w:jc w:val="right"/>
              <w:rPr>
                <w:rFonts w:ascii="Arial Narrow" w:hAnsi="Arial Narrow" w:cs="Calibri"/>
                <w:sz w:val="20"/>
                <w:szCs w:val="20"/>
              </w:rPr>
            </w:pPr>
            <w:r w:rsidRPr="009C25CD">
              <w:rPr>
                <w:rFonts w:ascii="Arial Narrow" w:hAnsi="Arial Narrow" w:cs="Calibri"/>
                <w:sz w:val="20"/>
                <w:szCs w:val="20"/>
              </w:rPr>
              <w:t>1.14</w:t>
            </w:r>
            <w:r>
              <w:rPr>
                <w:rFonts w:ascii="Arial Narrow" w:hAnsi="Arial Narrow" w:cs="Calibri"/>
                <w:sz w:val="20"/>
                <w:szCs w:val="20"/>
              </w:rPr>
              <w:t>9</w:t>
            </w:r>
          </w:p>
        </w:tc>
      </w:tr>
      <w:tr w:rsidR="00710D7B" w:rsidRPr="009C25CD" w14:paraId="77BD1DFA" w14:textId="77777777" w:rsidTr="00182B19">
        <w:trPr>
          <w:trHeight w:val="255"/>
          <w:jc w:val="center"/>
        </w:trPr>
        <w:tc>
          <w:tcPr>
            <w:tcW w:w="3323" w:type="dxa"/>
            <w:tcBorders>
              <w:top w:val="single" w:sz="4" w:space="0" w:color="auto"/>
              <w:left w:val="nil"/>
              <w:bottom w:val="single" w:sz="4" w:space="0" w:color="auto"/>
              <w:right w:val="nil"/>
            </w:tcBorders>
            <w:shd w:val="clear" w:color="auto" w:fill="8DB3E2"/>
            <w:vAlign w:val="center"/>
          </w:tcPr>
          <w:p w14:paraId="76371695" w14:textId="77777777" w:rsidR="00710D7B" w:rsidRPr="009C25CD" w:rsidRDefault="00710D7B" w:rsidP="00710D7B">
            <w:pPr>
              <w:keepLines/>
              <w:tabs>
                <w:tab w:val="right" w:pos="2835"/>
                <w:tab w:val="right" w:pos="3969"/>
                <w:tab w:val="right" w:pos="5103"/>
                <w:tab w:val="right" w:pos="6237"/>
                <w:tab w:val="right" w:pos="7371"/>
              </w:tabs>
              <w:rPr>
                <w:rFonts w:ascii="Arial" w:hAnsi="Arial" w:cs="Arial"/>
                <w:spacing w:val="6"/>
                <w:sz w:val="18"/>
                <w:szCs w:val="18"/>
              </w:rPr>
            </w:pPr>
            <w:r w:rsidRPr="009C25CD">
              <w:rPr>
                <w:rFonts w:ascii="Arial" w:hAnsi="Arial" w:cs="Arial"/>
                <w:spacing w:val="6"/>
                <w:sz w:val="18"/>
                <w:szCs w:val="18"/>
              </w:rPr>
              <w:t>Total</w:t>
            </w:r>
          </w:p>
        </w:tc>
        <w:tc>
          <w:tcPr>
            <w:tcW w:w="2772" w:type="dxa"/>
            <w:tcBorders>
              <w:top w:val="single" w:sz="4" w:space="0" w:color="auto"/>
              <w:left w:val="nil"/>
              <w:bottom w:val="single" w:sz="4" w:space="0" w:color="auto"/>
              <w:right w:val="nil"/>
            </w:tcBorders>
            <w:shd w:val="clear" w:color="auto" w:fill="8DB3E2"/>
            <w:vAlign w:val="center"/>
          </w:tcPr>
          <w:p w14:paraId="3A6A5960" w14:textId="77777777" w:rsidR="00710D7B" w:rsidRPr="009C25CD" w:rsidRDefault="00710D7B" w:rsidP="00710D7B">
            <w:pPr>
              <w:jc w:val="right"/>
              <w:rPr>
                <w:rFonts w:ascii="Arial" w:hAnsi="Arial" w:cs="Arial"/>
                <w:sz w:val="18"/>
                <w:szCs w:val="18"/>
              </w:rPr>
            </w:pPr>
            <w:r w:rsidRPr="009C25CD">
              <w:rPr>
                <w:rFonts w:ascii="Arial" w:hAnsi="Arial" w:cs="Arial"/>
                <w:sz w:val="18"/>
                <w:szCs w:val="18"/>
              </w:rPr>
              <w:t>907</w:t>
            </w:r>
          </w:p>
        </w:tc>
        <w:tc>
          <w:tcPr>
            <w:tcW w:w="1254" w:type="dxa"/>
            <w:tcBorders>
              <w:top w:val="single" w:sz="4" w:space="0" w:color="auto"/>
              <w:left w:val="nil"/>
              <w:bottom w:val="single" w:sz="4" w:space="0" w:color="auto"/>
              <w:right w:val="nil"/>
            </w:tcBorders>
            <w:shd w:val="clear" w:color="auto" w:fill="8DB3E2"/>
            <w:vAlign w:val="center"/>
          </w:tcPr>
          <w:p w14:paraId="1CF38C79" w14:textId="77777777" w:rsidR="00710D7B" w:rsidRPr="009C25CD" w:rsidRDefault="00710D7B" w:rsidP="00710D7B">
            <w:pPr>
              <w:jc w:val="right"/>
              <w:rPr>
                <w:rFonts w:ascii="Arial" w:hAnsi="Arial" w:cs="Arial"/>
                <w:sz w:val="18"/>
                <w:szCs w:val="18"/>
              </w:rPr>
            </w:pPr>
            <w:r w:rsidRPr="009C25CD">
              <w:rPr>
                <w:rFonts w:ascii="Arial" w:hAnsi="Arial" w:cs="Arial"/>
                <w:sz w:val="18"/>
                <w:szCs w:val="18"/>
              </w:rPr>
              <w:t>527</w:t>
            </w:r>
          </w:p>
        </w:tc>
        <w:tc>
          <w:tcPr>
            <w:tcW w:w="589" w:type="dxa"/>
            <w:tcBorders>
              <w:top w:val="single" w:sz="4" w:space="0" w:color="auto"/>
              <w:left w:val="nil"/>
              <w:bottom w:val="single" w:sz="4" w:space="0" w:color="auto"/>
              <w:right w:val="nil"/>
            </w:tcBorders>
            <w:shd w:val="clear" w:color="auto" w:fill="8DB3E2"/>
            <w:vAlign w:val="center"/>
          </w:tcPr>
          <w:p w14:paraId="4660B434" w14:textId="77777777" w:rsidR="00710D7B" w:rsidRPr="009C25CD" w:rsidRDefault="00710D7B" w:rsidP="00710D7B">
            <w:pPr>
              <w:jc w:val="right"/>
              <w:rPr>
                <w:rFonts w:ascii="Arial" w:hAnsi="Arial" w:cs="Arial"/>
                <w:sz w:val="18"/>
                <w:szCs w:val="18"/>
              </w:rPr>
            </w:pPr>
            <w:r w:rsidRPr="009C25CD">
              <w:rPr>
                <w:rFonts w:ascii="Arial" w:hAnsi="Arial" w:cs="Arial"/>
                <w:sz w:val="18"/>
                <w:szCs w:val="18"/>
              </w:rPr>
              <w:t>571</w:t>
            </w:r>
          </w:p>
        </w:tc>
        <w:tc>
          <w:tcPr>
            <w:tcW w:w="851" w:type="dxa"/>
            <w:tcBorders>
              <w:top w:val="single" w:sz="4" w:space="0" w:color="auto"/>
              <w:left w:val="nil"/>
              <w:bottom w:val="single" w:sz="4" w:space="0" w:color="auto"/>
              <w:right w:val="nil"/>
            </w:tcBorders>
            <w:shd w:val="clear" w:color="auto" w:fill="8DB3E2"/>
            <w:vAlign w:val="center"/>
          </w:tcPr>
          <w:p w14:paraId="06EE1C37" w14:textId="77777777" w:rsidR="00710D7B" w:rsidRPr="009C25CD" w:rsidRDefault="00710D7B" w:rsidP="00710D7B">
            <w:pPr>
              <w:jc w:val="right"/>
              <w:rPr>
                <w:rFonts w:ascii="Arial" w:hAnsi="Arial" w:cs="Arial"/>
                <w:sz w:val="18"/>
                <w:szCs w:val="18"/>
              </w:rPr>
            </w:pPr>
            <w:r w:rsidRPr="009C25CD">
              <w:rPr>
                <w:rFonts w:ascii="Arial" w:hAnsi="Arial" w:cs="Arial"/>
                <w:sz w:val="18"/>
                <w:szCs w:val="18"/>
              </w:rPr>
              <w:t>2.005</w:t>
            </w:r>
          </w:p>
        </w:tc>
      </w:tr>
    </w:tbl>
    <w:p w14:paraId="2D340246" w14:textId="77777777" w:rsidR="008317BB" w:rsidRDefault="00614DC4" w:rsidP="00E60BC5">
      <w:pPr>
        <w:pStyle w:val="texto"/>
        <w:spacing w:before="240" w:after="120"/>
        <w:jc w:val="both"/>
      </w:pPr>
      <w:r w:rsidRPr="009C25CD">
        <w:t>C</w:t>
      </w:r>
      <w:r w:rsidR="009C25CD" w:rsidRPr="009C25CD">
        <w:t>omo se observa, de las 2.005 plazas, 907</w:t>
      </w:r>
      <w:r w:rsidRPr="009C25CD">
        <w:t xml:space="preserve"> (</w:t>
      </w:r>
      <w:r w:rsidR="009C25CD">
        <w:t>45</w:t>
      </w:r>
      <w:r w:rsidRPr="009C25CD">
        <w:t xml:space="preserve"> por ciento) corresponden </w:t>
      </w:r>
      <w:r w:rsidR="009C25CD" w:rsidRPr="009C25CD">
        <w:t>a la Administración Núcleo, 571</w:t>
      </w:r>
      <w:r w:rsidR="009C25CD">
        <w:t xml:space="preserve"> (28</w:t>
      </w:r>
      <w:r w:rsidRPr="009C25CD">
        <w:t xml:space="preserve"> </w:t>
      </w:r>
      <w:r w:rsidR="009C25CD" w:rsidRPr="009C25CD">
        <w:t xml:space="preserve">por ciento) a Educación, y las 527 </w:t>
      </w:r>
      <w:r w:rsidR="009C25CD">
        <w:t>plazas restantes (26</w:t>
      </w:r>
      <w:r w:rsidRPr="009C25CD">
        <w:t xml:space="preserve"> por ciento) a Salud.</w:t>
      </w:r>
    </w:p>
    <w:p w14:paraId="3F47F40C" w14:textId="77777777" w:rsidR="009C25CD" w:rsidRPr="009C25CD" w:rsidRDefault="009C25CD" w:rsidP="00A872CE">
      <w:pPr>
        <w:pStyle w:val="texto"/>
        <w:tabs>
          <w:tab w:val="clear" w:pos="2835"/>
          <w:tab w:val="clear" w:pos="3969"/>
          <w:tab w:val="left" w:pos="480"/>
          <w:tab w:val="num" w:pos="600"/>
          <w:tab w:val="num" w:pos="720"/>
          <w:tab w:val="num" w:pos="1320"/>
          <w:tab w:val="num" w:pos="2062"/>
          <w:tab w:val="num" w:pos="4472"/>
        </w:tabs>
        <w:spacing w:after="120"/>
        <w:jc w:val="both"/>
      </w:pPr>
      <w:r w:rsidRPr="009C25CD">
        <w:t>La normativa reguladora de la tasa de reposición se encuentra en el artículo 20 de la Ley 31/2</w:t>
      </w:r>
      <w:r w:rsidR="00375E4D">
        <w:t>02</w:t>
      </w:r>
      <w:r w:rsidRPr="009C25CD">
        <w:t>2</w:t>
      </w:r>
      <w:r w:rsidR="00840EB8">
        <w:t xml:space="preserve">, de 22 de diciembre, </w:t>
      </w:r>
      <w:r w:rsidRPr="009C25CD">
        <w:t xml:space="preserve">de Presupuestos Generales </w:t>
      </w:r>
      <w:r w:rsidR="00375E4D">
        <w:t xml:space="preserve">del Estado para </w:t>
      </w:r>
      <w:r w:rsidRPr="009C25CD">
        <w:t>2023.</w:t>
      </w:r>
      <w:r w:rsidR="00840EB8">
        <w:t xml:space="preserve"> </w:t>
      </w:r>
      <w:r w:rsidRPr="009C25CD">
        <w:t>En el mismo se regula el cálculo de la tasa de reposición como en años anteriores, en función de las altas y bajas de personal durante el ejercicio. No obstante, como novedad este año se ha introducido en este artículo, lo siguiente:</w:t>
      </w:r>
    </w:p>
    <w:p w14:paraId="466A482D" w14:textId="77777777" w:rsidR="009C25CD" w:rsidRDefault="009C25CD" w:rsidP="00182B19">
      <w:pPr>
        <w:pStyle w:val="texto"/>
        <w:tabs>
          <w:tab w:val="clear" w:pos="2835"/>
          <w:tab w:val="clear" w:pos="3969"/>
          <w:tab w:val="left" w:pos="480"/>
          <w:tab w:val="num" w:pos="600"/>
          <w:tab w:val="num" w:pos="720"/>
          <w:tab w:val="num" w:pos="1320"/>
          <w:tab w:val="num" w:pos="2062"/>
          <w:tab w:val="num" w:pos="4472"/>
        </w:tabs>
        <w:spacing w:after="120"/>
        <w:jc w:val="both"/>
        <w:rPr>
          <w:rFonts w:cstheme="minorHAnsi"/>
          <w:i/>
        </w:rPr>
      </w:pPr>
      <w:r>
        <w:rPr>
          <w:rFonts w:cstheme="minorHAnsi"/>
          <w:i/>
        </w:rPr>
        <w:t xml:space="preserve">“Cada Administración podrá autorizar, con carácter extraordinario, una tasa específica que sea necesaria para dar cumplimiento del objetivo previsto en la Ley 20/2021, de 28 de diciembre, de medidas urgentes para la reducción de la temporalidad en el empleo público, de que la temporalidad en el empleo público no supere el 8 por ciento de las plazas de naturaleza estructural en cada uno de sus ámbitos, siempre que venga justificado de acuerdo con el instrumento de planificación plurianual con que deberá contar”. </w:t>
      </w:r>
    </w:p>
    <w:p w14:paraId="765FBBB0" w14:textId="77777777" w:rsidR="009C25CD" w:rsidRDefault="009C25CD" w:rsidP="00A872CE">
      <w:pPr>
        <w:pStyle w:val="texto"/>
        <w:tabs>
          <w:tab w:val="clear" w:pos="2835"/>
          <w:tab w:val="clear" w:pos="3969"/>
          <w:tab w:val="left" w:pos="480"/>
          <w:tab w:val="num" w:pos="600"/>
          <w:tab w:val="num" w:pos="720"/>
          <w:tab w:val="num" w:pos="1320"/>
          <w:tab w:val="num" w:pos="2062"/>
          <w:tab w:val="num" w:pos="4472"/>
        </w:tabs>
        <w:spacing w:after="120"/>
        <w:jc w:val="both"/>
      </w:pPr>
      <w:r w:rsidRPr="009C25CD">
        <w:t>Por tanto</w:t>
      </w:r>
      <w:r>
        <w:t xml:space="preserve">, </w:t>
      </w:r>
      <w:r w:rsidRPr="009C25CD">
        <w:t xml:space="preserve">la regulación de este año ha dado lugar a la definición de una tasa de reposición ordinaria, </w:t>
      </w:r>
      <w:r w:rsidR="00840EB8">
        <w:t xml:space="preserve">y que se ha cuantificado </w:t>
      </w:r>
      <w:r w:rsidRPr="009C25CD">
        <w:t>en 85</w:t>
      </w:r>
      <w:r>
        <w:t>6</w:t>
      </w:r>
      <w:r w:rsidRPr="009C25CD">
        <w:t xml:space="preserve"> puestos</w:t>
      </w:r>
      <w:r w:rsidR="00840EB8">
        <w:t xml:space="preserve">, tal y como </w:t>
      </w:r>
      <w:r w:rsidR="009D67DC">
        <w:t xml:space="preserve">se </w:t>
      </w:r>
      <w:r w:rsidR="00840EB8">
        <w:t xml:space="preserve">ha regulado </w:t>
      </w:r>
      <w:r w:rsidR="009D67DC">
        <w:t xml:space="preserve">en </w:t>
      </w:r>
      <w:r w:rsidRPr="009C25CD">
        <w:t xml:space="preserve">los </w:t>
      </w:r>
      <w:r w:rsidR="00840EB8">
        <w:t>decretos f</w:t>
      </w:r>
      <w:r>
        <w:t>oral</w:t>
      </w:r>
      <w:r w:rsidR="00840EB8">
        <w:t>es</w:t>
      </w:r>
      <w:r>
        <w:t xml:space="preserve"> 307/2023, 305/2023 y 306/2023 para los tres ámbitos. </w:t>
      </w:r>
    </w:p>
    <w:p w14:paraId="51B04ADE" w14:textId="77777777" w:rsidR="009C25CD" w:rsidRDefault="00840EB8" w:rsidP="00A872CE">
      <w:pPr>
        <w:pStyle w:val="texto"/>
        <w:tabs>
          <w:tab w:val="clear" w:pos="2835"/>
          <w:tab w:val="clear" w:pos="3969"/>
          <w:tab w:val="left" w:pos="480"/>
          <w:tab w:val="num" w:pos="600"/>
          <w:tab w:val="num" w:pos="720"/>
          <w:tab w:val="num" w:pos="1320"/>
          <w:tab w:val="num" w:pos="2062"/>
          <w:tab w:val="num" w:pos="4472"/>
        </w:tabs>
        <w:spacing w:after="120"/>
        <w:jc w:val="both"/>
      </w:pPr>
      <w:r>
        <w:t>A</w:t>
      </w:r>
      <w:r w:rsidR="009C25CD" w:rsidRPr="009C25CD">
        <w:t>demás</w:t>
      </w:r>
      <w:r>
        <w:t xml:space="preserve">, </w:t>
      </w:r>
      <w:r w:rsidR="009C25CD" w:rsidRPr="009C25CD">
        <w:t xml:space="preserve">se ha definido para cada ámbito una tasa de reposición específica, regulada en los decretos forales </w:t>
      </w:r>
      <w:r w:rsidR="009C25CD">
        <w:t xml:space="preserve">308/2023, 303/2023 y 304/2023, incluyendo un total de 1.149 plazas. </w:t>
      </w:r>
    </w:p>
    <w:p w14:paraId="73351145" w14:textId="77777777" w:rsidR="00614DC4" w:rsidRPr="00E81126" w:rsidRDefault="00614DC4" w:rsidP="00A872CE">
      <w:pPr>
        <w:pStyle w:val="texto"/>
        <w:numPr>
          <w:ilvl w:val="0"/>
          <w:numId w:val="6"/>
        </w:numPr>
        <w:tabs>
          <w:tab w:val="clear" w:pos="360"/>
          <w:tab w:val="num" w:pos="300"/>
          <w:tab w:val="left" w:pos="480"/>
          <w:tab w:val="num" w:pos="600"/>
        </w:tabs>
        <w:spacing w:after="120"/>
        <w:ind w:firstLine="289"/>
        <w:jc w:val="both"/>
        <w:rPr>
          <w:rFonts w:cstheme="minorHAnsi"/>
          <w:szCs w:val="26"/>
        </w:rPr>
      </w:pPr>
      <w:r w:rsidRPr="00E81126">
        <w:rPr>
          <w:rFonts w:cstheme="minorHAnsi"/>
          <w:szCs w:val="26"/>
        </w:rPr>
        <w:t xml:space="preserve">Hemos revisado si cumplen los requisitos exigidos legalmente para </w:t>
      </w:r>
      <w:r w:rsidR="00684B83" w:rsidRPr="00E81126">
        <w:rPr>
          <w:rFonts w:cstheme="minorHAnsi"/>
          <w:szCs w:val="26"/>
        </w:rPr>
        <w:t xml:space="preserve">la inclusión de las plazas correspondientes a la tasa de reposición ordinaria </w:t>
      </w:r>
      <w:r w:rsidRPr="00E81126">
        <w:rPr>
          <w:rFonts w:cstheme="minorHAnsi"/>
          <w:szCs w:val="26"/>
        </w:rPr>
        <w:t>y el resultado es correcto</w:t>
      </w:r>
      <w:r w:rsidR="00684B83" w:rsidRPr="00E81126">
        <w:rPr>
          <w:rFonts w:cstheme="minorHAnsi"/>
          <w:szCs w:val="26"/>
        </w:rPr>
        <w:t xml:space="preserve">. </w:t>
      </w:r>
    </w:p>
    <w:p w14:paraId="55E4701D" w14:textId="77777777" w:rsidR="00A44CF9" w:rsidRPr="00E81126" w:rsidRDefault="00614DC4" w:rsidP="00A872CE">
      <w:pPr>
        <w:pStyle w:val="texto"/>
        <w:numPr>
          <w:ilvl w:val="0"/>
          <w:numId w:val="6"/>
        </w:numPr>
        <w:tabs>
          <w:tab w:val="clear" w:pos="360"/>
          <w:tab w:val="num" w:pos="300"/>
          <w:tab w:val="left" w:pos="480"/>
          <w:tab w:val="num" w:pos="600"/>
        </w:tabs>
        <w:spacing w:after="120"/>
        <w:ind w:firstLine="289"/>
        <w:jc w:val="both"/>
        <w:rPr>
          <w:rFonts w:cstheme="minorHAnsi"/>
          <w:szCs w:val="26"/>
        </w:rPr>
      </w:pPr>
      <w:r w:rsidRPr="00E81126">
        <w:rPr>
          <w:rFonts w:cstheme="minorHAnsi"/>
          <w:szCs w:val="26"/>
        </w:rPr>
        <w:t xml:space="preserve">En cuanto a la aplicación de la tasa de </w:t>
      </w:r>
      <w:r w:rsidR="00684B83" w:rsidRPr="00E81126">
        <w:rPr>
          <w:rFonts w:cstheme="minorHAnsi"/>
          <w:szCs w:val="26"/>
        </w:rPr>
        <w:t>reposición específica</w:t>
      </w:r>
      <w:r w:rsidRPr="00E81126">
        <w:rPr>
          <w:rFonts w:cstheme="minorHAnsi"/>
          <w:szCs w:val="26"/>
        </w:rPr>
        <w:t xml:space="preserve">, </w:t>
      </w:r>
      <w:r w:rsidR="00A44CF9" w:rsidRPr="00E81126">
        <w:rPr>
          <w:rFonts w:cstheme="minorHAnsi"/>
          <w:szCs w:val="26"/>
        </w:rPr>
        <w:t xml:space="preserve">en el preámbulo de los decretos que aprueban las ofertas parciales de empleo relativas a </w:t>
      </w:r>
      <w:r w:rsidR="00375E4D">
        <w:rPr>
          <w:rFonts w:cstheme="minorHAnsi"/>
          <w:szCs w:val="26"/>
        </w:rPr>
        <w:t xml:space="preserve">esta tasa, </w:t>
      </w:r>
      <w:r w:rsidR="00A44CF9" w:rsidRPr="00E81126">
        <w:rPr>
          <w:rFonts w:cstheme="minorHAnsi"/>
          <w:szCs w:val="26"/>
        </w:rPr>
        <w:t xml:space="preserve">se indica que la propuesta de los puestos se realiza después de un análisis de la plantilla y la pertinente negociación con la Mesa General de negociación del personal funcionario y estatutario de la ACFN. Además, todas ellas constan </w:t>
      </w:r>
      <w:r w:rsidR="00A44CF9" w:rsidRPr="00E81126">
        <w:rPr>
          <w:rFonts w:cstheme="minorHAnsi"/>
          <w:szCs w:val="26"/>
        </w:rPr>
        <w:lastRenderedPageBreak/>
        <w:t xml:space="preserve">como vacantes en </w:t>
      </w:r>
      <w:r w:rsidR="00375E4D">
        <w:rPr>
          <w:rFonts w:cstheme="minorHAnsi"/>
          <w:szCs w:val="26"/>
        </w:rPr>
        <w:t xml:space="preserve">la Plantilla Orgánica (en adelante </w:t>
      </w:r>
      <w:r w:rsidR="00A44CF9" w:rsidRPr="00E81126">
        <w:rPr>
          <w:rFonts w:cstheme="minorHAnsi"/>
          <w:szCs w:val="26"/>
        </w:rPr>
        <w:t>PO</w:t>
      </w:r>
      <w:r w:rsidR="00375E4D">
        <w:rPr>
          <w:rFonts w:cstheme="minorHAnsi"/>
          <w:szCs w:val="26"/>
        </w:rPr>
        <w:t>)</w:t>
      </w:r>
      <w:r w:rsidR="00A44CF9" w:rsidRPr="00E81126">
        <w:rPr>
          <w:rFonts w:cstheme="minorHAnsi"/>
          <w:szCs w:val="26"/>
        </w:rPr>
        <w:t xml:space="preserve"> y cuentan con suficiente dotación presupuestaria para su provisión. </w:t>
      </w:r>
    </w:p>
    <w:p w14:paraId="37ADDFAD" w14:textId="77777777" w:rsidR="007F35D6" w:rsidRDefault="00A44CF9" w:rsidP="00A872CE">
      <w:pPr>
        <w:pStyle w:val="texto"/>
        <w:tabs>
          <w:tab w:val="clear" w:pos="2835"/>
          <w:tab w:val="clear" w:pos="3969"/>
          <w:tab w:val="left" w:pos="480"/>
          <w:tab w:val="num" w:pos="600"/>
          <w:tab w:val="num" w:pos="720"/>
          <w:tab w:val="num" w:pos="1320"/>
          <w:tab w:val="num" w:pos="2062"/>
          <w:tab w:val="num" w:pos="4472"/>
        </w:tabs>
        <w:spacing w:after="120"/>
        <w:jc w:val="both"/>
      </w:pPr>
      <w:r w:rsidRPr="00A44CF9">
        <w:t xml:space="preserve">En los decretos forales, se </w:t>
      </w:r>
      <w:r w:rsidR="00E81126">
        <w:t xml:space="preserve">explica el proceso </w:t>
      </w:r>
      <w:r w:rsidRPr="00A44CF9">
        <w:t xml:space="preserve">realizado para la definición de las plazas de la OPE de reposición específica. En </w:t>
      </w:r>
      <w:r w:rsidR="00375E4D">
        <w:t xml:space="preserve">los mismos se </w:t>
      </w:r>
      <w:r w:rsidRPr="00A44CF9">
        <w:t xml:space="preserve">cifra una temporalidad del 40,35 por ciento que justifica la necesidad de aprobar dicha </w:t>
      </w:r>
      <w:r>
        <w:t xml:space="preserve">tasa específica. </w:t>
      </w:r>
      <w:r w:rsidRPr="00A44CF9">
        <w:t xml:space="preserve">Para ello proponen incluir todas las plazas vacantes existentes en aquellos puestos que no dispongan de convocatorias recientes o que por su elevada representación en la plantilla se considere necesario consolidar en breve. </w:t>
      </w:r>
    </w:p>
    <w:p w14:paraId="246AD334" w14:textId="77777777" w:rsidR="00A44CF9" w:rsidRPr="00A44CF9" w:rsidRDefault="007F35D6" w:rsidP="00A872CE">
      <w:pPr>
        <w:pStyle w:val="texto"/>
        <w:tabs>
          <w:tab w:val="clear" w:pos="2835"/>
          <w:tab w:val="clear" w:pos="3969"/>
          <w:tab w:val="left" w:pos="480"/>
          <w:tab w:val="num" w:pos="600"/>
          <w:tab w:val="num" w:pos="720"/>
          <w:tab w:val="num" w:pos="1320"/>
          <w:tab w:val="num" w:pos="2062"/>
          <w:tab w:val="num" w:pos="4472"/>
        </w:tabs>
        <w:spacing w:after="120"/>
        <w:jc w:val="both"/>
      </w:pPr>
      <w:r>
        <w:t xml:space="preserve">Destacamos el </w:t>
      </w:r>
      <w:r w:rsidR="00A44CF9">
        <w:t xml:space="preserve">carácter potestativo </w:t>
      </w:r>
      <w:r>
        <w:t xml:space="preserve">de esta tasa que </w:t>
      </w:r>
      <w:r w:rsidR="00A44CF9">
        <w:t xml:space="preserve">permite </w:t>
      </w:r>
      <w:r w:rsidR="00D77F97">
        <w:t xml:space="preserve">convocar </w:t>
      </w:r>
      <w:r w:rsidR="00A44CF9">
        <w:t xml:space="preserve">las plazas que se consideren más necesarias, sin estar sometida la decisión al cumplimiento de requisitos expresamente tasados, como es en el caso de la tasa de reposición ordinaria. </w:t>
      </w:r>
    </w:p>
    <w:p w14:paraId="31354630" w14:textId="77777777" w:rsidR="00A44CF9" w:rsidRDefault="00A44CF9" w:rsidP="00A872CE">
      <w:pPr>
        <w:pStyle w:val="texto"/>
        <w:tabs>
          <w:tab w:val="clear" w:pos="2835"/>
          <w:tab w:val="clear" w:pos="3969"/>
          <w:tab w:val="left" w:pos="480"/>
          <w:tab w:val="num" w:pos="600"/>
          <w:tab w:val="num" w:pos="720"/>
          <w:tab w:val="num" w:pos="1320"/>
          <w:tab w:val="num" w:pos="2062"/>
          <w:tab w:val="num" w:pos="4472"/>
        </w:tabs>
        <w:spacing w:after="120"/>
        <w:jc w:val="both"/>
      </w:pPr>
      <w:r w:rsidRPr="00A44CF9">
        <w:t>De todo ello resulta una convocatoria de 584 plazas en Administración Núcleo, 2</w:t>
      </w:r>
      <w:r w:rsidR="007F35D6">
        <w:t xml:space="preserve">67 en Salud y 281 en Educación, que hacen </w:t>
      </w:r>
      <w:r w:rsidRPr="00A44CF9">
        <w:t xml:space="preserve">1.132 plazas. En </w:t>
      </w:r>
      <w:r w:rsidR="007F35D6">
        <w:t>un informe comp</w:t>
      </w:r>
      <w:r w:rsidRPr="00A44CF9">
        <w:t xml:space="preserve">lementario </w:t>
      </w:r>
      <w:r w:rsidR="007F35D6">
        <w:t xml:space="preserve">posterior </w:t>
      </w:r>
      <w:r w:rsidRPr="00A44CF9">
        <w:t xml:space="preserve">se </w:t>
      </w:r>
      <w:r w:rsidR="007F35D6">
        <w:t xml:space="preserve">aumenta el número de plazas de la Administración Núcleo hasta 601, lo que supone un total de 1.149 plazas. </w:t>
      </w:r>
    </w:p>
    <w:p w14:paraId="63D2602C" w14:textId="77777777" w:rsidR="00614DC4" w:rsidRPr="00F34E94" w:rsidRDefault="00586999" w:rsidP="00A872CE">
      <w:pPr>
        <w:pStyle w:val="texto"/>
        <w:tabs>
          <w:tab w:val="clear" w:pos="2835"/>
          <w:tab w:val="clear" w:pos="3969"/>
          <w:tab w:val="left" w:pos="480"/>
          <w:tab w:val="num" w:pos="600"/>
          <w:tab w:val="num" w:pos="720"/>
          <w:tab w:val="num" w:pos="1320"/>
          <w:tab w:val="num" w:pos="2062"/>
          <w:tab w:val="num" w:pos="4472"/>
        </w:tabs>
        <w:spacing w:after="120"/>
        <w:jc w:val="both"/>
        <w:rPr>
          <w:color w:val="FF0000"/>
        </w:rPr>
      </w:pPr>
      <w:r w:rsidRPr="00710D7B">
        <w:t xml:space="preserve">El estado de las OPE del ejercicio y de los ejercicios anteriores, </w:t>
      </w:r>
      <w:r w:rsidR="00710D7B">
        <w:t>se resume en los s</w:t>
      </w:r>
      <w:r w:rsidR="00614DC4" w:rsidRPr="00710D7B">
        <w:t>iguiente</w:t>
      </w:r>
      <w:r w:rsidR="00710D7B">
        <w:t>s</w:t>
      </w:r>
      <w:r w:rsidR="00614DC4" w:rsidRPr="00710D7B">
        <w:t xml:space="preserve"> cuadro</w:t>
      </w:r>
      <w:r w:rsidR="00710D7B">
        <w:t>s</w:t>
      </w:r>
      <w:r w:rsidR="00614DC4" w:rsidRPr="00710D7B">
        <w:t>:</w:t>
      </w:r>
    </w:p>
    <w:tbl>
      <w:tblPr>
        <w:tblW w:w="8789" w:type="dxa"/>
        <w:jc w:val="center"/>
        <w:tblCellMar>
          <w:left w:w="30" w:type="dxa"/>
          <w:right w:w="30" w:type="dxa"/>
        </w:tblCellMar>
        <w:tblLook w:val="04A0" w:firstRow="1" w:lastRow="0" w:firstColumn="1" w:lastColumn="0" w:noHBand="0" w:noVBand="1"/>
      </w:tblPr>
      <w:tblGrid>
        <w:gridCol w:w="2977"/>
        <w:gridCol w:w="1276"/>
        <w:gridCol w:w="850"/>
        <w:gridCol w:w="1276"/>
        <w:gridCol w:w="1276"/>
        <w:gridCol w:w="1134"/>
      </w:tblGrid>
      <w:tr w:rsidR="00586999" w:rsidRPr="00182B19" w14:paraId="44E71697" w14:textId="77777777" w:rsidTr="00926796">
        <w:trPr>
          <w:trHeight w:val="283"/>
          <w:jc w:val="center"/>
        </w:trPr>
        <w:tc>
          <w:tcPr>
            <w:tcW w:w="2977" w:type="dxa"/>
            <w:tcBorders>
              <w:top w:val="single" w:sz="4" w:space="0" w:color="auto"/>
              <w:left w:val="nil"/>
              <w:bottom w:val="single" w:sz="4" w:space="0" w:color="auto"/>
              <w:right w:val="nil"/>
            </w:tcBorders>
            <w:shd w:val="clear" w:color="auto" w:fill="8DB3E2"/>
            <w:vAlign w:val="center"/>
          </w:tcPr>
          <w:p w14:paraId="18C075CB" w14:textId="77777777" w:rsidR="00586999" w:rsidRPr="00182B19" w:rsidRDefault="007E4397" w:rsidP="00586999">
            <w:pPr>
              <w:pStyle w:val="cuadroCabe"/>
              <w:rPr>
                <w:sz w:val="16"/>
                <w:szCs w:val="16"/>
              </w:rPr>
            </w:pPr>
            <w:r w:rsidRPr="00182B19">
              <w:rPr>
                <w:sz w:val="16"/>
                <w:szCs w:val="16"/>
              </w:rPr>
              <w:t>Administración Núcleo</w:t>
            </w:r>
          </w:p>
        </w:tc>
        <w:tc>
          <w:tcPr>
            <w:tcW w:w="1276" w:type="dxa"/>
            <w:tcBorders>
              <w:top w:val="single" w:sz="4" w:space="0" w:color="auto"/>
              <w:left w:val="nil"/>
              <w:bottom w:val="single" w:sz="4" w:space="0" w:color="auto"/>
              <w:right w:val="nil"/>
            </w:tcBorders>
            <w:shd w:val="clear" w:color="auto" w:fill="8DB3E2"/>
            <w:hideMark/>
          </w:tcPr>
          <w:p w14:paraId="2A739F40" w14:textId="77777777" w:rsidR="007F35D6" w:rsidRPr="00926796" w:rsidRDefault="00586999" w:rsidP="00F34E94">
            <w:pPr>
              <w:pStyle w:val="cuadroCabe"/>
              <w:jc w:val="right"/>
              <w:rPr>
                <w:rFonts w:cs="Arial"/>
                <w:sz w:val="16"/>
                <w:szCs w:val="16"/>
              </w:rPr>
            </w:pPr>
            <w:r w:rsidRPr="00926796">
              <w:rPr>
                <w:rFonts w:cs="Arial"/>
                <w:sz w:val="16"/>
                <w:szCs w:val="16"/>
              </w:rPr>
              <w:t>Plazas</w:t>
            </w:r>
            <w:r w:rsidR="007F35D6" w:rsidRPr="00926796">
              <w:rPr>
                <w:rFonts w:cs="Arial"/>
                <w:sz w:val="16"/>
                <w:szCs w:val="16"/>
              </w:rPr>
              <w:t xml:space="preserve"> </w:t>
            </w:r>
          </w:p>
          <w:p w14:paraId="30B11E10" w14:textId="77777777" w:rsidR="007F35D6" w:rsidRPr="00926796" w:rsidRDefault="007F35D6" w:rsidP="00F34E94">
            <w:pPr>
              <w:pStyle w:val="cuadroCabe"/>
              <w:jc w:val="right"/>
              <w:rPr>
                <w:rFonts w:cs="Arial"/>
                <w:sz w:val="16"/>
                <w:szCs w:val="16"/>
              </w:rPr>
            </w:pPr>
            <w:r w:rsidRPr="00926796">
              <w:rPr>
                <w:rFonts w:cs="Arial"/>
                <w:sz w:val="16"/>
                <w:szCs w:val="16"/>
              </w:rPr>
              <w:t>pendientes</w:t>
            </w:r>
          </w:p>
          <w:p w14:paraId="15DB0E0D" w14:textId="77777777" w:rsidR="00586999" w:rsidRPr="00926796" w:rsidRDefault="00586999" w:rsidP="00F34E94">
            <w:pPr>
              <w:pStyle w:val="cuadroCabe"/>
              <w:jc w:val="right"/>
              <w:rPr>
                <w:rFonts w:cs="Arial"/>
                <w:sz w:val="16"/>
                <w:szCs w:val="16"/>
              </w:rPr>
            </w:pPr>
            <w:r w:rsidRPr="00926796">
              <w:rPr>
                <w:rFonts w:cs="Arial"/>
                <w:sz w:val="16"/>
                <w:szCs w:val="16"/>
              </w:rPr>
              <w:t xml:space="preserve"> </w:t>
            </w:r>
            <w:r w:rsidR="007F35D6" w:rsidRPr="00926796">
              <w:rPr>
                <w:rFonts w:cs="Arial"/>
                <w:sz w:val="16"/>
                <w:szCs w:val="16"/>
              </w:rPr>
              <w:t xml:space="preserve">convocar </w:t>
            </w:r>
            <w:r w:rsidR="00154861" w:rsidRPr="00926796">
              <w:rPr>
                <w:rFonts w:cs="Arial"/>
                <w:sz w:val="16"/>
                <w:szCs w:val="16"/>
              </w:rPr>
              <w:t xml:space="preserve">en </w:t>
            </w:r>
            <w:r w:rsidRPr="00926796">
              <w:rPr>
                <w:rFonts w:cs="Arial"/>
                <w:sz w:val="16"/>
                <w:szCs w:val="16"/>
              </w:rPr>
              <w:t>2022</w:t>
            </w:r>
          </w:p>
        </w:tc>
        <w:tc>
          <w:tcPr>
            <w:tcW w:w="850" w:type="dxa"/>
            <w:tcBorders>
              <w:top w:val="single" w:sz="4" w:space="0" w:color="auto"/>
              <w:left w:val="nil"/>
              <w:bottom w:val="single" w:sz="4" w:space="0" w:color="auto"/>
              <w:right w:val="nil"/>
            </w:tcBorders>
            <w:shd w:val="clear" w:color="auto" w:fill="8DB3E2"/>
          </w:tcPr>
          <w:p w14:paraId="0FB6D215" w14:textId="77777777" w:rsidR="00182B19" w:rsidRPr="00926796" w:rsidRDefault="00586999" w:rsidP="003B4B7F">
            <w:pPr>
              <w:pStyle w:val="cuadroCabe"/>
              <w:jc w:val="right"/>
              <w:rPr>
                <w:rFonts w:cs="Arial"/>
                <w:sz w:val="16"/>
                <w:szCs w:val="16"/>
              </w:rPr>
            </w:pPr>
            <w:r w:rsidRPr="00926796">
              <w:rPr>
                <w:rFonts w:cs="Arial"/>
                <w:sz w:val="16"/>
                <w:szCs w:val="16"/>
              </w:rPr>
              <w:t xml:space="preserve">Plazas </w:t>
            </w:r>
          </w:p>
          <w:p w14:paraId="73A61C6F" w14:textId="77777777" w:rsidR="00586999" w:rsidRPr="00926796" w:rsidRDefault="00586999" w:rsidP="003B4B7F">
            <w:pPr>
              <w:pStyle w:val="cuadroCabe"/>
              <w:jc w:val="right"/>
              <w:rPr>
                <w:rFonts w:cs="Arial"/>
                <w:sz w:val="16"/>
                <w:szCs w:val="16"/>
              </w:rPr>
            </w:pPr>
            <w:r w:rsidRPr="00926796">
              <w:rPr>
                <w:rFonts w:cs="Arial"/>
                <w:sz w:val="16"/>
                <w:szCs w:val="16"/>
              </w:rPr>
              <w:t xml:space="preserve">ofertadas </w:t>
            </w:r>
            <w:r w:rsidR="00154861" w:rsidRPr="00926796">
              <w:rPr>
                <w:rFonts w:cs="Arial"/>
                <w:sz w:val="16"/>
                <w:szCs w:val="16"/>
              </w:rPr>
              <w:t xml:space="preserve">en </w:t>
            </w:r>
            <w:r w:rsidRPr="00926796">
              <w:rPr>
                <w:rFonts w:cs="Arial"/>
                <w:sz w:val="16"/>
                <w:szCs w:val="16"/>
              </w:rPr>
              <w:t>2023</w:t>
            </w:r>
          </w:p>
        </w:tc>
        <w:tc>
          <w:tcPr>
            <w:tcW w:w="1276" w:type="dxa"/>
            <w:tcBorders>
              <w:top w:val="single" w:sz="4" w:space="0" w:color="auto"/>
              <w:left w:val="nil"/>
              <w:bottom w:val="single" w:sz="4" w:space="0" w:color="auto"/>
              <w:right w:val="nil"/>
            </w:tcBorders>
            <w:shd w:val="clear" w:color="auto" w:fill="8DB3E2"/>
          </w:tcPr>
          <w:p w14:paraId="469DBFFE" w14:textId="77777777" w:rsidR="007E4397" w:rsidRPr="00926796" w:rsidRDefault="00586999" w:rsidP="003B4B7F">
            <w:pPr>
              <w:pStyle w:val="cuadroCabe"/>
              <w:jc w:val="right"/>
              <w:rPr>
                <w:rFonts w:cs="Arial"/>
                <w:sz w:val="16"/>
                <w:szCs w:val="16"/>
              </w:rPr>
            </w:pPr>
            <w:r w:rsidRPr="00926796">
              <w:rPr>
                <w:rFonts w:cs="Arial"/>
                <w:sz w:val="16"/>
                <w:szCs w:val="16"/>
              </w:rPr>
              <w:t xml:space="preserve">Plazas </w:t>
            </w:r>
          </w:p>
          <w:p w14:paraId="2CDB3BE1" w14:textId="77777777" w:rsidR="00586999" w:rsidRPr="00926796" w:rsidRDefault="00154861" w:rsidP="003B4B7F">
            <w:pPr>
              <w:pStyle w:val="cuadroCabe"/>
              <w:jc w:val="right"/>
              <w:rPr>
                <w:rFonts w:cs="Arial"/>
                <w:sz w:val="16"/>
                <w:szCs w:val="16"/>
              </w:rPr>
            </w:pPr>
            <w:r w:rsidRPr="00926796">
              <w:rPr>
                <w:rFonts w:cs="Arial"/>
                <w:sz w:val="16"/>
                <w:szCs w:val="16"/>
              </w:rPr>
              <w:t>c</w:t>
            </w:r>
            <w:r w:rsidR="00586999" w:rsidRPr="00926796">
              <w:rPr>
                <w:rFonts w:cs="Arial"/>
                <w:sz w:val="16"/>
                <w:szCs w:val="16"/>
              </w:rPr>
              <w:t>onvocadas</w:t>
            </w:r>
            <w:r w:rsidRPr="00926796">
              <w:rPr>
                <w:rFonts w:cs="Arial"/>
                <w:sz w:val="16"/>
                <w:szCs w:val="16"/>
              </w:rPr>
              <w:t xml:space="preserve"> pendientes de resolución en</w:t>
            </w:r>
            <w:r w:rsidR="00586999" w:rsidRPr="00926796">
              <w:rPr>
                <w:rFonts w:cs="Arial"/>
                <w:sz w:val="16"/>
                <w:szCs w:val="16"/>
              </w:rPr>
              <w:t xml:space="preserve"> 2023</w:t>
            </w:r>
          </w:p>
        </w:tc>
        <w:tc>
          <w:tcPr>
            <w:tcW w:w="1276" w:type="dxa"/>
            <w:tcBorders>
              <w:top w:val="single" w:sz="4" w:space="0" w:color="auto"/>
              <w:left w:val="nil"/>
              <w:bottom w:val="single" w:sz="4" w:space="0" w:color="auto"/>
              <w:right w:val="nil"/>
            </w:tcBorders>
            <w:shd w:val="clear" w:color="auto" w:fill="8DB3E2"/>
          </w:tcPr>
          <w:p w14:paraId="719500F3" w14:textId="77777777" w:rsidR="00926796" w:rsidRDefault="00586999" w:rsidP="003B4B7F">
            <w:pPr>
              <w:pStyle w:val="cuadroCabe"/>
              <w:jc w:val="right"/>
              <w:rPr>
                <w:rFonts w:cs="Arial"/>
                <w:sz w:val="16"/>
                <w:szCs w:val="16"/>
              </w:rPr>
            </w:pPr>
            <w:r w:rsidRPr="00926796">
              <w:rPr>
                <w:rFonts w:cs="Arial"/>
                <w:sz w:val="16"/>
                <w:szCs w:val="16"/>
              </w:rPr>
              <w:t xml:space="preserve">Plazas </w:t>
            </w:r>
          </w:p>
          <w:p w14:paraId="7C525ECA" w14:textId="77777777" w:rsidR="00586999" w:rsidRPr="00926796" w:rsidRDefault="00586999" w:rsidP="00926796">
            <w:pPr>
              <w:pStyle w:val="cuadroCabe"/>
              <w:ind w:firstLine="254"/>
              <w:jc w:val="right"/>
              <w:rPr>
                <w:rFonts w:cs="Arial"/>
                <w:sz w:val="16"/>
                <w:szCs w:val="16"/>
              </w:rPr>
            </w:pPr>
            <w:r w:rsidRPr="00926796">
              <w:rPr>
                <w:rFonts w:cs="Arial"/>
                <w:sz w:val="16"/>
                <w:szCs w:val="16"/>
              </w:rPr>
              <w:t>pasadas a OPE estabilización</w:t>
            </w:r>
            <w:r w:rsidR="00154861" w:rsidRPr="00926796">
              <w:rPr>
                <w:rFonts w:cs="Arial"/>
                <w:sz w:val="16"/>
                <w:szCs w:val="16"/>
              </w:rPr>
              <w:t xml:space="preserve"> en</w:t>
            </w:r>
            <w:r w:rsidRPr="00926796">
              <w:rPr>
                <w:rFonts w:cs="Arial"/>
                <w:sz w:val="16"/>
                <w:szCs w:val="16"/>
              </w:rPr>
              <w:t xml:space="preserve"> 2022</w:t>
            </w:r>
          </w:p>
        </w:tc>
        <w:tc>
          <w:tcPr>
            <w:tcW w:w="1134" w:type="dxa"/>
            <w:tcBorders>
              <w:top w:val="single" w:sz="4" w:space="0" w:color="auto"/>
              <w:left w:val="nil"/>
              <w:bottom w:val="single" w:sz="4" w:space="0" w:color="auto"/>
              <w:right w:val="nil"/>
            </w:tcBorders>
            <w:shd w:val="clear" w:color="auto" w:fill="8DB3E2"/>
            <w:hideMark/>
          </w:tcPr>
          <w:p w14:paraId="7F0B569A" w14:textId="77777777" w:rsidR="007E4397" w:rsidRPr="00926796" w:rsidRDefault="00586999" w:rsidP="003B4B7F">
            <w:pPr>
              <w:pStyle w:val="cuadroCabe"/>
              <w:jc w:val="right"/>
              <w:rPr>
                <w:rFonts w:cs="Arial"/>
                <w:sz w:val="16"/>
                <w:szCs w:val="16"/>
              </w:rPr>
            </w:pPr>
            <w:r w:rsidRPr="00926796">
              <w:rPr>
                <w:rFonts w:cs="Arial"/>
                <w:sz w:val="16"/>
                <w:szCs w:val="16"/>
              </w:rPr>
              <w:t xml:space="preserve">Plazas </w:t>
            </w:r>
          </w:p>
          <w:p w14:paraId="71064F73" w14:textId="77777777" w:rsidR="007F35D6" w:rsidRPr="00926796" w:rsidRDefault="007F35D6" w:rsidP="007F35D6">
            <w:pPr>
              <w:pStyle w:val="cuadroCabe"/>
              <w:jc w:val="right"/>
              <w:rPr>
                <w:rFonts w:cs="Arial"/>
                <w:sz w:val="16"/>
                <w:szCs w:val="16"/>
              </w:rPr>
            </w:pPr>
            <w:r w:rsidRPr="00926796">
              <w:rPr>
                <w:rFonts w:cs="Arial"/>
                <w:sz w:val="16"/>
                <w:szCs w:val="16"/>
              </w:rPr>
              <w:t>pendientes</w:t>
            </w:r>
          </w:p>
          <w:p w14:paraId="1A22D236" w14:textId="77777777" w:rsidR="00586999" w:rsidRPr="00926796" w:rsidRDefault="00154861" w:rsidP="007F35D6">
            <w:pPr>
              <w:pStyle w:val="cuadroCabe"/>
              <w:jc w:val="right"/>
              <w:rPr>
                <w:rFonts w:cs="Arial"/>
                <w:sz w:val="16"/>
                <w:szCs w:val="16"/>
              </w:rPr>
            </w:pPr>
            <w:r w:rsidRPr="00926796">
              <w:rPr>
                <w:rFonts w:cs="Arial"/>
                <w:sz w:val="16"/>
                <w:szCs w:val="16"/>
              </w:rPr>
              <w:t xml:space="preserve"> de c</w:t>
            </w:r>
            <w:r w:rsidR="007F35D6" w:rsidRPr="00926796">
              <w:rPr>
                <w:rFonts w:cs="Arial"/>
                <w:sz w:val="16"/>
                <w:szCs w:val="16"/>
              </w:rPr>
              <w:t>onvocar</w:t>
            </w:r>
            <w:r w:rsidRPr="00926796">
              <w:rPr>
                <w:rFonts w:cs="Arial"/>
                <w:sz w:val="16"/>
                <w:szCs w:val="16"/>
              </w:rPr>
              <w:t xml:space="preserve"> en</w:t>
            </w:r>
            <w:r w:rsidR="007F35D6" w:rsidRPr="00926796">
              <w:rPr>
                <w:rFonts w:cs="Arial"/>
                <w:sz w:val="16"/>
                <w:szCs w:val="16"/>
              </w:rPr>
              <w:t xml:space="preserve"> </w:t>
            </w:r>
            <w:r w:rsidR="00586999" w:rsidRPr="00926796">
              <w:rPr>
                <w:rFonts w:cs="Arial"/>
                <w:sz w:val="16"/>
                <w:szCs w:val="16"/>
              </w:rPr>
              <w:t>2023</w:t>
            </w:r>
          </w:p>
        </w:tc>
      </w:tr>
      <w:tr w:rsidR="007E4397" w:rsidRPr="00154861" w14:paraId="1841AA35" w14:textId="77777777" w:rsidTr="00926796">
        <w:trPr>
          <w:trHeight w:val="198"/>
          <w:jc w:val="center"/>
        </w:trPr>
        <w:tc>
          <w:tcPr>
            <w:tcW w:w="2977" w:type="dxa"/>
            <w:tcBorders>
              <w:top w:val="single" w:sz="4" w:space="0" w:color="auto"/>
              <w:left w:val="nil"/>
              <w:bottom w:val="single" w:sz="2" w:space="0" w:color="auto"/>
              <w:right w:val="nil"/>
            </w:tcBorders>
            <w:vAlign w:val="center"/>
            <w:hideMark/>
          </w:tcPr>
          <w:p w14:paraId="705A88CD" w14:textId="77777777" w:rsidR="00586999" w:rsidRPr="00154861" w:rsidRDefault="00586999" w:rsidP="00586999">
            <w:pPr>
              <w:pStyle w:val="cuatexto"/>
              <w:rPr>
                <w:szCs w:val="20"/>
              </w:rPr>
            </w:pPr>
            <w:r w:rsidRPr="00154861">
              <w:rPr>
                <w:szCs w:val="20"/>
              </w:rPr>
              <w:t>2021 OPE Estabilización 2017 10%</w:t>
            </w:r>
          </w:p>
        </w:tc>
        <w:tc>
          <w:tcPr>
            <w:tcW w:w="1276" w:type="dxa"/>
            <w:tcBorders>
              <w:top w:val="single" w:sz="4" w:space="0" w:color="auto"/>
              <w:left w:val="nil"/>
              <w:bottom w:val="single" w:sz="2" w:space="0" w:color="auto"/>
              <w:right w:val="nil"/>
            </w:tcBorders>
            <w:vAlign w:val="center"/>
            <w:hideMark/>
          </w:tcPr>
          <w:p w14:paraId="5C3F1A88"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10</w:t>
            </w:r>
          </w:p>
        </w:tc>
        <w:tc>
          <w:tcPr>
            <w:tcW w:w="850" w:type="dxa"/>
            <w:tcBorders>
              <w:top w:val="single" w:sz="4" w:space="0" w:color="auto"/>
              <w:left w:val="nil"/>
              <w:bottom w:val="single" w:sz="2" w:space="0" w:color="auto"/>
              <w:right w:val="nil"/>
            </w:tcBorders>
            <w:vAlign w:val="center"/>
          </w:tcPr>
          <w:p w14:paraId="7BE9A932"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0</w:t>
            </w:r>
          </w:p>
        </w:tc>
        <w:tc>
          <w:tcPr>
            <w:tcW w:w="1276" w:type="dxa"/>
            <w:tcBorders>
              <w:top w:val="single" w:sz="4" w:space="0" w:color="auto"/>
              <w:left w:val="nil"/>
              <w:bottom w:val="single" w:sz="2" w:space="0" w:color="auto"/>
              <w:right w:val="nil"/>
            </w:tcBorders>
            <w:vAlign w:val="center"/>
          </w:tcPr>
          <w:p w14:paraId="4E0CE28B"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0</w:t>
            </w:r>
          </w:p>
        </w:tc>
        <w:tc>
          <w:tcPr>
            <w:tcW w:w="1276" w:type="dxa"/>
            <w:tcBorders>
              <w:top w:val="single" w:sz="4" w:space="0" w:color="auto"/>
              <w:left w:val="nil"/>
              <w:bottom w:val="single" w:sz="2" w:space="0" w:color="auto"/>
              <w:right w:val="nil"/>
            </w:tcBorders>
            <w:vAlign w:val="center"/>
          </w:tcPr>
          <w:p w14:paraId="5F5BC03E"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7</w:t>
            </w:r>
          </w:p>
        </w:tc>
        <w:tc>
          <w:tcPr>
            <w:tcW w:w="1134" w:type="dxa"/>
            <w:tcBorders>
              <w:top w:val="single" w:sz="4" w:space="0" w:color="auto"/>
              <w:left w:val="nil"/>
              <w:bottom w:val="single" w:sz="2" w:space="0" w:color="auto"/>
              <w:right w:val="nil"/>
            </w:tcBorders>
            <w:vAlign w:val="center"/>
          </w:tcPr>
          <w:p w14:paraId="5DEAEAE1"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3</w:t>
            </w:r>
          </w:p>
        </w:tc>
      </w:tr>
      <w:tr w:rsidR="007E4397" w:rsidRPr="007E4397" w14:paraId="21CC6B9F" w14:textId="77777777" w:rsidTr="00926796">
        <w:trPr>
          <w:trHeight w:val="198"/>
          <w:jc w:val="center"/>
        </w:trPr>
        <w:tc>
          <w:tcPr>
            <w:tcW w:w="2977" w:type="dxa"/>
            <w:tcBorders>
              <w:top w:val="single" w:sz="2" w:space="0" w:color="auto"/>
              <w:left w:val="nil"/>
              <w:bottom w:val="single" w:sz="2" w:space="0" w:color="auto"/>
              <w:right w:val="nil"/>
            </w:tcBorders>
            <w:vAlign w:val="center"/>
            <w:hideMark/>
          </w:tcPr>
          <w:p w14:paraId="2A2B7F62" w14:textId="77777777" w:rsidR="00586999" w:rsidRPr="007E4397" w:rsidRDefault="00586999" w:rsidP="00586999">
            <w:pPr>
              <w:pStyle w:val="cuatexto"/>
              <w:rPr>
                <w:szCs w:val="20"/>
              </w:rPr>
            </w:pPr>
            <w:r w:rsidRPr="007E4397">
              <w:rPr>
                <w:szCs w:val="20"/>
              </w:rPr>
              <w:t>Educación Estabilización 2018</w:t>
            </w:r>
          </w:p>
        </w:tc>
        <w:tc>
          <w:tcPr>
            <w:tcW w:w="1276" w:type="dxa"/>
            <w:tcBorders>
              <w:top w:val="single" w:sz="2" w:space="0" w:color="auto"/>
              <w:left w:val="nil"/>
              <w:bottom w:val="single" w:sz="2" w:space="0" w:color="auto"/>
              <w:right w:val="nil"/>
            </w:tcBorders>
            <w:vAlign w:val="center"/>
            <w:hideMark/>
          </w:tcPr>
          <w:p w14:paraId="61C29B0E"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10</w:t>
            </w:r>
          </w:p>
        </w:tc>
        <w:tc>
          <w:tcPr>
            <w:tcW w:w="850" w:type="dxa"/>
            <w:tcBorders>
              <w:top w:val="single" w:sz="2" w:space="0" w:color="auto"/>
              <w:left w:val="nil"/>
              <w:bottom w:val="single" w:sz="2" w:space="0" w:color="auto"/>
              <w:right w:val="nil"/>
            </w:tcBorders>
            <w:vAlign w:val="center"/>
          </w:tcPr>
          <w:p w14:paraId="01C35ABB"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0</w:t>
            </w:r>
          </w:p>
        </w:tc>
        <w:tc>
          <w:tcPr>
            <w:tcW w:w="1276" w:type="dxa"/>
            <w:tcBorders>
              <w:top w:val="single" w:sz="2" w:space="0" w:color="auto"/>
              <w:left w:val="nil"/>
              <w:bottom w:val="single" w:sz="2" w:space="0" w:color="auto"/>
              <w:right w:val="nil"/>
            </w:tcBorders>
            <w:vAlign w:val="center"/>
          </w:tcPr>
          <w:p w14:paraId="3E7C67F7"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0</w:t>
            </w:r>
          </w:p>
        </w:tc>
        <w:tc>
          <w:tcPr>
            <w:tcW w:w="1276" w:type="dxa"/>
            <w:tcBorders>
              <w:top w:val="single" w:sz="2" w:space="0" w:color="auto"/>
              <w:left w:val="nil"/>
              <w:bottom w:val="single" w:sz="2" w:space="0" w:color="auto"/>
              <w:right w:val="nil"/>
            </w:tcBorders>
            <w:vAlign w:val="center"/>
          </w:tcPr>
          <w:p w14:paraId="45AD32C5"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8</w:t>
            </w:r>
          </w:p>
        </w:tc>
        <w:tc>
          <w:tcPr>
            <w:tcW w:w="1134" w:type="dxa"/>
            <w:tcBorders>
              <w:top w:val="single" w:sz="2" w:space="0" w:color="auto"/>
              <w:left w:val="nil"/>
              <w:bottom w:val="single" w:sz="2" w:space="0" w:color="auto"/>
              <w:right w:val="nil"/>
            </w:tcBorders>
            <w:vAlign w:val="center"/>
          </w:tcPr>
          <w:p w14:paraId="2081775A"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2</w:t>
            </w:r>
          </w:p>
        </w:tc>
      </w:tr>
      <w:tr w:rsidR="007E4397" w:rsidRPr="007E4397" w14:paraId="192599A2" w14:textId="77777777" w:rsidTr="00926796">
        <w:trPr>
          <w:trHeight w:val="198"/>
          <w:jc w:val="center"/>
        </w:trPr>
        <w:tc>
          <w:tcPr>
            <w:tcW w:w="2977" w:type="dxa"/>
            <w:tcBorders>
              <w:top w:val="single" w:sz="2" w:space="0" w:color="auto"/>
              <w:left w:val="nil"/>
              <w:bottom w:val="single" w:sz="2" w:space="0" w:color="auto"/>
              <w:right w:val="nil"/>
            </w:tcBorders>
            <w:vAlign w:val="center"/>
            <w:hideMark/>
          </w:tcPr>
          <w:p w14:paraId="3A4987E2" w14:textId="77777777" w:rsidR="00586999" w:rsidRPr="007E4397" w:rsidRDefault="00586999" w:rsidP="00586999">
            <w:pPr>
              <w:pStyle w:val="cuatexto"/>
              <w:rPr>
                <w:szCs w:val="20"/>
              </w:rPr>
            </w:pPr>
            <w:r w:rsidRPr="007E4397">
              <w:rPr>
                <w:szCs w:val="20"/>
              </w:rPr>
              <w:t>Reposición 2021</w:t>
            </w:r>
          </w:p>
        </w:tc>
        <w:tc>
          <w:tcPr>
            <w:tcW w:w="1276" w:type="dxa"/>
            <w:tcBorders>
              <w:top w:val="single" w:sz="2" w:space="0" w:color="auto"/>
              <w:left w:val="nil"/>
              <w:bottom w:val="single" w:sz="2" w:space="0" w:color="auto"/>
              <w:right w:val="nil"/>
            </w:tcBorders>
            <w:vAlign w:val="center"/>
            <w:hideMark/>
          </w:tcPr>
          <w:p w14:paraId="31EEA9C4"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76</w:t>
            </w:r>
          </w:p>
        </w:tc>
        <w:tc>
          <w:tcPr>
            <w:tcW w:w="850" w:type="dxa"/>
            <w:tcBorders>
              <w:top w:val="single" w:sz="2" w:space="0" w:color="auto"/>
              <w:left w:val="nil"/>
              <w:bottom w:val="single" w:sz="2" w:space="0" w:color="auto"/>
              <w:right w:val="nil"/>
            </w:tcBorders>
            <w:vAlign w:val="center"/>
          </w:tcPr>
          <w:p w14:paraId="2BF394AD"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0</w:t>
            </w:r>
          </w:p>
        </w:tc>
        <w:tc>
          <w:tcPr>
            <w:tcW w:w="1276" w:type="dxa"/>
            <w:tcBorders>
              <w:top w:val="single" w:sz="2" w:space="0" w:color="auto"/>
              <w:left w:val="nil"/>
              <w:bottom w:val="single" w:sz="2" w:space="0" w:color="auto"/>
              <w:right w:val="nil"/>
            </w:tcBorders>
            <w:vAlign w:val="center"/>
          </w:tcPr>
          <w:p w14:paraId="3A9B8DD6"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35</w:t>
            </w:r>
          </w:p>
        </w:tc>
        <w:tc>
          <w:tcPr>
            <w:tcW w:w="1276" w:type="dxa"/>
            <w:tcBorders>
              <w:top w:val="single" w:sz="2" w:space="0" w:color="auto"/>
              <w:left w:val="nil"/>
              <w:bottom w:val="single" w:sz="2" w:space="0" w:color="auto"/>
              <w:right w:val="nil"/>
            </w:tcBorders>
            <w:vAlign w:val="center"/>
          </w:tcPr>
          <w:p w14:paraId="7C9D0E2D"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0</w:t>
            </w:r>
          </w:p>
        </w:tc>
        <w:tc>
          <w:tcPr>
            <w:tcW w:w="1134" w:type="dxa"/>
            <w:tcBorders>
              <w:top w:val="single" w:sz="2" w:space="0" w:color="auto"/>
              <w:left w:val="nil"/>
              <w:bottom w:val="single" w:sz="2" w:space="0" w:color="auto"/>
              <w:right w:val="nil"/>
            </w:tcBorders>
            <w:vAlign w:val="center"/>
          </w:tcPr>
          <w:p w14:paraId="3035C078"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41</w:t>
            </w:r>
          </w:p>
        </w:tc>
      </w:tr>
      <w:tr w:rsidR="007E4397" w:rsidRPr="007E4397" w14:paraId="6D108434" w14:textId="77777777" w:rsidTr="00926796">
        <w:trPr>
          <w:trHeight w:val="198"/>
          <w:jc w:val="center"/>
        </w:trPr>
        <w:tc>
          <w:tcPr>
            <w:tcW w:w="2977" w:type="dxa"/>
            <w:tcBorders>
              <w:top w:val="single" w:sz="2" w:space="0" w:color="auto"/>
              <w:left w:val="nil"/>
              <w:bottom w:val="single" w:sz="2" w:space="0" w:color="auto"/>
              <w:right w:val="nil"/>
            </w:tcBorders>
            <w:vAlign w:val="center"/>
          </w:tcPr>
          <w:p w14:paraId="52838DC1" w14:textId="77777777" w:rsidR="00586999" w:rsidRPr="007E4397" w:rsidRDefault="00586999" w:rsidP="00586999">
            <w:pPr>
              <w:pStyle w:val="cuatexto"/>
              <w:rPr>
                <w:szCs w:val="20"/>
              </w:rPr>
            </w:pPr>
            <w:r w:rsidRPr="007E4397">
              <w:rPr>
                <w:szCs w:val="20"/>
              </w:rPr>
              <w:t>Reposición 2022</w:t>
            </w:r>
          </w:p>
        </w:tc>
        <w:tc>
          <w:tcPr>
            <w:tcW w:w="1276" w:type="dxa"/>
            <w:tcBorders>
              <w:top w:val="single" w:sz="2" w:space="0" w:color="auto"/>
              <w:left w:val="nil"/>
              <w:bottom w:val="single" w:sz="2" w:space="0" w:color="auto"/>
              <w:right w:val="nil"/>
            </w:tcBorders>
            <w:vAlign w:val="center"/>
          </w:tcPr>
          <w:p w14:paraId="1BE1FDE8"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254</w:t>
            </w:r>
          </w:p>
        </w:tc>
        <w:tc>
          <w:tcPr>
            <w:tcW w:w="850" w:type="dxa"/>
            <w:tcBorders>
              <w:top w:val="single" w:sz="2" w:space="0" w:color="auto"/>
              <w:left w:val="nil"/>
              <w:bottom w:val="single" w:sz="2" w:space="0" w:color="auto"/>
              <w:right w:val="nil"/>
            </w:tcBorders>
            <w:vAlign w:val="center"/>
          </w:tcPr>
          <w:p w14:paraId="47D66A1F"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0</w:t>
            </w:r>
          </w:p>
        </w:tc>
        <w:tc>
          <w:tcPr>
            <w:tcW w:w="1276" w:type="dxa"/>
            <w:tcBorders>
              <w:top w:val="single" w:sz="2" w:space="0" w:color="auto"/>
              <w:left w:val="nil"/>
              <w:bottom w:val="single" w:sz="2" w:space="0" w:color="auto"/>
              <w:right w:val="nil"/>
            </w:tcBorders>
            <w:vAlign w:val="center"/>
          </w:tcPr>
          <w:p w14:paraId="07B213FD"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125</w:t>
            </w:r>
          </w:p>
        </w:tc>
        <w:tc>
          <w:tcPr>
            <w:tcW w:w="1276" w:type="dxa"/>
            <w:tcBorders>
              <w:top w:val="single" w:sz="2" w:space="0" w:color="auto"/>
              <w:left w:val="nil"/>
              <w:bottom w:val="single" w:sz="2" w:space="0" w:color="auto"/>
              <w:right w:val="nil"/>
            </w:tcBorders>
            <w:vAlign w:val="center"/>
          </w:tcPr>
          <w:p w14:paraId="55B57387"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0</w:t>
            </w:r>
          </w:p>
        </w:tc>
        <w:tc>
          <w:tcPr>
            <w:tcW w:w="1134" w:type="dxa"/>
            <w:tcBorders>
              <w:top w:val="single" w:sz="2" w:space="0" w:color="auto"/>
              <w:left w:val="nil"/>
              <w:bottom w:val="single" w:sz="2" w:space="0" w:color="auto"/>
              <w:right w:val="nil"/>
            </w:tcBorders>
            <w:vAlign w:val="center"/>
          </w:tcPr>
          <w:p w14:paraId="2D1DD8BD"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129</w:t>
            </w:r>
          </w:p>
        </w:tc>
      </w:tr>
      <w:tr w:rsidR="007E4397" w:rsidRPr="007E4397" w14:paraId="1A24353D" w14:textId="77777777" w:rsidTr="00926796">
        <w:trPr>
          <w:trHeight w:val="198"/>
          <w:jc w:val="center"/>
        </w:trPr>
        <w:tc>
          <w:tcPr>
            <w:tcW w:w="2977" w:type="dxa"/>
            <w:tcBorders>
              <w:top w:val="single" w:sz="2" w:space="0" w:color="auto"/>
              <w:left w:val="nil"/>
              <w:bottom w:val="single" w:sz="2" w:space="0" w:color="auto"/>
              <w:right w:val="nil"/>
            </w:tcBorders>
            <w:vAlign w:val="center"/>
          </w:tcPr>
          <w:p w14:paraId="2DACABEA" w14:textId="77777777" w:rsidR="00586999" w:rsidRPr="007E4397" w:rsidRDefault="00586999" w:rsidP="00586999">
            <w:pPr>
              <w:pStyle w:val="cuatexto"/>
              <w:rPr>
                <w:szCs w:val="20"/>
              </w:rPr>
            </w:pPr>
            <w:r w:rsidRPr="007E4397">
              <w:rPr>
                <w:szCs w:val="20"/>
              </w:rPr>
              <w:t>Reposición ordinaria 2023</w:t>
            </w:r>
          </w:p>
        </w:tc>
        <w:tc>
          <w:tcPr>
            <w:tcW w:w="1276" w:type="dxa"/>
            <w:tcBorders>
              <w:top w:val="single" w:sz="2" w:space="0" w:color="auto"/>
              <w:left w:val="nil"/>
              <w:bottom w:val="single" w:sz="2" w:space="0" w:color="auto"/>
              <w:right w:val="nil"/>
            </w:tcBorders>
            <w:vAlign w:val="center"/>
          </w:tcPr>
          <w:p w14:paraId="544BEE92"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0</w:t>
            </w:r>
          </w:p>
        </w:tc>
        <w:tc>
          <w:tcPr>
            <w:tcW w:w="850" w:type="dxa"/>
            <w:tcBorders>
              <w:top w:val="single" w:sz="2" w:space="0" w:color="auto"/>
              <w:left w:val="nil"/>
              <w:bottom w:val="single" w:sz="2" w:space="0" w:color="auto"/>
              <w:right w:val="nil"/>
            </w:tcBorders>
            <w:vAlign w:val="center"/>
          </w:tcPr>
          <w:p w14:paraId="000C4A95"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306</w:t>
            </w:r>
          </w:p>
        </w:tc>
        <w:tc>
          <w:tcPr>
            <w:tcW w:w="1276" w:type="dxa"/>
            <w:tcBorders>
              <w:top w:val="single" w:sz="2" w:space="0" w:color="auto"/>
              <w:left w:val="nil"/>
              <w:bottom w:val="single" w:sz="2" w:space="0" w:color="auto"/>
              <w:right w:val="nil"/>
            </w:tcBorders>
            <w:vAlign w:val="center"/>
          </w:tcPr>
          <w:p w14:paraId="7295ED0C"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40</w:t>
            </w:r>
          </w:p>
        </w:tc>
        <w:tc>
          <w:tcPr>
            <w:tcW w:w="1276" w:type="dxa"/>
            <w:tcBorders>
              <w:top w:val="single" w:sz="2" w:space="0" w:color="auto"/>
              <w:left w:val="nil"/>
              <w:bottom w:val="single" w:sz="2" w:space="0" w:color="auto"/>
              <w:right w:val="nil"/>
            </w:tcBorders>
            <w:vAlign w:val="center"/>
          </w:tcPr>
          <w:p w14:paraId="7CB3EB08"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0</w:t>
            </w:r>
          </w:p>
        </w:tc>
        <w:tc>
          <w:tcPr>
            <w:tcW w:w="1134" w:type="dxa"/>
            <w:tcBorders>
              <w:top w:val="single" w:sz="2" w:space="0" w:color="auto"/>
              <w:left w:val="nil"/>
              <w:bottom w:val="single" w:sz="2" w:space="0" w:color="auto"/>
              <w:right w:val="nil"/>
            </w:tcBorders>
            <w:vAlign w:val="center"/>
          </w:tcPr>
          <w:p w14:paraId="1D4C7B55"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266</w:t>
            </w:r>
          </w:p>
        </w:tc>
      </w:tr>
      <w:tr w:rsidR="007E4397" w:rsidRPr="007E4397" w14:paraId="7B28A3E0" w14:textId="77777777" w:rsidTr="00926796">
        <w:trPr>
          <w:trHeight w:val="198"/>
          <w:jc w:val="center"/>
        </w:trPr>
        <w:tc>
          <w:tcPr>
            <w:tcW w:w="2977" w:type="dxa"/>
            <w:tcBorders>
              <w:top w:val="single" w:sz="2" w:space="0" w:color="auto"/>
              <w:left w:val="nil"/>
              <w:bottom w:val="single" w:sz="4" w:space="0" w:color="auto"/>
              <w:right w:val="nil"/>
            </w:tcBorders>
            <w:vAlign w:val="center"/>
          </w:tcPr>
          <w:p w14:paraId="7A1B11F7" w14:textId="77777777" w:rsidR="00586999" w:rsidRPr="007E4397" w:rsidRDefault="00586999" w:rsidP="00586999">
            <w:pPr>
              <w:pStyle w:val="cuatexto"/>
              <w:rPr>
                <w:szCs w:val="20"/>
              </w:rPr>
            </w:pPr>
            <w:r w:rsidRPr="007E4397">
              <w:rPr>
                <w:szCs w:val="20"/>
              </w:rPr>
              <w:t>Reposición específica 2023</w:t>
            </w:r>
          </w:p>
        </w:tc>
        <w:tc>
          <w:tcPr>
            <w:tcW w:w="1276" w:type="dxa"/>
            <w:tcBorders>
              <w:top w:val="single" w:sz="2" w:space="0" w:color="auto"/>
              <w:left w:val="nil"/>
              <w:bottom w:val="single" w:sz="4" w:space="0" w:color="auto"/>
              <w:right w:val="nil"/>
            </w:tcBorders>
            <w:vAlign w:val="center"/>
          </w:tcPr>
          <w:p w14:paraId="7B8D2265"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0</w:t>
            </w:r>
          </w:p>
        </w:tc>
        <w:tc>
          <w:tcPr>
            <w:tcW w:w="850" w:type="dxa"/>
            <w:tcBorders>
              <w:top w:val="single" w:sz="2" w:space="0" w:color="auto"/>
              <w:left w:val="nil"/>
              <w:bottom w:val="single" w:sz="4" w:space="0" w:color="auto"/>
              <w:right w:val="nil"/>
            </w:tcBorders>
            <w:vAlign w:val="center"/>
          </w:tcPr>
          <w:p w14:paraId="706D6BA8"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601</w:t>
            </w:r>
          </w:p>
        </w:tc>
        <w:tc>
          <w:tcPr>
            <w:tcW w:w="1276" w:type="dxa"/>
            <w:tcBorders>
              <w:top w:val="single" w:sz="2" w:space="0" w:color="auto"/>
              <w:left w:val="nil"/>
              <w:bottom w:val="single" w:sz="4" w:space="0" w:color="auto"/>
              <w:right w:val="nil"/>
            </w:tcBorders>
            <w:vAlign w:val="center"/>
          </w:tcPr>
          <w:p w14:paraId="30C80CAF"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0</w:t>
            </w:r>
          </w:p>
        </w:tc>
        <w:tc>
          <w:tcPr>
            <w:tcW w:w="1276" w:type="dxa"/>
            <w:tcBorders>
              <w:top w:val="single" w:sz="2" w:space="0" w:color="auto"/>
              <w:left w:val="nil"/>
              <w:bottom w:val="single" w:sz="4" w:space="0" w:color="auto"/>
              <w:right w:val="nil"/>
            </w:tcBorders>
            <w:vAlign w:val="center"/>
          </w:tcPr>
          <w:p w14:paraId="059B6AC6"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0</w:t>
            </w:r>
          </w:p>
        </w:tc>
        <w:tc>
          <w:tcPr>
            <w:tcW w:w="1134" w:type="dxa"/>
            <w:tcBorders>
              <w:top w:val="single" w:sz="2" w:space="0" w:color="auto"/>
              <w:left w:val="nil"/>
              <w:bottom w:val="single" w:sz="4" w:space="0" w:color="auto"/>
              <w:right w:val="nil"/>
            </w:tcBorders>
            <w:vAlign w:val="center"/>
          </w:tcPr>
          <w:p w14:paraId="365BCF33"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601</w:t>
            </w:r>
          </w:p>
        </w:tc>
      </w:tr>
      <w:tr w:rsidR="007E4397" w:rsidRPr="007E4397" w14:paraId="09C9ABC6" w14:textId="77777777" w:rsidTr="00926796">
        <w:trPr>
          <w:trHeight w:val="255"/>
          <w:jc w:val="center"/>
        </w:trPr>
        <w:tc>
          <w:tcPr>
            <w:tcW w:w="2977" w:type="dxa"/>
            <w:tcBorders>
              <w:top w:val="single" w:sz="4" w:space="0" w:color="auto"/>
              <w:left w:val="nil"/>
              <w:bottom w:val="single" w:sz="4" w:space="0" w:color="auto"/>
              <w:right w:val="nil"/>
            </w:tcBorders>
            <w:shd w:val="clear" w:color="auto" w:fill="8DB3E2"/>
            <w:vAlign w:val="center"/>
            <w:hideMark/>
          </w:tcPr>
          <w:p w14:paraId="6123CC19" w14:textId="77777777" w:rsidR="00586999" w:rsidRPr="007E4397" w:rsidRDefault="00586999" w:rsidP="00586999">
            <w:pPr>
              <w:keepLines/>
              <w:tabs>
                <w:tab w:val="right" w:pos="2835"/>
                <w:tab w:val="right" w:pos="3969"/>
                <w:tab w:val="right" w:pos="5103"/>
                <w:tab w:val="right" w:pos="6237"/>
                <w:tab w:val="right" w:pos="7371"/>
              </w:tabs>
              <w:rPr>
                <w:rFonts w:ascii="Arial" w:hAnsi="Arial" w:cs="Arial"/>
                <w:spacing w:val="6"/>
                <w:sz w:val="18"/>
                <w:szCs w:val="18"/>
              </w:rPr>
            </w:pPr>
            <w:r w:rsidRPr="007E4397">
              <w:rPr>
                <w:rFonts w:ascii="Arial" w:hAnsi="Arial" w:cs="Arial"/>
                <w:spacing w:val="6"/>
                <w:sz w:val="18"/>
                <w:szCs w:val="18"/>
              </w:rPr>
              <w:t>Total</w:t>
            </w:r>
          </w:p>
        </w:tc>
        <w:tc>
          <w:tcPr>
            <w:tcW w:w="1276" w:type="dxa"/>
            <w:tcBorders>
              <w:top w:val="single" w:sz="4" w:space="0" w:color="auto"/>
              <w:left w:val="nil"/>
              <w:bottom w:val="single" w:sz="4" w:space="0" w:color="auto"/>
              <w:right w:val="nil"/>
            </w:tcBorders>
            <w:shd w:val="clear" w:color="auto" w:fill="8DB3E2"/>
            <w:vAlign w:val="center"/>
          </w:tcPr>
          <w:p w14:paraId="3559C183"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350</w:t>
            </w:r>
          </w:p>
        </w:tc>
        <w:tc>
          <w:tcPr>
            <w:tcW w:w="850" w:type="dxa"/>
            <w:tcBorders>
              <w:top w:val="single" w:sz="4" w:space="0" w:color="auto"/>
              <w:left w:val="nil"/>
              <w:bottom w:val="single" w:sz="4" w:space="0" w:color="auto"/>
              <w:right w:val="nil"/>
            </w:tcBorders>
            <w:shd w:val="clear" w:color="auto" w:fill="8DB3E2"/>
            <w:vAlign w:val="center"/>
          </w:tcPr>
          <w:p w14:paraId="4F617DAE"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907</w:t>
            </w:r>
          </w:p>
        </w:tc>
        <w:tc>
          <w:tcPr>
            <w:tcW w:w="1276" w:type="dxa"/>
            <w:tcBorders>
              <w:top w:val="single" w:sz="4" w:space="0" w:color="auto"/>
              <w:left w:val="nil"/>
              <w:bottom w:val="single" w:sz="4" w:space="0" w:color="auto"/>
              <w:right w:val="nil"/>
            </w:tcBorders>
            <w:shd w:val="clear" w:color="auto" w:fill="8DB3E2"/>
            <w:vAlign w:val="center"/>
          </w:tcPr>
          <w:p w14:paraId="6A1F53CD"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200</w:t>
            </w:r>
          </w:p>
        </w:tc>
        <w:tc>
          <w:tcPr>
            <w:tcW w:w="1276" w:type="dxa"/>
            <w:tcBorders>
              <w:top w:val="single" w:sz="4" w:space="0" w:color="auto"/>
              <w:left w:val="nil"/>
              <w:bottom w:val="single" w:sz="4" w:space="0" w:color="auto"/>
              <w:right w:val="nil"/>
            </w:tcBorders>
            <w:shd w:val="clear" w:color="auto" w:fill="8DB3E2"/>
            <w:vAlign w:val="center"/>
          </w:tcPr>
          <w:p w14:paraId="4EDEC646"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15</w:t>
            </w:r>
          </w:p>
        </w:tc>
        <w:tc>
          <w:tcPr>
            <w:tcW w:w="1134" w:type="dxa"/>
            <w:tcBorders>
              <w:top w:val="single" w:sz="4" w:space="0" w:color="auto"/>
              <w:left w:val="nil"/>
              <w:bottom w:val="single" w:sz="4" w:space="0" w:color="auto"/>
              <w:right w:val="nil"/>
            </w:tcBorders>
            <w:shd w:val="clear" w:color="auto" w:fill="8DB3E2"/>
            <w:vAlign w:val="center"/>
          </w:tcPr>
          <w:p w14:paraId="53694D5C" w14:textId="77777777" w:rsidR="00586999" w:rsidRPr="00926796" w:rsidRDefault="00586999" w:rsidP="003B4B7F">
            <w:pPr>
              <w:jc w:val="right"/>
              <w:rPr>
                <w:rFonts w:ascii="Arial" w:hAnsi="Arial" w:cs="Arial"/>
                <w:sz w:val="16"/>
                <w:szCs w:val="16"/>
              </w:rPr>
            </w:pPr>
            <w:r w:rsidRPr="00926796">
              <w:rPr>
                <w:rFonts w:ascii="Arial" w:hAnsi="Arial" w:cs="Arial"/>
                <w:sz w:val="16"/>
                <w:szCs w:val="16"/>
              </w:rPr>
              <w:t>1.042</w:t>
            </w:r>
          </w:p>
        </w:tc>
      </w:tr>
    </w:tbl>
    <w:p w14:paraId="18CF8D3E" w14:textId="77777777" w:rsidR="007E4397" w:rsidRDefault="007E4397" w:rsidP="002D15F8">
      <w:pPr>
        <w:pStyle w:val="texto"/>
        <w:jc w:val="both"/>
        <w:rPr>
          <w:color w:val="FF0000"/>
        </w:rPr>
      </w:pPr>
    </w:p>
    <w:tbl>
      <w:tblPr>
        <w:tblW w:w="8789" w:type="dxa"/>
        <w:jc w:val="center"/>
        <w:tblCellMar>
          <w:left w:w="30" w:type="dxa"/>
          <w:right w:w="30" w:type="dxa"/>
        </w:tblCellMar>
        <w:tblLook w:val="04A0" w:firstRow="1" w:lastRow="0" w:firstColumn="1" w:lastColumn="0" w:noHBand="0" w:noVBand="1"/>
      </w:tblPr>
      <w:tblGrid>
        <w:gridCol w:w="2127"/>
        <w:gridCol w:w="1559"/>
        <w:gridCol w:w="1276"/>
        <w:gridCol w:w="2126"/>
        <w:gridCol w:w="1701"/>
      </w:tblGrid>
      <w:tr w:rsidR="00154861" w:rsidRPr="00926796" w14:paraId="474AEB34" w14:textId="77777777" w:rsidTr="005A637D">
        <w:trPr>
          <w:trHeight w:val="283"/>
          <w:jc w:val="center"/>
        </w:trPr>
        <w:tc>
          <w:tcPr>
            <w:tcW w:w="2127" w:type="dxa"/>
            <w:tcBorders>
              <w:top w:val="single" w:sz="4" w:space="0" w:color="auto"/>
              <w:left w:val="nil"/>
              <w:bottom w:val="single" w:sz="4" w:space="0" w:color="auto"/>
              <w:right w:val="nil"/>
            </w:tcBorders>
            <w:shd w:val="clear" w:color="auto" w:fill="8DB3E2"/>
            <w:vAlign w:val="center"/>
          </w:tcPr>
          <w:p w14:paraId="6D6A53D8" w14:textId="77777777" w:rsidR="007E4397" w:rsidRPr="00926796" w:rsidRDefault="007E4397" w:rsidP="00710D7B">
            <w:pPr>
              <w:pStyle w:val="cuadroCabe"/>
              <w:rPr>
                <w:sz w:val="16"/>
                <w:szCs w:val="16"/>
              </w:rPr>
            </w:pPr>
            <w:r w:rsidRPr="00926796">
              <w:rPr>
                <w:sz w:val="16"/>
                <w:szCs w:val="16"/>
              </w:rPr>
              <w:t>Salud</w:t>
            </w:r>
          </w:p>
        </w:tc>
        <w:tc>
          <w:tcPr>
            <w:tcW w:w="1559" w:type="dxa"/>
            <w:tcBorders>
              <w:top w:val="single" w:sz="4" w:space="0" w:color="auto"/>
              <w:left w:val="nil"/>
              <w:bottom w:val="single" w:sz="4" w:space="0" w:color="auto"/>
              <w:right w:val="nil"/>
            </w:tcBorders>
            <w:shd w:val="clear" w:color="auto" w:fill="8DB3E2"/>
            <w:vAlign w:val="center"/>
            <w:hideMark/>
          </w:tcPr>
          <w:p w14:paraId="231F7AE2" w14:textId="77777777" w:rsidR="007E4397" w:rsidRPr="00926796" w:rsidRDefault="007E4397" w:rsidP="003B4B7F">
            <w:pPr>
              <w:pStyle w:val="cuadroCabe"/>
              <w:jc w:val="right"/>
              <w:rPr>
                <w:sz w:val="16"/>
                <w:szCs w:val="16"/>
              </w:rPr>
            </w:pPr>
            <w:r w:rsidRPr="00926796">
              <w:rPr>
                <w:sz w:val="16"/>
                <w:szCs w:val="16"/>
              </w:rPr>
              <w:t xml:space="preserve">Plazas </w:t>
            </w:r>
          </w:p>
          <w:p w14:paraId="09B9FBDC" w14:textId="77777777" w:rsidR="00154861" w:rsidRPr="00926796" w:rsidRDefault="00154861" w:rsidP="003B4B7F">
            <w:pPr>
              <w:pStyle w:val="cuadroCabe"/>
              <w:jc w:val="right"/>
              <w:rPr>
                <w:sz w:val="16"/>
                <w:szCs w:val="16"/>
              </w:rPr>
            </w:pPr>
            <w:r w:rsidRPr="00926796">
              <w:rPr>
                <w:sz w:val="16"/>
                <w:szCs w:val="16"/>
              </w:rPr>
              <w:t>p</w:t>
            </w:r>
            <w:r w:rsidR="007F35D6" w:rsidRPr="00926796">
              <w:rPr>
                <w:sz w:val="16"/>
                <w:szCs w:val="16"/>
              </w:rPr>
              <w:t xml:space="preserve">endientes </w:t>
            </w:r>
          </w:p>
          <w:p w14:paraId="3EFFCC89" w14:textId="77777777" w:rsidR="007E4397" w:rsidRPr="00926796" w:rsidRDefault="007F35D6" w:rsidP="003B4B7F">
            <w:pPr>
              <w:pStyle w:val="cuadroCabe"/>
              <w:jc w:val="right"/>
              <w:rPr>
                <w:sz w:val="16"/>
                <w:szCs w:val="16"/>
              </w:rPr>
            </w:pPr>
            <w:r w:rsidRPr="00926796">
              <w:rPr>
                <w:sz w:val="16"/>
                <w:szCs w:val="16"/>
              </w:rPr>
              <w:t xml:space="preserve">convocar </w:t>
            </w:r>
            <w:r w:rsidR="00154861" w:rsidRPr="00926796">
              <w:rPr>
                <w:sz w:val="16"/>
                <w:szCs w:val="16"/>
              </w:rPr>
              <w:t xml:space="preserve">en </w:t>
            </w:r>
            <w:r w:rsidR="007E4397" w:rsidRPr="00926796">
              <w:rPr>
                <w:sz w:val="16"/>
                <w:szCs w:val="16"/>
              </w:rPr>
              <w:t>2022</w:t>
            </w:r>
          </w:p>
        </w:tc>
        <w:tc>
          <w:tcPr>
            <w:tcW w:w="1276" w:type="dxa"/>
            <w:tcBorders>
              <w:top w:val="single" w:sz="4" w:space="0" w:color="auto"/>
              <w:left w:val="nil"/>
              <w:bottom w:val="single" w:sz="4" w:space="0" w:color="auto"/>
              <w:right w:val="nil"/>
            </w:tcBorders>
            <w:shd w:val="clear" w:color="auto" w:fill="8DB3E2"/>
            <w:vAlign w:val="center"/>
          </w:tcPr>
          <w:p w14:paraId="765684A6" w14:textId="77777777" w:rsidR="00154861" w:rsidRPr="00926796" w:rsidRDefault="007E4397" w:rsidP="003B4B7F">
            <w:pPr>
              <w:pStyle w:val="cuadroCabe"/>
              <w:jc w:val="right"/>
              <w:rPr>
                <w:sz w:val="16"/>
                <w:szCs w:val="16"/>
              </w:rPr>
            </w:pPr>
            <w:r w:rsidRPr="00926796">
              <w:rPr>
                <w:sz w:val="16"/>
                <w:szCs w:val="16"/>
              </w:rPr>
              <w:t xml:space="preserve">Plazas </w:t>
            </w:r>
          </w:p>
          <w:p w14:paraId="702BCF2F" w14:textId="77777777" w:rsidR="007E4397" w:rsidRPr="00926796" w:rsidRDefault="007E4397" w:rsidP="003B4B7F">
            <w:pPr>
              <w:pStyle w:val="cuadroCabe"/>
              <w:jc w:val="right"/>
              <w:rPr>
                <w:sz w:val="16"/>
                <w:szCs w:val="16"/>
              </w:rPr>
            </w:pPr>
            <w:r w:rsidRPr="00926796">
              <w:rPr>
                <w:sz w:val="16"/>
                <w:szCs w:val="16"/>
              </w:rPr>
              <w:t xml:space="preserve">ofertadas </w:t>
            </w:r>
            <w:r w:rsidR="00154861" w:rsidRPr="00926796">
              <w:rPr>
                <w:sz w:val="16"/>
                <w:szCs w:val="16"/>
              </w:rPr>
              <w:t xml:space="preserve">en </w:t>
            </w:r>
            <w:r w:rsidRPr="00926796">
              <w:rPr>
                <w:sz w:val="16"/>
                <w:szCs w:val="16"/>
              </w:rPr>
              <w:t>2023</w:t>
            </w:r>
          </w:p>
        </w:tc>
        <w:tc>
          <w:tcPr>
            <w:tcW w:w="2126" w:type="dxa"/>
            <w:tcBorders>
              <w:top w:val="single" w:sz="4" w:space="0" w:color="auto"/>
              <w:left w:val="nil"/>
              <w:bottom w:val="single" w:sz="4" w:space="0" w:color="auto"/>
              <w:right w:val="nil"/>
            </w:tcBorders>
            <w:shd w:val="clear" w:color="auto" w:fill="8DB3E2"/>
            <w:vAlign w:val="center"/>
          </w:tcPr>
          <w:p w14:paraId="5BB83A14" w14:textId="77777777" w:rsidR="005A637D" w:rsidRPr="004F7B78" w:rsidRDefault="00154861" w:rsidP="005A637D">
            <w:pPr>
              <w:pStyle w:val="cuadroCabe"/>
              <w:jc w:val="right"/>
              <w:rPr>
                <w:sz w:val="16"/>
                <w:szCs w:val="16"/>
              </w:rPr>
            </w:pPr>
            <w:r w:rsidRPr="004F7B78">
              <w:rPr>
                <w:sz w:val="16"/>
                <w:szCs w:val="16"/>
              </w:rPr>
              <w:t>Plazas</w:t>
            </w:r>
            <w:r w:rsidR="005A637D" w:rsidRPr="004F7B78">
              <w:rPr>
                <w:sz w:val="16"/>
                <w:szCs w:val="16"/>
              </w:rPr>
              <w:t xml:space="preserve"> </w:t>
            </w:r>
            <w:r w:rsidRPr="004F7B78">
              <w:rPr>
                <w:sz w:val="16"/>
                <w:szCs w:val="16"/>
              </w:rPr>
              <w:t>convocadas</w:t>
            </w:r>
          </w:p>
          <w:p w14:paraId="459902C8" w14:textId="77777777" w:rsidR="007E4397" w:rsidRPr="004F7B78" w:rsidRDefault="00154861" w:rsidP="005A637D">
            <w:pPr>
              <w:pStyle w:val="cuadroCabe"/>
              <w:jc w:val="right"/>
              <w:rPr>
                <w:sz w:val="16"/>
                <w:szCs w:val="16"/>
              </w:rPr>
            </w:pPr>
            <w:r w:rsidRPr="004F7B78">
              <w:rPr>
                <w:sz w:val="16"/>
                <w:szCs w:val="16"/>
              </w:rPr>
              <w:t xml:space="preserve"> pendientes de resolución en 2023</w:t>
            </w:r>
          </w:p>
        </w:tc>
        <w:tc>
          <w:tcPr>
            <w:tcW w:w="1701" w:type="dxa"/>
            <w:tcBorders>
              <w:top w:val="single" w:sz="4" w:space="0" w:color="auto"/>
              <w:left w:val="nil"/>
              <w:bottom w:val="single" w:sz="4" w:space="0" w:color="auto"/>
              <w:right w:val="nil"/>
            </w:tcBorders>
            <w:shd w:val="clear" w:color="auto" w:fill="8DB3E2"/>
            <w:vAlign w:val="center"/>
            <w:hideMark/>
          </w:tcPr>
          <w:p w14:paraId="1A0C939E" w14:textId="77777777" w:rsidR="007E4397" w:rsidRPr="004F7B78" w:rsidRDefault="007E4397" w:rsidP="003B4B7F">
            <w:pPr>
              <w:pStyle w:val="cuadroCabe"/>
              <w:jc w:val="right"/>
              <w:rPr>
                <w:sz w:val="16"/>
                <w:szCs w:val="16"/>
              </w:rPr>
            </w:pPr>
            <w:r w:rsidRPr="004F7B78">
              <w:rPr>
                <w:sz w:val="16"/>
                <w:szCs w:val="16"/>
              </w:rPr>
              <w:t xml:space="preserve">Plazas </w:t>
            </w:r>
          </w:p>
          <w:p w14:paraId="6F87C985" w14:textId="77777777" w:rsidR="007E4397" w:rsidRPr="004F7B78" w:rsidRDefault="005A637D" w:rsidP="005A637D">
            <w:pPr>
              <w:pStyle w:val="cuadroCabe"/>
              <w:jc w:val="right"/>
              <w:rPr>
                <w:sz w:val="16"/>
                <w:szCs w:val="16"/>
              </w:rPr>
            </w:pPr>
            <w:r w:rsidRPr="004F7B78">
              <w:rPr>
                <w:sz w:val="16"/>
                <w:szCs w:val="16"/>
              </w:rPr>
              <w:t>p</w:t>
            </w:r>
            <w:r w:rsidR="007F35D6" w:rsidRPr="004F7B78">
              <w:rPr>
                <w:sz w:val="16"/>
                <w:szCs w:val="16"/>
              </w:rPr>
              <w:t xml:space="preserve">endientes </w:t>
            </w:r>
            <w:r w:rsidR="00154861" w:rsidRPr="004F7B78">
              <w:rPr>
                <w:sz w:val="16"/>
                <w:szCs w:val="16"/>
              </w:rPr>
              <w:t xml:space="preserve">de </w:t>
            </w:r>
            <w:r w:rsidRPr="004F7B78">
              <w:rPr>
                <w:sz w:val="16"/>
                <w:szCs w:val="16"/>
              </w:rPr>
              <w:br/>
            </w:r>
            <w:r w:rsidR="007F35D6" w:rsidRPr="004F7B78">
              <w:rPr>
                <w:sz w:val="16"/>
                <w:szCs w:val="16"/>
              </w:rPr>
              <w:t xml:space="preserve">convocar </w:t>
            </w:r>
            <w:r w:rsidR="00154861" w:rsidRPr="004F7B78">
              <w:rPr>
                <w:sz w:val="16"/>
                <w:szCs w:val="16"/>
              </w:rPr>
              <w:t xml:space="preserve">en </w:t>
            </w:r>
            <w:r w:rsidR="007E4397" w:rsidRPr="004F7B78">
              <w:rPr>
                <w:sz w:val="16"/>
                <w:szCs w:val="16"/>
              </w:rPr>
              <w:t>2023</w:t>
            </w:r>
          </w:p>
        </w:tc>
      </w:tr>
      <w:tr w:rsidR="00154861" w:rsidRPr="00154861" w14:paraId="2A1A8F17" w14:textId="77777777" w:rsidTr="00ED59EE">
        <w:trPr>
          <w:trHeight w:val="198"/>
          <w:jc w:val="center"/>
        </w:trPr>
        <w:tc>
          <w:tcPr>
            <w:tcW w:w="2127" w:type="dxa"/>
            <w:tcBorders>
              <w:top w:val="single" w:sz="4" w:space="0" w:color="auto"/>
              <w:left w:val="nil"/>
              <w:bottom w:val="single" w:sz="2" w:space="0" w:color="auto"/>
              <w:right w:val="nil"/>
            </w:tcBorders>
            <w:vAlign w:val="center"/>
          </w:tcPr>
          <w:p w14:paraId="202DF558" w14:textId="77777777" w:rsidR="007E4397" w:rsidRPr="00154861" w:rsidRDefault="0067536B" w:rsidP="00710D7B">
            <w:pPr>
              <w:pStyle w:val="cuatexto"/>
              <w:rPr>
                <w:szCs w:val="20"/>
              </w:rPr>
            </w:pPr>
            <w:r w:rsidRPr="00154861">
              <w:rPr>
                <w:szCs w:val="20"/>
              </w:rPr>
              <w:t xml:space="preserve">OPES </w:t>
            </w:r>
            <w:r w:rsidR="007E4397" w:rsidRPr="00154861">
              <w:rPr>
                <w:szCs w:val="20"/>
              </w:rPr>
              <w:t>hasta 2019</w:t>
            </w:r>
          </w:p>
        </w:tc>
        <w:tc>
          <w:tcPr>
            <w:tcW w:w="1559" w:type="dxa"/>
            <w:tcBorders>
              <w:top w:val="single" w:sz="4" w:space="0" w:color="auto"/>
              <w:left w:val="nil"/>
              <w:bottom w:val="single" w:sz="2" w:space="0" w:color="auto"/>
              <w:right w:val="nil"/>
            </w:tcBorders>
            <w:vAlign w:val="center"/>
          </w:tcPr>
          <w:p w14:paraId="1E2A0770" w14:textId="77777777" w:rsidR="007E4397" w:rsidRPr="00154861" w:rsidRDefault="007E4397" w:rsidP="003B4B7F">
            <w:pPr>
              <w:jc w:val="right"/>
              <w:rPr>
                <w:rFonts w:ascii="Arial Narrow" w:hAnsi="Arial Narrow" w:cs="Calibri"/>
                <w:sz w:val="20"/>
                <w:szCs w:val="20"/>
              </w:rPr>
            </w:pPr>
            <w:r w:rsidRPr="00154861">
              <w:rPr>
                <w:rFonts w:ascii="Arial Narrow" w:hAnsi="Arial Narrow" w:cs="Calibri"/>
                <w:sz w:val="20"/>
                <w:szCs w:val="20"/>
              </w:rPr>
              <w:t>0</w:t>
            </w:r>
          </w:p>
        </w:tc>
        <w:tc>
          <w:tcPr>
            <w:tcW w:w="1276" w:type="dxa"/>
            <w:tcBorders>
              <w:top w:val="single" w:sz="4" w:space="0" w:color="auto"/>
              <w:left w:val="nil"/>
              <w:bottom w:val="single" w:sz="2" w:space="0" w:color="auto"/>
              <w:right w:val="nil"/>
            </w:tcBorders>
            <w:vAlign w:val="center"/>
          </w:tcPr>
          <w:p w14:paraId="4D6C1EB1" w14:textId="77777777" w:rsidR="007E4397" w:rsidRPr="00154861" w:rsidRDefault="007E4397" w:rsidP="003B4B7F">
            <w:pPr>
              <w:jc w:val="right"/>
              <w:rPr>
                <w:rFonts w:ascii="Arial Narrow" w:hAnsi="Arial Narrow" w:cs="Calibri"/>
                <w:sz w:val="20"/>
                <w:szCs w:val="20"/>
              </w:rPr>
            </w:pPr>
            <w:r w:rsidRPr="00154861">
              <w:rPr>
                <w:rFonts w:ascii="Arial Narrow" w:hAnsi="Arial Narrow" w:cs="Calibri"/>
                <w:sz w:val="20"/>
                <w:szCs w:val="20"/>
              </w:rPr>
              <w:t>0</w:t>
            </w:r>
          </w:p>
        </w:tc>
        <w:tc>
          <w:tcPr>
            <w:tcW w:w="2126" w:type="dxa"/>
            <w:tcBorders>
              <w:top w:val="single" w:sz="4" w:space="0" w:color="auto"/>
              <w:left w:val="nil"/>
              <w:bottom w:val="single" w:sz="2" w:space="0" w:color="auto"/>
              <w:right w:val="nil"/>
            </w:tcBorders>
            <w:vAlign w:val="center"/>
          </w:tcPr>
          <w:p w14:paraId="47E23F52" w14:textId="77777777" w:rsidR="007E4397" w:rsidRPr="004F7B78" w:rsidRDefault="007E4397" w:rsidP="005A637D">
            <w:pPr>
              <w:jc w:val="right"/>
              <w:rPr>
                <w:rFonts w:ascii="Arial Narrow" w:hAnsi="Arial Narrow" w:cs="Calibri"/>
                <w:sz w:val="20"/>
                <w:szCs w:val="20"/>
              </w:rPr>
            </w:pPr>
            <w:r w:rsidRPr="004F7B78">
              <w:rPr>
                <w:rFonts w:ascii="Arial Narrow" w:hAnsi="Arial Narrow" w:cs="Calibri"/>
                <w:sz w:val="20"/>
                <w:szCs w:val="20"/>
              </w:rPr>
              <w:t>107</w:t>
            </w:r>
          </w:p>
        </w:tc>
        <w:tc>
          <w:tcPr>
            <w:tcW w:w="1701" w:type="dxa"/>
            <w:tcBorders>
              <w:top w:val="single" w:sz="4" w:space="0" w:color="auto"/>
              <w:left w:val="nil"/>
              <w:bottom w:val="single" w:sz="2" w:space="0" w:color="auto"/>
              <w:right w:val="nil"/>
            </w:tcBorders>
            <w:vAlign w:val="center"/>
          </w:tcPr>
          <w:p w14:paraId="4DA41085" w14:textId="77777777" w:rsidR="007E4397" w:rsidRPr="004F7B78" w:rsidRDefault="007E4397" w:rsidP="003B4B7F">
            <w:pPr>
              <w:jc w:val="right"/>
              <w:rPr>
                <w:rFonts w:ascii="Arial Narrow" w:hAnsi="Arial Narrow" w:cs="Calibri"/>
                <w:sz w:val="20"/>
                <w:szCs w:val="20"/>
              </w:rPr>
            </w:pPr>
            <w:r w:rsidRPr="004F7B78">
              <w:rPr>
                <w:rFonts w:ascii="Arial Narrow" w:hAnsi="Arial Narrow" w:cs="Calibri"/>
                <w:sz w:val="20"/>
                <w:szCs w:val="20"/>
              </w:rPr>
              <w:t>0</w:t>
            </w:r>
          </w:p>
        </w:tc>
      </w:tr>
      <w:tr w:rsidR="007E4397" w:rsidRPr="007E4397" w14:paraId="24059177" w14:textId="77777777" w:rsidTr="00E04706">
        <w:trPr>
          <w:trHeight w:val="198"/>
          <w:jc w:val="center"/>
        </w:trPr>
        <w:tc>
          <w:tcPr>
            <w:tcW w:w="2127" w:type="dxa"/>
            <w:tcBorders>
              <w:top w:val="single" w:sz="2" w:space="0" w:color="auto"/>
              <w:left w:val="nil"/>
              <w:bottom w:val="single" w:sz="2" w:space="0" w:color="auto"/>
              <w:right w:val="nil"/>
            </w:tcBorders>
            <w:vAlign w:val="center"/>
          </w:tcPr>
          <w:p w14:paraId="57F037DA" w14:textId="77777777" w:rsidR="007E4397" w:rsidRPr="007E4397" w:rsidRDefault="007E4397" w:rsidP="00710D7B">
            <w:pPr>
              <w:pStyle w:val="cuatexto"/>
              <w:rPr>
                <w:szCs w:val="20"/>
              </w:rPr>
            </w:pPr>
            <w:r>
              <w:rPr>
                <w:szCs w:val="20"/>
              </w:rPr>
              <w:t>OPES hasta 2022</w:t>
            </w:r>
          </w:p>
        </w:tc>
        <w:tc>
          <w:tcPr>
            <w:tcW w:w="1559" w:type="dxa"/>
            <w:tcBorders>
              <w:top w:val="single" w:sz="2" w:space="0" w:color="auto"/>
              <w:left w:val="nil"/>
              <w:bottom w:val="single" w:sz="2" w:space="0" w:color="auto"/>
              <w:right w:val="nil"/>
            </w:tcBorders>
            <w:vAlign w:val="center"/>
          </w:tcPr>
          <w:p w14:paraId="359B7F83" w14:textId="77777777" w:rsidR="007E4397" w:rsidRPr="007E4397" w:rsidRDefault="007E4397" w:rsidP="003B4B7F">
            <w:pPr>
              <w:jc w:val="right"/>
              <w:rPr>
                <w:rFonts w:ascii="Arial Narrow" w:hAnsi="Arial Narrow" w:cs="Calibri"/>
                <w:sz w:val="20"/>
                <w:szCs w:val="20"/>
              </w:rPr>
            </w:pPr>
            <w:r>
              <w:rPr>
                <w:rFonts w:ascii="Arial Narrow" w:hAnsi="Arial Narrow" w:cs="Calibri"/>
                <w:sz w:val="20"/>
                <w:szCs w:val="20"/>
              </w:rPr>
              <w:t>888</w:t>
            </w:r>
          </w:p>
        </w:tc>
        <w:tc>
          <w:tcPr>
            <w:tcW w:w="1276" w:type="dxa"/>
            <w:tcBorders>
              <w:top w:val="single" w:sz="2" w:space="0" w:color="auto"/>
              <w:left w:val="nil"/>
              <w:bottom w:val="single" w:sz="2" w:space="0" w:color="auto"/>
              <w:right w:val="nil"/>
            </w:tcBorders>
            <w:vAlign w:val="center"/>
          </w:tcPr>
          <w:p w14:paraId="29778BD9" w14:textId="77777777" w:rsidR="007E4397" w:rsidRPr="007E4397" w:rsidRDefault="007E4397" w:rsidP="003B4B7F">
            <w:pPr>
              <w:jc w:val="right"/>
              <w:rPr>
                <w:rFonts w:ascii="Arial Narrow" w:hAnsi="Arial Narrow" w:cs="Calibri"/>
                <w:sz w:val="20"/>
                <w:szCs w:val="20"/>
              </w:rPr>
            </w:pPr>
            <w:r w:rsidRPr="007E4397">
              <w:rPr>
                <w:rFonts w:ascii="Arial Narrow" w:hAnsi="Arial Narrow" w:cs="Calibri"/>
                <w:sz w:val="20"/>
                <w:szCs w:val="20"/>
              </w:rPr>
              <w:t>0</w:t>
            </w:r>
          </w:p>
        </w:tc>
        <w:tc>
          <w:tcPr>
            <w:tcW w:w="2126" w:type="dxa"/>
            <w:tcBorders>
              <w:top w:val="single" w:sz="2" w:space="0" w:color="auto"/>
              <w:left w:val="nil"/>
              <w:bottom w:val="single" w:sz="2" w:space="0" w:color="auto"/>
              <w:right w:val="nil"/>
            </w:tcBorders>
            <w:vAlign w:val="center"/>
          </w:tcPr>
          <w:p w14:paraId="6A3CD3B4" w14:textId="77777777" w:rsidR="007E4397" w:rsidRPr="004F7B78" w:rsidRDefault="007E4397" w:rsidP="005A637D">
            <w:pPr>
              <w:jc w:val="right"/>
              <w:rPr>
                <w:rFonts w:ascii="Arial Narrow" w:hAnsi="Arial Narrow" w:cs="Calibri"/>
                <w:sz w:val="20"/>
                <w:szCs w:val="20"/>
              </w:rPr>
            </w:pPr>
            <w:r w:rsidRPr="004F7B78">
              <w:rPr>
                <w:rFonts w:ascii="Arial Narrow" w:hAnsi="Arial Narrow" w:cs="Calibri"/>
                <w:sz w:val="20"/>
                <w:szCs w:val="20"/>
              </w:rPr>
              <w:t>634</w:t>
            </w:r>
          </w:p>
        </w:tc>
        <w:tc>
          <w:tcPr>
            <w:tcW w:w="1701" w:type="dxa"/>
            <w:tcBorders>
              <w:top w:val="single" w:sz="2" w:space="0" w:color="auto"/>
              <w:left w:val="nil"/>
              <w:bottom w:val="single" w:sz="2" w:space="0" w:color="auto"/>
              <w:right w:val="nil"/>
            </w:tcBorders>
            <w:vAlign w:val="center"/>
          </w:tcPr>
          <w:p w14:paraId="3A92925B" w14:textId="77777777" w:rsidR="007E4397" w:rsidRPr="004F7B78" w:rsidRDefault="007E4397" w:rsidP="003B4B7F">
            <w:pPr>
              <w:jc w:val="right"/>
              <w:rPr>
                <w:rFonts w:ascii="Arial Narrow" w:hAnsi="Arial Narrow" w:cs="Calibri"/>
                <w:sz w:val="20"/>
                <w:szCs w:val="20"/>
              </w:rPr>
            </w:pPr>
            <w:r w:rsidRPr="004F7B78">
              <w:rPr>
                <w:rFonts w:ascii="Arial Narrow" w:hAnsi="Arial Narrow" w:cs="Calibri"/>
                <w:sz w:val="20"/>
                <w:szCs w:val="20"/>
              </w:rPr>
              <w:t>254</w:t>
            </w:r>
          </w:p>
        </w:tc>
      </w:tr>
      <w:tr w:rsidR="007E4397" w:rsidRPr="007E4397" w14:paraId="55E3EA7C" w14:textId="77777777" w:rsidTr="00E04706">
        <w:trPr>
          <w:trHeight w:val="198"/>
          <w:jc w:val="center"/>
        </w:trPr>
        <w:tc>
          <w:tcPr>
            <w:tcW w:w="2127" w:type="dxa"/>
            <w:tcBorders>
              <w:top w:val="single" w:sz="2" w:space="0" w:color="auto"/>
              <w:left w:val="nil"/>
              <w:bottom w:val="single" w:sz="2" w:space="0" w:color="auto"/>
              <w:right w:val="nil"/>
            </w:tcBorders>
            <w:vAlign w:val="center"/>
          </w:tcPr>
          <w:p w14:paraId="04AA44FF" w14:textId="77777777" w:rsidR="007E4397" w:rsidRPr="007E4397" w:rsidRDefault="007E4397" w:rsidP="00710D7B">
            <w:pPr>
              <w:pStyle w:val="cuatexto"/>
              <w:rPr>
                <w:szCs w:val="20"/>
              </w:rPr>
            </w:pPr>
            <w:r>
              <w:rPr>
                <w:szCs w:val="20"/>
              </w:rPr>
              <w:t>OPE estabilización 2</w:t>
            </w:r>
            <w:r w:rsidR="00154861">
              <w:rPr>
                <w:szCs w:val="20"/>
              </w:rPr>
              <w:t>02</w:t>
            </w:r>
            <w:r>
              <w:rPr>
                <w:szCs w:val="20"/>
              </w:rPr>
              <w:t>2</w:t>
            </w:r>
          </w:p>
        </w:tc>
        <w:tc>
          <w:tcPr>
            <w:tcW w:w="1559" w:type="dxa"/>
            <w:tcBorders>
              <w:top w:val="single" w:sz="2" w:space="0" w:color="auto"/>
              <w:left w:val="nil"/>
              <w:bottom w:val="single" w:sz="2" w:space="0" w:color="auto"/>
              <w:right w:val="nil"/>
            </w:tcBorders>
            <w:vAlign w:val="center"/>
          </w:tcPr>
          <w:p w14:paraId="1325980C" w14:textId="77777777" w:rsidR="007E4397" w:rsidRPr="007E4397" w:rsidRDefault="007E4397" w:rsidP="003B4B7F">
            <w:pPr>
              <w:jc w:val="right"/>
              <w:rPr>
                <w:rFonts w:ascii="Arial Narrow" w:hAnsi="Arial Narrow" w:cs="Calibri"/>
                <w:sz w:val="20"/>
                <w:szCs w:val="20"/>
              </w:rPr>
            </w:pPr>
            <w:r>
              <w:rPr>
                <w:rFonts w:ascii="Arial Narrow" w:hAnsi="Arial Narrow" w:cs="Calibri"/>
                <w:sz w:val="20"/>
                <w:szCs w:val="20"/>
              </w:rPr>
              <w:t>0</w:t>
            </w:r>
          </w:p>
        </w:tc>
        <w:tc>
          <w:tcPr>
            <w:tcW w:w="1276" w:type="dxa"/>
            <w:tcBorders>
              <w:top w:val="single" w:sz="2" w:space="0" w:color="auto"/>
              <w:left w:val="nil"/>
              <w:bottom w:val="single" w:sz="2" w:space="0" w:color="auto"/>
              <w:right w:val="nil"/>
            </w:tcBorders>
            <w:vAlign w:val="center"/>
          </w:tcPr>
          <w:p w14:paraId="2446BAAF" w14:textId="77777777" w:rsidR="007E4397" w:rsidRPr="007E4397" w:rsidRDefault="007E4397" w:rsidP="003B4B7F">
            <w:pPr>
              <w:jc w:val="right"/>
              <w:rPr>
                <w:rFonts w:ascii="Arial Narrow" w:hAnsi="Arial Narrow" w:cs="Calibri"/>
                <w:sz w:val="20"/>
                <w:szCs w:val="20"/>
              </w:rPr>
            </w:pPr>
            <w:r w:rsidRPr="007E4397">
              <w:rPr>
                <w:rFonts w:ascii="Arial Narrow" w:hAnsi="Arial Narrow" w:cs="Calibri"/>
                <w:sz w:val="20"/>
                <w:szCs w:val="20"/>
              </w:rPr>
              <w:t>0</w:t>
            </w:r>
          </w:p>
        </w:tc>
        <w:tc>
          <w:tcPr>
            <w:tcW w:w="2126" w:type="dxa"/>
            <w:tcBorders>
              <w:top w:val="single" w:sz="2" w:space="0" w:color="auto"/>
              <w:left w:val="nil"/>
              <w:bottom w:val="single" w:sz="2" w:space="0" w:color="auto"/>
              <w:right w:val="nil"/>
            </w:tcBorders>
            <w:vAlign w:val="center"/>
          </w:tcPr>
          <w:p w14:paraId="48749980" w14:textId="77777777" w:rsidR="007E4397" w:rsidRPr="004F7B78" w:rsidRDefault="007E4397" w:rsidP="005A637D">
            <w:pPr>
              <w:jc w:val="right"/>
              <w:rPr>
                <w:rFonts w:ascii="Arial Narrow" w:hAnsi="Arial Narrow" w:cs="Calibri"/>
                <w:sz w:val="20"/>
                <w:szCs w:val="20"/>
              </w:rPr>
            </w:pPr>
            <w:r w:rsidRPr="004F7B78">
              <w:rPr>
                <w:rFonts w:ascii="Arial Narrow" w:hAnsi="Arial Narrow" w:cs="Calibri"/>
                <w:sz w:val="20"/>
                <w:szCs w:val="20"/>
              </w:rPr>
              <w:t>1.100</w:t>
            </w:r>
          </w:p>
        </w:tc>
        <w:tc>
          <w:tcPr>
            <w:tcW w:w="1701" w:type="dxa"/>
            <w:tcBorders>
              <w:top w:val="single" w:sz="2" w:space="0" w:color="auto"/>
              <w:left w:val="nil"/>
              <w:bottom w:val="single" w:sz="2" w:space="0" w:color="auto"/>
              <w:right w:val="nil"/>
            </w:tcBorders>
            <w:vAlign w:val="center"/>
          </w:tcPr>
          <w:p w14:paraId="3C3199BE" w14:textId="77777777" w:rsidR="007E4397" w:rsidRPr="004F7B78" w:rsidRDefault="007E4397" w:rsidP="003B4B7F">
            <w:pPr>
              <w:jc w:val="right"/>
              <w:rPr>
                <w:rFonts w:ascii="Arial Narrow" w:hAnsi="Arial Narrow" w:cs="Calibri"/>
                <w:sz w:val="20"/>
                <w:szCs w:val="20"/>
              </w:rPr>
            </w:pPr>
            <w:r w:rsidRPr="004F7B78">
              <w:rPr>
                <w:rFonts w:ascii="Arial Narrow" w:hAnsi="Arial Narrow" w:cs="Calibri"/>
                <w:sz w:val="20"/>
                <w:szCs w:val="20"/>
              </w:rPr>
              <w:t>0</w:t>
            </w:r>
          </w:p>
        </w:tc>
      </w:tr>
      <w:tr w:rsidR="007E4397" w:rsidRPr="007E4397" w14:paraId="2125420D" w14:textId="77777777" w:rsidTr="00E04706">
        <w:trPr>
          <w:trHeight w:val="198"/>
          <w:jc w:val="center"/>
        </w:trPr>
        <w:tc>
          <w:tcPr>
            <w:tcW w:w="2127" w:type="dxa"/>
            <w:tcBorders>
              <w:top w:val="single" w:sz="2" w:space="0" w:color="auto"/>
              <w:left w:val="nil"/>
              <w:bottom w:val="single" w:sz="4" w:space="0" w:color="auto"/>
              <w:right w:val="nil"/>
            </w:tcBorders>
            <w:vAlign w:val="center"/>
          </w:tcPr>
          <w:p w14:paraId="23A7766F" w14:textId="77777777" w:rsidR="007E4397" w:rsidRPr="007E4397" w:rsidRDefault="007E4397" w:rsidP="00710D7B">
            <w:pPr>
              <w:pStyle w:val="cuatexto"/>
              <w:rPr>
                <w:szCs w:val="20"/>
              </w:rPr>
            </w:pPr>
            <w:r>
              <w:rPr>
                <w:szCs w:val="20"/>
              </w:rPr>
              <w:t>OPE 2023</w:t>
            </w:r>
          </w:p>
        </w:tc>
        <w:tc>
          <w:tcPr>
            <w:tcW w:w="1559" w:type="dxa"/>
            <w:tcBorders>
              <w:top w:val="single" w:sz="2" w:space="0" w:color="auto"/>
              <w:left w:val="nil"/>
              <w:bottom w:val="single" w:sz="4" w:space="0" w:color="auto"/>
              <w:right w:val="nil"/>
            </w:tcBorders>
            <w:vAlign w:val="center"/>
          </w:tcPr>
          <w:p w14:paraId="6A773C90" w14:textId="77777777" w:rsidR="007E4397" w:rsidRPr="007E4397" w:rsidRDefault="007E4397" w:rsidP="003B4B7F">
            <w:pPr>
              <w:jc w:val="right"/>
              <w:rPr>
                <w:rFonts w:ascii="Arial Narrow" w:hAnsi="Arial Narrow" w:cs="Calibri"/>
                <w:sz w:val="20"/>
                <w:szCs w:val="20"/>
              </w:rPr>
            </w:pPr>
            <w:r>
              <w:rPr>
                <w:rFonts w:ascii="Arial Narrow" w:hAnsi="Arial Narrow" w:cs="Calibri"/>
                <w:sz w:val="20"/>
                <w:szCs w:val="20"/>
              </w:rPr>
              <w:t>0</w:t>
            </w:r>
          </w:p>
        </w:tc>
        <w:tc>
          <w:tcPr>
            <w:tcW w:w="1276" w:type="dxa"/>
            <w:tcBorders>
              <w:top w:val="single" w:sz="2" w:space="0" w:color="auto"/>
              <w:left w:val="nil"/>
              <w:bottom w:val="single" w:sz="4" w:space="0" w:color="auto"/>
              <w:right w:val="nil"/>
            </w:tcBorders>
            <w:vAlign w:val="center"/>
          </w:tcPr>
          <w:p w14:paraId="7B5B6203" w14:textId="77777777" w:rsidR="007E4397" w:rsidRPr="007E4397" w:rsidRDefault="007E4397" w:rsidP="003B4B7F">
            <w:pPr>
              <w:jc w:val="right"/>
              <w:rPr>
                <w:rFonts w:ascii="Arial Narrow" w:hAnsi="Arial Narrow" w:cs="Calibri"/>
                <w:sz w:val="20"/>
                <w:szCs w:val="20"/>
              </w:rPr>
            </w:pPr>
            <w:r>
              <w:rPr>
                <w:rFonts w:ascii="Arial Narrow" w:hAnsi="Arial Narrow" w:cs="Calibri"/>
                <w:sz w:val="20"/>
                <w:szCs w:val="20"/>
              </w:rPr>
              <w:t>527</w:t>
            </w:r>
          </w:p>
        </w:tc>
        <w:tc>
          <w:tcPr>
            <w:tcW w:w="2126" w:type="dxa"/>
            <w:tcBorders>
              <w:top w:val="single" w:sz="2" w:space="0" w:color="auto"/>
              <w:left w:val="nil"/>
              <w:bottom w:val="single" w:sz="4" w:space="0" w:color="auto"/>
              <w:right w:val="nil"/>
            </w:tcBorders>
            <w:vAlign w:val="center"/>
          </w:tcPr>
          <w:p w14:paraId="7BCBF709" w14:textId="77777777" w:rsidR="007E4397" w:rsidRPr="004F7B78" w:rsidRDefault="007E4397" w:rsidP="005A637D">
            <w:pPr>
              <w:jc w:val="right"/>
              <w:rPr>
                <w:rFonts w:ascii="Arial Narrow" w:hAnsi="Arial Narrow" w:cs="Calibri"/>
                <w:sz w:val="20"/>
                <w:szCs w:val="20"/>
              </w:rPr>
            </w:pPr>
            <w:r w:rsidRPr="004F7B78">
              <w:rPr>
                <w:rFonts w:ascii="Arial Narrow" w:hAnsi="Arial Narrow" w:cs="Calibri"/>
                <w:sz w:val="20"/>
                <w:szCs w:val="20"/>
              </w:rPr>
              <w:t>39</w:t>
            </w:r>
          </w:p>
        </w:tc>
        <w:tc>
          <w:tcPr>
            <w:tcW w:w="1701" w:type="dxa"/>
            <w:tcBorders>
              <w:top w:val="single" w:sz="2" w:space="0" w:color="auto"/>
              <w:left w:val="nil"/>
              <w:bottom w:val="single" w:sz="4" w:space="0" w:color="auto"/>
              <w:right w:val="nil"/>
            </w:tcBorders>
            <w:vAlign w:val="center"/>
          </w:tcPr>
          <w:p w14:paraId="5AD10E7A" w14:textId="77777777" w:rsidR="007E4397" w:rsidRPr="004F7B78" w:rsidRDefault="007E4397" w:rsidP="003B4B7F">
            <w:pPr>
              <w:jc w:val="right"/>
              <w:rPr>
                <w:rFonts w:ascii="Arial Narrow" w:hAnsi="Arial Narrow" w:cs="Calibri"/>
                <w:sz w:val="20"/>
                <w:szCs w:val="20"/>
              </w:rPr>
            </w:pPr>
            <w:r w:rsidRPr="004F7B78">
              <w:rPr>
                <w:rFonts w:ascii="Arial Narrow" w:hAnsi="Arial Narrow" w:cs="Calibri"/>
                <w:sz w:val="20"/>
                <w:szCs w:val="20"/>
              </w:rPr>
              <w:t>488</w:t>
            </w:r>
          </w:p>
        </w:tc>
      </w:tr>
      <w:tr w:rsidR="007E4397" w:rsidRPr="005A637D" w14:paraId="7619C881" w14:textId="77777777" w:rsidTr="00ED59EE">
        <w:trPr>
          <w:trHeight w:val="283"/>
          <w:jc w:val="center"/>
        </w:trPr>
        <w:tc>
          <w:tcPr>
            <w:tcW w:w="2127" w:type="dxa"/>
            <w:tcBorders>
              <w:top w:val="single" w:sz="4" w:space="0" w:color="auto"/>
              <w:left w:val="nil"/>
              <w:bottom w:val="single" w:sz="4" w:space="0" w:color="auto"/>
              <w:right w:val="nil"/>
            </w:tcBorders>
            <w:shd w:val="clear" w:color="auto" w:fill="8DB3E2"/>
            <w:vAlign w:val="center"/>
            <w:hideMark/>
          </w:tcPr>
          <w:p w14:paraId="2D63BD7F" w14:textId="77777777" w:rsidR="007E4397" w:rsidRPr="005A637D" w:rsidRDefault="007E4397" w:rsidP="00710D7B">
            <w:pPr>
              <w:keepLines/>
              <w:tabs>
                <w:tab w:val="right" w:pos="2835"/>
                <w:tab w:val="right" w:pos="3969"/>
                <w:tab w:val="right" w:pos="5103"/>
                <w:tab w:val="right" w:pos="6237"/>
                <w:tab w:val="right" w:pos="7371"/>
              </w:tabs>
              <w:rPr>
                <w:rFonts w:ascii="Arial" w:hAnsi="Arial" w:cs="Arial"/>
                <w:spacing w:val="6"/>
                <w:sz w:val="16"/>
                <w:szCs w:val="16"/>
              </w:rPr>
            </w:pPr>
            <w:r w:rsidRPr="005A637D">
              <w:rPr>
                <w:rFonts w:ascii="Arial" w:hAnsi="Arial" w:cs="Arial"/>
                <w:spacing w:val="6"/>
                <w:sz w:val="16"/>
                <w:szCs w:val="16"/>
              </w:rPr>
              <w:t>Total</w:t>
            </w:r>
          </w:p>
        </w:tc>
        <w:tc>
          <w:tcPr>
            <w:tcW w:w="1559" w:type="dxa"/>
            <w:tcBorders>
              <w:top w:val="single" w:sz="4" w:space="0" w:color="auto"/>
              <w:left w:val="nil"/>
              <w:bottom w:val="single" w:sz="4" w:space="0" w:color="auto"/>
              <w:right w:val="nil"/>
            </w:tcBorders>
            <w:shd w:val="clear" w:color="auto" w:fill="8DB3E2"/>
            <w:vAlign w:val="center"/>
          </w:tcPr>
          <w:p w14:paraId="666983A1" w14:textId="77777777" w:rsidR="007E4397" w:rsidRPr="005A637D" w:rsidRDefault="007E4397" w:rsidP="003B4B7F">
            <w:pPr>
              <w:jc w:val="right"/>
              <w:rPr>
                <w:rFonts w:ascii="Arial" w:hAnsi="Arial" w:cs="Arial"/>
                <w:sz w:val="16"/>
                <w:szCs w:val="16"/>
              </w:rPr>
            </w:pPr>
            <w:r w:rsidRPr="005A637D">
              <w:rPr>
                <w:rFonts w:ascii="Arial" w:hAnsi="Arial" w:cs="Arial"/>
                <w:sz w:val="16"/>
                <w:szCs w:val="16"/>
              </w:rPr>
              <w:t>888</w:t>
            </w:r>
          </w:p>
        </w:tc>
        <w:tc>
          <w:tcPr>
            <w:tcW w:w="1276" w:type="dxa"/>
            <w:tcBorders>
              <w:top w:val="single" w:sz="4" w:space="0" w:color="auto"/>
              <w:left w:val="nil"/>
              <w:bottom w:val="single" w:sz="4" w:space="0" w:color="auto"/>
              <w:right w:val="nil"/>
            </w:tcBorders>
            <w:shd w:val="clear" w:color="auto" w:fill="8DB3E2"/>
            <w:vAlign w:val="center"/>
          </w:tcPr>
          <w:p w14:paraId="78EBB72A" w14:textId="77777777" w:rsidR="007E4397" w:rsidRPr="005A637D" w:rsidRDefault="007E4397" w:rsidP="003B4B7F">
            <w:pPr>
              <w:jc w:val="right"/>
              <w:rPr>
                <w:rFonts w:ascii="Arial" w:hAnsi="Arial" w:cs="Arial"/>
                <w:sz w:val="16"/>
                <w:szCs w:val="16"/>
              </w:rPr>
            </w:pPr>
            <w:r w:rsidRPr="005A637D">
              <w:rPr>
                <w:rFonts w:ascii="Arial" w:hAnsi="Arial" w:cs="Arial"/>
                <w:sz w:val="16"/>
                <w:szCs w:val="16"/>
              </w:rPr>
              <w:t>527</w:t>
            </w:r>
          </w:p>
        </w:tc>
        <w:tc>
          <w:tcPr>
            <w:tcW w:w="2126" w:type="dxa"/>
            <w:tcBorders>
              <w:top w:val="single" w:sz="4" w:space="0" w:color="auto"/>
              <w:left w:val="nil"/>
              <w:bottom w:val="single" w:sz="4" w:space="0" w:color="auto"/>
              <w:right w:val="nil"/>
            </w:tcBorders>
            <w:shd w:val="clear" w:color="auto" w:fill="8DB3E2"/>
            <w:vAlign w:val="center"/>
          </w:tcPr>
          <w:p w14:paraId="05DEB3E2" w14:textId="77777777" w:rsidR="007E4397" w:rsidRPr="004F7B78" w:rsidRDefault="007E4397" w:rsidP="003B4B7F">
            <w:pPr>
              <w:jc w:val="right"/>
              <w:rPr>
                <w:rFonts w:ascii="Arial" w:hAnsi="Arial" w:cs="Arial"/>
                <w:sz w:val="16"/>
                <w:szCs w:val="16"/>
              </w:rPr>
            </w:pPr>
            <w:r w:rsidRPr="004F7B78">
              <w:rPr>
                <w:rFonts w:ascii="Arial" w:hAnsi="Arial" w:cs="Arial"/>
                <w:sz w:val="16"/>
                <w:szCs w:val="16"/>
              </w:rPr>
              <w:t>1.880</w:t>
            </w:r>
          </w:p>
        </w:tc>
        <w:tc>
          <w:tcPr>
            <w:tcW w:w="1701" w:type="dxa"/>
            <w:tcBorders>
              <w:top w:val="single" w:sz="4" w:space="0" w:color="auto"/>
              <w:left w:val="nil"/>
              <w:bottom w:val="single" w:sz="4" w:space="0" w:color="auto"/>
              <w:right w:val="nil"/>
            </w:tcBorders>
            <w:shd w:val="clear" w:color="auto" w:fill="8DB3E2"/>
            <w:vAlign w:val="center"/>
          </w:tcPr>
          <w:p w14:paraId="4BA78EB0" w14:textId="77777777" w:rsidR="007E4397" w:rsidRPr="004F7B78" w:rsidRDefault="007E4397" w:rsidP="003B4B7F">
            <w:pPr>
              <w:jc w:val="right"/>
              <w:rPr>
                <w:rFonts w:ascii="Arial" w:hAnsi="Arial" w:cs="Arial"/>
                <w:sz w:val="16"/>
                <w:szCs w:val="16"/>
              </w:rPr>
            </w:pPr>
            <w:r w:rsidRPr="004F7B78">
              <w:rPr>
                <w:rFonts w:ascii="Arial" w:hAnsi="Arial" w:cs="Arial"/>
                <w:sz w:val="16"/>
                <w:szCs w:val="16"/>
              </w:rPr>
              <w:t>742</w:t>
            </w:r>
          </w:p>
        </w:tc>
      </w:tr>
    </w:tbl>
    <w:p w14:paraId="562E0382" w14:textId="77777777" w:rsidR="007E4397" w:rsidRDefault="007E4397" w:rsidP="002D15F8">
      <w:pPr>
        <w:pStyle w:val="texto"/>
        <w:jc w:val="both"/>
        <w:rPr>
          <w:color w:val="FF0000"/>
        </w:rPr>
      </w:pPr>
    </w:p>
    <w:p w14:paraId="3E497BCD" w14:textId="77777777" w:rsidR="00E56698" w:rsidRDefault="00E56698">
      <w:pPr>
        <w:rPr>
          <w:color w:val="FF0000"/>
          <w:spacing w:val="6"/>
          <w:sz w:val="26"/>
        </w:rPr>
      </w:pPr>
      <w:r>
        <w:rPr>
          <w:color w:val="FF0000"/>
        </w:rPr>
        <w:br w:type="page"/>
      </w:r>
    </w:p>
    <w:tbl>
      <w:tblPr>
        <w:tblW w:w="8789" w:type="dxa"/>
        <w:jc w:val="center"/>
        <w:tblCellMar>
          <w:left w:w="30" w:type="dxa"/>
          <w:right w:w="30" w:type="dxa"/>
        </w:tblCellMar>
        <w:tblLook w:val="04A0" w:firstRow="1" w:lastRow="0" w:firstColumn="1" w:lastColumn="0" w:noHBand="0" w:noVBand="1"/>
      </w:tblPr>
      <w:tblGrid>
        <w:gridCol w:w="2694"/>
        <w:gridCol w:w="1417"/>
        <w:gridCol w:w="1276"/>
        <w:gridCol w:w="1701"/>
        <w:gridCol w:w="1701"/>
      </w:tblGrid>
      <w:tr w:rsidR="00154861" w:rsidRPr="005A637D" w14:paraId="31FDA7DC" w14:textId="77777777" w:rsidTr="00ED59EE">
        <w:trPr>
          <w:trHeight w:val="283"/>
          <w:jc w:val="center"/>
        </w:trPr>
        <w:tc>
          <w:tcPr>
            <w:tcW w:w="2694" w:type="dxa"/>
            <w:tcBorders>
              <w:top w:val="single" w:sz="4" w:space="0" w:color="auto"/>
              <w:left w:val="nil"/>
              <w:bottom w:val="single" w:sz="4" w:space="0" w:color="auto"/>
              <w:right w:val="nil"/>
            </w:tcBorders>
            <w:shd w:val="clear" w:color="auto" w:fill="8DB3E2"/>
            <w:vAlign w:val="center"/>
          </w:tcPr>
          <w:p w14:paraId="241F3EB1" w14:textId="77777777" w:rsidR="007E4397" w:rsidRPr="005A637D" w:rsidRDefault="007E4397" w:rsidP="00710D7B">
            <w:pPr>
              <w:pStyle w:val="cuadroCabe"/>
              <w:rPr>
                <w:sz w:val="16"/>
                <w:szCs w:val="16"/>
              </w:rPr>
            </w:pPr>
            <w:r w:rsidRPr="005A637D">
              <w:rPr>
                <w:sz w:val="16"/>
                <w:szCs w:val="16"/>
              </w:rPr>
              <w:lastRenderedPageBreak/>
              <w:t>Educación</w:t>
            </w:r>
          </w:p>
        </w:tc>
        <w:tc>
          <w:tcPr>
            <w:tcW w:w="1417" w:type="dxa"/>
            <w:tcBorders>
              <w:top w:val="single" w:sz="4" w:space="0" w:color="auto"/>
              <w:left w:val="nil"/>
              <w:bottom w:val="single" w:sz="4" w:space="0" w:color="auto"/>
              <w:right w:val="nil"/>
            </w:tcBorders>
            <w:shd w:val="clear" w:color="auto" w:fill="8DB3E2"/>
            <w:vAlign w:val="center"/>
            <w:hideMark/>
          </w:tcPr>
          <w:p w14:paraId="5DB4D042" w14:textId="77777777" w:rsidR="007E4397" w:rsidRPr="005A637D" w:rsidRDefault="007E4397" w:rsidP="003B4B7F">
            <w:pPr>
              <w:pStyle w:val="cuadroCabe"/>
              <w:jc w:val="right"/>
              <w:rPr>
                <w:sz w:val="16"/>
                <w:szCs w:val="16"/>
              </w:rPr>
            </w:pPr>
            <w:r w:rsidRPr="005A637D">
              <w:rPr>
                <w:sz w:val="16"/>
                <w:szCs w:val="16"/>
              </w:rPr>
              <w:t xml:space="preserve">Plazas </w:t>
            </w:r>
          </w:p>
          <w:p w14:paraId="7CA66A82" w14:textId="77777777" w:rsidR="007E4397" w:rsidRPr="005A637D" w:rsidRDefault="007E4397" w:rsidP="003B4B7F">
            <w:pPr>
              <w:pStyle w:val="cuadroCabe"/>
              <w:jc w:val="right"/>
              <w:rPr>
                <w:sz w:val="16"/>
                <w:szCs w:val="16"/>
              </w:rPr>
            </w:pPr>
            <w:r w:rsidRPr="005A637D">
              <w:rPr>
                <w:sz w:val="16"/>
                <w:szCs w:val="16"/>
              </w:rPr>
              <w:t xml:space="preserve">pendientes </w:t>
            </w:r>
            <w:r w:rsidR="007F35D6" w:rsidRPr="005A637D">
              <w:rPr>
                <w:sz w:val="16"/>
                <w:szCs w:val="16"/>
              </w:rPr>
              <w:t xml:space="preserve">convocar </w:t>
            </w:r>
            <w:r w:rsidR="00154861" w:rsidRPr="005A637D">
              <w:rPr>
                <w:sz w:val="16"/>
                <w:szCs w:val="16"/>
              </w:rPr>
              <w:t xml:space="preserve">en </w:t>
            </w:r>
            <w:r w:rsidRPr="005A637D">
              <w:rPr>
                <w:sz w:val="16"/>
                <w:szCs w:val="16"/>
              </w:rPr>
              <w:t>2022</w:t>
            </w:r>
          </w:p>
        </w:tc>
        <w:tc>
          <w:tcPr>
            <w:tcW w:w="1276" w:type="dxa"/>
            <w:tcBorders>
              <w:top w:val="single" w:sz="4" w:space="0" w:color="auto"/>
              <w:left w:val="nil"/>
              <w:bottom w:val="single" w:sz="4" w:space="0" w:color="auto"/>
              <w:right w:val="nil"/>
            </w:tcBorders>
            <w:shd w:val="clear" w:color="auto" w:fill="8DB3E2"/>
            <w:vAlign w:val="center"/>
          </w:tcPr>
          <w:p w14:paraId="17510B12" w14:textId="77777777" w:rsidR="00ED59EE" w:rsidRPr="005A637D" w:rsidRDefault="007E4397" w:rsidP="003B4B7F">
            <w:pPr>
              <w:pStyle w:val="cuadroCabe"/>
              <w:jc w:val="right"/>
              <w:rPr>
                <w:sz w:val="16"/>
                <w:szCs w:val="16"/>
              </w:rPr>
            </w:pPr>
            <w:r w:rsidRPr="005A637D">
              <w:rPr>
                <w:sz w:val="16"/>
                <w:szCs w:val="16"/>
              </w:rPr>
              <w:t xml:space="preserve">Plazas </w:t>
            </w:r>
          </w:p>
          <w:p w14:paraId="1B225F2C" w14:textId="77777777" w:rsidR="007E4397" w:rsidRPr="005A637D" w:rsidRDefault="007E4397" w:rsidP="003B4B7F">
            <w:pPr>
              <w:pStyle w:val="cuadroCabe"/>
              <w:jc w:val="right"/>
              <w:rPr>
                <w:sz w:val="16"/>
                <w:szCs w:val="16"/>
              </w:rPr>
            </w:pPr>
            <w:r w:rsidRPr="005A637D">
              <w:rPr>
                <w:sz w:val="16"/>
                <w:szCs w:val="16"/>
              </w:rPr>
              <w:t xml:space="preserve">ofertadas </w:t>
            </w:r>
            <w:r w:rsidR="00154861" w:rsidRPr="005A637D">
              <w:rPr>
                <w:sz w:val="16"/>
                <w:szCs w:val="16"/>
              </w:rPr>
              <w:t xml:space="preserve">en </w:t>
            </w:r>
            <w:r w:rsidRPr="005A637D">
              <w:rPr>
                <w:sz w:val="16"/>
                <w:szCs w:val="16"/>
              </w:rPr>
              <w:t>2023</w:t>
            </w:r>
          </w:p>
        </w:tc>
        <w:tc>
          <w:tcPr>
            <w:tcW w:w="1701" w:type="dxa"/>
            <w:tcBorders>
              <w:top w:val="single" w:sz="4" w:space="0" w:color="auto"/>
              <w:left w:val="nil"/>
              <w:bottom w:val="single" w:sz="4" w:space="0" w:color="auto"/>
              <w:right w:val="nil"/>
            </w:tcBorders>
            <w:shd w:val="clear" w:color="auto" w:fill="8DB3E2"/>
            <w:vAlign w:val="center"/>
          </w:tcPr>
          <w:p w14:paraId="10A9E637" w14:textId="77777777" w:rsidR="00154861" w:rsidRPr="005A637D" w:rsidRDefault="00154861" w:rsidP="00154861">
            <w:pPr>
              <w:pStyle w:val="cuadroCabe"/>
              <w:jc w:val="right"/>
              <w:rPr>
                <w:sz w:val="16"/>
                <w:szCs w:val="16"/>
              </w:rPr>
            </w:pPr>
            <w:r w:rsidRPr="005A637D">
              <w:rPr>
                <w:sz w:val="16"/>
                <w:szCs w:val="16"/>
              </w:rPr>
              <w:t xml:space="preserve">Plazas </w:t>
            </w:r>
          </w:p>
          <w:p w14:paraId="60F18D8B" w14:textId="77777777" w:rsidR="00ED59EE" w:rsidRPr="005A637D" w:rsidRDefault="00154861" w:rsidP="00154861">
            <w:pPr>
              <w:pStyle w:val="cuadroCabe"/>
              <w:jc w:val="right"/>
              <w:rPr>
                <w:sz w:val="16"/>
                <w:szCs w:val="16"/>
              </w:rPr>
            </w:pPr>
            <w:r w:rsidRPr="005A637D">
              <w:rPr>
                <w:sz w:val="16"/>
                <w:szCs w:val="16"/>
              </w:rPr>
              <w:t xml:space="preserve">convocadas </w:t>
            </w:r>
          </w:p>
          <w:p w14:paraId="2DCFE4DD" w14:textId="77777777" w:rsidR="00ED59EE" w:rsidRPr="005A637D" w:rsidRDefault="00154861" w:rsidP="00154861">
            <w:pPr>
              <w:pStyle w:val="cuadroCabe"/>
              <w:jc w:val="right"/>
              <w:rPr>
                <w:sz w:val="16"/>
                <w:szCs w:val="16"/>
              </w:rPr>
            </w:pPr>
            <w:r w:rsidRPr="005A637D">
              <w:rPr>
                <w:sz w:val="16"/>
                <w:szCs w:val="16"/>
              </w:rPr>
              <w:t xml:space="preserve">pendientes de </w:t>
            </w:r>
          </w:p>
          <w:p w14:paraId="1B8BC42F" w14:textId="77777777" w:rsidR="007E4397" w:rsidRPr="005A637D" w:rsidRDefault="00154861" w:rsidP="00154861">
            <w:pPr>
              <w:pStyle w:val="cuadroCabe"/>
              <w:jc w:val="right"/>
              <w:rPr>
                <w:sz w:val="16"/>
                <w:szCs w:val="16"/>
              </w:rPr>
            </w:pPr>
            <w:r w:rsidRPr="005A637D">
              <w:rPr>
                <w:sz w:val="16"/>
                <w:szCs w:val="16"/>
              </w:rPr>
              <w:t>resolución en 2023</w:t>
            </w:r>
          </w:p>
        </w:tc>
        <w:tc>
          <w:tcPr>
            <w:tcW w:w="1701" w:type="dxa"/>
            <w:tcBorders>
              <w:top w:val="single" w:sz="4" w:space="0" w:color="auto"/>
              <w:left w:val="nil"/>
              <w:bottom w:val="single" w:sz="4" w:space="0" w:color="auto"/>
              <w:right w:val="nil"/>
            </w:tcBorders>
            <w:shd w:val="clear" w:color="auto" w:fill="8DB3E2"/>
            <w:vAlign w:val="center"/>
            <w:hideMark/>
          </w:tcPr>
          <w:p w14:paraId="5BF20701" w14:textId="77777777" w:rsidR="007E4397" w:rsidRPr="005A637D" w:rsidRDefault="007E4397" w:rsidP="003B4B7F">
            <w:pPr>
              <w:pStyle w:val="cuadroCabe"/>
              <w:jc w:val="right"/>
              <w:rPr>
                <w:sz w:val="16"/>
                <w:szCs w:val="16"/>
              </w:rPr>
            </w:pPr>
            <w:r w:rsidRPr="005A637D">
              <w:rPr>
                <w:sz w:val="16"/>
                <w:szCs w:val="16"/>
              </w:rPr>
              <w:t xml:space="preserve">Plazas </w:t>
            </w:r>
          </w:p>
          <w:p w14:paraId="6F039996" w14:textId="77777777" w:rsidR="007F35D6" w:rsidRPr="005A637D" w:rsidRDefault="007F35D6" w:rsidP="007F35D6">
            <w:pPr>
              <w:pStyle w:val="cuadroCabe"/>
              <w:jc w:val="right"/>
              <w:rPr>
                <w:sz w:val="16"/>
                <w:szCs w:val="16"/>
              </w:rPr>
            </w:pPr>
            <w:r w:rsidRPr="005A637D">
              <w:rPr>
                <w:sz w:val="16"/>
                <w:szCs w:val="16"/>
              </w:rPr>
              <w:t>Pendiente</w:t>
            </w:r>
          </w:p>
          <w:p w14:paraId="782802BB" w14:textId="77777777" w:rsidR="007E4397" w:rsidRPr="005A637D" w:rsidRDefault="007F35D6" w:rsidP="007F35D6">
            <w:pPr>
              <w:pStyle w:val="cuadroCabe"/>
              <w:jc w:val="right"/>
              <w:rPr>
                <w:sz w:val="16"/>
                <w:szCs w:val="16"/>
              </w:rPr>
            </w:pPr>
            <w:r w:rsidRPr="005A637D">
              <w:rPr>
                <w:sz w:val="16"/>
                <w:szCs w:val="16"/>
              </w:rPr>
              <w:t xml:space="preserve">convocar </w:t>
            </w:r>
            <w:r w:rsidR="00154861" w:rsidRPr="005A637D">
              <w:rPr>
                <w:sz w:val="16"/>
                <w:szCs w:val="16"/>
              </w:rPr>
              <w:t xml:space="preserve">en </w:t>
            </w:r>
            <w:r w:rsidR="007E4397" w:rsidRPr="005A637D">
              <w:rPr>
                <w:sz w:val="16"/>
                <w:szCs w:val="16"/>
              </w:rPr>
              <w:t>2023</w:t>
            </w:r>
          </w:p>
        </w:tc>
      </w:tr>
      <w:tr w:rsidR="007E4397" w:rsidRPr="007E4397" w14:paraId="78A1ECEE" w14:textId="77777777" w:rsidTr="00E04706">
        <w:trPr>
          <w:trHeight w:val="198"/>
          <w:jc w:val="center"/>
        </w:trPr>
        <w:tc>
          <w:tcPr>
            <w:tcW w:w="2694" w:type="dxa"/>
            <w:tcBorders>
              <w:top w:val="single" w:sz="4" w:space="0" w:color="auto"/>
              <w:left w:val="nil"/>
              <w:bottom w:val="single" w:sz="2" w:space="0" w:color="auto"/>
              <w:right w:val="nil"/>
            </w:tcBorders>
            <w:vAlign w:val="center"/>
          </w:tcPr>
          <w:p w14:paraId="6B1D7A5C" w14:textId="77777777" w:rsidR="007E4397" w:rsidRPr="007E4397" w:rsidRDefault="007E4397" w:rsidP="00ED59EE">
            <w:pPr>
              <w:pStyle w:val="cuatexto"/>
              <w:rPr>
                <w:szCs w:val="20"/>
              </w:rPr>
            </w:pPr>
            <w:r>
              <w:rPr>
                <w:szCs w:val="20"/>
              </w:rPr>
              <w:t>OPE reposición 2022</w:t>
            </w:r>
          </w:p>
        </w:tc>
        <w:tc>
          <w:tcPr>
            <w:tcW w:w="1417" w:type="dxa"/>
            <w:tcBorders>
              <w:top w:val="single" w:sz="4" w:space="0" w:color="auto"/>
              <w:left w:val="nil"/>
              <w:bottom w:val="single" w:sz="2" w:space="0" w:color="auto"/>
              <w:right w:val="nil"/>
            </w:tcBorders>
            <w:vAlign w:val="center"/>
          </w:tcPr>
          <w:p w14:paraId="64EC1AA6" w14:textId="77777777" w:rsidR="007E4397" w:rsidRPr="007E4397" w:rsidRDefault="00BA5C4A" w:rsidP="003B4B7F">
            <w:pPr>
              <w:jc w:val="right"/>
              <w:rPr>
                <w:rFonts w:ascii="Arial Narrow" w:hAnsi="Arial Narrow" w:cs="Calibri"/>
                <w:sz w:val="20"/>
                <w:szCs w:val="20"/>
              </w:rPr>
            </w:pPr>
            <w:r>
              <w:rPr>
                <w:rFonts w:ascii="Arial Narrow" w:hAnsi="Arial Narrow" w:cs="Calibri"/>
                <w:sz w:val="20"/>
                <w:szCs w:val="20"/>
              </w:rPr>
              <w:t>253</w:t>
            </w:r>
          </w:p>
        </w:tc>
        <w:tc>
          <w:tcPr>
            <w:tcW w:w="1276" w:type="dxa"/>
            <w:tcBorders>
              <w:top w:val="single" w:sz="4" w:space="0" w:color="auto"/>
              <w:left w:val="nil"/>
              <w:bottom w:val="single" w:sz="2" w:space="0" w:color="auto"/>
              <w:right w:val="nil"/>
            </w:tcBorders>
            <w:vAlign w:val="center"/>
          </w:tcPr>
          <w:p w14:paraId="50C73CA1" w14:textId="77777777" w:rsidR="007E4397" w:rsidRPr="007E4397" w:rsidRDefault="00BA5C4A" w:rsidP="003B4B7F">
            <w:pPr>
              <w:jc w:val="right"/>
              <w:rPr>
                <w:rFonts w:ascii="Arial Narrow" w:hAnsi="Arial Narrow" w:cs="Calibri"/>
                <w:sz w:val="20"/>
                <w:szCs w:val="20"/>
              </w:rPr>
            </w:pPr>
            <w:r>
              <w:rPr>
                <w:rFonts w:ascii="Arial Narrow" w:hAnsi="Arial Narrow" w:cs="Calibri"/>
                <w:sz w:val="20"/>
                <w:szCs w:val="20"/>
              </w:rPr>
              <w:t>0</w:t>
            </w:r>
          </w:p>
        </w:tc>
        <w:tc>
          <w:tcPr>
            <w:tcW w:w="1701" w:type="dxa"/>
            <w:tcBorders>
              <w:top w:val="single" w:sz="4" w:space="0" w:color="auto"/>
              <w:left w:val="nil"/>
              <w:bottom w:val="single" w:sz="2" w:space="0" w:color="auto"/>
              <w:right w:val="nil"/>
            </w:tcBorders>
            <w:vAlign w:val="center"/>
          </w:tcPr>
          <w:p w14:paraId="066DBCAA" w14:textId="77777777" w:rsidR="007E4397" w:rsidRPr="007E4397" w:rsidRDefault="00DE2842" w:rsidP="003B4B7F">
            <w:pPr>
              <w:jc w:val="right"/>
              <w:rPr>
                <w:rFonts w:ascii="Arial Narrow" w:hAnsi="Arial Narrow" w:cs="Calibri"/>
                <w:sz w:val="20"/>
                <w:szCs w:val="20"/>
              </w:rPr>
            </w:pPr>
            <w:r>
              <w:rPr>
                <w:rFonts w:ascii="Arial Narrow" w:hAnsi="Arial Narrow" w:cs="Calibri"/>
                <w:sz w:val="20"/>
                <w:szCs w:val="20"/>
              </w:rPr>
              <w:t>160</w:t>
            </w:r>
          </w:p>
        </w:tc>
        <w:tc>
          <w:tcPr>
            <w:tcW w:w="1701" w:type="dxa"/>
            <w:tcBorders>
              <w:top w:val="single" w:sz="4" w:space="0" w:color="auto"/>
              <w:left w:val="nil"/>
              <w:bottom w:val="single" w:sz="2" w:space="0" w:color="auto"/>
              <w:right w:val="nil"/>
            </w:tcBorders>
            <w:vAlign w:val="center"/>
          </w:tcPr>
          <w:p w14:paraId="3AEB86DF" w14:textId="77777777" w:rsidR="007E4397" w:rsidRPr="007E4397" w:rsidRDefault="00DE2842" w:rsidP="003B4B7F">
            <w:pPr>
              <w:jc w:val="right"/>
              <w:rPr>
                <w:rFonts w:ascii="Arial Narrow" w:hAnsi="Arial Narrow" w:cs="Calibri"/>
                <w:sz w:val="20"/>
                <w:szCs w:val="20"/>
              </w:rPr>
            </w:pPr>
            <w:r>
              <w:rPr>
                <w:rFonts w:ascii="Arial Narrow" w:hAnsi="Arial Narrow" w:cs="Calibri"/>
                <w:sz w:val="20"/>
                <w:szCs w:val="20"/>
              </w:rPr>
              <w:t>93</w:t>
            </w:r>
          </w:p>
        </w:tc>
      </w:tr>
      <w:tr w:rsidR="007E4397" w:rsidRPr="007E4397" w14:paraId="7ABCBAE7" w14:textId="77777777" w:rsidTr="00ED59EE">
        <w:trPr>
          <w:trHeight w:val="198"/>
          <w:jc w:val="center"/>
        </w:trPr>
        <w:tc>
          <w:tcPr>
            <w:tcW w:w="2694" w:type="dxa"/>
            <w:tcBorders>
              <w:top w:val="single" w:sz="2" w:space="0" w:color="auto"/>
              <w:left w:val="nil"/>
              <w:bottom w:val="single" w:sz="4" w:space="0" w:color="auto"/>
              <w:right w:val="nil"/>
            </w:tcBorders>
            <w:vAlign w:val="center"/>
          </w:tcPr>
          <w:p w14:paraId="770B5115" w14:textId="77777777" w:rsidR="007E4397" w:rsidRPr="007E4397" w:rsidRDefault="007E4397" w:rsidP="00710D7B">
            <w:pPr>
              <w:pStyle w:val="cuatexto"/>
              <w:rPr>
                <w:szCs w:val="20"/>
              </w:rPr>
            </w:pPr>
            <w:r>
              <w:rPr>
                <w:szCs w:val="20"/>
              </w:rPr>
              <w:t xml:space="preserve">OPE </w:t>
            </w:r>
            <w:r w:rsidR="00710D7B">
              <w:rPr>
                <w:szCs w:val="20"/>
              </w:rPr>
              <w:t>reposición ordinaria 2023</w:t>
            </w:r>
          </w:p>
        </w:tc>
        <w:tc>
          <w:tcPr>
            <w:tcW w:w="1417" w:type="dxa"/>
            <w:tcBorders>
              <w:top w:val="single" w:sz="2" w:space="0" w:color="auto"/>
              <w:left w:val="nil"/>
              <w:bottom w:val="single" w:sz="4" w:space="0" w:color="auto"/>
              <w:right w:val="nil"/>
            </w:tcBorders>
            <w:vAlign w:val="center"/>
          </w:tcPr>
          <w:p w14:paraId="08327EC1" w14:textId="77777777" w:rsidR="007E4397" w:rsidRPr="007E4397" w:rsidRDefault="00BA5C4A" w:rsidP="003B4B7F">
            <w:pPr>
              <w:jc w:val="right"/>
              <w:rPr>
                <w:rFonts w:ascii="Arial Narrow" w:hAnsi="Arial Narrow" w:cs="Calibri"/>
                <w:sz w:val="20"/>
                <w:szCs w:val="20"/>
              </w:rPr>
            </w:pPr>
            <w:r>
              <w:rPr>
                <w:rFonts w:ascii="Arial Narrow" w:hAnsi="Arial Narrow" w:cs="Calibri"/>
                <w:sz w:val="20"/>
                <w:szCs w:val="20"/>
              </w:rPr>
              <w:t>0</w:t>
            </w:r>
          </w:p>
        </w:tc>
        <w:tc>
          <w:tcPr>
            <w:tcW w:w="1276" w:type="dxa"/>
            <w:tcBorders>
              <w:top w:val="single" w:sz="2" w:space="0" w:color="auto"/>
              <w:left w:val="nil"/>
              <w:bottom w:val="single" w:sz="4" w:space="0" w:color="auto"/>
              <w:right w:val="nil"/>
            </w:tcBorders>
            <w:vAlign w:val="center"/>
          </w:tcPr>
          <w:p w14:paraId="143569CA" w14:textId="77777777" w:rsidR="007E4397" w:rsidRPr="007E4397" w:rsidRDefault="00DE2842" w:rsidP="003B4B7F">
            <w:pPr>
              <w:jc w:val="right"/>
              <w:rPr>
                <w:rFonts w:ascii="Arial Narrow" w:hAnsi="Arial Narrow" w:cs="Calibri"/>
                <w:sz w:val="20"/>
                <w:szCs w:val="20"/>
              </w:rPr>
            </w:pPr>
            <w:r>
              <w:rPr>
                <w:rFonts w:ascii="Arial Narrow" w:hAnsi="Arial Narrow" w:cs="Calibri"/>
                <w:sz w:val="20"/>
                <w:szCs w:val="20"/>
              </w:rPr>
              <w:t>290</w:t>
            </w:r>
          </w:p>
        </w:tc>
        <w:tc>
          <w:tcPr>
            <w:tcW w:w="1701" w:type="dxa"/>
            <w:tcBorders>
              <w:top w:val="single" w:sz="2" w:space="0" w:color="auto"/>
              <w:left w:val="nil"/>
              <w:bottom w:val="single" w:sz="4" w:space="0" w:color="auto"/>
              <w:right w:val="nil"/>
            </w:tcBorders>
            <w:vAlign w:val="center"/>
          </w:tcPr>
          <w:p w14:paraId="60281C49" w14:textId="77777777" w:rsidR="007E4397" w:rsidRPr="007E4397" w:rsidRDefault="00DE2842" w:rsidP="003B4B7F">
            <w:pPr>
              <w:jc w:val="right"/>
              <w:rPr>
                <w:rFonts w:ascii="Arial Narrow" w:hAnsi="Arial Narrow" w:cs="Calibri"/>
                <w:sz w:val="20"/>
                <w:szCs w:val="20"/>
              </w:rPr>
            </w:pPr>
            <w:r>
              <w:rPr>
                <w:rFonts w:ascii="Arial Narrow" w:hAnsi="Arial Narrow" w:cs="Calibri"/>
                <w:sz w:val="20"/>
                <w:szCs w:val="20"/>
              </w:rPr>
              <w:t>0</w:t>
            </w:r>
          </w:p>
        </w:tc>
        <w:tc>
          <w:tcPr>
            <w:tcW w:w="1701" w:type="dxa"/>
            <w:tcBorders>
              <w:top w:val="single" w:sz="2" w:space="0" w:color="auto"/>
              <w:left w:val="nil"/>
              <w:bottom w:val="single" w:sz="4" w:space="0" w:color="auto"/>
              <w:right w:val="nil"/>
            </w:tcBorders>
            <w:vAlign w:val="center"/>
          </w:tcPr>
          <w:p w14:paraId="7DD1F54E" w14:textId="77777777" w:rsidR="007E4397" w:rsidRPr="007E4397" w:rsidRDefault="00DE2842" w:rsidP="003B4B7F">
            <w:pPr>
              <w:jc w:val="right"/>
              <w:rPr>
                <w:rFonts w:ascii="Arial Narrow" w:hAnsi="Arial Narrow" w:cs="Calibri"/>
                <w:sz w:val="20"/>
                <w:szCs w:val="20"/>
              </w:rPr>
            </w:pPr>
            <w:r>
              <w:rPr>
                <w:rFonts w:ascii="Arial Narrow" w:hAnsi="Arial Narrow" w:cs="Calibri"/>
                <w:sz w:val="20"/>
                <w:szCs w:val="20"/>
              </w:rPr>
              <w:t>290</w:t>
            </w:r>
          </w:p>
        </w:tc>
      </w:tr>
      <w:tr w:rsidR="007E4397" w:rsidRPr="007E4397" w14:paraId="4CF52966" w14:textId="77777777" w:rsidTr="00ED59EE">
        <w:trPr>
          <w:trHeight w:val="198"/>
          <w:jc w:val="center"/>
        </w:trPr>
        <w:tc>
          <w:tcPr>
            <w:tcW w:w="2694" w:type="dxa"/>
            <w:tcBorders>
              <w:top w:val="single" w:sz="2" w:space="0" w:color="auto"/>
              <w:left w:val="nil"/>
              <w:bottom w:val="single" w:sz="4" w:space="0" w:color="auto"/>
              <w:right w:val="nil"/>
            </w:tcBorders>
            <w:vAlign w:val="center"/>
          </w:tcPr>
          <w:p w14:paraId="355B1CA4" w14:textId="77777777" w:rsidR="007E4397" w:rsidRPr="007E4397" w:rsidRDefault="007E4397" w:rsidP="00710D7B">
            <w:pPr>
              <w:pStyle w:val="cuatexto"/>
              <w:rPr>
                <w:szCs w:val="20"/>
              </w:rPr>
            </w:pPr>
            <w:r>
              <w:rPr>
                <w:szCs w:val="20"/>
              </w:rPr>
              <w:t xml:space="preserve">OPE </w:t>
            </w:r>
            <w:r w:rsidR="00710D7B">
              <w:rPr>
                <w:szCs w:val="20"/>
              </w:rPr>
              <w:t xml:space="preserve">reposición específica </w:t>
            </w:r>
            <w:r>
              <w:rPr>
                <w:szCs w:val="20"/>
              </w:rPr>
              <w:t>2023</w:t>
            </w:r>
          </w:p>
        </w:tc>
        <w:tc>
          <w:tcPr>
            <w:tcW w:w="1417" w:type="dxa"/>
            <w:tcBorders>
              <w:top w:val="single" w:sz="2" w:space="0" w:color="auto"/>
              <w:left w:val="nil"/>
              <w:bottom w:val="single" w:sz="4" w:space="0" w:color="auto"/>
              <w:right w:val="nil"/>
            </w:tcBorders>
            <w:vAlign w:val="center"/>
          </w:tcPr>
          <w:p w14:paraId="036688A3" w14:textId="77777777" w:rsidR="007E4397" w:rsidRPr="007E4397" w:rsidRDefault="00BA5C4A" w:rsidP="003B4B7F">
            <w:pPr>
              <w:jc w:val="right"/>
              <w:rPr>
                <w:rFonts w:ascii="Arial Narrow" w:hAnsi="Arial Narrow" w:cs="Calibri"/>
                <w:sz w:val="20"/>
                <w:szCs w:val="20"/>
              </w:rPr>
            </w:pPr>
            <w:r>
              <w:rPr>
                <w:rFonts w:ascii="Arial Narrow" w:hAnsi="Arial Narrow" w:cs="Calibri"/>
                <w:sz w:val="20"/>
                <w:szCs w:val="20"/>
              </w:rPr>
              <w:t>0</w:t>
            </w:r>
          </w:p>
        </w:tc>
        <w:tc>
          <w:tcPr>
            <w:tcW w:w="1276" w:type="dxa"/>
            <w:tcBorders>
              <w:top w:val="single" w:sz="2" w:space="0" w:color="auto"/>
              <w:left w:val="nil"/>
              <w:bottom w:val="single" w:sz="4" w:space="0" w:color="auto"/>
              <w:right w:val="nil"/>
            </w:tcBorders>
            <w:vAlign w:val="center"/>
          </w:tcPr>
          <w:p w14:paraId="0F948C84" w14:textId="77777777" w:rsidR="007E4397" w:rsidRPr="007E4397" w:rsidRDefault="00DE2842" w:rsidP="003B4B7F">
            <w:pPr>
              <w:jc w:val="right"/>
              <w:rPr>
                <w:rFonts w:ascii="Arial Narrow" w:hAnsi="Arial Narrow" w:cs="Calibri"/>
                <w:sz w:val="20"/>
                <w:szCs w:val="20"/>
              </w:rPr>
            </w:pPr>
            <w:r>
              <w:rPr>
                <w:rFonts w:ascii="Arial Narrow" w:hAnsi="Arial Narrow" w:cs="Calibri"/>
                <w:sz w:val="20"/>
                <w:szCs w:val="20"/>
              </w:rPr>
              <w:t>281</w:t>
            </w:r>
          </w:p>
        </w:tc>
        <w:tc>
          <w:tcPr>
            <w:tcW w:w="1701" w:type="dxa"/>
            <w:tcBorders>
              <w:top w:val="single" w:sz="2" w:space="0" w:color="auto"/>
              <w:left w:val="nil"/>
              <w:bottom w:val="single" w:sz="4" w:space="0" w:color="auto"/>
              <w:right w:val="nil"/>
            </w:tcBorders>
            <w:vAlign w:val="center"/>
          </w:tcPr>
          <w:p w14:paraId="50DF5960" w14:textId="77777777" w:rsidR="007E4397" w:rsidRPr="007E4397" w:rsidRDefault="00DE2842" w:rsidP="003B4B7F">
            <w:pPr>
              <w:jc w:val="right"/>
              <w:rPr>
                <w:rFonts w:ascii="Arial Narrow" w:hAnsi="Arial Narrow" w:cs="Calibri"/>
                <w:sz w:val="20"/>
                <w:szCs w:val="20"/>
              </w:rPr>
            </w:pPr>
            <w:r>
              <w:rPr>
                <w:rFonts w:ascii="Arial Narrow" w:hAnsi="Arial Narrow" w:cs="Calibri"/>
                <w:sz w:val="20"/>
                <w:szCs w:val="20"/>
              </w:rPr>
              <w:t>0</w:t>
            </w:r>
          </w:p>
        </w:tc>
        <w:tc>
          <w:tcPr>
            <w:tcW w:w="1701" w:type="dxa"/>
            <w:tcBorders>
              <w:top w:val="single" w:sz="2" w:space="0" w:color="auto"/>
              <w:left w:val="nil"/>
              <w:bottom w:val="single" w:sz="4" w:space="0" w:color="auto"/>
              <w:right w:val="nil"/>
            </w:tcBorders>
            <w:vAlign w:val="center"/>
          </w:tcPr>
          <w:p w14:paraId="2374A546" w14:textId="77777777" w:rsidR="007E4397" w:rsidRPr="007E4397" w:rsidRDefault="00DE2842" w:rsidP="003B4B7F">
            <w:pPr>
              <w:jc w:val="right"/>
              <w:rPr>
                <w:rFonts w:ascii="Arial Narrow" w:hAnsi="Arial Narrow" w:cs="Calibri"/>
                <w:sz w:val="20"/>
                <w:szCs w:val="20"/>
              </w:rPr>
            </w:pPr>
            <w:r>
              <w:rPr>
                <w:rFonts w:ascii="Arial Narrow" w:hAnsi="Arial Narrow" w:cs="Calibri"/>
                <w:sz w:val="20"/>
                <w:szCs w:val="20"/>
              </w:rPr>
              <w:t>281</w:t>
            </w:r>
          </w:p>
        </w:tc>
      </w:tr>
      <w:tr w:rsidR="007E4397" w:rsidRPr="005A637D" w14:paraId="703F378C" w14:textId="77777777" w:rsidTr="00ED59EE">
        <w:trPr>
          <w:trHeight w:val="255"/>
          <w:jc w:val="center"/>
        </w:trPr>
        <w:tc>
          <w:tcPr>
            <w:tcW w:w="2694" w:type="dxa"/>
            <w:tcBorders>
              <w:top w:val="single" w:sz="4" w:space="0" w:color="auto"/>
              <w:left w:val="nil"/>
              <w:bottom w:val="single" w:sz="4" w:space="0" w:color="auto"/>
              <w:right w:val="nil"/>
            </w:tcBorders>
            <w:shd w:val="clear" w:color="auto" w:fill="8DB3E2"/>
            <w:vAlign w:val="center"/>
            <w:hideMark/>
          </w:tcPr>
          <w:p w14:paraId="74420605" w14:textId="77777777" w:rsidR="007E4397" w:rsidRPr="005A637D" w:rsidRDefault="007E4397" w:rsidP="00710D7B">
            <w:pPr>
              <w:keepLines/>
              <w:tabs>
                <w:tab w:val="right" w:pos="2835"/>
                <w:tab w:val="right" w:pos="3969"/>
                <w:tab w:val="right" w:pos="5103"/>
                <w:tab w:val="right" w:pos="6237"/>
                <w:tab w:val="right" w:pos="7371"/>
              </w:tabs>
              <w:rPr>
                <w:rFonts w:ascii="Arial" w:hAnsi="Arial" w:cs="Arial"/>
                <w:spacing w:val="6"/>
                <w:sz w:val="16"/>
                <w:szCs w:val="16"/>
              </w:rPr>
            </w:pPr>
            <w:r w:rsidRPr="005A637D">
              <w:rPr>
                <w:rFonts w:ascii="Arial" w:hAnsi="Arial" w:cs="Arial"/>
                <w:spacing w:val="6"/>
                <w:sz w:val="16"/>
                <w:szCs w:val="16"/>
              </w:rPr>
              <w:t>Total</w:t>
            </w:r>
          </w:p>
        </w:tc>
        <w:tc>
          <w:tcPr>
            <w:tcW w:w="1417" w:type="dxa"/>
            <w:tcBorders>
              <w:top w:val="single" w:sz="4" w:space="0" w:color="auto"/>
              <w:left w:val="nil"/>
              <w:bottom w:val="single" w:sz="4" w:space="0" w:color="auto"/>
              <w:right w:val="nil"/>
            </w:tcBorders>
            <w:shd w:val="clear" w:color="auto" w:fill="8DB3E2"/>
            <w:vAlign w:val="center"/>
          </w:tcPr>
          <w:p w14:paraId="23EDD119" w14:textId="77777777" w:rsidR="007E4397" w:rsidRPr="005A637D" w:rsidRDefault="00BA5C4A" w:rsidP="003B4B7F">
            <w:pPr>
              <w:jc w:val="right"/>
              <w:rPr>
                <w:rFonts w:ascii="Arial" w:hAnsi="Arial" w:cs="Arial"/>
                <w:sz w:val="16"/>
                <w:szCs w:val="16"/>
              </w:rPr>
            </w:pPr>
            <w:r w:rsidRPr="005A637D">
              <w:rPr>
                <w:rFonts w:ascii="Arial" w:hAnsi="Arial" w:cs="Arial"/>
                <w:sz w:val="16"/>
                <w:szCs w:val="16"/>
              </w:rPr>
              <w:t>253</w:t>
            </w:r>
          </w:p>
        </w:tc>
        <w:tc>
          <w:tcPr>
            <w:tcW w:w="1276" w:type="dxa"/>
            <w:tcBorders>
              <w:top w:val="single" w:sz="4" w:space="0" w:color="auto"/>
              <w:left w:val="nil"/>
              <w:bottom w:val="single" w:sz="4" w:space="0" w:color="auto"/>
              <w:right w:val="nil"/>
            </w:tcBorders>
            <w:shd w:val="clear" w:color="auto" w:fill="8DB3E2"/>
            <w:vAlign w:val="center"/>
          </w:tcPr>
          <w:p w14:paraId="757B797B" w14:textId="77777777" w:rsidR="007E4397" w:rsidRPr="005A637D" w:rsidRDefault="00DE2842" w:rsidP="003B4B7F">
            <w:pPr>
              <w:jc w:val="right"/>
              <w:rPr>
                <w:rFonts w:ascii="Arial" w:hAnsi="Arial" w:cs="Arial"/>
                <w:sz w:val="16"/>
                <w:szCs w:val="16"/>
              </w:rPr>
            </w:pPr>
            <w:r w:rsidRPr="005A637D">
              <w:rPr>
                <w:rFonts w:ascii="Arial" w:hAnsi="Arial" w:cs="Arial"/>
                <w:sz w:val="16"/>
                <w:szCs w:val="16"/>
              </w:rPr>
              <w:t>571</w:t>
            </w:r>
          </w:p>
        </w:tc>
        <w:tc>
          <w:tcPr>
            <w:tcW w:w="1701" w:type="dxa"/>
            <w:tcBorders>
              <w:top w:val="single" w:sz="4" w:space="0" w:color="auto"/>
              <w:left w:val="nil"/>
              <w:bottom w:val="single" w:sz="4" w:space="0" w:color="auto"/>
              <w:right w:val="nil"/>
            </w:tcBorders>
            <w:shd w:val="clear" w:color="auto" w:fill="8DB3E2"/>
            <w:vAlign w:val="center"/>
          </w:tcPr>
          <w:p w14:paraId="1CF055E0" w14:textId="77777777" w:rsidR="007E4397" w:rsidRPr="005A637D" w:rsidRDefault="00DE2842" w:rsidP="003B4B7F">
            <w:pPr>
              <w:jc w:val="right"/>
              <w:rPr>
                <w:rFonts w:ascii="Arial" w:hAnsi="Arial" w:cs="Arial"/>
                <w:sz w:val="16"/>
                <w:szCs w:val="16"/>
              </w:rPr>
            </w:pPr>
            <w:r w:rsidRPr="005A637D">
              <w:rPr>
                <w:rFonts w:ascii="Arial" w:hAnsi="Arial" w:cs="Arial"/>
                <w:sz w:val="16"/>
                <w:szCs w:val="16"/>
              </w:rPr>
              <w:t>160</w:t>
            </w:r>
          </w:p>
        </w:tc>
        <w:tc>
          <w:tcPr>
            <w:tcW w:w="1701" w:type="dxa"/>
            <w:tcBorders>
              <w:top w:val="single" w:sz="4" w:space="0" w:color="auto"/>
              <w:left w:val="nil"/>
              <w:bottom w:val="single" w:sz="4" w:space="0" w:color="auto"/>
              <w:right w:val="nil"/>
            </w:tcBorders>
            <w:shd w:val="clear" w:color="auto" w:fill="8DB3E2"/>
            <w:vAlign w:val="center"/>
          </w:tcPr>
          <w:p w14:paraId="4B1B4552" w14:textId="77777777" w:rsidR="007E4397" w:rsidRPr="005A637D" w:rsidRDefault="00DE2842" w:rsidP="003B4B7F">
            <w:pPr>
              <w:jc w:val="right"/>
              <w:rPr>
                <w:rFonts w:ascii="Arial" w:hAnsi="Arial" w:cs="Arial"/>
                <w:sz w:val="16"/>
                <w:szCs w:val="16"/>
              </w:rPr>
            </w:pPr>
            <w:r w:rsidRPr="005A637D">
              <w:rPr>
                <w:rFonts w:ascii="Arial" w:hAnsi="Arial" w:cs="Arial"/>
                <w:sz w:val="16"/>
                <w:szCs w:val="16"/>
              </w:rPr>
              <w:t>664</w:t>
            </w:r>
          </w:p>
        </w:tc>
      </w:tr>
    </w:tbl>
    <w:p w14:paraId="4442F11E" w14:textId="77777777" w:rsidR="007E4397" w:rsidRPr="006A52D7" w:rsidRDefault="007E4397" w:rsidP="002D15F8">
      <w:pPr>
        <w:pStyle w:val="texto"/>
        <w:jc w:val="both"/>
      </w:pPr>
    </w:p>
    <w:p w14:paraId="5728DE18" w14:textId="77777777" w:rsidR="004F7B78" w:rsidRPr="00830D6B" w:rsidRDefault="004F7B78" w:rsidP="002D15F8">
      <w:pPr>
        <w:pStyle w:val="texto"/>
        <w:jc w:val="both"/>
      </w:pPr>
      <w:r w:rsidRPr="00830D6B">
        <w:t xml:space="preserve">Destacamos que los datos de las OPE son objeto de continua actualización, según la fecha de obtención de los datos. Los datos reflejados en estos </w:t>
      </w:r>
      <w:proofErr w:type="gramStart"/>
      <w:r w:rsidRPr="00830D6B">
        <w:t>cuadros,</w:t>
      </w:r>
      <w:proofErr w:type="gramEnd"/>
      <w:r w:rsidRPr="00830D6B">
        <w:t xml:space="preserve"> se refieren a 31 de diciembre de 2023, obtenidos durante la ejecución del trabajo de campo de la fiscalización. </w:t>
      </w:r>
    </w:p>
    <w:p w14:paraId="55DD2286" w14:textId="77777777" w:rsidR="00E56698" w:rsidRPr="006A52D7" w:rsidRDefault="00E56698" w:rsidP="002D15F8">
      <w:pPr>
        <w:pStyle w:val="texto"/>
        <w:jc w:val="both"/>
      </w:pPr>
    </w:p>
    <w:p w14:paraId="1F82466C" w14:textId="77777777" w:rsidR="00DE2842" w:rsidRPr="00183267" w:rsidRDefault="00183267" w:rsidP="00FE27FF">
      <w:pPr>
        <w:pStyle w:val="texto"/>
        <w:keepNext/>
        <w:spacing w:after="240"/>
        <w:jc w:val="both"/>
      </w:pPr>
      <w:r>
        <w:t>A continuación, vamos a analizar la c</w:t>
      </w:r>
      <w:r w:rsidR="00DE2842" w:rsidRPr="00183267">
        <w:t>omparación de los puestos ofertados con las vacantes existentes en la plantilla orgánica.</w:t>
      </w:r>
      <w:r>
        <w:t xml:space="preserve"> </w:t>
      </w:r>
      <w:r w:rsidRPr="00183267">
        <w:t>Los datos son los siguientes:</w:t>
      </w:r>
    </w:p>
    <w:tbl>
      <w:tblPr>
        <w:tblW w:w="8789" w:type="dxa"/>
        <w:tblCellMar>
          <w:left w:w="30" w:type="dxa"/>
          <w:right w:w="30" w:type="dxa"/>
        </w:tblCellMar>
        <w:tblLook w:val="04A0" w:firstRow="1" w:lastRow="0" w:firstColumn="1" w:lastColumn="0" w:noHBand="0" w:noVBand="1"/>
      </w:tblPr>
      <w:tblGrid>
        <w:gridCol w:w="4111"/>
        <w:gridCol w:w="4678"/>
      </w:tblGrid>
      <w:tr w:rsidR="00DE2842" w:rsidRPr="00F56DF5" w14:paraId="61A6C885" w14:textId="77777777" w:rsidTr="00ED59EE">
        <w:trPr>
          <w:trHeight w:val="255"/>
        </w:trPr>
        <w:tc>
          <w:tcPr>
            <w:tcW w:w="4111" w:type="dxa"/>
            <w:tcBorders>
              <w:top w:val="single" w:sz="4" w:space="0" w:color="auto"/>
              <w:left w:val="nil"/>
              <w:bottom w:val="single" w:sz="4" w:space="0" w:color="auto"/>
              <w:right w:val="nil"/>
            </w:tcBorders>
            <w:shd w:val="clear" w:color="auto" w:fill="8DB3E2"/>
            <w:vAlign w:val="center"/>
          </w:tcPr>
          <w:p w14:paraId="63D46B9C" w14:textId="77777777" w:rsidR="00DE2842" w:rsidRPr="00F56DF5" w:rsidRDefault="00DE2842" w:rsidP="00AC2914">
            <w:pPr>
              <w:pStyle w:val="cuadroCabe"/>
            </w:pPr>
            <w:r>
              <w:t>Plazas</w:t>
            </w:r>
          </w:p>
        </w:tc>
        <w:tc>
          <w:tcPr>
            <w:tcW w:w="4678" w:type="dxa"/>
            <w:tcBorders>
              <w:top w:val="single" w:sz="4" w:space="0" w:color="auto"/>
              <w:left w:val="nil"/>
              <w:bottom w:val="single" w:sz="4" w:space="0" w:color="auto"/>
              <w:right w:val="nil"/>
            </w:tcBorders>
            <w:shd w:val="clear" w:color="auto" w:fill="8DB3E2"/>
            <w:vAlign w:val="center"/>
          </w:tcPr>
          <w:p w14:paraId="6731195C" w14:textId="77777777" w:rsidR="00DE2842" w:rsidRPr="00F56DF5" w:rsidRDefault="00DE2842" w:rsidP="00AC2914">
            <w:pPr>
              <w:pStyle w:val="cuadroCabe"/>
              <w:jc w:val="right"/>
            </w:pPr>
            <w:r>
              <w:t xml:space="preserve">Número </w:t>
            </w:r>
          </w:p>
        </w:tc>
      </w:tr>
      <w:tr w:rsidR="00DE2842" w:rsidRPr="007E4397" w14:paraId="4D4C28E9" w14:textId="77777777" w:rsidTr="00ED59EE">
        <w:trPr>
          <w:trHeight w:val="198"/>
        </w:trPr>
        <w:tc>
          <w:tcPr>
            <w:tcW w:w="4111" w:type="dxa"/>
            <w:tcBorders>
              <w:top w:val="single" w:sz="4" w:space="0" w:color="auto"/>
              <w:left w:val="nil"/>
              <w:bottom w:val="single" w:sz="2" w:space="0" w:color="auto"/>
              <w:right w:val="nil"/>
            </w:tcBorders>
            <w:vAlign w:val="center"/>
          </w:tcPr>
          <w:p w14:paraId="566777F2" w14:textId="77777777" w:rsidR="00DE2842" w:rsidRPr="007E4397" w:rsidRDefault="00DE2842" w:rsidP="00AC2914">
            <w:pPr>
              <w:pStyle w:val="cuatexto"/>
              <w:rPr>
                <w:szCs w:val="20"/>
              </w:rPr>
            </w:pPr>
            <w:r>
              <w:rPr>
                <w:szCs w:val="20"/>
              </w:rPr>
              <w:t xml:space="preserve">Plazas Plantilla Orgánica </w:t>
            </w:r>
          </w:p>
        </w:tc>
        <w:tc>
          <w:tcPr>
            <w:tcW w:w="4678" w:type="dxa"/>
            <w:tcBorders>
              <w:top w:val="single" w:sz="4" w:space="0" w:color="auto"/>
              <w:left w:val="nil"/>
              <w:bottom w:val="single" w:sz="2" w:space="0" w:color="auto"/>
              <w:right w:val="nil"/>
            </w:tcBorders>
            <w:vAlign w:val="center"/>
          </w:tcPr>
          <w:p w14:paraId="5A7172C0" w14:textId="77777777" w:rsidR="00DE2842" w:rsidRPr="007E4397" w:rsidRDefault="00DE2842" w:rsidP="00AC2914">
            <w:pPr>
              <w:jc w:val="right"/>
              <w:rPr>
                <w:rFonts w:ascii="Arial Narrow" w:hAnsi="Arial Narrow" w:cs="Calibri"/>
                <w:sz w:val="20"/>
                <w:szCs w:val="20"/>
              </w:rPr>
            </w:pPr>
            <w:r>
              <w:rPr>
                <w:rFonts w:ascii="Arial Narrow" w:hAnsi="Arial Narrow" w:cs="Calibri"/>
                <w:sz w:val="20"/>
                <w:szCs w:val="20"/>
              </w:rPr>
              <w:t>26.101</w:t>
            </w:r>
          </w:p>
        </w:tc>
      </w:tr>
      <w:tr w:rsidR="00DE2842" w:rsidRPr="007E4397" w14:paraId="1E375862" w14:textId="77777777" w:rsidTr="00ED59EE">
        <w:trPr>
          <w:trHeight w:val="198"/>
        </w:trPr>
        <w:tc>
          <w:tcPr>
            <w:tcW w:w="4111" w:type="dxa"/>
            <w:tcBorders>
              <w:top w:val="single" w:sz="2" w:space="0" w:color="auto"/>
              <w:left w:val="nil"/>
              <w:bottom w:val="single" w:sz="4" w:space="0" w:color="auto"/>
              <w:right w:val="nil"/>
            </w:tcBorders>
            <w:vAlign w:val="center"/>
          </w:tcPr>
          <w:p w14:paraId="7DCA4177" w14:textId="77777777" w:rsidR="00DE2842" w:rsidRPr="007E4397" w:rsidRDefault="00DE2842" w:rsidP="00AC2914">
            <w:pPr>
              <w:pStyle w:val="cuatexto"/>
              <w:rPr>
                <w:szCs w:val="20"/>
              </w:rPr>
            </w:pPr>
            <w:r>
              <w:rPr>
                <w:szCs w:val="20"/>
              </w:rPr>
              <w:t>Plazas Administración Justicia</w:t>
            </w:r>
          </w:p>
        </w:tc>
        <w:tc>
          <w:tcPr>
            <w:tcW w:w="4678" w:type="dxa"/>
            <w:tcBorders>
              <w:top w:val="single" w:sz="2" w:space="0" w:color="auto"/>
              <w:left w:val="nil"/>
              <w:bottom w:val="single" w:sz="4" w:space="0" w:color="auto"/>
              <w:right w:val="nil"/>
            </w:tcBorders>
            <w:vAlign w:val="center"/>
          </w:tcPr>
          <w:p w14:paraId="533E75BB" w14:textId="77777777" w:rsidR="00DE2842" w:rsidRPr="007E4397" w:rsidRDefault="00DE2842" w:rsidP="00AC2914">
            <w:pPr>
              <w:jc w:val="right"/>
              <w:rPr>
                <w:rFonts w:ascii="Arial Narrow" w:hAnsi="Arial Narrow" w:cs="Calibri"/>
                <w:sz w:val="20"/>
                <w:szCs w:val="20"/>
              </w:rPr>
            </w:pPr>
            <w:r>
              <w:rPr>
                <w:rFonts w:ascii="Arial Narrow" w:hAnsi="Arial Narrow" w:cs="Calibri"/>
                <w:sz w:val="20"/>
                <w:szCs w:val="20"/>
              </w:rPr>
              <w:t>586</w:t>
            </w:r>
          </w:p>
        </w:tc>
      </w:tr>
      <w:tr w:rsidR="00DE2842" w:rsidRPr="00ED59EE" w14:paraId="4AABB8C2" w14:textId="77777777" w:rsidTr="00ED59EE">
        <w:trPr>
          <w:trHeight w:val="283"/>
        </w:trPr>
        <w:tc>
          <w:tcPr>
            <w:tcW w:w="4111" w:type="dxa"/>
            <w:tcBorders>
              <w:top w:val="single" w:sz="4" w:space="0" w:color="auto"/>
              <w:left w:val="nil"/>
              <w:bottom w:val="single" w:sz="4" w:space="0" w:color="auto"/>
              <w:right w:val="nil"/>
            </w:tcBorders>
            <w:shd w:val="clear" w:color="auto" w:fill="8DB3E2"/>
            <w:vAlign w:val="center"/>
            <w:hideMark/>
          </w:tcPr>
          <w:p w14:paraId="4C466C16" w14:textId="77777777" w:rsidR="00DE2842" w:rsidRPr="00ED59EE" w:rsidRDefault="00DE2842" w:rsidP="00AC2914">
            <w:pPr>
              <w:keepLines/>
              <w:tabs>
                <w:tab w:val="right" w:pos="2835"/>
                <w:tab w:val="right" w:pos="3969"/>
                <w:tab w:val="right" w:pos="5103"/>
                <w:tab w:val="right" w:pos="6237"/>
                <w:tab w:val="right" w:pos="7371"/>
              </w:tabs>
              <w:rPr>
                <w:rFonts w:ascii="Arial" w:hAnsi="Arial" w:cs="Arial"/>
                <w:spacing w:val="6"/>
                <w:sz w:val="18"/>
                <w:szCs w:val="18"/>
              </w:rPr>
            </w:pPr>
            <w:r w:rsidRPr="00ED59EE">
              <w:rPr>
                <w:rFonts w:ascii="Arial" w:hAnsi="Arial" w:cs="Arial"/>
                <w:sz w:val="18"/>
                <w:szCs w:val="18"/>
              </w:rPr>
              <w:t>Plazas Plantilla Orgánica sin Justicia</w:t>
            </w:r>
            <w:r w:rsidR="0067536B" w:rsidRPr="00ED59EE">
              <w:rPr>
                <w:rFonts w:ascii="Arial" w:hAnsi="Arial" w:cs="Arial"/>
                <w:sz w:val="18"/>
                <w:szCs w:val="18"/>
              </w:rPr>
              <w:t>*</w:t>
            </w:r>
          </w:p>
        </w:tc>
        <w:tc>
          <w:tcPr>
            <w:tcW w:w="4678" w:type="dxa"/>
            <w:tcBorders>
              <w:top w:val="single" w:sz="4" w:space="0" w:color="auto"/>
              <w:left w:val="nil"/>
              <w:bottom w:val="single" w:sz="4" w:space="0" w:color="auto"/>
              <w:right w:val="nil"/>
            </w:tcBorders>
            <w:shd w:val="clear" w:color="auto" w:fill="8DB3E2"/>
            <w:vAlign w:val="center"/>
          </w:tcPr>
          <w:p w14:paraId="44AD6295" w14:textId="77777777" w:rsidR="00DE2842" w:rsidRPr="00ED59EE" w:rsidRDefault="00DE2842" w:rsidP="009E3B34">
            <w:pPr>
              <w:jc w:val="right"/>
              <w:rPr>
                <w:rFonts w:ascii="Arial" w:hAnsi="Arial" w:cs="Arial"/>
                <w:sz w:val="18"/>
                <w:szCs w:val="18"/>
              </w:rPr>
            </w:pPr>
            <w:r w:rsidRPr="00ED59EE">
              <w:rPr>
                <w:rFonts w:ascii="Arial" w:hAnsi="Arial" w:cs="Arial"/>
                <w:sz w:val="18"/>
                <w:szCs w:val="18"/>
              </w:rPr>
              <w:t>25.5</w:t>
            </w:r>
            <w:r w:rsidR="009E3B34" w:rsidRPr="00ED59EE">
              <w:rPr>
                <w:rFonts w:ascii="Arial" w:hAnsi="Arial" w:cs="Arial"/>
                <w:sz w:val="18"/>
                <w:szCs w:val="18"/>
              </w:rPr>
              <w:t>15</w:t>
            </w:r>
          </w:p>
        </w:tc>
      </w:tr>
      <w:tr w:rsidR="00DE2842" w:rsidRPr="0067536B" w14:paraId="53A64A48" w14:textId="77777777" w:rsidTr="00ED59EE">
        <w:trPr>
          <w:trHeight w:val="301"/>
        </w:trPr>
        <w:tc>
          <w:tcPr>
            <w:tcW w:w="4111" w:type="dxa"/>
            <w:tcBorders>
              <w:top w:val="single" w:sz="2" w:space="0" w:color="auto"/>
              <w:left w:val="nil"/>
              <w:bottom w:val="single" w:sz="4" w:space="0" w:color="auto"/>
              <w:right w:val="nil"/>
            </w:tcBorders>
            <w:vAlign w:val="center"/>
          </w:tcPr>
          <w:p w14:paraId="38DBC105" w14:textId="77777777" w:rsidR="00DE2842" w:rsidRPr="007E4397" w:rsidRDefault="00DE2842" w:rsidP="00AC2914">
            <w:pPr>
              <w:pStyle w:val="cuatexto"/>
              <w:rPr>
                <w:szCs w:val="20"/>
              </w:rPr>
            </w:pPr>
            <w:r>
              <w:rPr>
                <w:szCs w:val="20"/>
              </w:rPr>
              <w:t>Plazas no vacantes</w:t>
            </w:r>
          </w:p>
        </w:tc>
        <w:tc>
          <w:tcPr>
            <w:tcW w:w="4678" w:type="dxa"/>
            <w:tcBorders>
              <w:top w:val="single" w:sz="2" w:space="0" w:color="auto"/>
              <w:left w:val="nil"/>
              <w:bottom w:val="single" w:sz="4" w:space="0" w:color="auto"/>
              <w:right w:val="nil"/>
            </w:tcBorders>
            <w:vAlign w:val="center"/>
          </w:tcPr>
          <w:p w14:paraId="6188AEC9" w14:textId="77777777" w:rsidR="00DE2842" w:rsidRPr="0067536B" w:rsidRDefault="00DE2842" w:rsidP="00AC2914">
            <w:pPr>
              <w:jc w:val="right"/>
              <w:rPr>
                <w:rFonts w:ascii="Arial Narrow" w:hAnsi="Arial Narrow" w:cs="Calibri"/>
                <w:sz w:val="20"/>
                <w:szCs w:val="20"/>
              </w:rPr>
            </w:pPr>
            <w:r w:rsidRPr="0067536B">
              <w:rPr>
                <w:rFonts w:ascii="Arial Narrow" w:hAnsi="Arial Narrow" w:cs="Calibri"/>
                <w:sz w:val="20"/>
                <w:szCs w:val="20"/>
              </w:rPr>
              <w:t>18.196</w:t>
            </w:r>
          </w:p>
        </w:tc>
      </w:tr>
      <w:tr w:rsidR="00DE2842" w:rsidRPr="00ED59EE" w14:paraId="7376B01B" w14:textId="77777777" w:rsidTr="00ED59EE">
        <w:trPr>
          <w:trHeight w:val="255"/>
        </w:trPr>
        <w:tc>
          <w:tcPr>
            <w:tcW w:w="4111" w:type="dxa"/>
            <w:tcBorders>
              <w:top w:val="single" w:sz="4" w:space="0" w:color="auto"/>
              <w:left w:val="nil"/>
              <w:bottom w:val="single" w:sz="4" w:space="0" w:color="auto"/>
              <w:right w:val="nil"/>
            </w:tcBorders>
            <w:shd w:val="clear" w:color="auto" w:fill="8DB3E2"/>
            <w:vAlign w:val="center"/>
            <w:hideMark/>
          </w:tcPr>
          <w:p w14:paraId="2D7C9043" w14:textId="77777777" w:rsidR="00DE2842" w:rsidRPr="00ED59EE" w:rsidRDefault="00DE2842" w:rsidP="00DE2842">
            <w:pPr>
              <w:keepLines/>
              <w:tabs>
                <w:tab w:val="right" w:pos="2835"/>
                <w:tab w:val="right" w:pos="3969"/>
                <w:tab w:val="right" w:pos="5103"/>
                <w:tab w:val="right" w:pos="6237"/>
                <w:tab w:val="right" w:pos="7371"/>
              </w:tabs>
              <w:rPr>
                <w:rFonts w:ascii="Arial" w:hAnsi="Arial" w:cs="Arial"/>
                <w:spacing w:val="6"/>
                <w:sz w:val="18"/>
                <w:szCs w:val="18"/>
              </w:rPr>
            </w:pPr>
            <w:r w:rsidRPr="00ED59EE">
              <w:rPr>
                <w:rFonts w:ascii="Arial" w:hAnsi="Arial" w:cs="Arial"/>
                <w:sz w:val="18"/>
                <w:szCs w:val="18"/>
              </w:rPr>
              <w:t>Plazas vacantes</w:t>
            </w:r>
          </w:p>
        </w:tc>
        <w:tc>
          <w:tcPr>
            <w:tcW w:w="4678" w:type="dxa"/>
            <w:tcBorders>
              <w:top w:val="single" w:sz="4" w:space="0" w:color="auto"/>
              <w:left w:val="nil"/>
              <w:bottom w:val="single" w:sz="4" w:space="0" w:color="auto"/>
              <w:right w:val="nil"/>
            </w:tcBorders>
            <w:shd w:val="clear" w:color="auto" w:fill="8DB3E2"/>
            <w:vAlign w:val="center"/>
          </w:tcPr>
          <w:p w14:paraId="1EB72798" w14:textId="77777777" w:rsidR="00DE2842" w:rsidRPr="00ED59EE" w:rsidRDefault="00DE2842" w:rsidP="009E3B34">
            <w:pPr>
              <w:jc w:val="right"/>
              <w:rPr>
                <w:rFonts w:ascii="Arial" w:hAnsi="Arial" w:cs="Arial"/>
                <w:sz w:val="18"/>
                <w:szCs w:val="18"/>
              </w:rPr>
            </w:pPr>
            <w:r w:rsidRPr="00ED59EE">
              <w:rPr>
                <w:rFonts w:ascii="Arial" w:hAnsi="Arial" w:cs="Arial"/>
                <w:sz w:val="18"/>
                <w:szCs w:val="18"/>
              </w:rPr>
              <w:t>7.</w:t>
            </w:r>
            <w:r w:rsidR="009E3B34" w:rsidRPr="00ED59EE">
              <w:rPr>
                <w:rFonts w:ascii="Arial" w:hAnsi="Arial" w:cs="Arial"/>
                <w:sz w:val="18"/>
                <w:szCs w:val="18"/>
              </w:rPr>
              <w:t>319</w:t>
            </w:r>
          </w:p>
        </w:tc>
      </w:tr>
    </w:tbl>
    <w:p w14:paraId="2B4EFD5C" w14:textId="77777777" w:rsidR="0026733B" w:rsidRDefault="0067536B" w:rsidP="005A637D">
      <w:pPr>
        <w:pStyle w:val="texto"/>
        <w:spacing w:before="60" w:after="120"/>
        <w:ind w:firstLine="0"/>
        <w:jc w:val="both"/>
        <w:rPr>
          <w:rFonts w:ascii="Arial" w:hAnsi="Arial" w:cs="Arial"/>
          <w:sz w:val="18"/>
          <w:szCs w:val="18"/>
        </w:rPr>
      </w:pPr>
      <w:r w:rsidRPr="0026733B">
        <w:rPr>
          <w:rFonts w:ascii="Arial" w:hAnsi="Arial" w:cs="Arial"/>
          <w:sz w:val="18"/>
          <w:szCs w:val="18"/>
        </w:rPr>
        <w:t>*</w:t>
      </w:r>
      <w:r w:rsidRPr="00F34E94">
        <w:rPr>
          <w:rFonts w:ascii="Arial" w:hAnsi="Arial" w:cs="Arial"/>
          <w:sz w:val="16"/>
          <w:szCs w:val="16"/>
        </w:rPr>
        <w:t xml:space="preserve">La capacidad de reducir la temporalidad de estas plazas no la ostenta la ACFN, sino el Ministerio </w:t>
      </w:r>
      <w:r w:rsidR="0026733B" w:rsidRPr="00F34E94">
        <w:rPr>
          <w:rFonts w:ascii="Arial" w:hAnsi="Arial" w:cs="Arial"/>
          <w:sz w:val="16"/>
          <w:szCs w:val="16"/>
        </w:rPr>
        <w:t>de Justicia</w:t>
      </w:r>
      <w:r w:rsidR="0026733B" w:rsidRPr="0026733B">
        <w:rPr>
          <w:rFonts w:ascii="Arial" w:hAnsi="Arial" w:cs="Arial"/>
          <w:sz w:val="18"/>
          <w:szCs w:val="18"/>
        </w:rPr>
        <w:t xml:space="preserve">. </w:t>
      </w:r>
    </w:p>
    <w:p w14:paraId="105A8E83" w14:textId="77777777" w:rsidR="00DE2842" w:rsidRDefault="00183267" w:rsidP="00695412">
      <w:pPr>
        <w:pStyle w:val="texto"/>
        <w:spacing w:after="240"/>
        <w:jc w:val="both"/>
        <w:rPr>
          <w:color w:val="FF0000"/>
        </w:rPr>
      </w:pPr>
      <w:r w:rsidRPr="00183267">
        <w:t xml:space="preserve">El estado de las plazas ofertadas sin convocar y de plazas convocadas sin finalizar, partiendo de la información de SAP-RRHH, se refleja en el siguiente cuadro: </w:t>
      </w:r>
    </w:p>
    <w:tbl>
      <w:tblPr>
        <w:tblW w:w="8789" w:type="dxa"/>
        <w:jc w:val="center"/>
        <w:tblCellMar>
          <w:left w:w="30" w:type="dxa"/>
          <w:right w:w="30" w:type="dxa"/>
        </w:tblCellMar>
        <w:tblLook w:val="04A0" w:firstRow="1" w:lastRow="0" w:firstColumn="1" w:lastColumn="0" w:noHBand="0" w:noVBand="1"/>
      </w:tblPr>
      <w:tblGrid>
        <w:gridCol w:w="1843"/>
        <w:gridCol w:w="6946"/>
      </w:tblGrid>
      <w:tr w:rsidR="00DE2842" w:rsidRPr="00F56DF5" w14:paraId="07B0B712" w14:textId="77777777" w:rsidTr="00ED59EE">
        <w:trPr>
          <w:trHeight w:val="255"/>
          <w:jc w:val="center"/>
        </w:trPr>
        <w:tc>
          <w:tcPr>
            <w:tcW w:w="1843" w:type="dxa"/>
            <w:tcBorders>
              <w:top w:val="single" w:sz="4" w:space="0" w:color="auto"/>
              <w:left w:val="nil"/>
              <w:bottom w:val="single" w:sz="4" w:space="0" w:color="auto"/>
              <w:right w:val="nil"/>
            </w:tcBorders>
            <w:shd w:val="clear" w:color="auto" w:fill="8DB3E2"/>
            <w:vAlign w:val="center"/>
          </w:tcPr>
          <w:p w14:paraId="7D19F421" w14:textId="77777777" w:rsidR="00DE2842" w:rsidRPr="00F56DF5" w:rsidRDefault="00DE2842" w:rsidP="00710D7B">
            <w:pPr>
              <w:pStyle w:val="cuadroCabe"/>
            </w:pPr>
            <w:r>
              <w:t>ACFN</w:t>
            </w:r>
          </w:p>
        </w:tc>
        <w:tc>
          <w:tcPr>
            <w:tcW w:w="6946" w:type="dxa"/>
            <w:tcBorders>
              <w:top w:val="single" w:sz="4" w:space="0" w:color="auto"/>
              <w:left w:val="nil"/>
              <w:bottom w:val="single" w:sz="4" w:space="0" w:color="auto"/>
              <w:right w:val="nil"/>
            </w:tcBorders>
            <w:shd w:val="clear" w:color="auto" w:fill="8DB3E2"/>
            <w:vAlign w:val="center"/>
          </w:tcPr>
          <w:p w14:paraId="67B78D32" w14:textId="77777777" w:rsidR="00DE2842" w:rsidRPr="00F56DF5" w:rsidRDefault="00DE2842" w:rsidP="00DE2842">
            <w:pPr>
              <w:pStyle w:val="cuadroCabe"/>
              <w:jc w:val="right"/>
            </w:pPr>
            <w:r>
              <w:t xml:space="preserve">En proceso según SAP-RRHH </w:t>
            </w:r>
          </w:p>
        </w:tc>
      </w:tr>
      <w:tr w:rsidR="00DE2842" w:rsidRPr="007E4397" w14:paraId="092AFFA1" w14:textId="77777777" w:rsidTr="00ED59EE">
        <w:trPr>
          <w:trHeight w:val="198"/>
          <w:jc w:val="center"/>
        </w:trPr>
        <w:tc>
          <w:tcPr>
            <w:tcW w:w="1843" w:type="dxa"/>
            <w:tcBorders>
              <w:top w:val="single" w:sz="4" w:space="0" w:color="auto"/>
              <w:left w:val="nil"/>
              <w:bottom w:val="single" w:sz="2" w:space="0" w:color="auto"/>
              <w:right w:val="nil"/>
            </w:tcBorders>
            <w:vAlign w:val="center"/>
          </w:tcPr>
          <w:p w14:paraId="216BE357" w14:textId="77777777" w:rsidR="00DE2842" w:rsidRPr="007E4397" w:rsidRDefault="00DE2842" w:rsidP="00710D7B">
            <w:pPr>
              <w:pStyle w:val="cuatexto"/>
              <w:rPr>
                <w:szCs w:val="20"/>
              </w:rPr>
            </w:pPr>
            <w:r>
              <w:rPr>
                <w:szCs w:val="20"/>
              </w:rPr>
              <w:t>Administración Núcleo</w:t>
            </w:r>
          </w:p>
        </w:tc>
        <w:tc>
          <w:tcPr>
            <w:tcW w:w="6946" w:type="dxa"/>
            <w:tcBorders>
              <w:top w:val="single" w:sz="4" w:space="0" w:color="auto"/>
              <w:left w:val="nil"/>
              <w:bottom w:val="single" w:sz="2" w:space="0" w:color="auto"/>
              <w:right w:val="nil"/>
            </w:tcBorders>
            <w:vAlign w:val="center"/>
          </w:tcPr>
          <w:p w14:paraId="42FD441E" w14:textId="77777777" w:rsidR="00DE2842" w:rsidRPr="007E4397" w:rsidRDefault="00DE2842" w:rsidP="00710D7B">
            <w:pPr>
              <w:jc w:val="right"/>
              <w:rPr>
                <w:rFonts w:ascii="Arial Narrow" w:hAnsi="Arial Narrow" w:cs="Calibri"/>
                <w:sz w:val="20"/>
                <w:szCs w:val="20"/>
              </w:rPr>
            </w:pPr>
            <w:r>
              <w:rPr>
                <w:rFonts w:ascii="Arial Narrow" w:hAnsi="Arial Narrow" w:cs="Calibri"/>
                <w:sz w:val="20"/>
                <w:szCs w:val="20"/>
              </w:rPr>
              <w:t>2.704</w:t>
            </w:r>
          </w:p>
        </w:tc>
      </w:tr>
      <w:tr w:rsidR="00DE2842" w:rsidRPr="007E4397" w14:paraId="40944FCF" w14:textId="77777777" w:rsidTr="00ED59EE">
        <w:trPr>
          <w:trHeight w:val="198"/>
          <w:jc w:val="center"/>
        </w:trPr>
        <w:tc>
          <w:tcPr>
            <w:tcW w:w="1843" w:type="dxa"/>
            <w:tcBorders>
              <w:top w:val="single" w:sz="2" w:space="0" w:color="auto"/>
              <w:left w:val="nil"/>
              <w:bottom w:val="single" w:sz="2" w:space="0" w:color="auto"/>
              <w:right w:val="nil"/>
            </w:tcBorders>
            <w:vAlign w:val="center"/>
          </w:tcPr>
          <w:p w14:paraId="519D76F7" w14:textId="77777777" w:rsidR="00DE2842" w:rsidRPr="007E4397" w:rsidRDefault="00DE2842" w:rsidP="00710D7B">
            <w:pPr>
              <w:pStyle w:val="cuatexto"/>
              <w:rPr>
                <w:szCs w:val="20"/>
              </w:rPr>
            </w:pPr>
            <w:r>
              <w:rPr>
                <w:szCs w:val="20"/>
              </w:rPr>
              <w:t>Salud</w:t>
            </w:r>
          </w:p>
        </w:tc>
        <w:tc>
          <w:tcPr>
            <w:tcW w:w="6946" w:type="dxa"/>
            <w:tcBorders>
              <w:top w:val="single" w:sz="2" w:space="0" w:color="auto"/>
              <w:left w:val="nil"/>
              <w:bottom w:val="single" w:sz="2" w:space="0" w:color="auto"/>
              <w:right w:val="nil"/>
            </w:tcBorders>
            <w:vAlign w:val="center"/>
          </w:tcPr>
          <w:p w14:paraId="20E9B368" w14:textId="77777777" w:rsidR="00DE2842" w:rsidRPr="007E4397" w:rsidRDefault="00DE2842" w:rsidP="00710D7B">
            <w:pPr>
              <w:jc w:val="right"/>
              <w:rPr>
                <w:rFonts w:ascii="Arial Narrow" w:hAnsi="Arial Narrow" w:cs="Calibri"/>
                <w:sz w:val="20"/>
                <w:szCs w:val="20"/>
              </w:rPr>
            </w:pPr>
            <w:r>
              <w:rPr>
                <w:rFonts w:ascii="Arial Narrow" w:hAnsi="Arial Narrow" w:cs="Calibri"/>
                <w:sz w:val="20"/>
                <w:szCs w:val="20"/>
              </w:rPr>
              <w:t>1.786</w:t>
            </w:r>
          </w:p>
        </w:tc>
      </w:tr>
      <w:tr w:rsidR="00DE2842" w:rsidRPr="007E4397" w14:paraId="22627BAD" w14:textId="77777777" w:rsidTr="00ED59EE">
        <w:trPr>
          <w:trHeight w:val="198"/>
          <w:jc w:val="center"/>
        </w:trPr>
        <w:tc>
          <w:tcPr>
            <w:tcW w:w="1843" w:type="dxa"/>
            <w:tcBorders>
              <w:top w:val="single" w:sz="2" w:space="0" w:color="auto"/>
              <w:left w:val="nil"/>
              <w:bottom w:val="single" w:sz="4" w:space="0" w:color="auto"/>
              <w:right w:val="nil"/>
            </w:tcBorders>
            <w:vAlign w:val="center"/>
          </w:tcPr>
          <w:p w14:paraId="14C6866D" w14:textId="77777777" w:rsidR="00DE2842" w:rsidRPr="007E4397" w:rsidRDefault="00DE2842" w:rsidP="00710D7B">
            <w:pPr>
              <w:pStyle w:val="cuatexto"/>
              <w:rPr>
                <w:szCs w:val="20"/>
              </w:rPr>
            </w:pPr>
            <w:r>
              <w:rPr>
                <w:szCs w:val="20"/>
              </w:rPr>
              <w:t>Educación</w:t>
            </w:r>
          </w:p>
        </w:tc>
        <w:tc>
          <w:tcPr>
            <w:tcW w:w="6946" w:type="dxa"/>
            <w:tcBorders>
              <w:top w:val="single" w:sz="2" w:space="0" w:color="auto"/>
              <w:left w:val="nil"/>
              <w:bottom w:val="single" w:sz="4" w:space="0" w:color="auto"/>
              <w:right w:val="nil"/>
            </w:tcBorders>
            <w:vAlign w:val="center"/>
          </w:tcPr>
          <w:p w14:paraId="1F1FCF5A" w14:textId="77777777" w:rsidR="00DE2842" w:rsidRPr="007E4397" w:rsidRDefault="00DE2842" w:rsidP="00710D7B">
            <w:pPr>
              <w:jc w:val="right"/>
              <w:rPr>
                <w:rFonts w:ascii="Arial Narrow" w:hAnsi="Arial Narrow" w:cs="Calibri"/>
                <w:sz w:val="20"/>
                <w:szCs w:val="20"/>
              </w:rPr>
            </w:pPr>
            <w:r>
              <w:rPr>
                <w:rFonts w:ascii="Arial Narrow" w:hAnsi="Arial Narrow" w:cs="Calibri"/>
                <w:sz w:val="20"/>
                <w:szCs w:val="20"/>
              </w:rPr>
              <w:t>1.065</w:t>
            </w:r>
          </w:p>
        </w:tc>
      </w:tr>
      <w:tr w:rsidR="00DE2842" w:rsidRPr="007E4397" w14:paraId="6351FDC3" w14:textId="77777777" w:rsidTr="00ED59EE">
        <w:trPr>
          <w:trHeight w:val="255"/>
          <w:jc w:val="center"/>
        </w:trPr>
        <w:tc>
          <w:tcPr>
            <w:tcW w:w="1843" w:type="dxa"/>
            <w:tcBorders>
              <w:top w:val="single" w:sz="4" w:space="0" w:color="auto"/>
              <w:left w:val="nil"/>
              <w:bottom w:val="single" w:sz="4" w:space="0" w:color="auto"/>
              <w:right w:val="nil"/>
            </w:tcBorders>
            <w:shd w:val="clear" w:color="auto" w:fill="8DB3E2"/>
            <w:vAlign w:val="center"/>
            <w:hideMark/>
          </w:tcPr>
          <w:p w14:paraId="372F565E" w14:textId="77777777" w:rsidR="00DE2842" w:rsidRPr="007E4397" w:rsidRDefault="00DE2842" w:rsidP="00710D7B">
            <w:pPr>
              <w:keepLines/>
              <w:tabs>
                <w:tab w:val="right" w:pos="2835"/>
                <w:tab w:val="right" w:pos="3969"/>
                <w:tab w:val="right" w:pos="5103"/>
                <w:tab w:val="right" w:pos="6237"/>
                <w:tab w:val="right" w:pos="7371"/>
              </w:tabs>
              <w:rPr>
                <w:rFonts w:ascii="Arial" w:hAnsi="Arial" w:cs="Arial"/>
                <w:spacing w:val="6"/>
                <w:sz w:val="18"/>
                <w:szCs w:val="18"/>
              </w:rPr>
            </w:pPr>
            <w:r w:rsidRPr="007E4397">
              <w:rPr>
                <w:rFonts w:ascii="Arial" w:hAnsi="Arial" w:cs="Arial"/>
                <w:spacing w:val="6"/>
                <w:sz w:val="18"/>
                <w:szCs w:val="18"/>
              </w:rPr>
              <w:t>Total</w:t>
            </w:r>
          </w:p>
        </w:tc>
        <w:tc>
          <w:tcPr>
            <w:tcW w:w="6946" w:type="dxa"/>
            <w:tcBorders>
              <w:top w:val="single" w:sz="4" w:space="0" w:color="auto"/>
              <w:left w:val="nil"/>
              <w:bottom w:val="single" w:sz="4" w:space="0" w:color="auto"/>
              <w:right w:val="nil"/>
            </w:tcBorders>
            <w:shd w:val="clear" w:color="auto" w:fill="8DB3E2"/>
            <w:vAlign w:val="center"/>
          </w:tcPr>
          <w:p w14:paraId="2E1128AB" w14:textId="77777777" w:rsidR="00DE2842" w:rsidRPr="007E4397" w:rsidRDefault="00DE2842" w:rsidP="00710D7B">
            <w:pPr>
              <w:jc w:val="right"/>
              <w:rPr>
                <w:rFonts w:ascii="Arial" w:hAnsi="Arial" w:cs="Arial"/>
                <w:sz w:val="18"/>
                <w:szCs w:val="18"/>
              </w:rPr>
            </w:pPr>
            <w:r>
              <w:rPr>
                <w:rFonts w:ascii="Arial" w:hAnsi="Arial" w:cs="Arial"/>
                <w:sz w:val="18"/>
                <w:szCs w:val="18"/>
              </w:rPr>
              <w:t>5.555</w:t>
            </w:r>
          </w:p>
        </w:tc>
      </w:tr>
    </w:tbl>
    <w:p w14:paraId="5B811348" w14:textId="77777777" w:rsidR="00183267" w:rsidRDefault="00183267" w:rsidP="00FE27FF">
      <w:pPr>
        <w:pStyle w:val="texto"/>
        <w:spacing w:before="240" w:after="120"/>
        <w:jc w:val="both"/>
      </w:pPr>
      <w:r>
        <w:t xml:space="preserve">Es decir, el 76 por ciento de las plazas vacantes en plantilla, están en alguno de los procesos citados anteriormente, lo que significa que, con estos datos </w:t>
      </w:r>
      <w:r w:rsidR="0026733B">
        <w:t xml:space="preserve">que </w:t>
      </w:r>
      <w:r>
        <w:t xml:space="preserve">el 24 por ciento restante (1.782 plazas) serían susceptibles de incorporarlas en futuras </w:t>
      </w:r>
      <w:proofErr w:type="spellStart"/>
      <w:r>
        <w:t>OPEs</w:t>
      </w:r>
      <w:proofErr w:type="spellEnd"/>
      <w:r>
        <w:t>. Esta información pone de manifiesto que la ACFN está tomando las medidas oportunas para la obliga</w:t>
      </w:r>
      <w:r w:rsidR="004066B7">
        <w:t xml:space="preserve">da reducción de la temporalidad, en cuanto a los puestos definidos en plantilla orgánica. </w:t>
      </w:r>
    </w:p>
    <w:p w14:paraId="01CD8B26" w14:textId="77777777" w:rsidR="00614DC4" w:rsidRPr="00452C3C" w:rsidRDefault="00614DC4" w:rsidP="00FE27FF">
      <w:pPr>
        <w:pStyle w:val="atitulo3"/>
      </w:pPr>
      <w:r w:rsidRPr="00452C3C">
        <w:t xml:space="preserve">Análisis del personal fijo y temporal de la ACFN </w:t>
      </w:r>
    </w:p>
    <w:p w14:paraId="455FEA0D" w14:textId="77777777" w:rsidR="00614DC4" w:rsidRPr="00452C3C" w:rsidRDefault="00614DC4" w:rsidP="002D15F8">
      <w:pPr>
        <w:pStyle w:val="texto"/>
        <w:spacing w:after="240"/>
        <w:jc w:val="both"/>
      </w:pPr>
      <w:r w:rsidRPr="00452C3C">
        <w:t>Hemos analizado el número de altas y bajas de personal fijo en el periodo 201</w:t>
      </w:r>
      <w:r w:rsidR="00452C3C" w:rsidRPr="00452C3C">
        <w:t>9</w:t>
      </w:r>
      <w:r w:rsidRPr="00452C3C">
        <w:t>-202</w:t>
      </w:r>
      <w:r w:rsidR="00452C3C" w:rsidRPr="00452C3C">
        <w:t>3</w:t>
      </w:r>
      <w:r w:rsidRPr="00452C3C">
        <w:t>, sin tener en cuenta las reservas de puesto (dado que no son bajas definitivas de la administración), y los resultados son los siguientes:</w:t>
      </w:r>
    </w:p>
    <w:tbl>
      <w:tblPr>
        <w:tblW w:w="0" w:type="auto"/>
        <w:tblCellMar>
          <w:left w:w="70" w:type="dxa"/>
          <w:right w:w="70" w:type="dxa"/>
        </w:tblCellMar>
        <w:tblLook w:val="04A0" w:firstRow="1" w:lastRow="0" w:firstColumn="1" w:lastColumn="0" w:noHBand="0" w:noVBand="1"/>
      </w:tblPr>
      <w:tblGrid>
        <w:gridCol w:w="2652"/>
        <w:gridCol w:w="2026"/>
        <w:gridCol w:w="851"/>
        <w:gridCol w:w="850"/>
        <w:gridCol w:w="709"/>
        <w:gridCol w:w="709"/>
        <w:gridCol w:w="992"/>
      </w:tblGrid>
      <w:tr w:rsidR="00452C3C" w:rsidRPr="00452C3C" w14:paraId="7E441BDA" w14:textId="77777777" w:rsidTr="00ED59EE">
        <w:trPr>
          <w:trHeight w:val="255"/>
        </w:trPr>
        <w:tc>
          <w:tcPr>
            <w:tcW w:w="0" w:type="auto"/>
            <w:tcBorders>
              <w:top w:val="single" w:sz="4" w:space="0" w:color="auto"/>
              <w:left w:val="nil"/>
              <w:bottom w:val="single" w:sz="4" w:space="0" w:color="auto"/>
              <w:right w:val="nil"/>
            </w:tcBorders>
            <w:shd w:val="clear" w:color="000000" w:fill="8DB3E2"/>
            <w:vAlign w:val="center"/>
            <w:hideMark/>
          </w:tcPr>
          <w:p w14:paraId="0BA2C5E0" w14:textId="77777777" w:rsidR="002559B3" w:rsidRPr="00452C3C" w:rsidRDefault="002559B3">
            <w:pPr>
              <w:rPr>
                <w:rFonts w:ascii="Arial" w:hAnsi="Arial" w:cs="Arial"/>
                <w:sz w:val="18"/>
                <w:szCs w:val="18"/>
              </w:rPr>
            </w:pPr>
            <w:r w:rsidRPr="00452C3C">
              <w:rPr>
                <w:rFonts w:ascii="Arial" w:hAnsi="Arial" w:cs="Arial"/>
                <w:spacing w:val="6"/>
                <w:sz w:val="18"/>
                <w:szCs w:val="18"/>
              </w:rPr>
              <w:lastRenderedPageBreak/>
              <w:t> </w:t>
            </w:r>
          </w:p>
        </w:tc>
        <w:tc>
          <w:tcPr>
            <w:tcW w:w="2026" w:type="dxa"/>
            <w:tcBorders>
              <w:top w:val="single" w:sz="4" w:space="0" w:color="auto"/>
              <w:left w:val="nil"/>
              <w:bottom w:val="single" w:sz="4" w:space="0" w:color="auto"/>
              <w:right w:val="nil"/>
            </w:tcBorders>
            <w:shd w:val="clear" w:color="000000" w:fill="8DB3E2"/>
            <w:vAlign w:val="center"/>
            <w:hideMark/>
          </w:tcPr>
          <w:p w14:paraId="7E8DE1FC" w14:textId="77777777" w:rsidR="002559B3" w:rsidRPr="00452C3C" w:rsidRDefault="002559B3">
            <w:pPr>
              <w:jc w:val="right"/>
              <w:rPr>
                <w:rFonts w:ascii="Arial" w:hAnsi="Arial" w:cs="Arial"/>
                <w:sz w:val="18"/>
                <w:szCs w:val="18"/>
              </w:rPr>
            </w:pPr>
            <w:r w:rsidRPr="00452C3C">
              <w:rPr>
                <w:rFonts w:ascii="Arial" w:hAnsi="Arial" w:cs="Arial"/>
                <w:spacing w:val="6"/>
                <w:sz w:val="18"/>
                <w:szCs w:val="18"/>
              </w:rPr>
              <w:t>2019</w:t>
            </w:r>
          </w:p>
        </w:tc>
        <w:tc>
          <w:tcPr>
            <w:tcW w:w="851" w:type="dxa"/>
            <w:tcBorders>
              <w:top w:val="single" w:sz="4" w:space="0" w:color="auto"/>
              <w:left w:val="nil"/>
              <w:bottom w:val="single" w:sz="4" w:space="0" w:color="auto"/>
              <w:right w:val="nil"/>
            </w:tcBorders>
            <w:shd w:val="clear" w:color="000000" w:fill="8DB3E2"/>
            <w:vAlign w:val="center"/>
            <w:hideMark/>
          </w:tcPr>
          <w:p w14:paraId="242388EB" w14:textId="77777777" w:rsidR="002559B3" w:rsidRPr="00452C3C" w:rsidRDefault="002559B3">
            <w:pPr>
              <w:jc w:val="right"/>
              <w:rPr>
                <w:rFonts w:ascii="Arial" w:hAnsi="Arial" w:cs="Arial"/>
                <w:sz w:val="18"/>
                <w:szCs w:val="18"/>
              </w:rPr>
            </w:pPr>
            <w:r w:rsidRPr="00452C3C">
              <w:rPr>
                <w:rFonts w:ascii="Arial" w:hAnsi="Arial" w:cs="Arial"/>
                <w:spacing w:val="6"/>
                <w:sz w:val="18"/>
                <w:szCs w:val="18"/>
              </w:rPr>
              <w:t>2020</w:t>
            </w:r>
          </w:p>
        </w:tc>
        <w:tc>
          <w:tcPr>
            <w:tcW w:w="850" w:type="dxa"/>
            <w:tcBorders>
              <w:top w:val="single" w:sz="4" w:space="0" w:color="auto"/>
              <w:left w:val="nil"/>
              <w:bottom w:val="single" w:sz="4" w:space="0" w:color="auto"/>
              <w:right w:val="nil"/>
            </w:tcBorders>
            <w:shd w:val="clear" w:color="000000" w:fill="8DB3E2"/>
            <w:vAlign w:val="center"/>
            <w:hideMark/>
          </w:tcPr>
          <w:p w14:paraId="02486954" w14:textId="77777777" w:rsidR="002559B3" w:rsidRPr="00452C3C" w:rsidRDefault="002559B3">
            <w:pPr>
              <w:jc w:val="right"/>
              <w:rPr>
                <w:rFonts w:ascii="Arial" w:hAnsi="Arial" w:cs="Arial"/>
                <w:sz w:val="18"/>
                <w:szCs w:val="18"/>
              </w:rPr>
            </w:pPr>
            <w:r w:rsidRPr="00452C3C">
              <w:rPr>
                <w:rFonts w:ascii="Arial" w:hAnsi="Arial" w:cs="Arial"/>
                <w:spacing w:val="6"/>
                <w:sz w:val="18"/>
                <w:szCs w:val="18"/>
              </w:rPr>
              <w:t>2021</w:t>
            </w:r>
          </w:p>
        </w:tc>
        <w:tc>
          <w:tcPr>
            <w:tcW w:w="709" w:type="dxa"/>
            <w:tcBorders>
              <w:top w:val="single" w:sz="4" w:space="0" w:color="auto"/>
              <w:left w:val="nil"/>
              <w:bottom w:val="single" w:sz="4" w:space="0" w:color="auto"/>
              <w:right w:val="nil"/>
            </w:tcBorders>
            <w:shd w:val="clear" w:color="000000" w:fill="8DB3E2"/>
            <w:vAlign w:val="center"/>
            <w:hideMark/>
          </w:tcPr>
          <w:p w14:paraId="2EFD79B5" w14:textId="77777777" w:rsidR="002559B3" w:rsidRPr="00452C3C" w:rsidRDefault="002559B3">
            <w:pPr>
              <w:jc w:val="right"/>
              <w:rPr>
                <w:rFonts w:ascii="Arial" w:hAnsi="Arial" w:cs="Arial"/>
                <w:sz w:val="18"/>
                <w:szCs w:val="18"/>
              </w:rPr>
            </w:pPr>
            <w:r w:rsidRPr="00452C3C">
              <w:rPr>
                <w:rFonts w:ascii="Arial" w:hAnsi="Arial" w:cs="Arial"/>
                <w:spacing w:val="6"/>
                <w:sz w:val="18"/>
                <w:szCs w:val="18"/>
              </w:rPr>
              <w:t>2022</w:t>
            </w:r>
          </w:p>
        </w:tc>
        <w:tc>
          <w:tcPr>
            <w:tcW w:w="709" w:type="dxa"/>
            <w:tcBorders>
              <w:top w:val="single" w:sz="4" w:space="0" w:color="auto"/>
              <w:left w:val="nil"/>
              <w:bottom w:val="single" w:sz="4" w:space="0" w:color="auto"/>
              <w:right w:val="nil"/>
            </w:tcBorders>
            <w:shd w:val="clear" w:color="000000" w:fill="8DB3E2"/>
            <w:vAlign w:val="center"/>
            <w:hideMark/>
          </w:tcPr>
          <w:p w14:paraId="4D32E574" w14:textId="77777777" w:rsidR="002559B3" w:rsidRPr="00452C3C" w:rsidRDefault="002559B3">
            <w:pPr>
              <w:jc w:val="right"/>
              <w:rPr>
                <w:rFonts w:ascii="Arial" w:hAnsi="Arial" w:cs="Arial"/>
                <w:sz w:val="18"/>
                <w:szCs w:val="18"/>
              </w:rPr>
            </w:pPr>
            <w:r w:rsidRPr="00452C3C">
              <w:rPr>
                <w:rFonts w:ascii="Arial" w:hAnsi="Arial" w:cs="Arial"/>
                <w:spacing w:val="6"/>
                <w:sz w:val="18"/>
                <w:szCs w:val="18"/>
              </w:rPr>
              <w:t>2023</w:t>
            </w:r>
          </w:p>
        </w:tc>
        <w:tc>
          <w:tcPr>
            <w:tcW w:w="992" w:type="dxa"/>
            <w:tcBorders>
              <w:top w:val="single" w:sz="4" w:space="0" w:color="auto"/>
              <w:left w:val="nil"/>
              <w:bottom w:val="single" w:sz="4" w:space="0" w:color="auto"/>
              <w:right w:val="nil"/>
            </w:tcBorders>
            <w:shd w:val="clear" w:color="000000" w:fill="8DB3E2"/>
            <w:vAlign w:val="center"/>
            <w:hideMark/>
          </w:tcPr>
          <w:p w14:paraId="349975AC" w14:textId="77777777" w:rsidR="002559B3" w:rsidRPr="00452C3C" w:rsidRDefault="002559B3">
            <w:pPr>
              <w:jc w:val="right"/>
              <w:rPr>
                <w:rFonts w:ascii="Arial" w:hAnsi="Arial" w:cs="Arial"/>
                <w:sz w:val="18"/>
                <w:szCs w:val="18"/>
              </w:rPr>
            </w:pPr>
            <w:r w:rsidRPr="00452C3C">
              <w:rPr>
                <w:rFonts w:ascii="Arial" w:hAnsi="Arial" w:cs="Arial"/>
                <w:spacing w:val="6"/>
                <w:sz w:val="18"/>
                <w:szCs w:val="18"/>
              </w:rPr>
              <w:t>Total</w:t>
            </w:r>
          </w:p>
        </w:tc>
      </w:tr>
      <w:tr w:rsidR="00452C3C" w:rsidRPr="00452C3C" w14:paraId="01C04ABE" w14:textId="77777777" w:rsidTr="00ED59EE">
        <w:trPr>
          <w:trHeight w:val="198"/>
        </w:trPr>
        <w:tc>
          <w:tcPr>
            <w:tcW w:w="0" w:type="auto"/>
            <w:tcBorders>
              <w:top w:val="single" w:sz="4" w:space="0" w:color="auto"/>
              <w:left w:val="nil"/>
              <w:bottom w:val="single" w:sz="2" w:space="0" w:color="auto"/>
              <w:right w:val="nil"/>
            </w:tcBorders>
            <w:shd w:val="clear" w:color="auto" w:fill="auto"/>
            <w:vAlign w:val="center"/>
            <w:hideMark/>
          </w:tcPr>
          <w:p w14:paraId="15ED6845" w14:textId="77777777" w:rsidR="002559B3" w:rsidRPr="00ED59EE" w:rsidRDefault="002559B3">
            <w:pPr>
              <w:rPr>
                <w:rFonts w:ascii="Arial Narrow" w:hAnsi="Arial Narrow" w:cs="Calibri"/>
                <w:b/>
                <w:bCs/>
                <w:sz w:val="20"/>
                <w:szCs w:val="20"/>
              </w:rPr>
            </w:pPr>
            <w:r w:rsidRPr="00ED59EE">
              <w:rPr>
                <w:rFonts w:ascii="Arial Narrow" w:hAnsi="Arial Narrow" w:cs="Calibri"/>
                <w:b/>
                <w:bCs/>
                <w:sz w:val="20"/>
                <w:szCs w:val="20"/>
              </w:rPr>
              <w:t>Altas:</w:t>
            </w:r>
          </w:p>
        </w:tc>
        <w:tc>
          <w:tcPr>
            <w:tcW w:w="2026" w:type="dxa"/>
            <w:tcBorders>
              <w:top w:val="single" w:sz="4" w:space="0" w:color="auto"/>
              <w:left w:val="nil"/>
              <w:bottom w:val="single" w:sz="2" w:space="0" w:color="auto"/>
              <w:right w:val="nil"/>
            </w:tcBorders>
            <w:shd w:val="clear" w:color="auto" w:fill="auto"/>
            <w:vAlign w:val="center"/>
            <w:hideMark/>
          </w:tcPr>
          <w:p w14:paraId="4FC5CC19" w14:textId="77777777" w:rsidR="002559B3" w:rsidRPr="00ED59EE" w:rsidRDefault="002559B3">
            <w:pPr>
              <w:jc w:val="right"/>
              <w:rPr>
                <w:rFonts w:ascii="Arial Narrow" w:hAnsi="Arial Narrow" w:cs="Calibri"/>
                <w:b/>
                <w:bCs/>
                <w:sz w:val="20"/>
                <w:szCs w:val="20"/>
              </w:rPr>
            </w:pPr>
            <w:r w:rsidRPr="00ED59EE">
              <w:rPr>
                <w:rFonts w:ascii="Arial Narrow" w:hAnsi="Arial Narrow" w:cs="Calibri"/>
                <w:b/>
                <w:bCs/>
                <w:sz w:val="20"/>
                <w:szCs w:val="20"/>
                <w:lang w:val="es-ES_tradnl"/>
              </w:rPr>
              <w:t>381</w:t>
            </w:r>
          </w:p>
        </w:tc>
        <w:tc>
          <w:tcPr>
            <w:tcW w:w="851" w:type="dxa"/>
            <w:tcBorders>
              <w:top w:val="single" w:sz="4" w:space="0" w:color="auto"/>
              <w:left w:val="nil"/>
              <w:bottom w:val="single" w:sz="2" w:space="0" w:color="auto"/>
              <w:right w:val="nil"/>
            </w:tcBorders>
            <w:shd w:val="clear" w:color="auto" w:fill="auto"/>
            <w:vAlign w:val="center"/>
            <w:hideMark/>
          </w:tcPr>
          <w:p w14:paraId="7233BB4A" w14:textId="77777777" w:rsidR="002559B3" w:rsidRPr="00ED59EE" w:rsidRDefault="002559B3">
            <w:pPr>
              <w:jc w:val="right"/>
              <w:rPr>
                <w:rFonts w:ascii="Arial Narrow" w:hAnsi="Arial Narrow" w:cs="Calibri"/>
                <w:b/>
                <w:bCs/>
                <w:sz w:val="20"/>
                <w:szCs w:val="20"/>
              </w:rPr>
            </w:pPr>
            <w:r w:rsidRPr="00ED59EE">
              <w:rPr>
                <w:rFonts w:ascii="Arial Narrow" w:hAnsi="Arial Narrow" w:cs="Calibri"/>
                <w:b/>
                <w:bCs/>
                <w:sz w:val="20"/>
                <w:szCs w:val="20"/>
              </w:rPr>
              <w:t>616</w:t>
            </w:r>
          </w:p>
        </w:tc>
        <w:tc>
          <w:tcPr>
            <w:tcW w:w="850" w:type="dxa"/>
            <w:tcBorders>
              <w:top w:val="single" w:sz="4" w:space="0" w:color="auto"/>
              <w:left w:val="nil"/>
              <w:bottom w:val="single" w:sz="2" w:space="0" w:color="auto"/>
              <w:right w:val="nil"/>
            </w:tcBorders>
            <w:shd w:val="clear" w:color="auto" w:fill="auto"/>
            <w:vAlign w:val="center"/>
            <w:hideMark/>
          </w:tcPr>
          <w:p w14:paraId="45A4E86A" w14:textId="77777777" w:rsidR="002559B3" w:rsidRPr="00ED59EE" w:rsidRDefault="002559B3">
            <w:pPr>
              <w:jc w:val="right"/>
              <w:rPr>
                <w:rFonts w:ascii="Arial Narrow" w:hAnsi="Arial Narrow" w:cs="Calibri"/>
                <w:b/>
                <w:bCs/>
                <w:sz w:val="20"/>
                <w:szCs w:val="20"/>
              </w:rPr>
            </w:pPr>
            <w:r w:rsidRPr="00ED59EE">
              <w:rPr>
                <w:rFonts w:ascii="Arial Narrow" w:hAnsi="Arial Narrow" w:cs="Calibri"/>
                <w:b/>
                <w:bCs/>
                <w:sz w:val="20"/>
                <w:szCs w:val="20"/>
              </w:rPr>
              <w:t>388</w:t>
            </w:r>
          </w:p>
        </w:tc>
        <w:tc>
          <w:tcPr>
            <w:tcW w:w="709" w:type="dxa"/>
            <w:tcBorders>
              <w:top w:val="single" w:sz="4" w:space="0" w:color="auto"/>
              <w:left w:val="nil"/>
              <w:bottom w:val="single" w:sz="2" w:space="0" w:color="auto"/>
              <w:right w:val="nil"/>
            </w:tcBorders>
            <w:shd w:val="clear" w:color="auto" w:fill="auto"/>
            <w:vAlign w:val="center"/>
            <w:hideMark/>
          </w:tcPr>
          <w:p w14:paraId="6274FEF3" w14:textId="77777777" w:rsidR="002559B3" w:rsidRPr="00ED59EE" w:rsidRDefault="002559B3">
            <w:pPr>
              <w:jc w:val="right"/>
              <w:rPr>
                <w:rFonts w:ascii="Arial Narrow" w:hAnsi="Arial Narrow" w:cs="Calibri"/>
                <w:b/>
                <w:bCs/>
                <w:sz w:val="20"/>
                <w:szCs w:val="20"/>
              </w:rPr>
            </w:pPr>
            <w:r w:rsidRPr="00ED59EE">
              <w:rPr>
                <w:rFonts w:ascii="Arial Narrow" w:hAnsi="Arial Narrow" w:cs="Calibri"/>
                <w:b/>
                <w:bCs/>
                <w:sz w:val="20"/>
                <w:szCs w:val="20"/>
              </w:rPr>
              <w:t>892</w:t>
            </w:r>
          </w:p>
        </w:tc>
        <w:tc>
          <w:tcPr>
            <w:tcW w:w="709" w:type="dxa"/>
            <w:tcBorders>
              <w:top w:val="single" w:sz="4" w:space="0" w:color="auto"/>
              <w:left w:val="nil"/>
              <w:bottom w:val="single" w:sz="2" w:space="0" w:color="auto"/>
              <w:right w:val="nil"/>
            </w:tcBorders>
            <w:shd w:val="clear" w:color="auto" w:fill="auto"/>
            <w:vAlign w:val="center"/>
            <w:hideMark/>
          </w:tcPr>
          <w:p w14:paraId="3D65A551" w14:textId="77777777" w:rsidR="002559B3" w:rsidRPr="00ED59EE" w:rsidRDefault="002559B3">
            <w:pPr>
              <w:jc w:val="right"/>
              <w:rPr>
                <w:rFonts w:ascii="Arial Narrow" w:hAnsi="Arial Narrow" w:cs="Calibri"/>
                <w:b/>
                <w:bCs/>
                <w:sz w:val="20"/>
                <w:szCs w:val="20"/>
              </w:rPr>
            </w:pPr>
            <w:r w:rsidRPr="00ED59EE">
              <w:rPr>
                <w:rFonts w:ascii="Arial Narrow" w:hAnsi="Arial Narrow" w:cs="Calibri"/>
                <w:b/>
                <w:bCs/>
                <w:sz w:val="20"/>
                <w:szCs w:val="20"/>
              </w:rPr>
              <w:t>1.292</w:t>
            </w:r>
          </w:p>
        </w:tc>
        <w:tc>
          <w:tcPr>
            <w:tcW w:w="992" w:type="dxa"/>
            <w:tcBorders>
              <w:top w:val="single" w:sz="4" w:space="0" w:color="auto"/>
              <w:left w:val="nil"/>
              <w:bottom w:val="single" w:sz="2" w:space="0" w:color="auto"/>
              <w:right w:val="nil"/>
            </w:tcBorders>
            <w:shd w:val="clear" w:color="auto" w:fill="auto"/>
            <w:vAlign w:val="center"/>
            <w:hideMark/>
          </w:tcPr>
          <w:p w14:paraId="7F83E39F" w14:textId="77777777" w:rsidR="002559B3" w:rsidRPr="00ED59EE" w:rsidRDefault="002559B3">
            <w:pPr>
              <w:jc w:val="right"/>
              <w:rPr>
                <w:rFonts w:ascii="Arial Narrow" w:hAnsi="Arial Narrow" w:cs="Calibri"/>
                <w:b/>
                <w:bCs/>
                <w:sz w:val="20"/>
                <w:szCs w:val="20"/>
              </w:rPr>
            </w:pPr>
            <w:r w:rsidRPr="00ED59EE">
              <w:rPr>
                <w:rFonts w:ascii="Arial Narrow" w:hAnsi="Arial Narrow" w:cs="Calibri"/>
                <w:b/>
                <w:bCs/>
                <w:sz w:val="20"/>
                <w:szCs w:val="20"/>
              </w:rPr>
              <w:t>3.569</w:t>
            </w:r>
          </w:p>
        </w:tc>
      </w:tr>
      <w:tr w:rsidR="00452C3C" w:rsidRPr="00452C3C" w14:paraId="4CF12CDA" w14:textId="77777777" w:rsidTr="00ED59EE">
        <w:trPr>
          <w:trHeight w:val="198"/>
        </w:trPr>
        <w:tc>
          <w:tcPr>
            <w:tcW w:w="0" w:type="auto"/>
            <w:tcBorders>
              <w:top w:val="single" w:sz="2" w:space="0" w:color="auto"/>
              <w:left w:val="nil"/>
              <w:bottom w:val="single" w:sz="2" w:space="0" w:color="auto"/>
              <w:right w:val="nil"/>
            </w:tcBorders>
            <w:shd w:val="clear" w:color="auto" w:fill="auto"/>
            <w:vAlign w:val="center"/>
            <w:hideMark/>
          </w:tcPr>
          <w:p w14:paraId="490017CA" w14:textId="77777777" w:rsidR="002559B3" w:rsidRPr="00ED59EE" w:rsidRDefault="002559B3">
            <w:pPr>
              <w:ind w:firstLineChars="100" w:firstLine="200"/>
              <w:rPr>
                <w:rFonts w:ascii="Arial Narrow" w:hAnsi="Arial Narrow" w:cs="Calibri"/>
                <w:sz w:val="20"/>
                <w:szCs w:val="20"/>
              </w:rPr>
            </w:pPr>
            <w:r w:rsidRPr="00ED59EE">
              <w:rPr>
                <w:rFonts w:ascii="Arial Narrow" w:hAnsi="Arial Narrow" w:cs="Calibri"/>
                <w:sz w:val="20"/>
                <w:szCs w:val="20"/>
              </w:rPr>
              <w:t>Educación</w:t>
            </w:r>
          </w:p>
        </w:tc>
        <w:tc>
          <w:tcPr>
            <w:tcW w:w="2026" w:type="dxa"/>
            <w:tcBorders>
              <w:top w:val="single" w:sz="2" w:space="0" w:color="auto"/>
              <w:left w:val="nil"/>
              <w:bottom w:val="single" w:sz="2" w:space="0" w:color="auto"/>
              <w:right w:val="nil"/>
            </w:tcBorders>
            <w:shd w:val="clear" w:color="auto" w:fill="auto"/>
            <w:vAlign w:val="center"/>
            <w:hideMark/>
          </w:tcPr>
          <w:p w14:paraId="239D8624"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lang w:val="es-ES_tradnl"/>
              </w:rPr>
              <w:t>303</w:t>
            </w:r>
          </w:p>
        </w:tc>
        <w:tc>
          <w:tcPr>
            <w:tcW w:w="851" w:type="dxa"/>
            <w:tcBorders>
              <w:top w:val="single" w:sz="2" w:space="0" w:color="auto"/>
              <w:left w:val="nil"/>
              <w:bottom w:val="single" w:sz="2" w:space="0" w:color="auto"/>
              <w:right w:val="nil"/>
            </w:tcBorders>
            <w:shd w:val="clear" w:color="auto" w:fill="auto"/>
            <w:vAlign w:val="center"/>
            <w:hideMark/>
          </w:tcPr>
          <w:p w14:paraId="6D2FD0D1"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501</w:t>
            </w:r>
          </w:p>
        </w:tc>
        <w:tc>
          <w:tcPr>
            <w:tcW w:w="850" w:type="dxa"/>
            <w:tcBorders>
              <w:top w:val="single" w:sz="2" w:space="0" w:color="auto"/>
              <w:left w:val="nil"/>
              <w:bottom w:val="single" w:sz="2" w:space="0" w:color="auto"/>
              <w:right w:val="nil"/>
            </w:tcBorders>
            <w:shd w:val="clear" w:color="auto" w:fill="auto"/>
            <w:vAlign w:val="center"/>
            <w:hideMark/>
          </w:tcPr>
          <w:p w14:paraId="5E6AD58A"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110</w:t>
            </w:r>
          </w:p>
        </w:tc>
        <w:tc>
          <w:tcPr>
            <w:tcW w:w="709" w:type="dxa"/>
            <w:tcBorders>
              <w:top w:val="single" w:sz="2" w:space="0" w:color="auto"/>
              <w:left w:val="nil"/>
              <w:bottom w:val="single" w:sz="2" w:space="0" w:color="auto"/>
              <w:right w:val="nil"/>
            </w:tcBorders>
            <w:shd w:val="clear" w:color="auto" w:fill="auto"/>
            <w:vAlign w:val="center"/>
            <w:hideMark/>
          </w:tcPr>
          <w:p w14:paraId="438EF376"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578</w:t>
            </w:r>
          </w:p>
        </w:tc>
        <w:tc>
          <w:tcPr>
            <w:tcW w:w="709" w:type="dxa"/>
            <w:tcBorders>
              <w:top w:val="single" w:sz="2" w:space="0" w:color="auto"/>
              <w:left w:val="nil"/>
              <w:bottom w:val="single" w:sz="2" w:space="0" w:color="auto"/>
              <w:right w:val="nil"/>
            </w:tcBorders>
            <w:shd w:val="clear" w:color="auto" w:fill="auto"/>
            <w:vAlign w:val="center"/>
            <w:hideMark/>
          </w:tcPr>
          <w:p w14:paraId="5E1ED806"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756</w:t>
            </w:r>
          </w:p>
        </w:tc>
        <w:tc>
          <w:tcPr>
            <w:tcW w:w="992" w:type="dxa"/>
            <w:tcBorders>
              <w:top w:val="single" w:sz="2" w:space="0" w:color="auto"/>
              <w:left w:val="nil"/>
              <w:bottom w:val="single" w:sz="2" w:space="0" w:color="auto"/>
              <w:right w:val="nil"/>
            </w:tcBorders>
            <w:shd w:val="clear" w:color="auto" w:fill="auto"/>
            <w:vAlign w:val="center"/>
            <w:hideMark/>
          </w:tcPr>
          <w:p w14:paraId="60523612"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2.248</w:t>
            </w:r>
          </w:p>
        </w:tc>
      </w:tr>
      <w:tr w:rsidR="00452C3C" w:rsidRPr="00452C3C" w14:paraId="6C30A27F" w14:textId="77777777" w:rsidTr="00ED59EE">
        <w:trPr>
          <w:trHeight w:val="198"/>
        </w:trPr>
        <w:tc>
          <w:tcPr>
            <w:tcW w:w="0" w:type="auto"/>
            <w:tcBorders>
              <w:top w:val="single" w:sz="2" w:space="0" w:color="auto"/>
              <w:left w:val="nil"/>
              <w:bottom w:val="single" w:sz="2" w:space="0" w:color="auto"/>
              <w:right w:val="nil"/>
            </w:tcBorders>
            <w:shd w:val="clear" w:color="auto" w:fill="auto"/>
            <w:vAlign w:val="center"/>
            <w:hideMark/>
          </w:tcPr>
          <w:p w14:paraId="5B5278A4" w14:textId="77777777" w:rsidR="002559B3" w:rsidRPr="00ED59EE" w:rsidRDefault="002559B3">
            <w:pPr>
              <w:ind w:firstLineChars="100" w:firstLine="200"/>
              <w:rPr>
                <w:rFonts w:ascii="Arial Narrow" w:hAnsi="Arial Narrow" w:cs="Calibri"/>
                <w:sz w:val="20"/>
                <w:szCs w:val="20"/>
              </w:rPr>
            </w:pPr>
            <w:r w:rsidRPr="00ED59EE">
              <w:rPr>
                <w:rFonts w:ascii="Arial Narrow" w:hAnsi="Arial Narrow" w:cs="Calibri"/>
                <w:sz w:val="20"/>
                <w:szCs w:val="20"/>
              </w:rPr>
              <w:t>Salud</w:t>
            </w:r>
          </w:p>
        </w:tc>
        <w:tc>
          <w:tcPr>
            <w:tcW w:w="2026" w:type="dxa"/>
            <w:tcBorders>
              <w:top w:val="single" w:sz="2" w:space="0" w:color="auto"/>
              <w:left w:val="nil"/>
              <w:bottom w:val="single" w:sz="2" w:space="0" w:color="auto"/>
              <w:right w:val="nil"/>
            </w:tcBorders>
            <w:shd w:val="clear" w:color="auto" w:fill="auto"/>
            <w:vAlign w:val="center"/>
            <w:hideMark/>
          </w:tcPr>
          <w:p w14:paraId="05EB166E"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lang w:val="es-ES_tradnl"/>
              </w:rPr>
              <w:t>34</w:t>
            </w:r>
          </w:p>
        </w:tc>
        <w:tc>
          <w:tcPr>
            <w:tcW w:w="851" w:type="dxa"/>
            <w:tcBorders>
              <w:top w:val="single" w:sz="2" w:space="0" w:color="auto"/>
              <w:left w:val="nil"/>
              <w:bottom w:val="single" w:sz="2" w:space="0" w:color="auto"/>
              <w:right w:val="nil"/>
            </w:tcBorders>
            <w:shd w:val="clear" w:color="auto" w:fill="auto"/>
            <w:vAlign w:val="center"/>
            <w:hideMark/>
          </w:tcPr>
          <w:p w14:paraId="26C82E30"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44</w:t>
            </w:r>
          </w:p>
        </w:tc>
        <w:tc>
          <w:tcPr>
            <w:tcW w:w="850" w:type="dxa"/>
            <w:tcBorders>
              <w:top w:val="single" w:sz="2" w:space="0" w:color="auto"/>
              <w:left w:val="nil"/>
              <w:bottom w:val="single" w:sz="2" w:space="0" w:color="auto"/>
              <w:right w:val="nil"/>
            </w:tcBorders>
            <w:shd w:val="clear" w:color="auto" w:fill="auto"/>
            <w:vAlign w:val="center"/>
            <w:hideMark/>
          </w:tcPr>
          <w:p w14:paraId="68A0B210"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141</w:t>
            </w:r>
          </w:p>
        </w:tc>
        <w:tc>
          <w:tcPr>
            <w:tcW w:w="709" w:type="dxa"/>
            <w:tcBorders>
              <w:top w:val="single" w:sz="2" w:space="0" w:color="auto"/>
              <w:left w:val="nil"/>
              <w:bottom w:val="single" w:sz="2" w:space="0" w:color="auto"/>
              <w:right w:val="nil"/>
            </w:tcBorders>
            <w:shd w:val="clear" w:color="auto" w:fill="auto"/>
            <w:vAlign w:val="center"/>
            <w:hideMark/>
          </w:tcPr>
          <w:p w14:paraId="77DC0CB7"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243</w:t>
            </w:r>
          </w:p>
        </w:tc>
        <w:tc>
          <w:tcPr>
            <w:tcW w:w="709" w:type="dxa"/>
            <w:tcBorders>
              <w:top w:val="single" w:sz="2" w:space="0" w:color="auto"/>
              <w:left w:val="nil"/>
              <w:bottom w:val="single" w:sz="2" w:space="0" w:color="auto"/>
              <w:right w:val="nil"/>
            </w:tcBorders>
            <w:shd w:val="clear" w:color="auto" w:fill="auto"/>
            <w:vAlign w:val="center"/>
            <w:hideMark/>
          </w:tcPr>
          <w:p w14:paraId="4FE0C0D1"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297</w:t>
            </w:r>
          </w:p>
        </w:tc>
        <w:tc>
          <w:tcPr>
            <w:tcW w:w="992" w:type="dxa"/>
            <w:tcBorders>
              <w:top w:val="single" w:sz="2" w:space="0" w:color="auto"/>
              <w:left w:val="nil"/>
              <w:bottom w:val="single" w:sz="2" w:space="0" w:color="auto"/>
              <w:right w:val="nil"/>
            </w:tcBorders>
            <w:shd w:val="clear" w:color="auto" w:fill="auto"/>
            <w:vAlign w:val="center"/>
            <w:hideMark/>
          </w:tcPr>
          <w:p w14:paraId="7C51E0F9"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759</w:t>
            </w:r>
          </w:p>
        </w:tc>
      </w:tr>
      <w:tr w:rsidR="00452C3C" w:rsidRPr="00452C3C" w14:paraId="14A5E7DD" w14:textId="77777777" w:rsidTr="00ED59EE">
        <w:trPr>
          <w:trHeight w:val="198"/>
        </w:trPr>
        <w:tc>
          <w:tcPr>
            <w:tcW w:w="0" w:type="auto"/>
            <w:tcBorders>
              <w:top w:val="single" w:sz="2" w:space="0" w:color="auto"/>
              <w:left w:val="nil"/>
              <w:bottom w:val="single" w:sz="2" w:space="0" w:color="auto"/>
              <w:right w:val="nil"/>
            </w:tcBorders>
            <w:shd w:val="clear" w:color="auto" w:fill="auto"/>
            <w:vAlign w:val="center"/>
            <w:hideMark/>
          </w:tcPr>
          <w:p w14:paraId="20D6CDA9" w14:textId="77777777" w:rsidR="002559B3" w:rsidRPr="00ED59EE" w:rsidRDefault="002559B3">
            <w:pPr>
              <w:ind w:firstLineChars="100" w:firstLine="200"/>
              <w:rPr>
                <w:rFonts w:ascii="Arial Narrow" w:hAnsi="Arial Narrow" w:cs="Calibri"/>
                <w:sz w:val="20"/>
                <w:szCs w:val="20"/>
              </w:rPr>
            </w:pPr>
            <w:r w:rsidRPr="00ED59EE">
              <w:rPr>
                <w:rFonts w:ascii="Arial Narrow" w:hAnsi="Arial Narrow" w:cs="Calibri"/>
                <w:sz w:val="20"/>
                <w:szCs w:val="20"/>
              </w:rPr>
              <w:t>Admón. Núcleo</w:t>
            </w:r>
          </w:p>
        </w:tc>
        <w:tc>
          <w:tcPr>
            <w:tcW w:w="2026" w:type="dxa"/>
            <w:tcBorders>
              <w:top w:val="single" w:sz="2" w:space="0" w:color="auto"/>
              <w:left w:val="nil"/>
              <w:bottom w:val="single" w:sz="2" w:space="0" w:color="auto"/>
              <w:right w:val="nil"/>
            </w:tcBorders>
            <w:shd w:val="clear" w:color="auto" w:fill="auto"/>
            <w:vAlign w:val="center"/>
            <w:hideMark/>
          </w:tcPr>
          <w:p w14:paraId="6B9C990B"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lang w:val="es-ES_tradnl"/>
              </w:rPr>
              <w:t>44</w:t>
            </w:r>
          </w:p>
        </w:tc>
        <w:tc>
          <w:tcPr>
            <w:tcW w:w="851" w:type="dxa"/>
            <w:tcBorders>
              <w:top w:val="single" w:sz="2" w:space="0" w:color="auto"/>
              <w:left w:val="nil"/>
              <w:bottom w:val="single" w:sz="2" w:space="0" w:color="auto"/>
              <w:right w:val="nil"/>
            </w:tcBorders>
            <w:shd w:val="clear" w:color="auto" w:fill="auto"/>
            <w:vAlign w:val="center"/>
            <w:hideMark/>
          </w:tcPr>
          <w:p w14:paraId="71A8343A"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71</w:t>
            </w:r>
          </w:p>
        </w:tc>
        <w:tc>
          <w:tcPr>
            <w:tcW w:w="850" w:type="dxa"/>
            <w:tcBorders>
              <w:top w:val="single" w:sz="2" w:space="0" w:color="auto"/>
              <w:left w:val="nil"/>
              <w:bottom w:val="single" w:sz="2" w:space="0" w:color="auto"/>
              <w:right w:val="nil"/>
            </w:tcBorders>
            <w:shd w:val="clear" w:color="auto" w:fill="auto"/>
            <w:vAlign w:val="center"/>
            <w:hideMark/>
          </w:tcPr>
          <w:p w14:paraId="5CE89160"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137</w:t>
            </w:r>
          </w:p>
        </w:tc>
        <w:tc>
          <w:tcPr>
            <w:tcW w:w="709" w:type="dxa"/>
            <w:tcBorders>
              <w:top w:val="single" w:sz="2" w:space="0" w:color="auto"/>
              <w:left w:val="nil"/>
              <w:bottom w:val="single" w:sz="2" w:space="0" w:color="auto"/>
              <w:right w:val="nil"/>
            </w:tcBorders>
            <w:shd w:val="clear" w:color="auto" w:fill="auto"/>
            <w:vAlign w:val="center"/>
            <w:hideMark/>
          </w:tcPr>
          <w:p w14:paraId="611DF6E6"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71</w:t>
            </w:r>
          </w:p>
        </w:tc>
        <w:tc>
          <w:tcPr>
            <w:tcW w:w="709" w:type="dxa"/>
            <w:tcBorders>
              <w:top w:val="single" w:sz="2" w:space="0" w:color="auto"/>
              <w:left w:val="nil"/>
              <w:bottom w:val="single" w:sz="2" w:space="0" w:color="auto"/>
              <w:right w:val="nil"/>
            </w:tcBorders>
            <w:shd w:val="clear" w:color="auto" w:fill="auto"/>
            <w:vAlign w:val="center"/>
            <w:hideMark/>
          </w:tcPr>
          <w:p w14:paraId="5595CC64"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239</w:t>
            </w:r>
          </w:p>
        </w:tc>
        <w:tc>
          <w:tcPr>
            <w:tcW w:w="992" w:type="dxa"/>
            <w:tcBorders>
              <w:top w:val="single" w:sz="2" w:space="0" w:color="auto"/>
              <w:left w:val="nil"/>
              <w:bottom w:val="single" w:sz="2" w:space="0" w:color="auto"/>
              <w:right w:val="nil"/>
            </w:tcBorders>
            <w:shd w:val="clear" w:color="auto" w:fill="auto"/>
            <w:vAlign w:val="center"/>
            <w:hideMark/>
          </w:tcPr>
          <w:p w14:paraId="6ECEF550"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562</w:t>
            </w:r>
          </w:p>
        </w:tc>
      </w:tr>
      <w:tr w:rsidR="00452C3C" w:rsidRPr="00452C3C" w14:paraId="261CA7A4" w14:textId="77777777" w:rsidTr="00ED59EE">
        <w:trPr>
          <w:trHeight w:val="198"/>
        </w:trPr>
        <w:tc>
          <w:tcPr>
            <w:tcW w:w="0" w:type="auto"/>
            <w:tcBorders>
              <w:top w:val="single" w:sz="2" w:space="0" w:color="auto"/>
              <w:left w:val="nil"/>
              <w:bottom w:val="single" w:sz="2" w:space="0" w:color="auto"/>
              <w:right w:val="nil"/>
            </w:tcBorders>
            <w:shd w:val="clear" w:color="auto" w:fill="auto"/>
            <w:vAlign w:val="center"/>
            <w:hideMark/>
          </w:tcPr>
          <w:p w14:paraId="3BBCCF0B" w14:textId="77777777" w:rsidR="002559B3" w:rsidRPr="00ED59EE" w:rsidRDefault="002559B3" w:rsidP="005D3C41">
            <w:pPr>
              <w:rPr>
                <w:rFonts w:ascii="Arial Narrow" w:hAnsi="Arial Narrow" w:cs="Calibri"/>
                <w:b/>
                <w:bCs/>
                <w:sz w:val="20"/>
                <w:szCs w:val="20"/>
              </w:rPr>
            </w:pPr>
            <w:r w:rsidRPr="00ED59EE">
              <w:rPr>
                <w:rFonts w:ascii="Arial Narrow" w:hAnsi="Arial Narrow" w:cs="Calibri"/>
                <w:b/>
                <w:bCs/>
                <w:sz w:val="20"/>
                <w:szCs w:val="20"/>
                <w:lang w:val="es-ES_tradnl"/>
              </w:rPr>
              <w:t>Baja</w:t>
            </w:r>
            <w:r w:rsidR="005D3C41" w:rsidRPr="00ED59EE">
              <w:rPr>
                <w:rFonts w:ascii="Arial Narrow" w:hAnsi="Arial Narrow" w:cs="Calibri"/>
                <w:b/>
                <w:bCs/>
                <w:sz w:val="20"/>
                <w:szCs w:val="20"/>
                <w:lang w:val="es-ES_tradnl"/>
              </w:rPr>
              <w:t>s</w:t>
            </w:r>
            <w:r w:rsidRPr="00ED59EE">
              <w:rPr>
                <w:rFonts w:ascii="Arial Narrow" w:hAnsi="Arial Narrow" w:cs="Calibri"/>
                <w:b/>
                <w:bCs/>
                <w:sz w:val="20"/>
                <w:szCs w:val="20"/>
                <w:lang w:val="es-ES_tradnl"/>
              </w:rPr>
              <w:t>:</w:t>
            </w:r>
          </w:p>
        </w:tc>
        <w:tc>
          <w:tcPr>
            <w:tcW w:w="2026" w:type="dxa"/>
            <w:tcBorders>
              <w:top w:val="single" w:sz="2" w:space="0" w:color="auto"/>
              <w:left w:val="nil"/>
              <w:bottom w:val="single" w:sz="2" w:space="0" w:color="auto"/>
              <w:right w:val="nil"/>
            </w:tcBorders>
            <w:shd w:val="clear" w:color="auto" w:fill="auto"/>
            <w:vAlign w:val="center"/>
            <w:hideMark/>
          </w:tcPr>
          <w:p w14:paraId="555FB6F5" w14:textId="77777777" w:rsidR="002559B3" w:rsidRPr="00ED59EE" w:rsidRDefault="002559B3">
            <w:pPr>
              <w:jc w:val="right"/>
              <w:rPr>
                <w:rFonts w:ascii="Arial Narrow" w:hAnsi="Arial Narrow" w:cs="Calibri"/>
                <w:b/>
                <w:bCs/>
                <w:sz w:val="20"/>
                <w:szCs w:val="20"/>
              </w:rPr>
            </w:pPr>
            <w:r w:rsidRPr="00ED59EE">
              <w:rPr>
                <w:rFonts w:ascii="Arial Narrow" w:hAnsi="Arial Narrow" w:cs="Calibri"/>
                <w:b/>
                <w:bCs/>
                <w:sz w:val="20"/>
                <w:szCs w:val="20"/>
                <w:lang w:val="es-ES_tradnl"/>
              </w:rPr>
              <w:t>753</w:t>
            </w:r>
          </w:p>
        </w:tc>
        <w:tc>
          <w:tcPr>
            <w:tcW w:w="851" w:type="dxa"/>
            <w:tcBorders>
              <w:top w:val="single" w:sz="2" w:space="0" w:color="auto"/>
              <w:left w:val="nil"/>
              <w:bottom w:val="single" w:sz="2" w:space="0" w:color="auto"/>
              <w:right w:val="nil"/>
            </w:tcBorders>
            <w:shd w:val="clear" w:color="auto" w:fill="auto"/>
            <w:vAlign w:val="center"/>
            <w:hideMark/>
          </w:tcPr>
          <w:p w14:paraId="53FAA64D" w14:textId="77777777" w:rsidR="002559B3" w:rsidRPr="00ED59EE" w:rsidRDefault="002559B3">
            <w:pPr>
              <w:jc w:val="right"/>
              <w:rPr>
                <w:rFonts w:ascii="Arial Narrow" w:hAnsi="Arial Narrow" w:cs="Calibri"/>
                <w:b/>
                <w:bCs/>
                <w:sz w:val="20"/>
                <w:szCs w:val="20"/>
              </w:rPr>
            </w:pPr>
            <w:r w:rsidRPr="00ED59EE">
              <w:rPr>
                <w:rFonts w:ascii="Arial Narrow" w:hAnsi="Arial Narrow" w:cs="Calibri"/>
                <w:b/>
                <w:bCs/>
                <w:sz w:val="20"/>
                <w:szCs w:val="20"/>
              </w:rPr>
              <w:t>620</w:t>
            </w:r>
          </w:p>
        </w:tc>
        <w:tc>
          <w:tcPr>
            <w:tcW w:w="850" w:type="dxa"/>
            <w:tcBorders>
              <w:top w:val="single" w:sz="2" w:space="0" w:color="auto"/>
              <w:left w:val="nil"/>
              <w:bottom w:val="single" w:sz="2" w:space="0" w:color="auto"/>
              <w:right w:val="nil"/>
            </w:tcBorders>
            <w:shd w:val="clear" w:color="auto" w:fill="auto"/>
            <w:vAlign w:val="center"/>
            <w:hideMark/>
          </w:tcPr>
          <w:p w14:paraId="51CAB4E2" w14:textId="77777777" w:rsidR="002559B3" w:rsidRPr="00ED59EE" w:rsidRDefault="002559B3">
            <w:pPr>
              <w:jc w:val="right"/>
              <w:rPr>
                <w:rFonts w:ascii="Arial Narrow" w:hAnsi="Arial Narrow" w:cs="Calibri"/>
                <w:b/>
                <w:bCs/>
                <w:sz w:val="20"/>
                <w:szCs w:val="20"/>
              </w:rPr>
            </w:pPr>
            <w:r w:rsidRPr="00ED59EE">
              <w:rPr>
                <w:rFonts w:ascii="Arial Narrow" w:hAnsi="Arial Narrow" w:cs="Calibri"/>
                <w:b/>
                <w:bCs/>
                <w:sz w:val="20"/>
                <w:szCs w:val="20"/>
              </w:rPr>
              <w:t>658</w:t>
            </w:r>
          </w:p>
        </w:tc>
        <w:tc>
          <w:tcPr>
            <w:tcW w:w="709" w:type="dxa"/>
            <w:tcBorders>
              <w:top w:val="single" w:sz="2" w:space="0" w:color="auto"/>
              <w:left w:val="nil"/>
              <w:bottom w:val="single" w:sz="2" w:space="0" w:color="auto"/>
              <w:right w:val="nil"/>
            </w:tcBorders>
            <w:shd w:val="clear" w:color="auto" w:fill="auto"/>
            <w:vAlign w:val="center"/>
            <w:hideMark/>
          </w:tcPr>
          <w:p w14:paraId="688A24EE" w14:textId="77777777" w:rsidR="002559B3" w:rsidRPr="00ED59EE" w:rsidRDefault="002559B3">
            <w:pPr>
              <w:jc w:val="right"/>
              <w:rPr>
                <w:rFonts w:ascii="Arial Narrow" w:hAnsi="Arial Narrow" w:cs="Calibri"/>
                <w:b/>
                <w:bCs/>
                <w:sz w:val="20"/>
                <w:szCs w:val="20"/>
              </w:rPr>
            </w:pPr>
            <w:r w:rsidRPr="00ED59EE">
              <w:rPr>
                <w:rFonts w:ascii="Arial Narrow" w:hAnsi="Arial Narrow" w:cs="Calibri"/>
                <w:b/>
                <w:bCs/>
                <w:sz w:val="20"/>
                <w:szCs w:val="20"/>
              </w:rPr>
              <w:t>684</w:t>
            </w:r>
          </w:p>
        </w:tc>
        <w:tc>
          <w:tcPr>
            <w:tcW w:w="709" w:type="dxa"/>
            <w:tcBorders>
              <w:top w:val="single" w:sz="2" w:space="0" w:color="auto"/>
              <w:left w:val="nil"/>
              <w:bottom w:val="single" w:sz="2" w:space="0" w:color="auto"/>
              <w:right w:val="nil"/>
            </w:tcBorders>
            <w:shd w:val="clear" w:color="auto" w:fill="auto"/>
            <w:vAlign w:val="center"/>
            <w:hideMark/>
          </w:tcPr>
          <w:p w14:paraId="16B7AEB5" w14:textId="77777777" w:rsidR="002559B3" w:rsidRPr="00ED59EE" w:rsidRDefault="002559B3">
            <w:pPr>
              <w:jc w:val="right"/>
              <w:rPr>
                <w:rFonts w:ascii="Arial Narrow" w:hAnsi="Arial Narrow" w:cs="Calibri"/>
                <w:b/>
                <w:bCs/>
                <w:sz w:val="20"/>
                <w:szCs w:val="20"/>
              </w:rPr>
            </w:pPr>
            <w:r w:rsidRPr="00ED59EE">
              <w:rPr>
                <w:rFonts w:ascii="Arial Narrow" w:hAnsi="Arial Narrow" w:cs="Calibri"/>
                <w:b/>
                <w:bCs/>
                <w:sz w:val="20"/>
                <w:szCs w:val="20"/>
              </w:rPr>
              <w:t>669</w:t>
            </w:r>
          </w:p>
        </w:tc>
        <w:tc>
          <w:tcPr>
            <w:tcW w:w="992" w:type="dxa"/>
            <w:tcBorders>
              <w:top w:val="single" w:sz="2" w:space="0" w:color="auto"/>
              <w:left w:val="nil"/>
              <w:bottom w:val="single" w:sz="2" w:space="0" w:color="auto"/>
              <w:right w:val="nil"/>
            </w:tcBorders>
            <w:shd w:val="clear" w:color="auto" w:fill="auto"/>
            <w:vAlign w:val="center"/>
            <w:hideMark/>
          </w:tcPr>
          <w:p w14:paraId="1FB60CFA" w14:textId="77777777" w:rsidR="002559B3" w:rsidRPr="00ED59EE" w:rsidRDefault="002559B3">
            <w:pPr>
              <w:jc w:val="right"/>
              <w:rPr>
                <w:rFonts w:ascii="Arial Narrow" w:hAnsi="Arial Narrow" w:cs="Calibri"/>
                <w:b/>
                <w:bCs/>
                <w:sz w:val="20"/>
                <w:szCs w:val="20"/>
              </w:rPr>
            </w:pPr>
            <w:r w:rsidRPr="00ED59EE">
              <w:rPr>
                <w:rFonts w:ascii="Arial Narrow" w:hAnsi="Arial Narrow" w:cs="Calibri"/>
                <w:b/>
                <w:bCs/>
                <w:sz w:val="20"/>
                <w:szCs w:val="20"/>
              </w:rPr>
              <w:t>3.384</w:t>
            </w:r>
          </w:p>
        </w:tc>
      </w:tr>
      <w:tr w:rsidR="00452C3C" w:rsidRPr="00452C3C" w14:paraId="3532CE42" w14:textId="77777777" w:rsidTr="00ED59EE">
        <w:trPr>
          <w:trHeight w:val="198"/>
        </w:trPr>
        <w:tc>
          <w:tcPr>
            <w:tcW w:w="0" w:type="auto"/>
            <w:tcBorders>
              <w:top w:val="single" w:sz="2" w:space="0" w:color="auto"/>
              <w:left w:val="nil"/>
              <w:bottom w:val="single" w:sz="2" w:space="0" w:color="auto"/>
              <w:right w:val="nil"/>
            </w:tcBorders>
            <w:shd w:val="clear" w:color="auto" w:fill="auto"/>
            <w:vAlign w:val="center"/>
            <w:hideMark/>
          </w:tcPr>
          <w:p w14:paraId="345809BB" w14:textId="77777777" w:rsidR="002559B3" w:rsidRPr="00ED59EE" w:rsidRDefault="002559B3">
            <w:pPr>
              <w:ind w:firstLineChars="100" w:firstLine="200"/>
              <w:rPr>
                <w:rFonts w:ascii="Arial Narrow" w:hAnsi="Arial Narrow" w:cs="Calibri"/>
                <w:sz w:val="20"/>
                <w:szCs w:val="20"/>
              </w:rPr>
            </w:pPr>
            <w:r w:rsidRPr="00ED59EE">
              <w:rPr>
                <w:rFonts w:ascii="Arial Narrow" w:hAnsi="Arial Narrow" w:cs="Calibri"/>
                <w:sz w:val="20"/>
                <w:szCs w:val="20"/>
              </w:rPr>
              <w:t>Educación</w:t>
            </w:r>
          </w:p>
        </w:tc>
        <w:tc>
          <w:tcPr>
            <w:tcW w:w="2026" w:type="dxa"/>
            <w:tcBorders>
              <w:top w:val="single" w:sz="2" w:space="0" w:color="auto"/>
              <w:left w:val="nil"/>
              <w:bottom w:val="single" w:sz="2" w:space="0" w:color="auto"/>
              <w:right w:val="nil"/>
            </w:tcBorders>
            <w:shd w:val="clear" w:color="auto" w:fill="auto"/>
            <w:vAlign w:val="center"/>
            <w:hideMark/>
          </w:tcPr>
          <w:p w14:paraId="307A2BE4"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lang w:val="es-ES_tradnl"/>
              </w:rPr>
              <w:t>380</w:t>
            </w:r>
          </w:p>
        </w:tc>
        <w:tc>
          <w:tcPr>
            <w:tcW w:w="851" w:type="dxa"/>
            <w:tcBorders>
              <w:top w:val="single" w:sz="2" w:space="0" w:color="auto"/>
              <w:left w:val="nil"/>
              <w:bottom w:val="single" w:sz="2" w:space="0" w:color="auto"/>
              <w:right w:val="nil"/>
            </w:tcBorders>
            <w:shd w:val="clear" w:color="auto" w:fill="auto"/>
            <w:vAlign w:val="center"/>
            <w:hideMark/>
          </w:tcPr>
          <w:p w14:paraId="59F2A550"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246</w:t>
            </w:r>
          </w:p>
        </w:tc>
        <w:tc>
          <w:tcPr>
            <w:tcW w:w="850" w:type="dxa"/>
            <w:tcBorders>
              <w:top w:val="single" w:sz="2" w:space="0" w:color="auto"/>
              <w:left w:val="nil"/>
              <w:bottom w:val="single" w:sz="2" w:space="0" w:color="auto"/>
              <w:right w:val="nil"/>
            </w:tcBorders>
            <w:shd w:val="clear" w:color="auto" w:fill="auto"/>
            <w:vAlign w:val="center"/>
            <w:hideMark/>
          </w:tcPr>
          <w:p w14:paraId="4CBCE5F3"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322</w:t>
            </w:r>
          </w:p>
        </w:tc>
        <w:tc>
          <w:tcPr>
            <w:tcW w:w="709" w:type="dxa"/>
            <w:tcBorders>
              <w:top w:val="single" w:sz="2" w:space="0" w:color="auto"/>
              <w:left w:val="nil"/>
              <w:bottom w:val="single" w:sz="2" w:space="0" w:color="auto"/>
              <w:right w:val="nil"/>
            </w:tcBorders>
            <w:shd w:val="clear" w:color="auto" w:fill="auto"/>
            <w:vAlign w:val="center"/>
            <w:hideMark/>
          </w:tcPr>
          <w:p w14:paraId="05CE66BC"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243</w:t>
            </w:r>
          </w:p>
        </w:tc>
        <w:tc>
          <w:tcPr>
            <w:tcW w:w="709" w:type="dxa"/>
            <w:tcBorders>
              <w:top w:val="single" w:sz="2" w:space="0" w:color="auto"/>
              <w:left w:val="nil"/>
              <w:bottom w:val="single" w:sz="2" w:space="0" w:color="auto"/>
              <w:right w:val="nil"/>
            </w:tcBorders>
            <w:shd w:val="clear" w:color="auto" w:fill="auto"/>
            <w:vAlign w:val="center"/>
            <w:hideMark/>
          </w:tcPr>
          <w:p w14:paraId="5A47EA66"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330</w:t>
            </w:r>
          </w:p>
        </w:tc>
        <w:tc>
          <w:tcPr>
            <w:tcW w:w="992" w:type="dxa"/>
            <w:tcBorders>
              <w:top w:val="single" w:sz="2" w:space="0" w:color="auto"/>
              <w:left w:val="nil"/>
              <w:bottom w:val="single" w:sz="2" w:space="0" w:color="auto"/>
              <w:right w:val="nil"/>
            </w:tcBorders>
            <w:shd w:val="clear" w:color="auto" w:fill="auto"/>
            <w:vAlign w:val="center"/>
            <w:hideMark/>
          </w:tcPr>
          <w:p w14:paraId="13F83C6D"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1.521</w:t>
            </w:r>
          </w:p>
        </w:tc>
      </w:tr>
      <w:tr w:rsidR="00452C3C" w:rsidRPr="00452C3C" w14:paraId="15C543FE" w14:textId="77777777" w:rsidTr="00ED59EE">
        <w:trPr>
          <w:trHeight w:val="198"/>
        </w:trPr>
        <w:tc>
          <w:tcPr>
            <w:tcW w:w="0" w:type="auto"/>
            <w:tcBorders>
              <w:top w:val="single" w:sz="2" w:space="0" w:color="auto"/>
              <w:left w:val="nil"/>
              <w:bottom w:val="single" w:sz="2" w:space="0" w:color="auto"/>
              <w:right w:val="nil"/>
            </w:tcBorders>
            <w:shd w:val="clear" w:color="auto" w:fill="auto"/>
            <w:vAlign w:val="center"/>
            <w:hideMark/>
          </w:tcPr>
          <w:p w14:paraId="791F7757" w14:textId="77777777" w:rsidR="002559B3" w:rsidRPr="00ED59EE" w:rsidRDefault="002559B3">
            <w:pPr>
              <w:ind w:firstLineChars="100" w:firstLine="200"/>
              <w:rPr>
                <w:rFonts w:ascii="Arial Narrow" w:hAnsi="Arial Narrow" w:cs="Calibri"/>
                <w:sz w:val="20"/>
                <w:szCs w:val="20"/>
              </w:rPr>
            </w:pPr>
            <w:r w:rsidRPr="00ED59EE">
              <w:rPr>
                <w:rFonts w:ascii="Arial Narrow" w:hAnsi="Arial Narrow" w:cs="Calibri"/>
                <w:sz w:val="20"/>
                <w:szCs w:val="20"/>
              </w:rPr>
              <w:t>Salud</w:t>
            </w:r>
          </w:p>
        </w:tc>
        <w:tc>
          <w:tcPr>
            <w:tcW w:w="2026" w:type="dxa"/>
            <w:tcBorders>
              <w:top w:val="single" w:sz="2" w:space="0" w:color="auto"/>
              <w:left w:val="nil"/>
              <w:bottom w:val="single" w:sz="2" w:space="0" w:color="auto"/>
              <w:right w:val="nil"/>
            </w:tcBorders>
            <w:shd w:val="clear" w:color="auto" w:fill="auto"/>
            <w:vAlign w:val="center"/>
            <w:hideMark/>
          </w:tcPr>
          <w:p w14:paraId="47323BBE"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lang w:val="es-ES_tradnl"/>
              </w:rPr>
              <w:t>215</w:t>
            </w:r>
          </w:p>
        </w:tc>
        <w:tc>
          <w:tcPr>
            <w:tcW w:w="851" w:type="dxa"/>
            <w:tcBorders>
              <w:top w:val="single" w:sz="2" w:space="0" w:color="auto"/>
              <w:left w:val="nil"/>
              <w:bottom w:val="single" w:sz="2" w:space="0" w:color="auto"/>
              <w:right w:val="nil"/>
            </w:tcBorders>
            <w:shd w:val="clear" w:color="auto" w:fill="auto"/>
            <w:vAlign w:val="center"/>
            <w:hideMark/>
          </w:tcPr>
          <w:p w14:paraId="6D2ABAAB"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233</w:t>
            </w:r>
          </w:p>
        </w:tc>
        <w:tc>
          <w:tcPr>
            <w:tcW w:w="850" w:type="dxa"/>
            <w:tcBorders>
              <w:top w:val="single" w:sz="2" w:space="0" w:color="auto"/>
              <w:left w:val="nil"/>
              <w:bottom w:val="single" w:sz="2" w:space="0" w:color="auto"/>
              <w:right w:val="nil"/>
            </w:tcBorders>
            <w:shd w:val="clear" w:color="auto" w:fill="auto"/>
            <w:vAlign w:val="center"/>
            <w:hideMark/>
          </w:tcPr>
          <w:p w14:paraId="1B481960"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200</w:t>
            </w:r>
          </w:p>
        </w:tc>
        <w:tc>
          <w:tcPr>
            <w:tcW w:w="709" w:type="dxa"/>
            <w:tcBorders>
              <w:top w:val="single" w:sz="2" w:space="0" w:color="auto"/>
              <w:left w:val="nil"/>
              <w:bottom w:val="single" w:sz="2" w:space="0" w:color="auto"/>
              <w:right w:val="nil"/>
            </w:tcBorders>
            <w:shd w:val="clear" w:color="auto" w:fill="auto"/>
            <w:vAlign w:val="center"/>
            <w:hideMark/>
          </w:tcPr>
          <w:p w14:paraId="3802370A"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244</w:t>
            </w:r>
          </w:p>
        </w:tc>
        <w:tc>
          <w:tcPr>
            <w:tcW w:w="709" w:type="dxa"/>
            <w:tcBorders>
              <w:top w:val="single" w:sz="2" w:space="0" w:color="auto"/>
              <w:left w:val="nil"/>
              <w:bottom w:val="single" w:sz="2" w:space="0" w:color="auto"/>
              <w:right w:val="nil"/>
            </w:tcBorders>
            <w:shd w:val="clear" w:color="auto" w:fill="auto"/>
            <w:vAlign w:val="center"/>
            <w:hideMark/>
          </w:tcPr>
          <w:p w14:paraId="48065931"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173</w:t>
            </w:r>
          </w:p>
        </w:tc>
        <w:tc>
          <w:tcPr>
            <w:tcW w:w="992" w:type="dxa"/>
            <w:tcBorders>
              <w:top w:val="single" w:sz="2" w:space="0" w:color="auto"/>
              <w:left w:val="nil"/>
              <w:bottom w:val="single" w:sz="2" w:space="0" w:color="auto"/>
              <w:right w:val="nil"/>
            </w:tcBorders>
            <w:shd w:val="clear" w:color="auto" w:fill="auto"/>
            <w:vAlign w:val="center"/>
            <w:hideMark/>
          </w:tcPr>
          <w:p w14:paraId="36988F7B"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1.065</w:t>
            </w:r>
          </w:p>
        </w:tc>
      </w:tr>
      <w:tr w:rsidR="00452C3C" w:rsidRPr="00452C3C" w14:paraId="242C1CBF" w14:textId="77777777" w:rsidTr="00ED59EE">
        <w:trPr>
          <w:trHeight w:val="198"/>
        </w:trPr>
        <w:tc>
          <w:tcPr>
            <w:tcW w:w="0" w:type="auto"/>
            <w:tcBorders>
              <w:top w:val="single" w:sz="2" w:space="0" w:color="auto"/>
              <w:left w:val="nil"/>
              <w:bottom w:val="single" w:sz="4" w:space="0" w:color="auto"/>
              <w:right w:val="nil"/>
            </w:tcBorders>
            <w:shd w:val="clear" w:color="auto" w:fill="auto"/>
            <w:vAlign w:val="center"/>
            <w:hideMark/>
          </w:tcPr>
          <w:p w14:paraId="4BCE26BD" w14:textId="77777777" w:rsidR="002559B3" w:rsidRPr="00ED59EE" w:rsidRDefault="002559B3">
            <w:pPr>
              <w:ind w:firstLineChars="100" w:firstLine="200"/>
              <w:rPr>
                <w:rFonts w:ascii="Arial Narrow" w:hAnsi="Arial Narrow" w:cs="Calibri"/>
                <w:sz w:val="20"/>
                <w:szCs w:val="20"/>
              </w:rPr>
            </w:pPr>
            <w:r w:rsidRPr="00ED59EE">
              <w:rPr>
                <w:rFonts w:ascii="Arial Narrow" w:hAnsi="Arial Narrow" w:cs="Calibri"/>
                <w:sz w:val="20"/>
                <w:szCs w:val="20"/>
              </w:rPr>
              <w:t>Admón. Núcleo</w:t>
            </w:r>
          </w:p>
        </w:tc>
        <w:tc>
          <w:tcPr>
            <w:tcW w:w="2026" w:type="dxa"/>
            <w:tcBorders>
              <w:top w:val="single" w:sz="2" w:space="0" w:color="auto"/>
              <w:left w:val="nil"/>
              <w:bottom w:val="single" w:sz="4" w:space="0" w:color="auto"/>
              <w:right w:val="nil"/>
            </w:tcBorders>
            <w:shd w:val="clear" w:color="auto" w:fill="auto"/>
            <w:vAlign w:val="center"/>
            <w:hideMark/>
          </w:tcPr>
          <w:p w14:paraId="3EB0F4BB"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lang w:val="es-ES_tradnl"/>
              </w:rPr>
              <w:t>158</w:t>
            </w:r>
          </w:p>
        </w:tc>
        <w:tc>
          <w:tcPr>
            <w:tcW w:w="851" w:type="dxa"/>
            <w:tcBorders>
              <w:top w:val="single" w:sz="2" w:space="0" w:color="auto"/>
              <w:left w:val="nil"/>
              <w:bottom w:val="single" w:sz="4" w:space="0" w:color="auto"/>
              <w:right w:val="nil"/>
            </w:tcBorders>
            <w:shd w:val="clear" w:color="auto" w:fill="auto"/>
            <w:vAlign w:val="center"/>
            <w:hideMark/>
          </w:tcPr>
          <w:p w14:paraId="25A97C22"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141</w:t>
            </w:r>
          </w:p>
        </w:tc>
        <w:tc>
          <w:tcPr>
            <w:tcW w:w="850" w:type="dxa"/>
            <w:tcBorders>
              <w:top w:val="single" w:sz="2" w:space="0" w:color="auto"/>
              <w:left w:val="nil"/>
              <w:bottom w:val="single" w:sz="4" w:space="0" w:color="auto"/>
              <w:right w:val="nil"/>
            </w:tcBorders>
            <w:shd w:val="clear" w:color="auto" w:fill="auto"/>
            <w:vAlign w:val="center"/>
            <w:hideMark/>
          </w:tcPr>
          <w:p w14:paraId="720BE1CA"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136</w:t>
            </w:r>
          </w:p>
        </w:tc>
        <w:tc>
          <w:tcPr>
            <w:tcW w:w="709" w:type="dxa"/>
            <w:tcBorders>
              <w:top w:val="single" w:sz="2" w:space="0" w:color="auto"/>
              <w:left w:val="nil"/>
              <w:bottom w:val="single" w:sz="4" w:space="0" w:color="auto"/>
              <w:right w:val="nil"/>
            </w:tcBorders>
            <w:shd w:val="clear" w:color="auto" w:fill="auto"/>
            <w:vAlign w:val="center"/>
            <w:hideMark/>
          </w:tcPr>
          <w:p w14:paraId="4CE2007D"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197</w:t>
            </w:r>
          </w:p>
        </w:tc>
        <w:tc>
          <w:tcPr>
            <w:tcW w:w="709" w:type="dxa"/>
            <w:tcBorders>
              <w:top w:val="single" w:sz="2" w:space="0" w:color="auto"/>
              <w:left w:val="nil"/>
              <w:bottom w:val="single" w:sz="4" w:space="0" w:color="auto"/>
              <w:right w:val="nil"/>
            </w:tcBorders>
            <w:shd w:val="clear" w:color="auto" w:fill="auto"/>
            <w:vAlign w:val="center"/>
            <w:hideMark/>
          </w:tcPr>
          <w:p w14:paraId="153989DD"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166</w:t>
            </w:r>
          </w:p>
        </w:tc>
        <w:tc>
          <w:tcPr>
            <w:tcW w:w="992" w:type="dxa"/>
            <w:tcBorders>
              <w:top w:val="single" w:sz="2" w:space="0" w:color="auto"/>
              <w:left w:val="nil"/>
              <w:bottom w:val="single" w:sz="4" w:space="0" w:color="auto"/>
              <w:right w:val="nil"/>
            </w:tcBorders>
            <w:shd w:val="clear" w:color="auto" w:fill="auto"/>
            <w:vAlign w:val="center"/>
            <w:hideMark/>
          </w:tcPr>
          <w:p w14:paraId="5B6A9D94" w14:textId="77777777" w:rsidR="002559B3" w:rsidRPr="00ED59EE" w:rsidRDefault="002559B3">
            <w:pPr>
              <w:jc w:val="right"/>
              <w:rPr>
                <w:rFonts w:ascii="Arial Narrow" w:hAnsi="Arial Narrow" w:cs="Calibri"/>
                <w:sz w:val="20"/>
                <w:szCs w:val="20"/>
              </w:rPr>
            </w:pPr>
            <w:r w:rsidRPr="00ED59EE">
              <w:rPr>
                <w:rFonts w:ascii="Arial Narrow" w:hAnsi="Arial Narrow" w:cs="Calibri"/>
                <w:sz w:val="20"/>
                <w:szCs w:val="20"/>
              </w:rPr>
              <w:t>798</w:t>
            </w:r>
          </w:p>
        </w:tc>
      </w:tr>
      <w:tr w:rsidR="00452C3C" w:rsidRPr="00452C3C" w14:paraId="0B697E38" w14:textId="77777777" w:rsidTr="00ED59EE">
        <w:trPr>
          <w:trHeight w:val="255"/>
        </w:trPr>
        <w:tc>
          <w:tcPr>
            <w:tcW w:w="0" w:type="auto"/>
            <w:tcBorders>
              <w:top w:val="single" w:sz="4" w:space="0" w:color="auto"/>
              <w:left w:val="nil"/>
              <w:bottom w:val="single" w:sz="4" w:space="0" w:color="auto"/>
              <w:right w:val="nil"/>
            </w:tcBorders>
            <w:shd w:val="clear" w:color="000000" w:fill="8DB3E2"/>
            <w:vAlign w:val="center"/>
            <w:hideMark/>
          </w:tcPr>
          <w:p w14:paraId="4B578707" w14:textId="77777777" w:rsidR="002559B3" w:rsidRPr="00452C3C" w:rsidRDefault="002559B3">
            <w:pPr>
              <w:rPr>
                <w:rFonts w:ascii="Arial" w:hAnsi="Arial" w:cs="Arial"/>
                <w:sz w:val="18"/>
                <w:szCs w:val="18"/>
              </w:rPr>
            </w:pPr>
            <w:r w:rsidRPr="00452C3C">
              <w:rPr>
                <w:rFonts w:ascii="Arial" w:hAnsi="Arial" w:cs="Arial"/>
                <w:spacing w:val="6"/>
                <w:sz w:val="18"/>
                <w:szCs w:val="18"/>
              </w:rPr>
              <w:t>Variación neta (altas – bajas)</w:t>
            </w:r>
          </w:p>
        </w:tc>
        <w:tc>
          <w:tcPr>
            <w:tcW w:w="2026" w:type="dxa"/>
            <w:tcBorders>
              <w:top w:val="single" w:sz="4" w:space="0" w:color="auto"/>
              <w:left w:val="nil"/>
              <w:bottom w:val="single" w:sz="4" w:space="0" w:color="auto"/>
              <w:right w:val="nil"/>
            </w:tcBorders>
            <w:shd w:val="clear" w:color="000000" w:fill="8DB3E2"/>
            <w:vAlign w:val="center"/>
            <w:hideMark/>
          </w:tcPr>
          <w:p w14:paraId="77E407DB" w14:textId="77777777" w:rsidR="002559B3" w:rsidRPr="00452C3C" w:rsidRDefault="002559B3">
            <w:pPr>
              <w:jc w:val="right"/>
              <w:rPr>
                <w:rFonts w:ascii="Arial" w:hAnsi="Arial" w:cs="Arial"/>
                <w:sz w:val="18"/>
                <w:szCs w:val="18"/>
              </w:rPr>
            </w:pPr>
            <w:r w:rsidRPr="00452C3C">
              <w:rPr>
                <w:rFonts w:ascii="Arial" w:hAnsi="Arial" w:cs="Arial"/>
                <w:sz w:val="18"/>
                <w:szCs w:val="18"/>
              </w:rPr>
              <w:t>-372</w:t>
            </w:r>
          </w:p>
        </w:tc>
        <w:tc>
          <w:tcPr>
            <w:tcW w:w="851" w:type="dxa"/>
            <w:tcBorders>
              <w:top w:val="single" w:sz="4" w:space="0" w:color="auto"/>
              <w:left w:val="nil"/>
              <w:bottom w:val="single" w:sz="4" w:space="0" w:color="auto"/>
              <w:right w:val="nil"/>
            </w:tcBorders>
            <w:shd w:val="clear" w:color="000000" w:fill="8DB3E2"/>
            <w:vAlign w:val="center"/>
            <w:hideMark/>
          </w:tcPr>
          <w:p w14:paraId="020E677B" w14:textId="77777777" w:rsidR="002559B3" w:rsidRPr="00452C3C" w:rsidRDefault="002559B3">
            <w:pPr>
              <w:jc w:val="right"/>
              <w:rPr>
                <w:rFonts w:ascii="Arial" w:hAnsi="Arial" w:cs="Arial"/>
                <w:sz w:val="18"/>
                <w:szCs w:val="18"/>
              </w:rPr>
            </w:pPr>
            <w:r w:rsidRPr="00452C3C">
              <w:rPr>
                <w:rFonts w:ascii="Arial" w:hAnsi="Arial" w:cs="Arial"/>
                <w:spacing w:val="6"/>
                <w:sz w:val="18"/>
                <w:szCs w:val="18"/>
              </w:rPr>
              <w:t>-4</w:t>
            </w:r>
          </w:p>
        </w:tc>
        <w:tc>
          <w:tcPr>
            <w:tcW w:w="850" w:type="dxa"/>
            <w:tcBorders>
              <w:top w:val="single" w:sz="4" w:space="0" w:color="auto"/>
              <w:left w:val="nil"/>
              <w:bottom w:val="single" w:sz="4" w:space="0" w:color="auto"/>
              <w:right w:val="nil"/>
            </w:tcBorders>
            <w:shd w:val="clear" w:color="000000" w:fill="8DB3E2"/>
            <w:vAlign w:val="center"/>
            <w:hideMark/>
          </w:tcPr>
          <w:p w14:paraId="7DA4842A" w14:textId="77777777" w:rsidR="002559B3" w:rsidRPr="00452C3C" w:rsidRDefault="002559B3">
            <w:pPr>
              <w:jc w:val="right"/>
              <w:rPr>
                <w:rFonts w:ascii="Arial" w:hAnsi="Arial" w:cs="Arial"/>
                <w:sz w:val="18"/>
                <w:szCs w:val="18"/>
              </w:rPr>
            </w:pPr>
            <w:r w:rsidRPr="00452C3C">
              <w:rPr>
                <w:rFonts w:ascii="Arial" w:hAnsi="Arial" w:cs="Arial"/>
                <w:sz w:val="18"/>
                <w:szCs w:val="18"/>
              </w:rPr>
              <w:t>-270</w:t>
            </w:r>
          </w:p>
        </w:tc>
        <w:tc>
          <w:tcPr>
            <w:tcW w:w="709" w:type="dxa"/>
            <w:tcBorders>
              <w:top w:val="single" w:sz="4" w:space="0" w:color="auto"/>
              <w:left w:val="nil"/>
              <w:bottom w:val="single" w:sz="4" w:space="0" w:color="auto"/>
              <w:right w:val="nil"/>
            </w:tcBorders>
            <w:shd w:val="clear" w:color="000000" w:fill="8DB3E2"/>
            <w:vAlign w:val="center"/>
            <w:hideMark/>
          </w:tcPr>
          <w:p w14:paraId="2B6F3F17" w14:textId="77777777" w:rsidR="002559B3" w:rsidRPr="00452C3C" w:rsidRDefault="002559B3">
            <w:pPr>
              <w:jc w:val="right"/>
              <w:rPr>
                <w:rFonts w:ascii="Arial" w:hAnsi="Arial" w:cs="Arial"/>
                <w:sz w:val="18"/>
                <w:szCs w:val="18"/>
              </w:rPr>
            </w:pPr>
            <w:r w:rsidRPr="00452C3C">
              <w:rPr>
                <w:rFonts w:ascii="Arial" w:hAnsi="Arial" w:cs="Arial"/>
                <w:spacing w:val="6"/>
                <w:sz w:val="18"/>
                <w:szCs w:val="18"/>
              </w:rPr>
              <w:t>208</w:t>
            </w:r>
          </w:p>
        </w:tc>
        <w:tc>
          <w:tcPr>
            <w:tcW w:w="709" w:type="dxa"/>
            <w:tcBorders>
              <w:top w:val="single" w:sz="4" w:space="0" w:color="auto"/>
              <w:left w:val="nil"/>
              <w:bottom w:val="single" w:sz="4" w:space="0" w:color="auto"/>
              <w:right w:val="nil"/>
            </w:tcBorders>
            <w:shd w:val="clear" w:color="000000" w:fill="8DB3E2"/>
            <w:vAlign w:val="center"/>
            <w:hideMark/>
          </w:tcPr>
          <w:p w14:paraId="65D41B43" w14:textId="77777777" w:rsidR="002559B3" w:rsidRPr="00452C3C" w:rsidRDefault="002559B3">
            <w:pPr>
              <w:jc w:val="right"/>
              <w:rPr>
                <w:rFonts w:ascii="Arial" w:hAnsi="Arial" w:cs="Arial"/>
                <w:sz w:val="18"/>
                <w:szCs w:val="18"/>
              </w:rPr>
            </w:pPr>
            <w:r w:rsidRPr="00452C3C">
              <w:rPr>
                <w:rFonts w:ascii="Arial" w:hAnsi="Arial" w:cs="Arial"/>
                <w:sz w:val="18"/>
                <w:szCs w:val="18"/>
              </w:rPr>
              <w:t>623</w:t>
            </w:r>
          </w:p>
        </w:tc>
        <w:tc>
          <w:tcPr>
            <w:tcW w:w="992" w:type="dxa"/>
            <w:tcBorders>
              <w:top w:val="single" w:sz="4" w:space="0" w:color="auto"/>
              <w:left w:val="nil"/>
              <w:bottom w:val="single" w:sz="4" w:space="0" w:color="auto"/>
              <w:right w:val="nil"/>
            </w:tcBorders>
            <w:shd w:val="clear" w:color="000000" w:fill="8DB3E2"/>
            <w:vAlign w:val="center"/>
            <w:hideMark/>
          </w:tcPr>
          <w:p w14:paraId="1526C53D" w14:textId="77777777" w:rsidR="002559B3" w:rsidRPr="00452C3C" w:rsidRDefault="002559B3">
            <w:pPr>
              <w:jc w:val="right"/>
              <w:rPr>
                <w:rFonts w:ascii="Arial" w:hAnsi="Arial" w:cs="Arial"/>
                <w:sz w:val="18"/>
                <w:szCs w:val="18"/>
              </w:rPr>
            </w:pPr>
            <w:r w:rsidRPr="00452C3C">
              <w:rPr>
                <w:rFonts w:ascii="Arial" w:hAnsi="Arial" w:cs="Arial"/>
                <w:spacing w:val="6"/>
                <w:sz w:val="18"/>
                <w:szCs w:val="18"/>
              </w:rPr>
              <w:t>185</w:t>
            </w:r>
          </w:p>
        </w:tc>
      </w:tr>
    </w:tbl>
    <w:p w14:paraId="691BE1A3" w14:textId="77777777" w:rsidR="0026733B" w:rsidRPr="003B4B7F" w:rsidRDefault="00614DC4" w:rsidP="0026733B">
      <w:pPr>
        <w:pStyle w:val="texto"/>
        <w:spacing w:before="240" w:after="240"/>
        <w:jc w:val="both"/>
      </w:pPr>
      <w:r w:rsidRPr="00452C3C">
        <w:t xml:space="preserve">Se observa una variación neta </w:t>
      </w:r>
      <w:r w:rsidR="00452C3C" w:rsidRPr="00452C3C">
        <w:t xml:space="preserve">positiva </w:t>
      </w:r>
      <w:r w:rsidRPr="00452C3C">
        <w:t>en el periodo 201</w:t>
      </w:r>
      <w:r w:rsidR="00452C3C" w:rsidRPr="00452C3C">
        <w:t>9</w:t>
      </w:r>
      <w:r w:rsidRPr="00452C3C">
        <w:t>-202</w:t>
      </w:r>
      <w:r w:rsidR="00710D7B">
        <w:t>3</w:t>
      </w:r>
      <w:r w:rsidRPr="00452C3C">
        <w:t xml:space="preserve"> de </w:t>
      </w:r>
      <w:r w:rsidR="00452C3C" w:rsidRPr="00452C3C">
        <w:t>185 personas, frente a una variación neta negativa de</w:t>
      </w:r>
      <w:r w:rsidR="00710D7B">
        <w:t xml:space="preserve"> 972 en el periodo 2018-2022. </w:t>
      </w:r>
      <w:r w:rsidRPr="00452C3C">
        <w:t>En 2022 es el primer ejercicio en el que las altas superan las bajas</w:t>
      </w:r>
      <w:r w:rsidR="00452C3C" w:rsidRPr="00452C3C">
        <w:t xml:space="preserve"> y se incrementa de forma significativa en 2023. </w:t>
      </w:r>
      <w:r w:rsidR="0026733B">
        <w:t>No obstante, llamamos la atención sobre la información que hemos reflejado en el apartado 5.</w:t>
      </w:r>
      <w:r w:rsidR="004066B7">
        <w:t>1</w:t>
      </w:r>
      <w:r w:rsidR="0026733B">
        <w:t xml:space="preserve"> Presupuestos generales de Navarra, de este apéndice, en cuanto a la evolución de los gastos de personal y la </w:t>
      </w:r>
      <w:r w:rsidR="0026733B" w:rsidRPr="003B4B7F">
        <w:t xml:space="preserve">entrada en </w:t>
      </w:r>
      <w:r w:rsidR="0026733B" w:rsidRPr="00375E4D">
        <w:rPr>
          <w:color w:val="4F6228" w:themeColor="accent3" w:themeShade="80"/>
        </w:rPr>
        <w:t xml:space="preserve">vigor de las reglas fiscales </w:t>
      </w:r>
      <w:r w:rsidR="0026733B" w:rsidRPr="003B4B7F">
        <w:t xml:space="preserve">a partir de 2025. </w:t>
      </w:r>
    </w:p>
    <w:p w14:paraId="6DAC2C5D" w14:textId="77777777" w:rsidR="003B4B7F" w:rsidRPr="003B4B7F" w:rsidRDefault="00614DC4" w:rsidP="002D15F8">
      <w:pPr>
        <w:pStyle w:val="texto"/>
        <w:spacing w:after="240"/>
        <w:jc w:val="both"/>
      </w:pPr>
      <w:r w:rsidRPr="003B4B7F">
        <w:t>Asimismo, hemos obtenido el personal fijo y temporal que se encontraba trabajando a 31 de diciembre en el periodo 201</w:t>
      </w:r>
      <w:r w:rsidR="00452C3C" w:rsidRPr="003B4B7F">
        <w:t>9</w:t>
      </w:r>
      <w:r w:rsidRPr="003B4B7F">
        <w:t>-202</w:t>
      </w:r>
      <w:r w:rsidR="00452C3C" w:rsidRPr="003B4B7F">
        <w:t>3</w:t>
      </w:r>
      <w:r w:rsidRPr="003B4B7F">
        <w:t xml:space="preserve"> con el fin de calcular un índice de temporalidad</w:t>
      </w:r>
      <w:r w:rsidRPr="003B4B7F">
        <w:rPr>
          <w:rStyle w:val="Refdenotaalpie"/>
        </w:rPr>
        <w:footnoteReference w:id="20"/>
      </w:r>
      <w:r w:rsidRPr="003B4B7F">
        <w:t xml:space="preserve"> en dichas fechas en el conjunto de la ACFN con los siguientes resultados:</w:t>
      </w:r>
    </w:p>
    <w:tbl>
      <w:tblPr>
        <w:tblW w:w="8647" w:type="dxa"/>
        <w:tblCellMar>
          <w:left w:w="70" w:type="dxa"/>
          <w:right w:w="70" w:type="dxa"/>
        </w:tblCellMar>
        <w:tblLook w:val="04A0" w:firstRow="1" w:lastRow="0" w:firstColumn="1" w:lastColumn="0" w:noHBand="0" w:noVBand="1"/>
      </w:tblPr>
      <w:tblGrid>
        <w:gridCol w:w="3207"/>
        <w:gridCol w:w="1212"/>
        <w:gridCol w:w="1212"/>
        <w:gridCol w:w="1212"/>
        <w:gridCol w:w="954"/>
        <w:gridCol w:w="850"/>
      </w:tblGrid>
      <w:tr w:rsidR="00A3720E" w:rsidRPr="003B4B7F" w14:paraId="6E267C68" w14:textId="77777777" w:rsidTr="00ED59EE">
        <w:trPr>
          <w:trHeight w:val="255"/>
        </w:trPr>
        <w:tc>
          <w:tcPr>
            <w:tcW w:w="3207" w:type="dxa"/>
            <w:tcBorders>
              <w:top w:val="single" w:sz="4" w:space="0" w:color="auto"/>
              <w:left w:val="nil"/>
              <w:bottom w:val="single" w:sz="4" w:space="0" w:color="auto"/>
              <w:right w:val="nil"/>
            </w:tcBorders>
            <w:shd w:val="clear" w:color="000000" w:fill="8DB3E2"/>
            <w:vAlign w:val="center"/>
            <w:hideMark/>
          </w:tcPr>
          <w:p w14:paraId="012ED92F" w14:textId="77777777" w:rsidR="00A3720E" w:rsidRPr="003B4B7F" w:rsidRDefault="00A3720E">
            <w:pPr>
              <w:rPr>
                <w:rFonts w:ascii="Arial" w:hAnsi="Arial" w:cs="Arial"/>
                <w:sz w:val="18"/>
                <w:szCs w:val="18"/>
              </w:rPr>
            </w:pPr>
            <w:r w:rsidRPr="003B4B7F">
              <w:rPr>
                <w:rFonts w:ascii="Arial" w:hAnsi="Arial" w:cs="Arial"/>
                <w:sz w:val="18"/>
                <w:szCs w:val="18"/>
              </w:rPr>
              <w:t> </w:t>
            </w:r>
          </w:p>
        </w:tc>
        <w:tc>
          <w:tcPr>
            <w:tcW w:w="1212" w:type="dxa"/>
            <w:tcBorders>
              <w:top w:val="single" w:sz="4" w:space="0" w:color="auto"/>
              <w:left w:val="nil"/>
              <w:bottom w:val="single" w:sz="4" w:space="0" w:color="auto"/>
              <w:right w:val="nil"/>
            </w:tcBorders>
            <w:shd w:val="clear" w:color="000000" w:fill="8DB3E2"/>
            <w:vAlign w:val="center"/>
            <w:hideMark/>
          </w:tcPr>
          <w:p w14:paraId="7D4E9B0A" w14:textId="77777777" w:rsidR="00A3720E" w:rsidRPr="003B4B7F" w:rsidRDefault="00A3720E">
            <w:pPr>
              <w:jc w:val="right"/>
              <w:rPr>
                <w:rFonts w:ascii="Arial" w:hAnsi="Arial" w:cs="Arial"/>
                <w:sz w:val="18"/>
                <w:szCs w:val="18"/>
              </w:rPr>
            </w:pPr>
            <w:r w:rsidRPr="003B4B7F">
              <w:rPr>
                <w:rFonts w:ascii="Arial" w:hAnsi="Arial" w:cs="Arial"/>
                <w:sz w:val="18"/>
                <w:szCs w:val="18"/>
              </w:rPr>
              <w:t>2019</w:t>
            </w:r>
          </w:p>
        </w:tc>
        <w:tc>
          <w:tcPr>
            <w:tcW w:w="1212" w:type="dxa"/>
            <w:tcBorders>
              <w:top w:val="single" w:sz="4" w:space="0" w:color="auto"/>
              <w:left w:val="nil"/>
              <w:bottom w:val="single" w:sz="4" w:space="0" w:color="auto"/>
              <w:right w:val="nil"/>
            </w:tcBorders>
            <w:shd w:val="clear" w:color="000000" w:fill="8DB3E2"/>
            <w:vAlign w:val="center"/>
            <w:hideMark/>
          </w:tcPr>
          <w:p w14:paraId="4B9ECCF6" w14:textId="77777777" w:rsidR="00A3720E" w:rsidRPr="003B4B7F" w:rsidRDefault="00A3720E">
            <w:pPr>
              <w:jc w:val="right"/>
              <w:rPr>
                <w:rFonts w:ascii="Arial" w:hAnsi="Arial" w:cs="Arial"/>
                <w:sz w:val="18"/>
                <w:szCs w:val="18"/>
              </w:rPr>
            </w:pPr>
            <w:r w:rsidRPr="003B4B7F">
              <w:rPr>
                <w:rFonts w:ascii="Arial" w:hAnsi="Arial" w:cs="Arial"/>
                <w:sz w:val="18"/>
                <w:szCs w:val="18"/>
              </w:rPr>
              <w:t>2020</w:t>
            </w:r>
          </w:p>
        </w:tc>
        <w:tc>
          <w:tcPr>
            <w:tcW w:w="1212" w:type="dxa"/>
            <w:tcBorders>
              <w:top w:val="single" w:sz="4" w:space="0" w:color="auto"/>
              <w:left w:val="nil"/>
              <w:bottom w:val="single" w:sz="4" w:space="0" w:color="auto"/>
              <w:right w:val="nil"/>
            </w:tcBorders>
            <w:shd w:val="clear" w:color="000000" w:fill="8DB3E2"/>
            <w:vAlign w:val="center"/>
            <w:hideMark/>
          </w:tcPr>
          <w:p w14:paraId="2629E830" w14:textId="77777777" w:rsidR="00A3720E" w:rsidRPr="003B4B7F" w:rsidRDefault="00A3720E">
            <w:pPr>
              <w:jc w:val="right"/>
              <w:rPr>
                <w:rFonts w:ascii="Arial" w:hAnsi="Arial" w:cs="Arial"/>
                <w:sz w:val="18"/>
                <w:szCs w:val="18"/>
              </w:rPr>
            </w:pPr>
            <w:r w:rsidRPr="003B4B7F">
              <w:rPr>
                <w:rFonts w:ascii="Arial" w:hAnsi="Arial" w:cs="Arial"/>
                <w:sz w:val="18"/>
                <w:szCs w:val="18"/>
              </w:rPr>
              <w:t>2021</w:t>
            </w:r>
          </w:p>
        </w:tc>
        <w:tc>
          <w:tcPr>
            <w:tcW w:w="954" w:type="dxa"/>
            <w:tcBorders>
              <w:top w:val="single" w:sz="4" w:space="0" w:color="auto"/>
              <w:left w:val="nil"/>
              <w:bottom w:val="single" w:sz="4" w:space="0" w:color="auto"/>
              <w:right w:val="nil"/>
            </w:tcBorders>
            <w:shd w:val="clear" w:color="000000" w:fill="8DB3E2"/>
            <w:vAlign w:val="center"/>
            <w:hideMark/>
          </w:tcPr>
          <w:p w14:paraId="30BD45B7" w14:textId="77777777" w:rsidR="00A3720E" w:rsidRPr="003B4B7F" w:rsidRDefault="00A3720E">
            <w:pPr>
              <w:jc w:val="right"/>
              <w:rPr>
                <w:rFonts w:ascii="Arial" w:hAnsi="Arial" w:cs="Arial"/>
                <w:sz w:val="18"/>
                <w:szCs w:val="18"/>
              </w:rPr>
            </w:pPr>
            <w:r w:rsidRPr="003B4B7F">
              <w:rPr>
                <w:rFonts w:ascii="Arial" w:hAnsi="Arial" w:cs="Arial"/>
                <w:sz w:val="18"/>
                <w:szCs w:val="18"/>
              </w:rPr>
              <w:t>2022</w:t>
            </w:r>
          </w:p>
        </w:tc>
        <w:tc>
          <w:tcPr>
            <w:tcW w:w="850" w:type="dxa"/>
            <w:tcBorders>
              <w:top w:val="single" w:sz="4" w:space="0" w:color="auto"/>
              <w:left w:val="nil"/>
              <w:bottom w:val="single" w:sz="4" w:space="0" w:color="auto"/>
              <w:right w:val="nil"/>
            </w:tcBorders>
            <w:shd w:val="clear" w:color="000000" w:fill="8DB3E2"/>
            <w:vAlign w:val="center"/>
            <w:hideMark/>
          </w:tcPr>
          <w:p w14:paraId="682853DF" w14:textId="77777777" w:rsidR="00A3720E" w:rsidRPr="003B4B7F" w:rsidRDefault="00A3720E">
            <w:pPr>
              <w:jc w:val="right"/>
              <w:rPr>
                <w:rFonts w:ascii="Arial" w:hAnsi="Arial" w:cs="Arial"/>
                <w:sz w:val="18"/>
                <w:szCs w:val="18"/>
              </w:rPr>
            </w:pPr>
            <w:r w:rsidRPr="003B4B7F">
              <w:rPr>
                <w:rFonts w:ascii="Arial" w:hAnsi="Arial" w:cs="Arial"/>
                <w:sz w:val="18"/>
                <w:szCs w:val="18"/>
              </w:rPr>
              <w:t>2023</w:t>
            </w:r>
          </w:p>
        </w:tc>
      </w:tr>
      <w:tr w:rsidR="003B4B7F" w:rsidRPr="003B4B7F" w14:paraId="18945819" w14:textId="77777777" w:rsidTr="00ED59EE">
        <w:trPr>
          <w:trHeight w:val="198"/>
        </w:trPr>
        <w:tc>
          <w:tcPr>
            <w:tcW w:w="3207" w:type="dxa"/>
            <w:tcBorders>
              <w:top w:val="single" w:sz="4" w:space="0" w:color="auto"/>
              <w:left w:val="nil"/>
              <w:bottom w:val="single" w:sz="2" w:space="0" w:color="auto"/>
            </w:tcBorders>
            <w:shd w:val="clear" w:color="auto" w:fill="auto"/>
            <w:vAlign w:val="center"/>
            <w:hideMark/>
          </w:tcPr>
          <w:p w14:paraId="557F9F49" w14:textId="77777777" w:rsidR="00A3720E" w:rsidRPr="003B4B7F" w:rsidRDefault="00A3720E">
            <w:pPr>
              <w:rPr>
                <w:rFonts w:ascii="Arial Narrow" w:hAnsi="Arial Narrow" w:cs="Calibri"/>
                <w:sz w:val="18"/>
                <w:szCs w:val="18"/>
              </w:rPr>
            </w:pPr>
            <w:r w:rsidRPr="003B4B7F">
              <w:rPr>
                <w:rFonts w:ascii="Arial Narrow" w:hAnsi="Arial Narrow" w:cs="Calibri"/>
                <w:sz w:val="18"/>
                <w:szCs w:val="18"/>
              </w:rPr>
              <w:t>Personal efectivo</w:t>
            </w:r>
          </w:p>
        </w:tc>
        <w:tc>
          <w:tcPr>
            <w:tcW w:w="1212" w:type="dxa"/>
            <w:tcBorders>
              <w:top w:val="single" w:sz="4" w:space="0" w:color="auto"/>
              <w:bottom w:val="single" w:sz="2" w:space="0" w:color="auto"/>
            </w:tcBorders>
            <w:shd w:val="clear" w:color="auto" w:fill="auto"/>
            <w:vAlign w:val="center"/>
            <w:hideMark/>
          </w:tcPr>
          <w:p w14:paraId="1C0E96F4" w14:textId="77777777" w:rsidR="00A3720E" w:rsidRPr="003B4B7F" w:rsidRDefault="00A3720E">
            <w:pPr>
              <w:jc w:val="right"/>
              <w:rPr>
                <w:rFonts w:ascii="Arial Narrow" w:hAnsi="Arial Narrow" w:cs="Calibri"/>
                <w:sz w:val="18"/>
                <w:szCs w:val="18"/>
              </w:rPr>
            </w:pPr>
            <w:r w:rsidRPr="003B4B7F">
              <w:rPr>
                <w:rFonts w:ascii="Arial Narrow" w:hAnsi="Arial Narrow" w:cs="Arial"/>
                <w:sz w:val="18"/>
                <w:szCs w:val="18"/>
              </w:rPr>
              <w:t>29.943</w:t>
            </w:r>
          </w:p>
        </w:tc>
        <w:tc>
          <w:tcPr>
            <w:tcW w:w="1212" w:type="dxa"/>
            <w:tcBorders>
              <w:top w:val="single" w:sz="4" w:space="0" w:color="auto"/>
              <w:bottom w:val="single" w:sz="2" w:space="0" w:color="auto"/>
            </w:tcBorders>
            <w:shd w:val="clear" w:color="auto" w:fill="auto"/>
            <w:vAlign w:val="center"/>
            <w:hideMark/>
          </w:tcPr>
          <w:p w14:paraId="76C1C389" w14:textId="77777777" w:rsidR="00A3720E" w:rsidRPr="003B4B7F" w:rsidRDefault="00A3720E">
            <w:pPr>
              <w:jc w:val="right"/>
              <w:rPr>
                <w:rFonts w:ascii="Arial Narrow" w:hAnsi="Arial Narrow" w:cs="Calibri"/>
                <w:sz w:val="18"/>
                <w:szCs w:val="18"/>
              </w:rPr>
            </w:pPr>
            <w:r w:rsidRPr="003B4B7F">
              <w:rPr>
                <w:rFonts w:ascii="Arial Narrow" w:hAnsi="Arial Narrow" w:cs="Arial"/>
                <w:sz w:val="18"/>
                <w:szCs w:val="18"/>
              </w:rPr>
              <w:t>31.731</w:t>
            </w:r>
          </w:p>
        </w:tc>
        <w:tc>
          <w:tcPr>
            <w:tcW w:w="1212" w:type="dxa"/>
            <w:tcBorders>
              <w:top w:val="single" w:sz="4" w:space="0" w:color="auto"/>
              <w:bottom w:val="single" w:sz="2" w:space="0" w:color="auto"/>
            </w:tcBorders>
            <w:shd w:val="clear" w:color="auto" w:fill="auto"/>
            <w:vAlign w:val="center"/>
            <w:hideMark/>
          </w:tcPr>
          <w:p w14:paraId="0277681E" w14:textId="77777777" w:rsidR="00A3720E" w:rsidRPr="003B4B7F" w:rsidRDefault="00A3720E" w:rsidP="00A3720E">
            <w:pPr>
              <w:jc w:val="right"/>
              <w:rPr>
                <w:rFonts w:ascii="Arial Narrow" w:hAnsi="Arial Narrow" w:cs="Arial"/>
                <w:sz w:val="18"/>
                <w:szCs w:val="18"/>
              </w:rPr>
            </w:pPr>
            <w:r w:rsidRPr="003B4B7F">
              <w:rPr>
                <w:rFonts w:ascii="Arial Narrow" w:hAnsi="Arial Narrow" w:cs="Arial"/>
                <w:sz w:val="18"/>
                <w:szCs w:val="18"/>
              </w:rPr>
              <w:t>32.125</w:t>
            </w:r>
          </w:p>
        </w:tc>
        <w:tc>
          <w:tcPr>
            <w:tcW w:w="954" w:type="dxa"/>
            <w:tcBorders>
              <w:top w:val="single" w:sz="4" w:space="0" w:color="auto"/>
              <w:bottom w:val="single" w:sz="2" w:space="0" w:color="auto"/>
            </w:tcBorders>
            <w:shd w:val="clear" w:color="auto" w:fill="auto"/>
            <w:vAlign w:val="center"/>
            <w:hideMark/>
          </w:tcPr>
          <w:p w14:paraId="39E1F86D" w14:textId="77777777" w:rsidR="00A3720E" w:rsidRPr="003B4B7F" w:rsidRDefault="00A3720E" w:rsidP="00A3720E">
            <w:pPr>
              <w:jc w:val="right"/>
              <w:rPr>
                <w:rFonts w:ascii="Arial Narrow" w:hAnsi="Arial Narrow" w:cs="Arial"/>
                <w:sz w:val="18"/>
                <w:szCs w:val="18"/>
              </w:rPr>
            </w:pPr>
            <w:r w:rsidRPr="003B4B7F">
              <w:rPr>
                <w:rFonts w:ascii="Arial Narrow" w:hAnsi="Arial Narrow" w:cs="Arial"/>
                <w:sz w:val="18"/>
                <w:szCs w:val="18"/>
              </w:rPr>
              <w:t>31.865</w:t>
            </w:r>
          </w:p>
        </w:tc>
        <w:tc>
          <w:tcPr>
            <w:tcW w:w="850" w:type="dxa"/>
            <w:tcBorders>
              <w:top w:val="single" w:sz="4" w:space="0" w:color="auto"/>
              <w:bottom w:val="single" w:sz="2" w:space="0" w:color="auto"/>
              <w:right w:val="nil"/>
            </w:tcBorders>
            <w:shd w:val="clear" w:color="auto" w:fill="auto"/>
            <w:vAlign w:val="center"/>
          </w:tcPr>
          <w:p w14:paraId="2D0449EA" w14:textId="77777777" w:rsidR="00A3720E" w:rsidRPr="0078024B" w:rsidRDefault="0078024B" w:rsidP="00A3720E">
            <w:pPr>
              <w:jc w:val="right"/>
              <w:rPr>
                <w:rFonts w:ascii="Arial Narrow" w:hAnsi="Arial Narrow" w:cs="Arial"/>
                <w:sz w:val="18"/>
                <w:szCs w:val="18"/>
              </w:rPr>
            </w:pPr>
            <w:r w:rsidRPr="0078024B">
              <w:rPr>
                <w:rFonts w:ascii="Arial Narrow" w:hAnsi="Arial Narrow" w:cs="Arial"/>
                <w:sz w:val="18"/>
                <w:szCs w:val="18"/>
              </w:rPr>
              <w:t>32.537</w:t>
            </w:r>
          </w:p>
        </w:tc>
      </w:tr>
      <w:tr w:rsidR="003B4B7F" w:rsidRPr="00ED59EE" w14:paraId="67BB1074" w14:textId="77777777" w:rsidTr="00ED59EE">
        <w:trPr>
          <w:trHeight w:val="198"/>
        </w:trPr>
        <w:tc>
          <w:tcPr>
            <w:tcW w:w="3207" w:type="dxa"/>
            <w:tcBorders>
              <w:top w:val="single" w:sz="2" w:space="0" w:color="auto"/>
              <w:left w:val="nil"/>
              <w:bottom w:val="single" w:sz="2" w:space="0" w:color="auto"/>
            </w:tcBorders>
            <w:shd w:val="clear" w:color="auto" w:fill="auto"/>
            <w:vAlign w:val="center"/>
            <w:hideMark/>
          </w:tcPr>
          <w:p w14:paraId="0E047281" w14:textId="77777777" w:rsidR="00A3720E" w:rsidRPr="00ED59EE" w:rsidRDefault="00A3720E">
            <w:pPr>
              <w:rPr>
                <w:rFonts w:ascii="Arial Narrow" w:hAnsi="Arial Narrow" w:cs="Calibri"/>
                <w:sz w:val="20"/>
                <w:szCs w:val="20"/>
              </w:rPr>
            </w:pPr>
            <w:r w:rsidRPr="00ED59EE">
              <w:rPr>
                <w:rFonts w:ascii="Arial Narrow" w:hAnsi="Arial Narrow" w:cs="Calibri"/>
                <w:sz w:val="20"/>
                <w:szCs w:val="20"/>
              </w:rPr>
              <w:t>Personal fijo</w:t>
            </w:r>
          </w:p>
        </w:tc>
        <w:tc>
          <w:tcPr>
            <w:tcW w:w="1212" w:type="dxa"/>
            <w:tcBorders>
              <w:top w:val="single" w:sz="2" w:space="0" w:color="auto"/>
              <w:bottom w:val="single" w:sz="2" w:space="0" w:color="auto"/>
            </w:tcBorders>
            <w:shd w:val="clear" w:color="auto" w:fill="auto"/>
            <w:vAlign w:val="center"/>
            <w:hideMark/>
          </w:tcPr>
          <w:p w14:paraId="5BA973E9" w14:textId="77777777" w:rsidR="00A3720E" w:rsidRPr="00ED59EE" w:rsidRDefault="00A3720E">
            <w:pPr>
              <w:jc w:val="right"/>
              <w:rPr>
                <w:rFonts w:ascii="Arial Narrow" w:hAnsi="Arial Narrow" w:cs="Calibri"/>
                <w:sz w:val="20"/>
                <w:szCs w:val="20"/>
              </w:rPr>
            </w:pPr>
            <w:r w:rsidRPr="00ED59EE">
              <w:rPr>
                <w:rFonts w:ascii="Arial Narrow" w:hAnsi="Arial Narrow" w:cs="Arial"/>
                <w:sz w:val="20"/>
                <w:szCs w:val="20"/>
              </w:rPr>
              <w:t>15.062</w:t>
            </w:r>
          </w:p>
        </w:tc>
        <w:tc>
          <w:tcPr>
            <w:tcW w:w="1212" w:type="dxa"/>
            <w:tcBorders>
              <w:top w:val="single" w:sz="2" w:space="0" w:color="auto"/>
              <w:bottom w:val="single" w:sz="2" w:space="0" w:color="auto"/>
            </w:tcBorders>
            <w:shd w:val="clear" w:color="auto" w:fill="auto"/>
            <w:vAlign w:val="center"/>
            <w:hideMark/>
          </w:tcPr>
          <w:p w14:paraId="0ED0A291" w14:textId="77777777" w:rsidR="00A3720E" w:rsidRPr="00ED59EE" w:rsidRDefault="00A3720E">
            <w:pPr>
              <w:jc w:val="right"/>
              <w:rPr>
                <w:rFonts w:ascii="Arial Narrow" w:hAnsi="Arial Narrow" w:cs="Calibri"/>
                <w:sz w:val="20"/>
                <w:szCs w:val="20"/>
              </w:rPr>
            </w:pPr>
            <w:r w:rsidRPr="00ED59EE">
              <w:rPr>
                <w:rFonts w:ascii="Arial Narrow" w:hAnsi="Arial Narrow" w:cs="Arial"/>
                <w:sz w:val="20"/>
                <w:szCs w:val="20"/>
              </w:rPr>
              <w:t>14.673</w:t>
            </w:r>
          </w:p>
        </w:tc>
        <w:tc>
          <w:tcPr>
            <w:tcW w:w="1212" w:type="dxa"/>
            <w:tcBorders>
              <w:top w:val="single" w:sz="2" w:space="0" w:color="auto"/>
              <w:bottom w:val="single" w:sz="2" w:space="0" w:color="auto"/>
            </w:tcBorders>
            <w:shd w:val="clear" w:color="auto" w:fill="auto"/>
            <w:vAlign w:val="center"/>
            <w:hideMark/>
          </w:tcPr>
          <w:p w14:paraId="74F93DE2" w14:textId="77777777" w:rsidR="00A3720E" w:rsidRPr="00ED59EE" w:rsidRDefault="00A3720E" w:rsidP="00A3720E">
            <w:pPr>
              <w:jc w:val="right"/>
              <w:rPr>
                <w:rFonts w:ascii="Arial Narrow" w:hAnsi="Arial Narrow" w:cs="Arial"/>
                <w:sz w:val="20"/>
                <w:szCs w:val="20"/>
              </w:rPr>
            </w:pPr>
            <w:r w:rsidRPr="00ED59EE">
              <w:rPr>
                <w:rFonts w:ascii="Arial Narrow" w:hAnsi="Arial Narrow" w:cs="Arial"/>
                <w:sz w:val="20"/>
                <w:szCs w:val="20"/>
              </w:rPr>
              <w:t>14.953</w:t>
            </w:r>
          </w:p>
        </w:tc>
        <w:tc>
          <w:tcPr>
            <w:tcW w:w="954" w:type="dxa"/>
            <w:tcBorders>
              <w:top w:val="single" w:sz="2" w:space="0" w:color="auto"/>
              <w:bottom w:val="single" w:sz="2" w:space="0" w:color="auto"/>
            </w:tcBorders>
            <w:shd w:val="clear" w:color="auto" w:fill="auto"/>
            <w:vAlign w:val="center"/>
            <w:hideMark/>
          </w:tcPr>
          <w:p w14:paraId="18C8038F" w14:textId="77777777" w:rsidR="00A3720E" w:rsidRPr="00ED59EE" w:rsidRDefault="00A3720E" w:rsidP="00A3720E">
            <w:pPr>
              <w:jc w:val="right"/>
              <w:rPr>
                <w:rFonts w:ascii="Arial Narrow" w:hAnsi="Arial Narrow" w:cs="Arial"/>
                <w:sz w:val="20"/>
                <w:szCs w:val="20"/>
              </w:rPr>
            </w:pPr>
            <w:r w:rsidRPr="00ED59EE">
              <w:rPr>
                <w:rFonts w:ascii="Arial Narrow" w:hAnsi="Arial Narrow" w:cs="Arial"/>
                <w:sz w:val="20"/>
                <w:szCs w:val="20"/>
              </w:rPr>
              <w:t>15.725</w:t>
            </w:r>
          </w:p>
        </w:tc>
        <w:tc>
          <w:tcPr>
            <w:tcW w:w="850" w:type="dxa"/>
            <w:tcBorders>
              <w:top w:val="single" w:sz="2" w:space="0" w:color="auto"/>
              <w:bottom w:val="single" w:sz="2" w:space="0" w:color="auto"/>
            </w:tcBorders>
            <w:shd w:val="clear" w:color="auto" w:fill="auto"/>
            <w:vAlign w:val="center"/>
          </w:tcPr>
          <w:p w14:paraId="4C3D538C" w14:textId="77777777" w:rsidR="00A3720E" w:rsidRPr="00ED59EE" w:rsidRDefault="0078024B" w:rsidP="003B4B7F">
            <w:pPr>
              <w:jc w:val="right"/>
              <w:rPr>
                <w:rFonts w:ascii="Arial Narrow" w:hAnsi="Arial Narrow" w:cs="Arial"/>
                <w:sz w:val="20"/>
                <w:szCs w:val="20"/>
              </w:rPr>
            </w:pPr>
            <w:r w:rsidRPr="00ED59EE">
              <w:rPr>
                <w:rFonts w:ascii="Arial Narrow" w:hAnsi="Arial Narrow" w:cs="Arial"/>
                <w:sz w:val="20"/>
                <w:szCs w:val="20"/>
              </w:rPr>
              <w:t>17.211</w:t>
            </w:r>
          </w:p>
        </w:tc>
      </w:tr>
      <w:tr w:rsidR="003B4B7F" w:rsidRPr="00ED59EE" w14:paraId="4FB57BFE" w14:textId="77777777" w:rsidTr="00ED59EE">
        <w:trPr>
          <w:trHeight w:val="198"/>
        </w:trPr>
        <w:tc>
          <w:tcPr>
            <w:tcW w:w="3207" w:type="dxa"/>
            <w:tcBorders>
              <w:top w:val="single" w:sz="2" w:space="0" w:color="auto"/>
              <w:left w:val="nil"/>
              <w:bottom w:val="single" w:sz="2" w:space="0" w:color="auto"/>
            </w:tcBorders>
            <w:shd w:val="clear" w:color="auto" w:fill="auto"/>
            <w:vAlign w:val="center"/>
            <w:hideMark/>
          </w:tcPr>
          <w:p w14:paraId="0E730FE1" w14:textId="77777777" w:rsidR="00A3720E" w:rsidRPr="00ED59EE" w:rsidRDefault="00A3720E">
            <w:pPr>
              <w:rPr>
                <w:rFonts w:ascii="Arial Narrow" w:hAnsi="Arial Narrow" w:cs="Calibri"/>
                <w:sz w:val="20"/>
                <w:szCs w:val="20"/>
              </w:rPr>
            </w:pPr>
            <w:r w:rsidRPr="00ED59EE">
              <w:rPr>
                <w:rFonts w:ascii="Arial Narrow" w:hAnsi="Arial Narrow" w:cs="Calibri"/>
                <w:sz w:val="20"/>
                <w:szCs w:val="20"/>
              </w:rPr>
              <w:t>Personal temporal</w:t>
            </w:r>
          </w:p>
        </w:tc>
        <w:tc>
          <w:tcPr>
            <w:tcW w:w="1212" w:type="dxa"/>
            <w:tcBorders>
              <w:top w:val="single" w:sz="2" w:space="0" w:color="auto"/>
              <w:bottom w:val="single" w:sz="2" w:space="0" w:color="auto"/>
            </w:tcBorders>
            <w:shd w:val="clear" w:color="auto" w:fill="auto"/>
            <w:vAlign w:val="center"/>
            <w:hideMark/>
          </w:tcPr>
          <w:p w14:paraId="6F34E721" w14:textId="77777777" w:rsidR="00A3720E" w:rsidRPr="00ED59EE" w:rsidRDefault="00A3720E">
            <w:pPr>
              <w:jc w:val="right"/>
              <w:rPr>
                <w:rFonts w:ascii="Arial Narrow" w:hAnsi="Arial Narrow" w:cs="Calibri"/>
                <w:sz w:val="20"/>
                <w:szCs w:val="20"/>
              </w:rPr>
            </w:pPr>
            <w:r w:rsidRPr="00ED59EE">
              <w:rPr>
                <w:rFonts w:ascii="Arial Narrow" w:hAnsi="Arial Narrow" w:cs="Arial"/>
                <w:sz w:val="20"/>
                <w:szCs w:val="20"/>
              </w:rPr>
              <w:t>14.881</w:t>
            </w:r>
          </w:p>
        </w:tc>
        <w:tc>
          <w:tcPr>
            <w:tcW w:w="1212" w:type="dxa"/>
            <w:tcBorders>
              <w:top w:val="single" w:sz="2" w:space="0" w:color="auto"/>
              <w:bottom w:val="single" w:sz="2" w:space="0" w:color="auto"/>
            </w:tcBorders>
            <w:shd w:val="clear" w:color="auto" w:fill="auto"/>
            <w:vAlign w:val="center"/>
            <w:hideMark/>
          </w:tcPr>
          <w:p w14:paraId="5B93C643" w14:textId="77777777" w:rsidR="00A3720E" w:rsidRPr="00ED59EE" w:rsidRDefault="00A3720E">
            <w:pPr>
              <w:jc w:val="right"/>
              <w:rPr>
                <w:rFonts w:ascii="Arial Narrow" w:hAnsi="Arial Narrow" w:cs="Calibri"/>
                <w:sz w:val="20"/>
                <w:szCs w:val="20"/>
              </w:rPr>
            </w:pPr>
            <w:r w:rsidRPr="00ED59EE">
              <w:rPr>
                <w:rFonts w:ascii="Arial Narrow" w:hAnsi="Arial Narrow" w:cs="Arial"/>
                <w:sz w:val="20"/>
                <w:szCs w:val="20"/>
              </w:rPr>
              <w:t>17.058</w:t>
            </w:r>
          </w:p>
        </w:tc>
        <w:tc>
          <w:tcPr>
            <w:tcW w:w="1212" w:type="dxa"/>
            <w:tcBorders>
              <w:top w:val="single" w:sz="2" w:space="0" w:color="auto"/>
              <w:bottom w:val="single" w:sz="2" w:space="0" w:color="auto"/>
            </w:tcBorders>
            <w:shd w:val="clear" w:color="auto" w:fill="auto"/>
            <w:vAlign w:val="center"/>
            <w:hideMark/>
          </w:tcPr>
          <w:p w14:paraId="4F29DA1F" w14:textId="77777777" w:rsidR="00A3720E" w:rsidRPr="00ED59EE" w:rsidRDefault="00A3720E" w:rsidP="00A3720E">
            <w:pPr>
              <w:jc w:val="right"/>
              <w:rPr>
                <w:rFonts w:ascii="Arial Narrow" w:hAnsi="Arial Narrow" w:cs="Arial"/>
                <w:sz w:val="20"/>
                <w:szCs w:val="20"/>
              </w:rPr>
            </w:pPr>
            <w:r w:rsidRPr="00ED59EE">
              <w:rPr>
                <w:rFonts w:ascii="Arial Narrow" w:hAnsi="Arial Narrow" w:cs="Arial"/>
                <w:sz w:val="20"/>
                <w:szCs w:val="20"/>
              </w:rPr>
              <w:t>17.172</w:t>
            </w:r>
          </w:p>
        </w:tc>
        <w:tc>
          <w:tcPr>
            <w:tcW w:w="954" w:type="dxa"/>
            <w:tcBorders>
              <w:top w:val="single" w:sz="2" w:space="0" w:color="auto"/>
              <w:bottom w:val="single" w:sz="2" w:space="0" w:color="auto"/>
            </w:tcBorders>
            <w:shd w:val="clear" w:color="auto" w:fill="auto"/>
            <w:vAlign w:val="center"/>
            <w:hideMark/>
          </w:tcPr>
          <w:p w14:paraId="13A1B2AD" w14:textId="77777777" w:rsidR="00A3720E" w:rsidRPr="00ED59EE" w:rsidRDefault="00A3720E" w:rsidP="00A3720E">
            <w:pPr>
              <w:jc w:val="right"/>
              <w:rPr>
                <w:rFonts w:ascii="Arial Narrow" w:hAnsi="Arial Narrow" w:cs="Arial"/>
                <w:sz w:val="20"/>
                <w:szCs w:val="20"/>
              </w:rPr>
            </w:pPr>
            <w:r w:rsidRPr="00ED59EE">
              <w:rPr>
                <w:rFonts w:ascii="Arial Narrow" w:hAnsi="Arial Narrow" w:cs="Arial"/>
                <w:sz w:val="20"/>
                <w:szCs w:val="20"/>
              </w:rPr>
              <w:t>16.140</w:t>
            </w:r>
          </w:p>
        </w:tc>
        <w:tc>
          <w:tcPr>
            <w:tcW w:w="850" w:type="dxa"/>
            <w:tcBorders>
              <w:top w:val="single" w:sz="2" w:space="0" w:color="auto"/>
              <w:bottom w:val="single" w:sz="2" w:space="0" w:color="auto"/>
              <w:right w:val="nil"/>
            </w:tcBorders>
            <w:shd w:val="clear" w:color="auto" w:fill="auto"/>
            <w:vAlign w:val="center"/>
          </w:tcPr>
          <w:p w14:paraId="3D506167" w14:textId="77777777" w:rsidR="00A3720E" w:rsidRPr="00ED59EE" w:rsidRDefault="0078024B" w:rsidP="00A3720E">
            <w:pPr>
              <w:jc w:val="right"/>
              <w:rPr>
                <w:rFonts w:ascii="Arial Narrow" w:hAnsi="Arial Narrow" w:cs="Arial"/>
                <w:sz w:val="20"/>
                <w:szCs w:val="20"/>
              </w:rPr>
            </w:pPr>
            <w:r w:rsidRPr="00ED59EE">
              <w:rPr>
                <w:rFonts w:ascii="Arial Narrow" w:hAnsi="Arial Narrow" w:cs="Arial"/>
                <w:sz w:val="20"/>
                <w:szCs w:val="20"/>
              </w:rPr>
              <w:t>15.326</w:t>
            </w:r>
          </w:p>
        </w:tc>
      </w:tr>
      <w:tr w:rsidR="003B4B7F" w:rsidRPr="00ED59EE" w14:paraId="691B2B49" w14:textId="77777777" w:rsidTr="00ED59EE">
        <w:trPr>
          <w:trHeight w:val="198"/>
        </w:trPr>
        <w:tc>
          <w:tcPr>
            <w:tcW w:w="3207" w:type="dxa"/>
            <w:tcBorders>
              <w:top w:val="single" w:sz="2" w:space="0" w:color="auto"/>
              <w:left w:val="nil"/>
              <w:bottom w:val="single" w:sz="2" w:space="0" w:color="auto"/>
              <w:right w:val="nil"/>
            </w:tcBorders>
            <w:shd w:val="clear" w:color="auto" w:fill="auto"/>
            <w:vAlign w:val="center"/>
          </w:tcPr>
          <w:p w14:paraId="0062955F" w14:textId="77777777" w:rsidR="001A2CDE" w:rsidRPr="00ED59EE" w:rsidRDefault="001A2CDE">
            <w:pPr>
              <w:rPr>
                <w:rFonts w:ascii="Arial Narrow" w:hAnsi="Arial Narrow" w:cs="Arial"/>
                <w:sz w:val="20"/>
                <w:szCs w:val="20"/>
              </w:rPr>
            </w:pPr>
            <w:r w:rsidRPr="00ED59EE">
              <w:rPr>
                <w:rFonts w:ascii="Arial Narrow" w:hAnsi="Arial Narrow" w:cs="Arial"/>
                <w:sz w:val="20"/>
                <w:szCs w:val="20"/>
              </w:rPr>
              <w:t>% personal fijo/personal efectivo</w:t>
            </w:r>
          </w:p>
        </w:tc>
        <w:tc>
          <w:tcPr>
            <w:tcW w:w="1212" w:type="dxa"/>
            <w:tcBorders>
              <w:top w:val="single" w:sz="2" w:space="0" w:color="auto"/>
              <w:left w:val="nil"/>
              <w:bottom w:val="single" w:sz="2" w:space="0" w:color="auto"/>
              <w:right w:val="nil"/>
            </w:tcBorders>
            <w:shd w:val="clear" w:color="auto" w:fill="auto"/>
            <w:vAlign w:val="center"/>
          </w:tcPr>
          <w:p w14:paraId="610905AC" w14:textId="77777777" w:rsidR="001A2CDE" w:rsidRPr="00ED59EE" w:rsidRDefault="001A2CDE">
            <w:pPr>
              <w:jc w:val="right"/>
              <w:rPr>
                <w:rFonts w:ascii="Arial Narrow" w:hAnsi="Arial Narrow" w:cs="Arial"/>
                <w:sz w:val="20"/>
                <w:szCs w:val="20"/>
              </w:rPr>
            </w:pPr>
            <w:r w:rsidRPr="00ED59EE">
              <w:rPr>
                <w:rFonts w:ascii="Arial Narrow" w:hAnsi="Arial Narrow" w:cs="Arial"/>
                <w:sz w:val="20"/>
                <w:szCs w:val="20"/>
              </w:rPr>
              <w:t>50</w:t>
            </w:r>
          </w:p>
        </w:tc>
        <w:tc>
          <w:tcPr>
            <w:tcW w:w="1212" w:type="dxa"/>
            <w:tcBorders>
              <w:top w:val="single" w:sz="2" w:space="0" w:color="auto"/>
              <w:left w:val="nil"/>
              <w:bottom w:val="single" w:sz="2" w:space="0" w:color="auto"/>
              <w:right w:val="nil"/>
            </w:tcBorders>
            <w:shd w:val="clear" w:color="auto" w:fill="auto"/>
            <w:vAlign w:val="center"/>
          </w:tcPr>
          <w:p w14:paraId="322B7F1D" w14:textId="77777777" w:rsidR="001A2CDE" w:rsidRPr="00ED59EE" w:rsidRDefault="001A2CDE">
            <w:pPr>
              <w:jc w:val="right"/>
              <w:rPr>
                <w:rFonts w:ascii="Arial Narrow" w:hAnsi="Arial Narrow" w:cs="Arial"/>
                <w:sz w:val="20"/>
                <w:szCs w:val="20"/>
              </w:rPr>
            </w:pPr>
            <w:r w:rsidRPr="00ED59EE">
              <w:rPr>
                <w:rFonts w:ascii="Arial Narrow" w:hAnsi="Arial Narrow" w:cs="Arial"/>
                <w:sz w:val="20"/>
                <w:szCs w:val="20"/>
              </w:rPr>
              <w:t>46</w:t>
            </w:r>
          </w:p>
        </w:tc>
        <w:tc>
          <w:tcPr>
            <w:tcW w:w="1212" w:type="dxa"/>
            <w:tcBorders>
              <w:top w:val="single" w:sz="2" w:space="0" w:color="auto"/>
              <w:left w:val="nil"/>
              <w:bottom w:val="single" w:sz="2" w:space="0" w:color="auto"/>
              <w:right w:val="nil"/>
            </w:tcBorders>
            <w:shd w:val="clear" w:color="auto" w:fill="auto"/>
            <w:vAlign w:val="center"/>
          </w:tcPr>
          <w:p w14:paraId="49B8456A" w14:textId="77777777" w:rsidR="001A2CDE" w:rsidRPr="00ED59EE" w:rsidRDefault="001A2CDE" w:rsidP="00A3720E">
            <w:pPr>
              <w:jc w:val="right"/>
              <w:rPr>
                <w:rFonts w:ascii="Arial Narrow" w:hAnsi="Arial Narrow" w:cs="Arial"/>
                <w:sz w:val="20"/>
                <w:szCs w:val="20"/>
              </w:rPr>
            </w:pPr>
            <w:r w:rsidRPr="00ED59EE">
              <w:rPr>
                <w:rFonts w:ascii="Arial Narrow" w:hAnsi="Arial Narrow" w:cs="Arial"/>
                <w:sz w:val="20"/>
                <w:szCs w:val="20"/>
              </w:rPr>
              <w:t>47</w:t>
            </w:r>
          </w:p>
        </w:tc>
        <w:tc>
          <w:tcPr>
            <w:tcW w:w="954" w:type="dxa"/>
            <w:tcBorders>
              <w:top w:val="single" w:sz="2" w:space="0" w:color="auto"/>
              <w:left w:val="nil"/>
              <w:bottom w:val="single" w:sz="2" w:space="0" w:color="auto"/>
              <w:right w:val="nil"/>
            </w:tcBorders>
            <w:shd w:val="clear" w:color="auto" w:fill="auto"/>
            <w:vAlign w:val="center"/>
          </w:tcPr>
          <w:p w14:paraId="3D4BD118" w14:textId="77777777" w:rsidR="001A2CDE" w:rsidRPr="00ED59EE" w:rsidRDefault="001A2CDE" w:rsidP="00A3720E">
            <w:pPr>
              <w:jc w:val="right"/>
              <w:rPr>
                <w:rFonts w:ascii="Arial Narrow" w:hAnsi="Arial Narrow" w:cs="Arial"/>
                <w:sz w:val="20"/>
                <w:szCs w:val="20"/>
              </w:rPr>
            </w:pPr>
            <w:r w:rsidRPr="00ED59EE">
              <w:rPr>
                <w:rFonts w:ascii="Arial Narrow" w:hAnsi="Arial Narrow" w:cs="Arial"/>
                <w:sz w:val="20"/>
                <w:szCs w:val="20"/>
              </w:rPr>
              <w:t>49</w:t>
            </w:r>
          </w:p>
        </w:tc>
        <w:tc>
          <w:tcPr>
            <w:tcW w:w="850" w:type="dxa"/>
            <w:tcBorders>
              <w:top w:val="single" w:sz="2" w:space="0" w:color="auto"/>
              <w:left w:val="nil"/>
              <w:bottom w:val="single" w:sz="2" w:space="0" w:color="auto"/>
              <w:right w:val="nil"/>
            </w:tcBorders>
            <w:shd w:val="clear" w:color="auto" w:fill="auto"/>
            <w:vAlign w:val="center"/>
          </w:tcPr>
          <w:p w14:paraId="20A15A8A" w14:textId="77777777" w:rsidR="001A2CDE" w:rsidRPr="00ED59EE" w:rsidRDefault="0078024B" w:rsidP="003B4B7F">
            <w:pPr>
              <w:jc w:val="right"/>
              <w:rPr>
                <w:rFonts w:ascii="Arial Narrow" w:hAnsi="Arial Narrow" w:cs="Arial"/>
                <w:sz w:val="20"/>
                <w:szCs w:val="20"/>
              </w:rPr>
            </w:pPr>
            <w:r w:rsidRPr="00ED59EE">
              <w:rPr>
                <w:rFonts w:ascii="Arial Narrow" w:hAnsi="Arial Narrow" w:cs="Arial"/>
                <w:sz w:val="20"/>
                <w:szCs w:val="20"/>
              </w:rPr>
              <w:t>53</w:t>
            </w:r>
          </w:p>
        </w:tc>
      </w:tr>
      <w:tr w:rsidR="0078024B" w:rsidRPr="00ED59EE" w14:paraId="458F60E7" w14:textId="77777777" w:rsidTr="00ED59EE">
        <w:trPr>
          <w:trHeight w:val="198"/>
        </w:trPr>
        <w:tc>
          <w:tcPr>
            <w:tcW w:w="3207" w:type="dxa"/>
            <w:tcBorders>
              <w:top w:val="single" w:sz="2" w:space="0" w:color="auto"/>
              <w:left w:val="nil"/>
              <w:bottom w:val="single" w:sz="4" w:space="0" w:color="auto"/>
              <w:right w:val="nil"/>
            </w:tcBorders>
            <w:shd w:val="clear" w:color="auto" w:fill="auto"/>
            <w:vAlign w:val="center"/>
            <w:hideMark/>
          </w:tcPr>
          <w:p w14:paraId="5258707A" w14:textId="77777777" w:rsidR="00A3720E" w:rsidRPr="00ED59EE" w:rsidRDefault="00A3720E">
            <w:pPr>
              <w:rPr>
                <w:rFonts w:ascii="Arial Narrow" w:hAnsi="Arial Narrow" w:cs="Arial"/>
                <w:sz w:val="20"/>
                <w:szCs w:val="20"/>
              </w:rPr>
            </w:pPr>
            <w:r w:rsidRPr="00ED59EE">
              <w:rPr>
                <w:rFonts w:ascii="Arial Narrow" w:hAnsi="Arial Narrow" w:cs="Arial"/>
                <w:sz w:val="20"/>
                <w:szCs w:val="20"/>
              </w:rPr>
              <w:t>% personal temporal/personal efectivo</w:t>
            </w:r>
          </w:p>
        </w:tc>
        <w:tc>
          <w:tcPr>
            <w:tcW w:w="1212" w:type="dxa"/>
            <w:tcBorders>
              <w:top w:val="single" w:sz="2" w:space="0" w:color="auto"/>
              <w:left w:val="nil"/>
              <w:bottom w:val="single" w:sz="4" w:space="0" w:color="auto"/>
              <w:right w:val="nil"/>
            </w:tcBorders>
            <w:shd w:val="clear" w:color="auto" w:fill="auto"/>
            <w:vAlign w:val="center"/>
            <w:hideMark/>
          </w:tcPr>
          <w:p w14:paraId="25DFD3CF" w14:textId="77777777" w:rsidR="00A3720E" w:rsidRPr="00ED59EE" w:rsidRDefault="00A3720E">
            <w:pPr>
              <w:jc w:val="right"/>
              <w:rPr>
                <w:rFonts w:ascii="Arial Narrow" w:hAnsi="Arial Narrow" w:cs="Arial"/>
                <w:sz w:val="20"/>
                <w:szCs w:val="20"/>
              </w:rPr>
            </w:pPr>
            <w:r w:rsidRPr="00ED59EE">
              <w:rPr>
                <w:rFonts w:ascii="Arial Narrow" w:hAnsi="Arial Narrow" w:cs="Arial"/>
                <w:sz w:val="20"/>
                <w:szCs w:val="20"/>
              </w:rPr>
              <w:t>50</w:t>
            </w:r>
          </w:p>
        </w:tc>
        <w:tc>
          <w:tcPr>
            <w:tcW w:w="1212" w:type="dxa"/>
            <w:tcBorders>
              <w:top w:val="single" w:sz="2" w:space="0" w:color="auto"/>
              <w:left w:val="nil"/>
              <w:bottom w:val="single" w:sz="4" w:space="0" w:color="auto"/>
              <w:right w:val="nil"/>
            </w:tcBorders>
            <w:shd w:val="clear" w:color="auto" w:fill="auto"/>
            <w:vAlign w:val="center"/>
            <w:hideMark/>
          </w:tcPr>
          <w:p w14:paraId="16CD7DB9" w14:textId="77777777" w:rsidR="00A3720E" w:rsidRPr="00ED59EE" w:rsidRDefault="00A3720E">
            <w:pPr>
              <w:jc w:val="right"/>
              <w:rPr>
                <w:rFonts w:ascii="Arial Narrow" w:hAnsi="Arial Narrow" w:cs="Arial"/>
                <w:sz w:val="20"/>
                <w:szCs w:val="20"/>
              </w:rPr>
            </w:pPr>
            <w:r w:rsidRPr="00ED59EE">
              <w:rPr>
                <w:rFonts w:ascii="Arial Narrow" w:hAnsi="Arial Narrow" w:cs="Arial"/>
                <w:sz w:val="20"/>
                <w:szCs w:val="20"/>
              </w:rPr>
              <w:t>54</w:t>
            </w:r>
          </w:p>
        </w:tc>
        <w:tc>
          <w:tcPr>
            <w:tcW w:w="1212" w:type="dxa"/>
            <w:tcBorders>
              <w:top w:val="single" w:sz="2" w:space="0" w:color="auto"/>
              <w:left w:val="nil"/>
              <w:bottom w:val="single" w:sz="4" w:space="0" w:color="auto"/>
              <w:right w:val="nil"/>
            </w:tcBorders>
            <w:shd w:val="clear" w:color="auto" w:fill="auto"/>
            <w:vAlign w:val="center"/>
            <w:hideMark/>
          </w:tcPr>
          <w:p w14:paraId="645CEDA8" w14:textId="77777777" w:rsidR="00A3720E" w:rsidRPr="00ED59EE" w:rsidRDefault="00A3720E" w:rsidP="00A3720E">
            <w:pPr>
              <w:jc w:val="right"/>
              <w:rPr>
                <w:rFonts w:ascii="Arial Narrow" w:hAnsi="Arial Narrow" w:cs="Arial"/>
                <w:sz w:val="20"/>
                <w:szCs w:val="20"/>
              </w:rPr>
            </w:pPr>
            <w:r w:rsidRPr="00ED59EE">
              <w:rPr>
                <w:rFonts w:ascii="Arial Narrow" w:hAnsi="Arial Narrow" w:cs="Arial"/>
                <w:sz w:val="20"/>
                <w:szCs w:val="20"/>
              </w:rPr>
              <w:t>53</w:t>
            </w:r>
          </w:p>
        </w:tc>
        <w:tc>
          <w:tcPr>
            <w:tcW w:w="954" w:type="dxa"/>
            <w:tcBorders>
              <w:top w:val="single" w:sz="2" w:space="0" w:color="auto"/>
              <w:left w:val="nil"/>
              <w:bottom w:val="single" w:sz="4" w:space="0" w:color="auto"/>
              <w:right w:val="nil"/>
            </w:tcBorders>
            <w:shd w:val="clear" w:color="auto" w:fill="auto"/>
            <w:vAlign w:val="center"/>
            <w:hideMark/>
          </w:tcPr>
          <w:p w14:paraId="5C1642DC" w14:textId="77777777" w:rsidR="00A3720E" w:rsidRPr="00ED59EE" w:rsidRDefault="00A3720E" w:rsidP="00A3720E">
            <w:pPr>
              <w:jc w:val="right"/>
              <w:rPr>
                <w:rFonts w:ascii="Arial Narrow" w:hAnsi="Arial Narrow" w:cs="Arial"/>
                <w:sz w:val="20"/>
                <w:szCs w:val="20"/>
              </w:rPr>
            </w:pPr>
            <w:r w:rsidRPr="00ED59EE">
              <w:rPr>
                <w:rFonts w:ascii="Arial Narrow" w:hAnsi="Arial Narrow" w:cs="Arial"/>
                <w:sz w:val="20"/>
                <w:szCs w:val="20"/>
              </w:rPr>
              <w:t>51</w:t>
            </w:r>
          </w:p>
        </w:tc>
        <w:tc>
          <w:tcPr>
            <w:tcW w:w="850" w:type="dxa"/>
            <w:tcBorders>
              <w:top w:val="single" w:sz="2" w:space="0" w:color="auto"/>
              <w:left w:val="nil"/>
              <w:bottom w:val="single" w:sz="4" w:space="0" w:color="auto"/>
              <w:right w:val="nil"/>
            </w:tcBorders>
            <w:shd w:val="clear" w:color="auto" w:fill="auto"/>
            <w:vAlign w:val="center"/>
          </w:tcPr>
          <w:p w14:paraId="5D0FE349" w14:textId="77777777" w:rsidR="00A3720E" w:rsidRPr="00ED59EE" w:rsidRDefault="0078024B" w:rsidP="00A3720E">
            <w:pPr>
              <w:jc w:val="right"/>
              <w:rPr>
                <w:rFonts w:ascii="Arial Narrow" w:hAnsi="Arial Narrow" w:cs="Arial"/>
                <w:sz w:val="20"/>
                <w:szCs w:val="20"/>
              </w:rPr>
            </w:pPr>
            <w:r w:rsidRPr="00ED59EE">
              <w:rPr>
                <w:rFonts w:ascii="Arial Narrow" w:hAnsi="Arial Narrow" w:cs="Arial"/>
                <w:sz w:val="20"/>
                <w:szCs w:val="20"/>
              </w:rPr>
              <w:t>47</w:t>
            </w:r>
          </w:p>
        </w:tc>
      </w:tr>
    </w:tbl>
    <w:p w14:paraId="288561A6" w14:textId="77777777" w:rsidR="0078024B" w:rsidRPr="003B4B7F" w:rsidRDefault="0078024B" w:rsidP="0078024B">
      <w:pPr>
        <w:pStyle w:val="texto"/>
        <w:spacing w:before="240"/>
        <w:jc w:val="both"/>
      </w:pPr>
      <w:r w:rsidRPr="003B4B7F">
        <w:t xml:space="preserve">Como se observa, el índice de personal fijo en </w:t>
      </w:r>
      <w:proofErr w:type="gramStart"/>
      <w:r w:rsidRPr="003B4B7F">
        <w:t>2023,</w:t>
      </w:r>
      <w:proofErr w:type="gramEnd"/>
      <w:r w:rsidRPr="003B4B7F">
        <w:t xml:space="preserve"> refleja un incremento respecto a los ejercicios anteriores, en lógico detrimento </w:t>
      </w:r>
      <w:r w:rsidR="004066B7">
        <w:t>d</w:t>
      </w:r>
      <w:r w:rsidRPr="003B4B7F">
        <w:t>el índice de temporalidad. Asimismo, es necesario indicar que los valores en los ejercicios 2020 y 2021, podrían estar influenciados por el efecto de las contrataciones temporales motivadas por la COVID-19.</w:t>
      </w:r>
    </w:p>
    <w:p w14:paraId="1FFFEE14" w14:textId="77777777" w:rsidR="0078024B" w:rsidRPr="00CA52B1" w:rsidRDefault="0078024B" w:rsidP="0078024B">
      <w:pPr>
        <w:pStyle w:val="texto"/>
        <w:spacing w:before="120" w:after="240"/>
        <w:jc w:val="both"/>
      </w:pPr>
      <w:r>
        <w:t>En relación a la información anterior, l</w:t>
      </w:r>
      <w:r w:rsidRPr="00CA52B1">
        <w:t>a clasificación del personal por ámbito de la ACFN que se encontraba trabajando al 31 de diciembre</w:t>
      </w:r>
      <w:r w:rsidR="008C1A80">
        <w:t xml:space="preserve">, </w:t>
      </w:r>
      <w:r>
        <w:t xml:space="preserve">pero acotada al </w:t>
      </w:r>
      <w:r w:rsidRPr="00CA52B1">
        <w:t>periodo 2021-2023 es la siguiente:</w:t>
      </w:r>
    </w:p>
    <w:tbl>
      <w:tblPr>
        <w:tblW w:w="8789" w:type="dxa"/>
        <w:tblInd w:w="-10" w:type="dxa"/>
        <w:tblBorders>
          <w:insideH w:val="single" w:sz="4" w:space="0" w:color="auto"/>
        </w:tblBorders>
        <w:tblCellMar>
          <w:left w:w="70" w:type="dxa"/>
          <w:right w:w="70" w:type="dxa"/>
        </w:tblCellMar>
        <w:tblLook w:val="04A0" w:firstRow="1" w:lastRow="0" w:firstColumn="1" w:lastColumn="0" w:noHBand="0" w:noVBand="1"/>
      </w:tblPr>
      <w:tblGrid>
        <w:gridCol w:w="857"/>
        <w:gridCol w:w="691"/>
        <w:gridCol w:w="691"/>
        <w:gridCol w:w="694"/>
        <w:gridCol w:w="691"/>
        <w:gridCol w:w="691"/>
        <w:gridCol w:w="691"/>
        <w:gridCol w:w="694"/>
        <w:gridCol w:w="694"/>
        <w:gridCol w:w="694"/>
        <w:gridCol w:w="567"/>
        <w:gridCol w:w="563"/>
        <w:gridCol w:w="571"/>
      </w:tblGrid>
      <w:tr w:rsidR="0078024B" w:rsidRPr="0078024B" w14:paraId="6850D20F" w14:textId="77777777" w:rsidTr="005A637D">
        <w:trPr>
          <w:trHeight w:val="255"/>
        </w:trPr>
        <w:tc>
          <w:tcPr>
            <w:tcW w:w="1126" w:type="dxa"/>
            <w:tcBorders>
              <w:top w:val="single" w:sz="4" w:space="0" w:color="auto"/>
              <w:bottom w:val="single" w:sz="4" w:space="0" w:color="auto"/>
            </w:tcBorders>
            <w:shd w:val="clear" w:color="000000" w:fill="8DB3E2"/>
            <w:vAlign w:val="center"/>
            <w:hideMark/>
          </w:tcPr>
          <w:p w14:paraId="385D47C3" w14:textId="77777777" w:rsidR="0078024B" w:rsidRPr="0078024B" w:rsidRDefault="0078024B" w:rsidP="008601F6">
            <w:pPr>
              <w:rPr>
                <w:rFonts w:ascii="Arial" w:hAnsi="Arial" w:cs="Arial"/>
                <w:sz w:val="18"/>
                <w:szCs w:val="18"/>
              </w:rPr>
            </w:pPr>
            <w:r w:rsidRPr="0078024B">
              <w:rPr>
                <w:rFonts w:ascii="Arial" w:hAnsi="Arial" w:cs="Arial"/>
                <w:sz w:val="18"/>
                <w:szCs w:val="18"/>
              </w:rPr>
              <w:t> </w:t>
            </w:r>
          </w:p>
        </w:tc>
        <w:tc>
          <w:tcPr>
            <w:tcW w:w="1957" w:type="dxa"/>
            <w:gridSpan w:val="3"/>
            <w:tcBorders>
              <w:top w:val="single" w:sz="4" w:space="0" w:color="auto"/>
              <w:bottom w:val="single" w:sz="4" w:space="0" w:color="auto"/>
              <w:right w:val="single" w:sz="2" w:space="0" w:color="auto"/>
            </w:tcBorders>
            <w:shd w:val="clear" w:color="000000" w:fill="8DB3E2"/>
            <w:vAlign w:val="center"/>
            <w:hideMark/>
          </w:tcPr>
          <w:p w14:paraId="6D96DD27" w14:textId="77777777" w:rsidR="0078024B" w:rsidRPr="0078024B" w:rsidRDefault="0078024B" w:rsidP="008601F6">
            <w:pPr>
              <w:jc w:val="center"/>
              <w:rPr>
                <w:rFonts w:ascii="Arial" w:hAnsi="Arial" w:cs="Arial"/>
                <w:sz w:val="16"/>
                <w:szCs w:val="16"/>
              </w:rPr>
            </w:pPr>
            <w:r w:rsidRPr="0078024B">
              <w:rPr>
                <w:rFonts w:ascii="Arial" w:hAnsi="Arial" w:cs="Arial"/>
                <w:sz w:val="16"/>
                <w:szCs w:val="16"/>
              </w:rPr>
              <w:t>Personal fijo</w:t>
            </w:r>
          </w:p>
        </w:tc>
        <w:tc>
          <w:tcPr>
            <w:tcW w:w="1915" w:type="dxa"/>
            <w:gridSpan w:val="3"/>
            <w:tcBorders>
              <w:top w:val="single" w:sz="4" w:space="0" w:color="auto"/>
              <w:left w:val="single" w:sz="2" w:space="0" w:color="auto"/>
              <w:bottom w:val="single" w:sz="4" w:space="0" w:color="auto"/>
              <w:right w:val="single" w:sz="2" w:space="0" w:color="auto"/>
            </w:tcBorders>
            <w:shd w:val="clear" w:color="000000" w:fill="8DB3E2"/>
            <w:vAlign w:val="center"/>
            <w:hideMark/>
          </w:tcPr>
          <w:p w14:paraId="4FAF0ECA" w14:textId="77777777" w:rsidR="0078024B" w:rsidRPr="0078024B" w:rsidRDefault="0078024B" w:rsidP="008601F6">
            <w:pPr>
              <w:jc w:val="center"/>
              <w:rPr>
                <w:rFonts w:ascii="Arial" w:hAnsi="Arial" w:cs="Arial"/>
                <w:sz w:val="16"/>
                <w:szCs w:val="16"/>
              </w:rPr>
            </w:pPr>
            <w:r w:rsidRPr="0078024B">
              <w:rPr>
                <w:rFonts w:ascii="Arial" w:hAnsi="Arial" w:cs="Arial"/>
                <w:sz w:val="16"/>
                <w:szCs w:val="16"/>
              </w:rPr>
              <w:t>Personal temporal</w:t>
            </w:r>
          </w:p>
        </w:tc>
        <w:tc>
          <w:tcPr>
            <w:tcW w:w="2090" w:type="dxa"/>
            <w:gridSpan w:val="3"/>
            <w:tcBorders>
              <w:top w:val="single" w:sz="4" w:space="0" w:color="auto"/>
              <w:left w:val="single" w:sz="2" w:space="0" w:color="auto"/>
              <w:bottom w:val="single" w:sz="4" w:space="0" w:color="auto"/>
              <w:right w:val="single" w:sz="2" w:space="0" w:color="auto"/>
            </w:tcBorders>
            <w:shd w:val="clear" w:color="000000" w:fill="8DB3E2"/>
            <w:vAlign w:val="center"/>
            <w:hideMark/>
          </w:tcPr>
          <w:p w14:paraId="09D72B56" w14:textId="77777777" w:rsidR="0078024B" w:rsidRPr="0078024B" w:rsidRDefault="0078024B" w:rsidP="008601F6">
            <w:pPr>
              <w:jc w:val="center"/>
              <w:rPr>
                <w:rFonts w:ascii="Arial" w:hAnsi="Arial" w:cs="Arial"/>
                <w:sz w:val="16"/>
                <w:szCs w:val="16"/>
              </w:rPr>
            </w:pPr>
            <w:r w:rsidRPr="0078024B">
              <w:rPr>
                <w:rFonts w:ascii="Arial" w:hAnsi="Arial" w:cs="Arial"/>
                <w:sz w:val="16"/>
                <w:szCs w:val="16"/>
              </w:rPr>
              <w:t>Total personal</w:t>
            </w:r>
          </w:p>
        </w:tc>
        <w:tc>
          <w:tcPr>
            <w:tcW w:w="1701" w:type="dxa"/>
            <w:gridSpan w:val="3"/>
            <w:tcBorders>
              <w:top w:val="single" w:sz="4" w:space="0" w:color="auto"/>
              <w:left w:val="single" w:sz="2" w:space="0" w:color="auto"/>
              <w:bottom w:val="single" w:sz="4" w:space="0" w:color="auto"/>
            </w:tcBorders>
            <w:shd w:val="clear" w:color="000000" w:fill="8DB3E2"/>
            <w:noWrap/>
            <w:vAlign w:val="center"/>
            <w:hideMark/>
          </w:tcPr>
          <w:p w14:paraId="1EA62E74" w14:textId="77777777" w:rsidR="0078024B" w:rsidRPr="0078024B" w:rsidRDefault="0078024B" w:rsidP="008601F6">
            <w:pPr>
              <w:jc w:val="center"/>
              <w:rPr>
                <w:rFonts w:ascii="Arial" w:hAnsi="Arial" w:cs="Arial"/>
                <w:sz w:val="16"/>
                <w:szCs w:val="16"/>
              </w:rPr>
            </w:pPr>
            <w:r w:rsidRPr="0078024B">
              <w:rPr>
                <w:rFonts w:ascii="Arial" w:hAnsi="Arial" w:cs="Arial"/>
                <w:sz w:val="16"/>
                <w:szCs w:val="16"/>
              </w:rPr>
              <w:t>% Personal temporal</w:t>
            </w:r>
          </w:p>
        </w:tc>
      </w:tr>
      <w:tr w:rsidR="0078024B" w:rsidRPr="0078024B" w14:paraId="7B384424" w14:textId="77777777" w:rsidTr="005A637D">
        <w:trPr>
          <w:trHeight w:val="255"/>
        </w:trPr>
        <w:tc>
          <w:tcPr>
            <w:tcW w:w="1126" w:type="dxa"/>
            <w:tcBorders>
              <w:top w:val="single" w:sz="4" w:space="0" w:color="auto"/>
              <w:bottom w:val="single" w:sz="4" w:space="0" w:color="auto"/>
            </w:tcBorders>
            <w:shd w:val="clear" w:color="000000" w:fill="8DB3E2"/>
            <w:vAlign w:val="center"/>
            <w:hideMark/>
          </w:tcPr>
          <w:p w14:paraId="7F9772F2" w14:textId="77777777" w:rsidR="0078024B" w:rsidRPr="0078024B" w:rsidRDefault="0078024B" w:rsidP="008601F6">
            <w:pPr>
              <w:rPr>
                <w:rFonts w:ascii="Arial" w:hAnsi="Arial" w:cs="Arial"/>
                <w:sz w:val="16"/>
                <w:szCs w:val="16"/>
              </w:rPr>
            </w:pPr>
            <w:r w:rsidRPr="0078024B">
              <w:rPr>
                <w:rFonts w:ascii="Arial" w:hAnsi="Arial" w:cs="Arial"/>
                <w:sz w:val="16"/>
                <w:szCs w:val="16"/>
              </w:rPr>
              <w:t> </w:t>
            </w:r>
          </w:p>
        </w:tc>
        <w:tc>
          <w:tcPr>
            <w:tcW w:w="630" w:type="dxa"/>
            <w:tcBorders>
              <w:top w:val="single" w:sz="4" w:space="0" w:color="auto"/>
              <w:bottom w:val="single" w:sz="4" w:space="0" w:color="auto"/>
            </w:tcBorders>
            <w:shd w:val="clear" w:color="000000" w:fill="8DB3E2"/>
            <w:vAlign w:val="center"/>
            <w:hideMark/>
          </w:tcPr>
          <w:p w14:paraId="7021A486" w14:textId="77777777" w:rsidR="0078024B" w:rsidRPr="0078024B" w:rsidRDefault="0078024B" w:rsidP="008601F6">
            <w:pPr>
              <w:jc w:val="right"/>
              <w:rPr>
                <w:rFonts w:ascii="Arial" w:hAnsi="Arial" w:cs="Arial"/>
                <w:sz w:val="16"/>
                <w:szCs w:val="16"/>
              </w:rPr>
            </w:pPr>
            <w:r w:rsidRPr="0078024B">
              <w:rPr>
                <w:rFonts w:ascii="Arial" w:hAnsi="Arial" w:cs="Arial"/>
                <w:sz w:val="16"/>
                <w:szCs w:val="16"/>
              </w:rPr>
              <w:t>2021</w:t>
            </w:r>
          </w:p>
        </w:tc>
        <w:tc>
          <w:tcPr>
            <w:tcW w:w="630" w:type="dxa"/>
            <w:tcBorders>
              <w:top w:val="single" w:sz="4" w:space="0" w:color="auto"/>
              <w:bottom w:val="single" w:sz="4" w:space="0" w:color="auto"/>
            </w:tcBorders>
            <w:shd w:val="clear" w:color="000000" w:fill="8DB3E2"/>
            <w:vAlign w:val="center"/>
            <w:hideMark/>
          </w:tcPr>
          <w:p w14:paraId="55B19733" w14:textId="77777777" w:rsidR="0078024B" w:rsidRPr="0078024B" w:rsidRDefault="0078024B" w:rsidP="008601F6">
            <w:pPr>
              <w:jc w:val="right"/>
              <w:rPr>
                <w:rFonts w:ascii="Arial" w:hAnsi="Arial" w:cs="Arial"/>
                <w:sz w:val="16"/>
                <w:szCs w:val="16"/>
              </w:rPr>
            </w:pPr>
            <w:r w:rsidRPr="0078024B">
              <w:rPr>
                <w:rFonts w:ascii="Arial" w:hAnsi="Arial" w:cs="Arial"/>
                <w:sz w:val="16"/>
                <w:szCs w:val="16"/>
              </w:rPr>
              <w:t>2022</w:t>
            </w:r>
          </w:p>
        </w:tc>
        <w:tc>
          <w:tcPr>
            <w:tcW w:w="697" w:type="dxa"/>
            <w:tcBorders>
              <w:top w:val="single" w:sz="4" w:space="0" w:color="auto"/>
              <w:bottom w:val="single" w:sz="4" w:space="0" w:color="auto"/>
              <w:right w:val="single" w:sz="2" w:space="0" w:color="auto"/>
            </w:tcBorders>
            <w:shd w:val="clear" w:color="000000" w:fill="8DB3E2"/>
            <w:vAlign w:val="center"/>
            <w:hideMark/>
          </w:tcPr>
          <w:p w14:paraId="1902565F" w14:textId="77777777" w:rsidR="0078024B" w:rsidRPr="0078024B" w:rsidRDefault="0078024B" w:rsidP="008601F6">
            <w:pPr>
              <w:jc w:val="right"/>
              <w:rPr>
                <w:rFonts w:ascii="Arial" w:hAnsi="Arial" w:cs="Arial"/>
                <w:sz w:val="16"/>
                <w:szCs w:val="16"/>
              </w:rPr>
            </w:pPr>
            <w:r w:rsidRPr="0078024B">
              <w:rPr>
                <w:rFonts w:ascii="Arial" w:hAnsi="Arial" w:cs="Arial"/>
                <w:sz w:val="16"/>
                <w:szCs w:val="16"/>
              </w:rPr>
              <w:t>2023</w:t>
            </w:r>
          </w:p>
        </w:tc>
        <w:tc>
          <w:tcPr>
            <w:tcW w:w="655" w:type="dxa"/>
            <w:tcBorders>
              <w:top w:val="single" w:sz="4" w:space="0" w:color="auto"/>
              <w:left w:val="single" w:sz="2" w:space="0" w:color="auto"/>
              <w:bottom w:val="single" w:sz="4" w:space="0" w:color="auto"/>
            </w:tcBorders>
            <w:shd w:val="clear" w:color="000000" w:fill="8DB3E2"/>
            <w:vAlign w:val="center"/>
            <w:hideMark/>
          </w:tcPr>
          <w:p w14:paraId="09B841FF" w14:textId="77777777" w:rsidR="0078024B" w:rsidRPr="0078024B" w:rsidRDefault="0078024B" w:rsidP="008601F6">
            <w:pPr>
              <w:jc w:val="right"/>
              <w:rPr>
                <w:rFonts w:ascii="Arial" w:hAnsi="Arial" w:cs="Arial"/>
                <w:sz w:val="16"/>
                <w:szCs w:val="16"/>
              </w:rPr>
            </w:pPr>
            <w:r w:rsidRPr="0078024B">
              <w:rPr>
                <w:rFonts w:ascii="Arial" w:hAnsi="Arial" w:cs="Arial"/>
                <w:sz w:val="16"/>
                <w:szCs w:val="16"/>
              </w:rPr>
              <w:t>2021</w:t>
            </w:r>
          </w:p>
        </w:tc>
        <w:tc>
          <w:tcPr>
            <w:tcW w:w="630" w:type="dxa"/>
            <w:tcBorders>
              <w:top w:val="single" w:sz="4" w:space="0" w:color="auto"/>
              <w:bottom w:val="single" w:sz="4" w:space="0" w:color="auto"/>
            </w:tcBorders>
            <w:shd w:val="clear" w:color="000000" w:fill="8DB3E2"/>
            <w:vAlign w:val="center"/>
            <w:hideMark/>
          </w:tcPr>
          <w:p w14:paraId="7CC8920C" w14:textId="77777777" w:rsidR="0078024B" w:rsidRPr="0078024B" w:rsidRDefault="0078024B" w:rsidP="008601F6">
            <w:pPr>
              <w:jc w:val="right"/>
              <w:rPr>
                <w:rFonts w:ascii="Arial" w:hAnsi="Arial" w:cs="Arial"/>
                <w:sz w:val="16"/>
                <w:szCs w:val="16"/>
              </w:rPr>
            </w:pPr>
            <w:r w:rsidRPr="0078024B">
              <w:rPr>
                <w:rFonts w:ascii="Arial" w:hAnsi="Arial" w:cs="Arial"/>
                <w:sz w:val="16"/>
                <w:szCs w:val="16"/>
              </w:rPr>
              <w:t>2022</w:t>
            </w:r>
          </w:p>
        </w:tc>
        <w:tc>
          <w:tcPr>
            <w:tcW w:w="630" w:type="dxa"/>
            <w:tcBorders>
              <w:top w:val="single" w:sz="4" w:space="0" w:color="auto"/>
              <w:bottom w:val="single" w:sz="4" w:space="0" w:color="auto"/>
              <w:right w:val="single" w:sz="2" w:space="0" w:color="auto"/>
            </w:tcBorders>
            <w:shd w:val="clear" w:color="000000" w:fill="8DB3E2"/>
            <w:vAlign w:val="center"/>
            <w:hideMark/>
          </w:tcPr>
          <w:p w14:paraId="3597E254" w14:textId="77777777" w:rsidR="0078024B" w:rsidRPr="0078024B" w:rsidRDefault="0078024B" w:rsidP="008601F6">
            <w:pPr>
              <w:jc w:val="right"/>
              <w:rPr>
                <w:rFonts w:ascii="Arial" w:hAnsi="Arial" w:cs="Arial"/>
                <w:sz w:val="16"/>
                <w:szCs w:val="16"/>
              </w:rPr>
            </w:pPr>
            <w:r w:rsidRPr="0078024B">
              <w:rPr>
                <w:rFonts w:ascii="Arial" w:hAnsi="Arial" w:cs="Arial"/>
                <w:sz w:val="16"/>
                <w:szCs w:val="16"/>
              </w:rPr>
              <w:t>2023</w:t>
            </w:r>
          </w:p>
        </w:tc>
        <w:tc>
          <w:tcPr>
            <w:tcW w:w="696" w:type="dxa"/>
            <w:tcBorders>
              <w:top w:val="single" w:sz="4" w:space="0" w:color="auto"/>
              <w:left w:val="single" w:sz="2" w:space="0" w:color="auto"/>
              <w:bottom w:val="single" w:sz="4" w:space="0" w:color="auto"/>
            </w:tcBorders>
            <w:shd w:val="clear" w:color="000000" w:fill="8DB3E2"/>
            <w:vAlign w:val="center"/>
            <w:hideMark/>
          </w:tcPr>
          <w:p w14:paraId="1ED26FAF" w14:textId="77777777" w:rsidR="0078024B" w:rsidRPr="0078024B" w:rsidRDefault="0078024B" w:rsidP="008601F6">
            <w:pPr>
              <w:jc w:val="right"/>
              <w:rPr>
                <w:rFonts w:ascii="Arial" w:hAnsi="Arial" w:cs="Arial"/>
                <w:sz w:val="16"/>
                <w:szCs w:val="16"/>
              </w:rPr>
            </w:pPr>
            <w:r w:rsidRPr="0078024B">
              <w:rPr>
                <w:rFonts w:ascii="Arial" w:hAnsi="Arial" w:cs="Arial"/>
                <w:sz w:val="16"/>
                <w:szCs w:val="16"/>
              </w:rPr>
              <w:t>2021</w:t>
            </w:r>
          </w:p>
        </w:tc>
        <w:tc>
          <w:tcPr>
            <w:tcW w:w="697" w:type="dxa"/>
            <w:tcBorders>
              <w:top w:val="single" w:sz="4" w:space="0" w:color="auto"/>
              <w:bottom w:val="single" w:sz="4" w:space="0" w:color="auto"/>
            </w:tcBorders>
            <w:shd w:val="clear" w:color="000000" w:fill="8DB3E2"/>
            <w:vAlign w:val="center"/>
            <w:hideMark/>
          </w:tcPr>
          <w:p w14:paraId="0A1344C6" w14:textId="77777777" w:rsidR="0078024B" w:rsidRPr="0078024B" w:rsidRDefault="0078024B" w:rsidP="008601F6">
            <w:pPr>
              <w:jc w:val="right"/>
              <w:rPr>
                <w:rFonts w:ascii="Arial" w:hAnsi="Arial" w:cs="Arial"/>
                <w:sz w:val="16"/>
                <w:szCs w:val="16"/>
              </w:rPr>
            </w:pPr>
            <w:r w:rsidRPr="0078024B">
              <w:rPr>
                <w:rFonts w:ascii="Arial" w:hAnsi="Arial" w:cs="Arial"/>
                <w:sz w:val="16"/>
                <w:szCs w:val="16"/>
              </w:rPr>
              <w:t>2022</w:t>
            </w:r>
          </w:p>
        </w:tc>
        <w:tc>
          <w:tcPr>
            <w:tcW w:w="697" w:type="dxa"/>
            <w:tcBorders>
              <w:top w:val="single" w:sz="4" w:space="0" w:color="auto"/>
              <w:bottom w:val="single" w:sz="4" w:space="0" w:color="auto"/>
              <w:right w:val="single" w:sz="2" w:space="0" w:color="auto"/>
            </w:tcBorders>
            <w:shd w:val="clear" w:color="000000" w:fill="8DB3E2"/>
            <w:vAlign w:val="center"/>
            <w:hideMark/>
          </w:tcPr>
          <w:p w14:paraId="20421C40" w14:textId="77777777" w:rsidR="0078024B" w:rsidRPr="0078024B" w:rsidRDefault="0078024B" w:rsidP="008601F6">
            <w:pPr>
              <w:jc w:val="right"/>
              <w:rPr>
                <w:rFonts w:ascii="Arial" w:hAnsi="Arial" w:cs="Arial"/>
                <w:sz w:val="16"/>
                <w:szCs w:val="16"/>
              </w:rPr>
            </w:pPr>
            <w:r w:rsidRPr="0078024B">
              <w:rPr>
                <w:rFonts w:ascii="Arial" w:hAnsi="Arial" w:cs="Arial"/>
                <w:sz w:val="16"/>
                <w:szCs w:val="16"/>
              </w:rPr>
              <w:t>2023</w:t>
            </w:r>
          </w:p>
        </w:tc>
        <w:tc>
          <w:tcPr>
            <w:tcW w:w="567" w:type="dxa"/>
            <w:tcBorders>
              <w:top w:val="single" w:sz="4" w:space="0" w:color="auto"/>
              <w:left w:val="single" w:sz="2" w:space="0" w:color="auto"/>
              <w:bottom w:val="single" w:sz="4" w:space="0" w:color="auto"/>
            </w:tcBorders>
            <w:shd w:val="clear" w:color="000000" w:fill="8DB3E2"/>
            <w:noWrap/>
            <w:vAlign w:val="center"/>
            <w:hideMark/>
          </w:tcPr>
          <w:p w14:paraId="23427F32" w14:textId="77777777" w:rsidR="0078024B" w:rsidRPr="0078024B" w:rsidRDefault="0078024B" w:rsidP="008601F6">
            <w:pPr>
              <w:jc w:val="right"/>
              <w:rPr>
                <w:rFonts w:ascii="Arial" w:hAnsi="Arial" w:cs="Arial"/>
                <w:sz w:val="16"/>
                <w:szCs w:val="16"/>
              </w:rPr>
            </w:pPr>
            <w:r w:rsidRPr="0078024B">
              <w:rPr>
                <w:rFonts w:ascii="Arial" w:hAnsi="Arial" w:cs="Arial"/>
                <w:sz w:val="16"/>
                <w:szCs w:val="16"/>
              </w:rPr>
              <w:t>2021</w:t>
            </w:r>
          </w:p>
        </w:tc>
        <w:tc>
          <w:tcPr>
            <w:tcW w:w="563" w:type="dxa"/>
            <w:tcBorders>
              <w:top w:val="single" w:sz="4" w:space="0" w:color="auto"/>
              <w:bottom w:val="single" w:sz="4" w:space="0" w:color="auto"/>
            </w:tcBorders>
            <w:shd w:val="clear" w:color="000000" w:fill="8DB3E2"/>
            <w:noWrap/>
            <w:vAlign w:val="center"/>
            <w:hideMark/>
          </w:tcPr>
          <w:p w14:paraId="491660A1" w14:textId="77777777" w:rsidR="0078024B" w:rsidRPr="0078024B" w:rsidRDefault="0078024B" w:rsidP="008601F6">
            <w:pPr>
              <w:jc w:val="right"/>
              <w:rPr>
                <w:rFonts w:ascii="Arial" w:hAnsi="Arial" w:cs="Arial"/>
                <w:sz w:val="16"/>
                <w:szCs w:val="16"/>
              </w:rPr>
            </w:pPr>
            <w:r w:rsidRPr="0078024B">
              <w:rPr>
                <w:rFonts w:ascii="Arial" w:hAnsi="Arial" w:cs="Arial"/>
                <w:sz w:val="16"/>
                <w:szCs w:val="16"/>
              </w:rPr>
              <w:t>2022</w:t>
            </w:r>
          </w:p>
        </w:tc>
        <w:tc>
          <w:tcPr>
            <w:tcW w:w="571" w:type="dxa"/>
            <w:tcBorders>
              <w:top w:val="single" w:sz="4" w:space="0" w:color="auto"/>
              <w:bottom w:val="single" w:sz="4" w:space="0" w:color="auto"/>
            </w:tcBorders>
            <w:shd w:val="clear" w:color="000000" w:fill="8DB3E2"/>
            <w:noWrap/>
            <w:vAlign w:val="center"/>
            <w:hideMark/>
          </w:tcPr>
          <w:p w14:paraId="7A85D48E" w14:textId="77777777" w:rsidR="0078024B" w:rsidRPr="0078024B" w:rsidRDefault="0078024B" w:rsidP="008601F6">
            <w:pPr>
              <w:jc w:val="right"/>
              <w:rPr>
                <w:rFonts w:ascii="Arial" w:hAnsi="Arial" w:cs="Arial"/>
                <w:sz w:val="16"/>
                <w:szCs w:val="16"/>
              </w:rPr>
            </w:pPr>
            <w:r w:rsidRPr="0078024B">
              <w:rPr>
                <w:rFonts w:ascii="Arial" w:hAnsi="Arial" w:cs="Arial"/>
                <w:sz w:val="16"/>
                <w:szCs w:val="16"/>
              </w:rPr>
              <w:t>2023</w:t>
            </w:r>
          </w:p>
        </w:tc>
      </w:tr>
      <w:tr w:rsidR="008C1A80" w:rsidRPr="0078024B" w14:paraId="79A91124" w14:textId="77777777" w:rsidTr="005A637D">
        <w:trPr>
          <w:trHeight w:val="198"/>
        </w:trPr>
        <w:tc>
          <w:tcPr>
            <w:tcW w:w="1126" w:type="dxa"/>
            <w:tcBorders>
              <w:top w:val="single" w:sz="4" w:space="0" w:color="auto"/>
              <w:bottom w:val="single" w:sz="2" w:space="0" w:color="auto"/>
            </w:tcBorders>
            <w:shd w:val="clear" w:color="auto" w:fill="auto"/>
            <w:vAlign w:val="center"/>
          </w:tcPr>
          <w:p w14:paraId="389B2352" w14:textId="77777777" w:rsidR="008C1A80" w:rsidRPr="0078024B" w:rsidRDefault="008C1A80" w:rsidP="008C1A80">
            <w:pPr>
              <w:rPr>
                <w:rFonts w:ascii="Arial Narrow" w:hAnsi="Arial Narrow" w:cs="Calibri"/>
                <w:sz w:val="18"/>
                <w:szCs w:val="18"/>
              </w:rPr>
            </w:pPr>
            <w:r w:rsidRPr="0078024B">
              <w:rPr>
                <w:rFonts w:ascii="Arial Narrow" w:hAnsi="Arial Narrow" w:cs="Calibri"/>
                <w:sz w:val="18"/>
                <w:szCs w:val="18"/>
              </w:rPr>
              <w:t>Núcleo</w:t>
            </w:r>
          </w:p>
        </w:tc>
        <w:tc>
          <w:tcPr>
            <w:tcW w:w="630" w:type="dxa"/>
            <w:tcBorders>
              <w:top w:val="single" w:sz="4" w:space="0" w:color="auto"/>
              <w:bottom w:val="single" w:sz="2" w:space="0" w:color="auto"/>
            </w:tcBorders>
            <w:shd w:val="clear" w:color="auto" w:fill="auto"/>
            <w:vAlign w:val="center"/>
          </w:tcPr>
          <w:p w14:paraId="32A6DF93" w14:textId="77777777" w:rsidR="008C1A80" w:rsidRPr="0078024B" w:rsidRDefault="008C1A80" w:rsidP="008C1A80">
            <w:pPr>
              <w:jc w:val="right"/>
              <w:rPr>
                <w:rFonts w:ascii="Arial Narrow" w:hAnsi="Arial Narrow" w:cs="Calibri"/>
                <w:sz w:val="18"/>
                <w:szCs w:val="18"/>
              </w:rPr>
            </w:pPr>
            <w:r w:rsidRPr="0078024B">
              <w:rPr>
                <w:rFonts w:ascii="Arial Narrow" w:hAnsi="Arial Narrow" w:cs="Calibri"/>
                <w:sz w:val="18"/>
                <w:szCs w:val="18"/>
              </w:rPr>
              <w:t>4.394</w:t>
            </w:r>
          </w:p>
        </w:tc>
        <w:tc>
          <w:tcPr>
            <w:tcW w:w="630" w:type="dxa"/>
            <w:tcBorders>
              <w:top w:val="single" w:sz="4" w:space="0" w:color="auto"/>
              <w:bottom w:val="single" w:sz="2" w:space="0" w:color="auto"/>
            </w:tcBorders>
            <w:shd w:val="clear" w:color="auto" w:fill="auto"/>
            <w:vAlign w:val="center"/>
          </w:tcPr>
          <w:p w14:paraId="46DBDBA0" w14:textId="77777777" w:rsidR="008C1A80" w:rsidRPr="0078024B" w:rsidRDefault="008C1A80" w:rsidP="008C1A80">
            <w:pPr>
              <w:jc w:val="right"/>
              <w:rPr>
                <w:rFonts w:ascii="Arial Narrow" w:hAnsi="Arial Narrow" w:cs="Calibri"/>
                <w:sz w:val="18"/>
                <w:szCs w:val="18"/>
              </w:rPr>
            </w:pPr>
            <w:r w:rsidRPr="0078024B">
              <w:rPr>
                <w:rFonts w:ascii="Arial Narrow" w:hAnsi="Arial Narrow" w:cs="Calibri"/>
                <w:sz w:val="18"/>
                <w:szCs w:val="18"/>
              </w:rPr>
              <w:t>4.332</w:t>
            </w:r>
          </w:p>
        </w:tc>
        <w:tc>
          <w:tcPr>
            <w:tcW w:w="697" w:type="dxa"/>
            <w:tcBorders>
              <w:top w:val="single" w:sz="4" w:space="0" w:color="auto"/>
              <w:bottom w:val="single" w:sz="2" w:space="0" w:color="auto"/>
              <w:right w:val="single" w:sz="2" w:space="0" w:color="auto"/>
            </w:tcBorders>
            <w:shd w:val="clear" w:color="auto" w:fill="auto"/>
            <w:vAlign w:val="center"/>
          </w:tcPr>
          <w:p w14:paraId="7B855F10" w14:textId="77777777" w:rsidR="008C1A80" w:rsidRPr="0078024B" w:rsidRDefault="008C1A80" w:rsidP="008C1A80">
            <w:pPr>
              <w:jc w:val="right"/>
              <w:rPr>
                <w:rFonts w:ascii="Arial Narrow" w:hAnsi="Arial Narrow" w:cs="Calibri"/>
                <w:sz w:val="18"/>
                <w:szCs w:val="18"/>
              </w:rPr>
            </w:pPr>
            <w:r w:rsidRPr="0078024B">
              <w:rPr>
                <w:rFonts w:ascii="Arial Narrow" w:hAnsi="Arial Narrow" w:cs="Calibri"/>
                <w:sz w:val="18"/>
                <w:szCs w:val="18"/>
              </w:rPr>
              <w:t>4.454</w:t>
            </w:r>
          </w:p>
        </w:tc>
        <w:tc>
          <w:tcPr>
            <w:tcW w:w="655" w:type="dxa"/>
            <w:tcBorders>
              <w:top w:val="single" w:sz="4" w:space="0" w:color="auto"/>
              <w:left w:val="single" w:sz="2" w:space="0" w:color="auto"/>
              <w:bottom w:val="single" w:sz="2" w:space="0" w:color="auto"/>
            </w:tcBorders>
            <w:shd w:val="clear" w:color="auto" w:fill="auto"/>
            <w:vAlign w:val="center"/>
          </w:tcPr>
          <w:p w14:paraId="469CF621" w14:textId="77777777" w:rsidR="008C1A80" w:rsidRPr="0078024B" w:rsidRDefault="008C1A80" w:rsidP="008C1A80">
            <w:pPr>
              <w:jc w:val="right"/>
              <w:rPr>
                <w:rFonts w:ascii="Arial Narrow" w:hAnsi="Arial Narrow" w:cs="Calibri"/>
                <w:sz w:val="18"/>
                <w:szCs w:val="18"/>
              </w:rPr>
            </w:pPr>
            <w:r w:rsidRPr="0078024B">
              <w:rPr>
                <w:rFonts w:ascii="Arial Narrow" w:hAnsi="Arial Narrow" w:cs="Calibri"/>
                <w:sz w:val="18"/>
                <w:szCs w:val="18"/>
              </w:rPr>
              <w:t>2.230</w:t>
            </w:r>
          </w:p>
        </w:tc>
        <w:tc>
          <w:tcPr>
            <w:tcW w:w="630" w:type="dxa"/>
            <w:tcBorders>
              <w:top w:val="single" w:sz="4" w:space="0" w:color="auto"/>
              <w:bottom w:val="single" w:sz="2" w:space="0" w:color="auto"/>
            </w:tcBorders>
            <w:shd w:val="clear" w:color="auto" w:fill="auto"/>
            <w:vAlign w:val="center"/>
          </w:tcPr>
          <w:p w14:paraId="0E9B19A5" w14:textId="77777777" w:rsidR="008C1A80" w:rsidRPr="0078024B" w:rsidRDefault="008C1A80" w:rsidP="008C1A80">
            <w:pPr>
              <w:jc w:val="right"/>
              <w:rPr>
                <w:rFonts w:ascii="Arial Narrow" w:hAnsi="Arial Narrow" w:cs="Calibri"/>
                <w:sz w:val="18"/>
                <w:szCs w:val="18"/>
              </w:rPr>
            </w:pPr>
            <w:r w:rsidRPr="0078024B">
              <w:rPr>
                <w:rFonts w:ascii="Arial Narrow" w:hAnsi="Arial Narrow" w:cs="Calibri"/>
                <w:sz w:val="18"/>
                <w:szCs w:val="18"/>
              </w:rPr>
              <w:t>2.240</w:t>
            </w:r>
          </w:p>
        </w:tc>
        <w:tc>
          <w:tcPr>
            <w:tcW w:w="630" w:type="dxa"/>
            <w:tcBorders>
              <w:top w:val="single" w:sz="4" w:space="0" w:color="auto"/>
              <w:bottom w:val="single" w:sz="2" w:space="0" w:color="auto"/>
              <w:right w:val="single" w:sz="2" w:space="0" w:color="auto"/>
            </w:tcBorders>
            <w:shd w:val="clear" w:color="auto" w:fill="auto"/>
            <w:vAlign w:val="center"/>
          </w:tcPr>
          <w:p w14:paraId="6F33979F" w14:textId="77777777" w:rsidR="008C1A80" w:rsidRPr="0078024B" w:rsidRDefault="008C1A80" w:rsidP="008C1A80">
            <w:pPr>
              <w:jc w:val="right"/>
              <w:rPr>
                <w:rFonts w:ascii="Arial Narrow" w:hAnsi="Arial Narrow" w:cs="Calibri"/>
                <w:sz w:val="18"/>
                <w:szCs w:val="18"/>
              </w:rPr>
            </w:pPr>
            <w:r w:rsidRPr="0078024B">
              <w:rPr>
                <w:rFonts w:ascii="Arial Narrow" w:hAnsi="Arial Narrow" w:cs="Calibri"/>
                <w:sz w:val="18"/>
                <w:szCs w:val="18"/>
              </w:rPr>
              <w:t>2.237</w:t>
            </w:r>
          </w:p>
        </w:tc>
        <w:tc>
          <w:tcPr>
            <w:tcW w:w="696" w:type="dxa"/>
            <w:tcBorders>
              <w:top w:val="single" w:sz="4" w:space="0" w:color="auto"/>
              <w:left w:val="single" w:sz="2" w:space="0" w:color="auto"/>
              <w:bottom w:val="single" w:sz="2" w:space="0" w:color="auto"/>
            </w:tcBorders>
            <w:shd w:val="clear" w:color="auto" w:fill="auto"/>
            <w:vAlign w:val="center"/>
          </w:tcPr>
          <w:p w14:paraId="294C8FF2" w14:textId="77777777" w:rsidR="008C1A80" w:rsidRPr="0078024B" w:rsidRDefault="008C1A80" w:rsidP="008C1A80">
            <w:pPr>
              <w:jc w:val="right"/>
              <w:rPr>
                <w:rFonts w:ascii="Arial Narrow" w:hAnsi="Arial Narrow" w:cs="Calibri"/>
                <w:sz w:val="18"/>
                <w:szCs w:val="18"/>
              </w:rPr>
            </w:pPr>
            <w:r w:rsidRPr="0078024B">
              <w:rPr>
                <w:rFonts w:ascii="Arial Narrow" w:hAnsi="Arial Narrow" w:cs="Calibri"/>
                <w:sz w:val="18"/>
                <w:szCs w:val="18"/>
              </w:rPr>
              <w:t>6.624</w:t>
            </w:r>
          </w:p>
        </w:tc>
        <w:tc>
          <w:tcPr>
            <w:tcW w:w="697" w:type="dxa"/>
            <w:tcBorders>
              <w:top w:val="single" w:sz="4" w:space="0" w:color="auto"/>
              <w:bottom w:val="single" w:sz="2" w:space="0" w:color="auto"/>
            </w:tcBorders>
            <w:shd w:val="clear" w:color="auto" w:fill="auto"/>
            <w:vAlign w:val="center"/>
          </w:tcPr>
          <w:p w14:paraId="793B0104" w14:textId="77777777" w:rsidR="008C1A80" w:rsidRPr="0078024B" w:rsidRDefault="008C1A80" w:rsidP="008C1A80">
            <w:pPr>
              <w:jc w:val="right"/>
              <w:rPr>
                <w:rFonts w:ascii="Arial Narrow" w:hAnsi="Arial Narrow" w:cs="Calibri"/>
                <w:sz w:val="18"/>
                <w:szCs w:val="18"/>
              </w:rPr>
            </w:pPr>
            <w:r w:rsidRPr="0078024B">
              <w:rPr>
                <w:rFonts w:ascii="Arial Narrow" w:hAnsi="Arial Narrow" w:cs="Calibri"/>
                <w:sz w:val="18"/>
                <w:szCs w:val="18"/>
              </w:rPr>
              <w:t>6.572</w:t>
            </w:r>
          </w:p>
        </w:tc>
        <w:tc>
          <w:tcPr>
            <w:tcW w:w="697" w:type="dxa"/>
            <w:tcBorders>
              <w:top w:val="single" w:sz="4" w:space="0" w:color="auto"/>
              <w:bottom w:val="single" w:sz="2" w:space="0" w:color="auto"/>
              <w:right w:val="single" w:sz="2" w:space="0" w:color="auto"/>
            </w:tcBorders>
            <w:shd w:val="clear" w:color="auto" w:fill="auto"/>
            <w:vAlign w:val="center"/>
          </w:tcPr>
          <w:p w14:paraId="67A2E8F1" w14:textId="77777777" w:rsidR="008C1A80" w:rsidRPr="0078024B" w:rsidRDefault="008C1A80" w:rsidP="008C1A80">
            <w:pPr>
              <w:jc w:val="right"/>
              <w:rPr>
                <w:rFonts w:ascii="Arial Narrow" w:hAnsi="Arial Narrow" w:cs="Calibri"/>
                <w:sz w:val="18"/>
                <w:szCs w:val="18"/>
              </w:rPr>
            </w:pPr>
            <w:r w:rsidRPr="0078024B">
              <w:rPr>
                <w:rFonts w:ascii="Arial Narrow" w:hAnsi="Arial Narrow" w:cs="Calibri"/>
                <w:sz w:val="18"/>
                <w:szCs w:val="18"/>
              </w:rPr>
              <w:t>6.691</w:t>
            </w:r>
          </w:p>
        </w:tc>
        <w:tc>
          <w:tcPr>
            <w:tcW w:w="567" w:type="dxa"/>
            <w:tcBorders>
              <w:top w:val="single" w:sz="4" w:space="0" w:color="auto"/>
              <w:left w:val="single" w:sz="2" w:space="0" w:color="auto"/>
              <w:bottom w:val="single" w:sz="2" w:space="0" w:color="auto"/>
            </w:tcBorders>
            <w:shd w:val="clear" w:color="auto" w:fill="auto"/>
            <w:noWrap/>
            <w:vAlign w:val="center"/>
          </w:tcPr>
          <w:p w14:paraId="6FCF545E" w14:textId="77777777" w:rsidR="008C1A80" w:rsidRPr="0078024B" w:rsidRDefault="008C1A80" w:rsidP="008C1A80">
            <w:pPr>
              <w:jc w:val="right"/>
              <w:rPr>
                <w:rFonts w:ascii="Arial Narrow" w:hAnsi="Arial Narrow" w:cs="Calibri"/>
                <w:sz w:val="18"/>
                <w:szCs w:val="18"/>
              </w:rPr>
            </w:pPr>
            <w:r w:rsidRPr="0078024B">
              <w:rPr>
                <w:rFonts w:ascii="Arial Narrow" w:hAnsi="Arial Narrow" w:cs="Calibri"/>
                <w:sz w:val="18"/>
                <w:szCs w:val="18"/>
              </w:rPr>
              <w:t>34</w:t>
            </w:r>
          </w:p>
        </w:tc>
        <w:tc>
          <w:tcPr>
            <w:tcW w:w="563" w:type="dxa"/>
            <w:tcBorders>
              <w:top w:val="single" w:sz="4" w:space="0" w:color="auto"/>
              <w:bottom w:val="single" w:sz="2" w:space="0" w:color="auto"/>
            </w:tcBorders>
            <w:shd w:val="clear" w:color="auto" w:fill="auto"/>
            <w:noWrap/>
            <w:vAlign w:val="center"/>
          </w:tcPr>
          <w:p w14:paraId="7FE48CC9" w14:textId="77777777" w:rsidR="008C1A80" w:rsidRPr="0078024B" w:rsidRDefault="008C1A80" w:rsidP="008C1A80">
            <w:pPr>
              <w:jc w:val="right"/>
              <w:rPr>
                <w:rFonts w:ascii="Arial Narrow" w:hAnsi="Arial Narrow" w:cs="Calibri"/>
                <w:sz w:val="18"/>
                <w:szCs w:val="18"/>
              </w:rPr>
            </w:pPr>
            <w:r w:rsidRPr="0078024B">
              <w:rPr>
                <w:rFonts w:ascii="Arial Narrow" w:hAnsi="Arial Narrow" w:cs="Calibri"/>
                <w:sz w:val="18"/>
                <w:szCs w:val="18"/>
              </w:rPr>
              <w:t>34</w:t>
            </w:r>
          </w:p>
        </w:tc>
        <w:tc>
          <w:tcPr>
            <w:tcW w:w="571" w:type="dxa"/>
            <w:tcBorders>
              <w:top w:val="single" w:sz="4" w:space="0" w:color="auto"/>
              <w:bottom w:val="single" w:sz="2" w:space="0" w:color="auto"/>
            </w:tcBorders>
            <w:shd w:val="clear" w:color="auto" w:fill="auto"/>
            <w:noWrap/>
            <w:vAlign w:val="center"/>
          </w:tcPr>
          <w:p w14:paraId="7DF9F7EC" w14:textId="77777777" w:rsidR="008C1A80" w:rsidRPr="0078024B" w:rsidRDefault="008C1A80" w:rsidP="008C1A80">
            <w:pPr>
              <w:jc w:val="right"/>
              <w:rPr>
                <w:rFonts w:ascii="Arial Narrow" w:hAnsi="Arial Narrow" w:cs="Calibri"/>
                <w:sz w:val="18"/>
                <w:szCs w:val="18"/>
              </w:rPr>
            </w:pPr>
            <w:r w:rsidRPr="0078024B">
              <w:rPr>
                <w:rFonts w:ascii="Arial Narrow" w:hAnsi="Arial Narrow" w:cs="Calibri"/>
                <w:sz w:val="18"/>
                <w:szCs w:val="18"/>
              </w:rPr>
              <w:t>33</w:t>
            </w:r>
          </w:p>
        </w:tc>
      </w:tr>
      <w:tr w:rsidR="0078024B" w:rsidRPr="0078024B" w14:paraId="7DE8F523" w14:textId="77777777" w:rsidTr="005A637D">
        <w:trPr>
          <w:trHeight w:val="198"/>
        </w:trPr>
        <w:tc>
          <w:tcPr>
            <w:tcW w:w="1126" w:type="dxa"/>
            <w:tcBorders>
              <w:top w:val="single" w:sz="2" w:space="0" w:color="auto"/>
              <w:bottom w:val="single" w:sz="2" w:space="0" w:color="auto"/>
            </w:tcBorders>
            <w:shd w:val="clear" w:color="auto" w:fill="auto"/>
            <w:vAlign w:val="center"/>
            <w:hideMark/>
          </w:tcPr>
          <w:p w14:paraId="66038E62" w14:textId="77777777" w:rsidR="0078024B" w:rsidRPr="0078024B" w:rsidRDefault="0078024B" w:rsidP="008601F6">
            <w:pPr>
              <w:rPr>
                <w:rFonts w:ascii="Arial Narrow" w:hAnsi="Arial Narrow" w:cs="Calibri"/>
                <w:sz w:val="18"/>
                <w:szCs w:val="18"/>
              </w:rPr>
            </w:pPr>
            <w:r w:rsidRPr="0078024B">
              <w:rPr>
                <w:rFonts w:ascii="Arial Narrow" w:hAnsi="Arial Narrow" w:cs="Calibri"/>
                <w:sz w:val="18"/>
                <w:szCs w:val="18"/>
              </w:rPr>
              <w:t>Educación</w:t>
            </w:r>
          </w:p>
        </w:tc>
        <w:tc>
          <w:tcPr>
            <w:tcW w:w="630" w:type="dxa"/>
            <w:tcBorders>
              <w:top w:val="single" w:sz="2" w:space="0" w:color="auto"/>
              <w:bottom w:val="single" w:sz="2" w:space="0" w:color="auto"/>
            </w:tcBorders>
            <w:shd w:val="clear" w:color="auto" w:fill="auto"/>
            <w:vAlign w:val="center"/>
            <w:hideMark/>
          </w:tcPr>
          <w:p w14:paraId="317A2CA1" w14:textId="77777777" w:rsidR="0078024B" w:rsidRPr="0078024B" w:rsidRDefault="0078024B" w:rsidP="008601F6">
            <w:pPr>
              <w:jc w:val="right"/>
              <w:rPr>
                <w:rFonts w:ascii="Arial Narrow" w:hAnsi="Arial Narrow" w:cs="Calibri"/>
                <w:sz w:val="18"/>
                <w:szCs w:val="18"/>
              </w:rPr>
            </w:pPr>
            <w:r w:rsidRPr="0078024B">
              <w:rPr>
                <w:rFonts w:ascii="Arial Narrow" w:hAnsi="Arial Narrow" w:cs="Calibri"/>
                <w:sz w:val="18"/>
                <w:szCs w:val="18"/>
              </w:rPr>
              <w:t>5.662</w:t>
            </w:r>
          </w:p>
        </w:tc>
        <w:tc>
          <w:tcPr>
            <w:tcW w:w="630" w:type="dxa"/>
            <w:tcBorders>
              <w:top w:val="single" w:sz="2" w:space="0" w:color="auto"/>
              <w:bottom w:val="single" w:sz="2" w:space="0" w:color="auto"/>
            </w:tcBorders>
            <w:shd w:val="clear" w:color="auto" w:fill="auto"/>
            <w:vAlign w:val="center"/>
            <w:hideMark/>
          </w:tcPr>
          <w:p w14:paraId="370EECF6" w14:textId="77777777" w:rsidR="0078024B" w:rsidRPr="0078024B" w:rsidRDefault="0078024B" w:rsidP="008601F6">
            <w:pPr>
              <w:jc w:val="right"/>
              <w:rPr>
                <w:rFonts w:ascii="Arial Narrow" w:hAnsi="Arial Narrow" w:cs="Calibri"/>
                <w:sz w:val="18"/>
                <w:szCs w:val="18"/>
              </w:rPr>
            </w:pPr>
            <w:r w:rsidRPr="0078024B">
              <w:rPr>
                <w:rFonts w:ascii="Arial Narrow" w:hAnsi="Arial Narrow" w:cs="Calibri"/>
                <w:sz w:val="18"/>
                <w:szCs w:val="18"/>
              </w:rPr>
              <w:t>5.934</w:t>
            </w:r>
          </w:p>
        </w:tc>
        <w:tc>
          <w:tcPr>
            <w:tcW w:w="697" w:type="dxa"/>
            <w:tcBorders>
              <w:top w:val="single" w:sz="2" w:space="0" w:color="auto"/>
              <w:bottom w:val="single" w:sz="2" w:space="0" w:color="auto"/>
              <w:right w:val="single" w:sz="2" w:space="0" w:color="auto"/>
            </w:tcBorders>
            <w:shd w:val="clear" w:color="auto" w:fill="auto"/>
            <w:vAlign w:val="center"/>
            <w:hideMark/>
          </w:tcPr>
          <w:p w14:paraId="52A5765A" w14:textId="77777777" w:rsidR="0078024B" w:rsidRPr="0078024B" w:rsidRDefault="0078024B" w:rsidP="008601F6">
            <w:pPr>
              <w:jc w:val="right"/>
              <w:rPr>
                <w:rFonts w:ascii="Arial Narrow" w:hAnsi="Arial Narrow" w:cs="Calibri"/>
                <w:sz w:val="18"/>
                <w:szCs w:val="18"/>
              </w:rPr>
            </w:pPr>
            <w:r w:rsidRPr="0078024B">
              <w:rPr>
                <w:rFonts w:ascii="Arial Narrow" w:hAnsi="Arial Narrow" w:cs="Calibri"/>
                <w:sz w:val="18"/>
                <w:szCs w:val="18"/>
              </w:rPr>
              <w:t>6.251</w:t>
            </w:r>
          </w:p>
        </w:tc>
        <w:tc>
          <w:tcPr>
            <w:tcW w:w="655" w:type="dxa"/>
            <w:tcBorders>
              <w:top w:val="single" w:sz="2" w:space="0" w:color="auto"/>
              <w:left w:val="single" w:sz="2" w:space="0" w:color="auto"/>
              <w:bottom w:val="single" w:sz="2" w:space="0" w:color="auto"/>
            </w:tcBorders>
            <w:shd w:val="clear" w:color="auto" w:fill="auto"/>
            <w:vAlign w:val="center"/>
            <w:hideMark/>
          </w:tcPr>
          <w:p w14:paraId="30BA447F" w14:textId="77777777" w:rsidR="0078024B" w:rsidRPr="0078024B" w:rsidRDefault="0078024B" w:rsidP="008601F6">
            <w:pPr>
              <w:jc w:val="right"/>
              <w:rPr>
                <w:rFonts w:ascii="Arial Narrow" w:hAnsi="Arial Narrow" w:cs="Calibri"/>
                <w:sz w:val="18"/>
                <w:szCs w:val="18"/>
              </w:rPr>
            </w:pPr>
            <w:r w:rsidRPr="0078024B">
              <w:rPr>
                <w:rFonts w:ascii="Arial Narrow" w:hAnsi="Arial Narrow" w:cs="Calibri"/>
                <w:sz w:val="18"/>
                <w:szCs w:val="18"/>
              </w:rPr>
              <w:t>6.052</w:t>
            </w:r>
          </w:p>
        </w:tc>
        <w:tc>
          <w:tcPr>
            <w:tcW w:w="630" w:type="dxa"/>
            <w:tcBorders>
              <w:top w:val="single" w:sz="2" w:space="0" w:color="auto"/>
              <w:bottom w:val="single" w:sz="2" w:space="0" w:color="auto"/>
            </w:tcBorders>
            <w:shd w:val="clear" w:color="auto" w:fill="auto"/>
            <w:vAlign w:val="center"/>
            <w:hideMark/>
          </w:tcPr>
          <w:p w14:paraId="74E281E4" w14:textId="77777777" w:rsidR="0078024B" w:rsidRPr="0078024B" w:rsidRDefault="0078024B" w:rsidP="008601F6">
            <w:pPr>
              <w:jc w:val="right"/>
              <w:rPr>
                <w:rFonts w:ascii="Arial Narrow" w:hAnsi="Arial Narrow" w:cs="Calibri"/>
                <w:sz w:val="18"/>
                <w:szCs w:val="18"/>
              </w:rPr>
            </w:pPr>
            <w:r w:rsidRPr="0078024B">
              <w:rPr>
                <w:rFonts w:ascii="Arial Narrow" w:hAnsi="Arial Narrow" w:cs="Calibri"/>
                <w:sz w:val="18"/>
                <w:szCs w:val="18"/>
              </w:rPr>
              <w:t>6.028</w:t>
            </w:r>
          </w:p>
        </w:tc>
        <w:tc>
          <w:tcPr>
            <w:tcW w:w="630" w:type="dxa"/>
            <w:tcBorders>
              <w:top w:val="single" w:sz="2" w:space="0" w:color="auto"/>
              <w:bottom w:val="single" w:sz="2" w:space="0" w:color="auto"/>
              <w:right w:val="single" w:sz="2" w:space="0" w:color="auto"/>
            </w:tcBorders>
            <w:shd w:val="clear" w:color="auto" w:fill="auto"/>
            <w:vAlign w:val="center"/>
            <w:hideMark/>
          </w:tcPr>
          <w:p w14:paraId="309E0C27" w14:textId="77777777" w:rsidR="0078024B" w:rsidRPr="0078024B" w:rsidRDefault="0078024B" w:rsidP="008601F6">
            <w:pPr>
              <w:jc w:val="right"/>
              <w:rPr>
                <w:rFonts w:ascii="Arial Narrow" w:hAnsi="Arial Narrow" w:cs="Calibri"/>
                <w:sz w:val="18"/>
                <w:szCs w:val="18"/>
              </w:rPr>
            </w:pPr>
            <w:r w:rsidRPr="0078024B">
              <w:rPr>
                <w:rFonts w:ascii="Arial Narrow" w:hAnsi="Arial Narrow" w:cs="Calibri"/>
                <w:sz w:val="18"/>
                <w:szCs w:val="18"/>
              </w:rPr>
              <w:t>6.178</w:t>
            </w:r>
          </w:p>
        </w:tc>
        <w:tc>
          <w:tcPr>
            <w:tcW w:w="696" w:type="dxa"/>
            <w:tcBorders>
              <w:top w:val="single" w:sz="2" w:space="0" w:color="auto"/>
              <w:left w:val="single" w:sz="2" w:space="0" w:color="auto"/>
              <w:bottom w:val="single" w:sz="2" w:space="0" w:color="auto"/>
            </w:tcBorders>
            <w:shd w:val="clear" w:color="auto" w:fill="auto"/>
            <w:vAlign w:val="center"/>
            <w:hideMark/>
          </w:tcPr>
          <w:p w14:paraId="3A45059E" w14:textId="77777777" w:rsidR="0078024B" w:rsidRPr="0078024B" w:rsidRDefault="0078024B" w:rsidP="008601F6">
            <w:pPr>
              <w:jc w:val="right"/>
              <w:rPr>
                <w:rFonts w:ascii="Arial Narrow" w:hAnsi="Arial Narrow" w:cs="Calibri"/>
                <w:sz w:val="18"/>
                <w:szCs w:val="18"/>
              </w:rPr>
            </w:pPr>
            <w:r w:rsidRPr="0078024B">
              <w:rPr>
                <w:rFonts w:ascii="Arial Narrow" w:hAnsi="Arial Narrow" w:cs="Calibri"/>
                <w:sz w:val="18"/>
                <w:szCs w:val="18"/>
              </w:rPr>
              <w:t>11.714</w:t>
            </w:r>
          </w:p>
        </w:tc>
        <w:tc>
          <w:tcPr>
            <w:tcW w:w="697" w:type="dxa"/>
            <w:tcBorders>
              <w:top w:val="single" w:sz="2" w:space="0" w:color="auto"/>
              <w:bottom w:val="single" w:sz="2" w:space="0" w:color="auto"/>
            </w:tcBorders>
            <w:shd w:val="clear" w:color="auto" w:fill="auto"/>
            <w:vAlign w:val="center"/>
            <w:hideMark/>
          </w:tcPr>
          <w:p w14:paraId="04F542E3" w14:textId="77777777" w:rsidR="0078024B" w:rsidRPr="0078024B" w:rsidRDefault="0078024B" w:rsidP="008601F6">
            <w:pPr>
              <w:jc w:val="right"/>
              <w:rPr>
                <w:rFonts w:ascii="Arial Narrow" w:hAnsi="Arial Narrow" w:cs="Calibri"/>
                <w:sz w:val="18"/>
                <w:szCs w:val="18"/>
              </w:rPr>
            </w:pPr>
            <w:r w:rsidRPr="0078024B">
              <w:rPr>
                <w:rFonts w:ascii="Arial Narrow" w:hAnsi="Arial Narrow" w:cs="Calibri"/>
                <w:sz w:val="18"/>
                <w:szCs w:val="18"/>
              </w:rPr>
              <w:t>11.962</w:t>
            </w:r>
          </w:p>
        </w:tc>
        <w:tc>
          <w:tcPr>
            <w:tcW w:w="697" w:type="dxa"/>
            <w:tcBorders>
              <w:top w:val="single" w:sz="2" w:space="0" w:color="auto"/>
              <w:bottom w:val="single" w:sz="2" w:space="0" w:color="auto"/>
              <w:right w:val="single" w:sz="2" w:space="0" w:color="auto"/>
            </w:tcBorders>
            <w:shd w:val="clear" w:color="auto" w:fill="auto"/>
            <w:vAlign w:val="center"/>
            <w:hideMark/>
          </w:tcPr>
          <w:p w14:paraId="5013B2B0" w14:textId="77777777" w:rsidR="0078024B" w:rsidRPr="0078024B" w:rsidRDefault="0078024B" w:rsidP="008601F6">
            <w:pPr>
              <w:jc w:val="right"/>
              <w:rPr>
                <w:rFonts w:ascii="Arial Narrow" w:hAnsi="Arial Narrow" w:cs="Calibri"/>
                <w:sz w:val="18"/>
                <w:szCs w:val="18"/>
              </w:rPr>
            </w:pPr>
            <w:r w:rsidRPr="0078024B">
              <w:rPr>
                <w:rFonts w:ascii="Arial Narrow" w:hAnsi="Arial Narrow" w:cs="Calibri"/>
                <w:sz w:val="18"/>
                <w:szCs w:val="18"/>
              </w:rPr>
              <w:t>12.429</w:t>
            </w:r>
          </w:p>
        </w:tc>
        <w:tc>
          <w:tcPr>
            <w:tcW w:w="567" w:type="dxa"/>
            <w:tcBorders>
              <w:top w:val="single" w:sz="2" w:space="0" w:color="auto"/>
              <w:left w:val="single" w:sz="2" w:space="0" w:color="auto"/>
              <w:bottom w:val="single" w:sz="2" w:space="0" w:color="auto"/>
            </w:tcBorders>
            <w:shd w:val="clear" w:color="auto" w:fill="auto"/>
            <w:noWrap/>
            <w:vAlign w:val="center"/>
            <w:hideMark/>
          </w:tcPr>
          <w:p w14:paraId="1EBAFAEF" w14:textId="77777777" w:rsidR="0078024B" w:rsidRPr="0078024B" w:rsidRDefault="0078024B" w:rsidP="008601F6">
            <w:pPr>
              <w:jc w:val="right"/>
              <w:rPr>
                <w:rFonts w:ascii="Arial Narrow" w:hAnsi="Arial Narrow" w:cs="Calibri"/>
                <w:sz w:val="18"/>
                <w:szCs w:val="18"/>
              </w:rPr>
            </w:pPr>
            <w:r w:rsidRPr="0078024B">
              <w:rPr>
                <w:rFonts w:ascii="Arial Narrow" w:hAnsi="Arial Narrow" w:cs="Calibri"/>
                <w:sz w:val="18"/>
                <w:szCs w:val="18"/>
              </w:rPr>
              <w:t>52</w:t>
            </w:r>
          </w:p>
        </w:tc>
        <w:tc>
          <w:tcPr>
            <w:tcW w:w="563" w:type="dxa"/>
            <w:tcBorders>
              <w:top w:val="single" w:sz="2" w:space="0" w:color="auto"/>
              <w:bottom w:val="single" w:sz="2" w:space="0" w:color="auto"/>
            </w:tcBorders>
            <w:shd w:val="clear" w:color="auto" w:fill="auto"/>
            <w:noWrap/>
            <w:vAlign w:val="center"/>
            <w:hideMark/>
          </w:tcPr>
          <w:p w14:paraId="06395302" w14:textId="77777777" w:rsidR="0078024B" w:rsidRPr="0078024B" w:rsidRDefault="0078024B" w:rsidP="008601F6">
            <w:pPr>
              <w:jc w:val="right"/>
              <w:rPr>
                <w:rFonts w:ascii="Arial Narrow" w:hAnsi="Arial Narrow" w:cs="Calibri"/>
                <w:sz w:val="18"/>
                <w:szCs w:val="18"/>
              </w:rPr>
            </w:pPr>
            <w:r w:rsidRPr="0078024B">
              <w:rPr>
                <w:rFonts w:ascii="Arial Narrow" w:hAnsi="Arial Narrow" w:cs="Calibri"/>
                <w:sz w:val="18"/>
                <w:szCs w:val="18"/>
              </w:rPr>
              <w:t>50</w:t>
            </w:r>
          </w:p>
        </w:tc>
        <w:tc>
          <w:tcPr>
            <w:tcW w:w="571" w:type="dxa"/>
            <w:tcBorders>
              <w:top w:val="single" w:sz="2" w:space="0" w:color="auto"/>
              <w:bottom w:val="single" w:sz="2" w:space="0" w:color="auto"/>
            </w:tcBorders>
            <w:shd w:val="clear" w:color="auto" w:fill="auto"/>
            <w:noWrap/>
            <w:vAlign w:val="center"/>
            <w:hideMark/>
          </w:tcPr>
          <w:p w14:paraId="60321F55" w14:textId="77777777" w:rsidR="0078024B" w:rsidRPr="0078024B" w:rsidRDefault="0078024B" w:rsidP="008601F6">
            <w:pPr>
              <w:jc w:val="right"/>
              <w:rPr>
                <w:rFonts w:ascii="Arial Narrow" w:hAnsi="Arial Narrow" w:cs="Calibri"/>
                <w:sz w:val="18"/>
                <w:szCs w:val="18"/>
              </w:rPr>
            </w:pPr>
            <w:r w:rsidRPr="0078024B">
              <w:rPr>
                <w:rFonts w:ascii="Arial Narrow" w:hAnsi="Arial Narrow" w:cs="Calibri"/>
                <w:sz w:val="18"/>
                <w:szCs w:val="18"/>
              </w:rPr>
              <w:t>50</w:t>
            </w:r>
          </w:p>
        </w:tc>
      </w:tr>
      <w:tr w:rsidR="0078024B" w:rsidRPr="0078024B" w14:paraId="66ECAA81" w14:textId="77777777" w:rsidTr="005A637D">
        <w:trPr>
          <w:trHeight w:val="198"/>
        </w:trPr>
        <w:tc>
          <w:tcPr>
            <w:tcW w:w="1126" w:type="dxa"/>
            <w:tcBorders>
              <w:top w:val="single" w:sz="2" w:space="0" w:color="auto"/>
              <w:bottom w:val="single" w:sz="4" w:space="0" w:color="auto"/>
            </w:tcBorders>
            <w:shd w:val="clear" w:color="auto" w:fill="auto"/>
            <w:vAlign w:val="center"/>
            <w:hideMark/>
          </w:tcPr>
          <w:p w14:paraId="6D114A2E" w14:textId="77777777" w:rsidR="0078024B" w:rsidRPr="0078024B" w:rsidRDefault="0078024B" w:rsidP="008601F6">
            <w:pPr>
              <w:rPr>
                <w:rFonts w:ascii="Arial Narrow" w:hAnsi="Arial Narrow" w:cs="Calibri"/>
                <w:sz w:val="18"/>
                <w:szCs w:val="18"/>
              </w:rPr>
            </w:pPr>
            <w:r w:rsidRPr="0078024B">
              <w:rPr>
                <w:rFonts w:ascii="Arial Narrow" w:hAnsi="Arial Narrow" w:cs="Calibri"/>
                <w:sz w:val="18"/>
                <w:szCs w:val="18"/>
              </w:rPr>
              <w:t>SNS-O</w:t>
            </w:r>
          </w:p>
        </w:tc>
        <w:tc>
          <w:tcPr>
            <w:tcW w:w="630" w:type="dxa"/>
            <w:tcBorders>
              <w:top w:val="single" w:sz="2" w:space="0" w:color="auto"/>
              <w:bottom w:val="single" w:sz="4" w:space="0" w:color="auto"/>
            </w:tcBorders>
            <w:shd w:val="clear" w:color="auto" w:fill="auto"/>
            <w:vAlign w:val="center"/>
            <w:hideMark/>
          </w:tcPr>
          <w:p w14:paraId="4B57BA53" w14:textId="77777777" w:rsidR="0078024B" w:rsidRPr="0078024B" w:rsidRDefault="0078024B" w:rsidP="008601F6">
            <w:pPr>
              <w:jc w:val="right"/>
              <w:rPr>
                <w:rFonts w:ascii="Arial Narrow" w:hAnsi="Arial Narrow" w:cs="Calibri"/>
                <w:sz w:val="18"/>
                <w:szCs w:val="18"/>
              </w:rPr>
            </w:pPr>
            <w:r w:rsidRPr="0078024B">
              <w:rPr>
                <w:rFonts w:ascii="Arial Narrow" w:hAnsi="Arial Narrow" w:cs="Calibri"/>
                <w:sz w:val="18"/>
                <w:szCs w:val="18"/>
              </w:rPr>
              <w:t>4.897</w:t>
            </w:r>
          </w:p>
        </w:tc>
        <w:tc>
          <w:tcPr>
            <w:tcW w:w="630" w:type="dxa"/>
            <w:tcBorders>
              <w:top w:val="single" w:sz="2" w:space="0" w:color="auto"/>
              <w:bottom w:val="single" w:sz="4" w:space="0" w:color="auto"/>
            </w:tcBorders>
            <w:shd w:val="clear" w:color="auto" w:fill="auto"/>
            <w:vAlign w:val="center"/>
            <w:hideMark/>
          </w:tcPr>
          <w:p w14:paraId="7F93E67A" w14:textId="77777777" w:rsidR="0078024B" w:rsidRPr="0078024B" w:rsidRDefault="0078024B" w:rsidP="008601F6">
            <w:pPr>
              <w:jc w:val="right"/>
              <w:rPr>
                <w:rFonts w:ascii="Arial Narrow" w:hAnsi="Arial Narrow" w:cs="Calibri"/>
                <w:sz w:val="18"/>
                <w:szCs w:val="18"/>
              </w:rPr>
            </w:pPr>
            <w:r w:rsidRPr="0078024B">
              <w:rPr>
                <w:rFonts w:ascii="Arial Narrow" w:hAnsi="Arial Narrow" w:cs="Calibri"/>
                <w:sz w:val="18"/>
                <w:szCs w:val="18"/>
              </w:rPr>
              <w:t>5.459</w:t>
            </w:r>
          </w:p>
        </w:tc>
        <w:tc>
          <w:tcPr>
            <w:tcW w:w="697" w:type="dxa"/>
            <w:tcBorders>
              <w:top w:val="single" w:sz="2" w:space="0" w:color="auto"/>
              <w:bottom w:val="single" w:sz="4" w:space="0" w:color="auto"/>
              <w:right w:val="single" w:sz="2" w:space="0" w:color="auto"/>
            </w:tcBorders>
            <w:shd w:val="clear" w:color="auto" w:fill="auto"/>
            <w:vAlign w:val="center"/>
            <w:hideMark/>
          </w:tcPr>
          <w:p w14:paraId="67FDDED6" w14:textId="77777777" w:rsidR="0078024B" w:rsidRPr="0078024B" w:rsidRDefault="0078024B" w:rsidP="008601F6">
            <w:pPr>
              <w:jc w:val="right"/>
              <w:rPr>
                <w:rFonts w:ascii="Arial Narrow" w:hAnsi="Arial Narrow" w:cs="Calibri"/>
                <w:sz w:val="18"/>
                <w:szCs w:val="18"/>
              </w:rPr>
            </w:pPr>
            <w:r w:rsidRPr="0078024B">
              <w:rPr>
                <w:rFonts w:ascii="Arial Narrow" w:hAnsi="Arial Narrow" w:cs="Calibri"/>
                <w:sz w:val="18"/>
                <w:szCs w:val="18"/>
              </w:rPr>
              <w:t>6.506</w:t>
            </w:r>
          </w:p>
        </w:tc>
        <w:tc>
          <w:tcPr>
            <w:tcW w:w="655" w:type="dxa"/>
            <w:tcBorders>
              <w:top w:val="single" w:sz="2" w:space="0" w:color="auto"/>
              <w:left w:val="single" w:sz="2" w:space="0" w:color="auto"/>
              <w:bottom w:val="single" w:sz="4" w:space="0" w:color="auto"/>
            </w:tcBorders>
            <w:shd w:val="clear" w:color="auto" w:fill="auto"/>
            <w:vAlign w:val="center"/>
            <w:hideMark/>
          </w:tcPr>
          <w:p w14:paraId="115AB626" w14:textId="77777777" w:rsidR="0078024B" w:rsidRPr="0078024B" w:rsidRDefault="0078024B" w:rsidP="008601F6">
            <w:pPr>
              <w:jc w:val="right"/>
              <w:rPr>
                <w:rFonts w:ascii="Arial Narrow" w:hAnsi="Arial Narrow" w:cs="Calibri"/>
                <w:sz w:val="18"/>
                <w:szCs w:val="18"/>
              </w:rPr>
            </w:pPr>
            <w:r w:rsidRPr="0078024B">
              <w:rPr>
                <w:rFonts w:ascii="Arial Narrow" w:hAnsi="Arial Narrow" w:cs="Calibri"/>
                <w:sz w:val="18"/>
                <w:szCs w:val="18"/>
              </w:rPr>
              <w:t>8.890</w:t>
            </w:r>
          </w:p>
        </w:tc>
        <w:tc>
          <w:tcPr>
            <w:tcW w:w="630" w:type="dxa"/>
            <w:tcBorders>
              <w:top w:val="single" w:sz="2" w:space="0" w:color="auto"/>
              <w:bottom w:val="single" w:sz="4" w:space="0" w:color="auto"/>
            </w:tcBorders>
            <w:shd w:val="clear" w:color="auto" w:fill="auto"/>
            <w:vAlign w:val="center"/>
            <w:hideMark/>
          </w:tcPr>
          <w:p w14:paraId="600A93B0" w14:textId="77777777" w:rsidR="0078024B" w:rsidRPr="0078024B" w:rsidRDefault="0078024B" w:rsidP="008601F6">
            <w:pPr>
              <w:jc w:val="right"/>
              <w:rPr>
                <w:rFonts w:ascii="Arial Narrow" w:hAnsi="Arial Narrow" w:cs="Calibri"/>
                <w:sz w:val="18"/>
                <w:szCs w:val="18"/>
              </w:rPr>
            </w:pPr>
            <w:r w:rsidRPr="0078024B">
              <w:rPr>
                <w:rFonts w:ascii="Arial Narrow" w:hAnsi="Arial Narrow" w:cs="Calibri"/>
                <w:sz w:val="18"/>
                <w:szCs w:val="18"/>
              </w:rPr>
              <w:t>7.872</w:t>
            </w:r>
          </w:p>
        </w:tc>
        <w:tc>
          <w:tcPr>
            <w:tcW w:w="630" w:type="dxa"/>
            <w:tcBorders>
              <w:top w:val="single" w:sz="2" w:space="0" w:color="auto"/>
              <w:bottom w:val="single" w:sz="4" w:space="0" w:color="auto"/>
              <w:right w:val="single" w:sz="2" w:space="0" w:color="auto"/>
            </w:tcBorders>
            <w:shd w:val="clear" w:color="auto" w:fill="auto"/>
            <w:vAlign w:val="center"/>
            <w:hideMark/>
          </w:tcPr>
          <w:p w14:paraId="10D0B682" w14:textId="77777777" w:rsidR="0078024B" w:rsidRPr="0078024B" w:rsidRDefault="0078024B" w:rsidP="008601F6">
            <w:pPr>
              <w:jc w:val="right"/>
              <w:rPr>
                <w:rFonts w:ascii="Arial Narrow" w:hAnsi="Arial Narrow" w:cs="Calibri"/>
                <w:sz w:val="18"/>
                <w:szCs w:val="18"/>
              </w:rPr>
            </w:pPr>
            <w:r w:rsidRPr="0078024B">
              <w:rPr>
                <w:rFonts w:ascii="Arial Narrow" w:hAnsi="Arial Narrow" w:cs="Calibri"/>
                <w:sz w:val="18"/>
                <w:szCs w:val="18"/>
              </w:rPr>
              <w:t>6.911</w:t>
            </w:r>
          </w:p>
        </w:tc>
        <w:tc>
          <w:tcPr>
            <w:tcW w:w="696" w:type="dxa"/>
            <w:tcBorders>
              <w:top w:val="single" w:sz="2" w:space="0" w:color="auto"/>
              <w:left w:val="single" w:sz="2" w:space="0" w:color="auto"/>
              <w:bottom w:val="single" w:sz="4" w:space="0" w:color="auto"/>
            </w:tcBorders>
            <w:shd w:val="clear" w:color="auto" w:fill="auto"/>
            <w:vAlign w:val="center"/>
            <w:hideMark/>
          </w:tcPr>
          <w:p w14:paraId="31F65E76" w14:textId="77777777" w:rsidR="0078024B" w:rsidRPr="0078024B" w:rsidRDefault="0078024B" w:rsidP="008601F6">
            <w:pPr>
              <w:jc w:val="right"/>
              <w:rPr>
                <w:rFonts w:ascii="Arial Narrow" w:hAnsi="Arial Narrow" w:cs="Calibri"/>
                <w:sz w:val="18"/>
                <w:szCs w:val="18"/>
              </w:rPr>
            </w:pPr>
            <w:r w:rsidRPr="0078024B">
              <w:rPr>
                <w:rFonts w:ascii="Arial Narrow" w:hAnsi="Arial Narrow" w:cs="Calibri"/>
                <w:sz w:val="18"/>
                <w:szCs w:val="18"/>
              </w:rPr>
              <w:t>13.787</w:t>
            </w:r>
          </w:p>
        </w:tc>
        <w:tc>
          <w:tcPr>
            <w:tcW w:w="697" w:type="dxa"/>
            <w:tcBorders>
              <w:top w:val="single" w:sz="2" w:space="0" w:color="auto"/>
              <w:bottom w:val="single" w:sz="4" w:space="0" w:color="auto"/>
            </w:tcBorders>
            <w:shd w:val="clear" w:color="auto" w:fill="auto"/>
            <w:vAlign w:val="center"/>
            <w:hideMark/>
          </w:tcPr>
          <w:p w14:paraId="5392A869" w14:textId="77777777" w:rsidR="0078024B" w:rsidRPr="0078024B" w:rsidRDefault="0078024B" w:rsidP="008601F6">
            <w:pPr>
              <w:jc w:val="right"/>
              <w:rPr>
                <w:rFonts w:ascii="Arial Narrow" w:hAnsi="Arial Narrow" w:cs="Calibri"/>
                <w:sz w:val="18"/>
                <w:szCs w:val="18"/>
              </w:rPr>
            </w:pPr>
            <w:r w:rsidRPr="0078024B">
              <w:rPr>
                <w:rFonts w:ascii="Arial Narrow" w:hAnsi="Arial Narrow" w:cs="Calibri"/>
                <w:sz w:val="18"/>
                <w:szCs w:val="18"/>
              </w:rPr>
              <w:t>13.331</w:t>
            </w:r>
          </w:p>
        </w:tc>
        <w:tc>
          <w:tcPr>
            <w:tcW w:w="697" w:type="dxa"/>
            <w:tcBorders>
              <w:top w:val="single" w:sz="2" w:space="0" w:color="auto"/>
              <w:bottom w:val="single" w:sz="4" w:space="0" w:color="auto"/>
              <w:right w:val="single" w:sz="2" w:space="0" w:color="auto"/>
            </w:tcBorders>
            <w:shd w:val="clear" w:color="auto" w:fill="auto"/>
            <w:vAlign w:val="center"/>
            <w:hideMark/>
          </w:tcPr>
          <w:p w14:paraId="3C53B24A" w14:textId="77777777" w:rsidR="0078024B" w:rsidRPr="0078024B" w:rsidRDefault="0078024B" w:rsidP="008601F6">
            <w:pPr>
              <w:jc w:val="right"/>
              <w:rPr>
                <w:rFonts w:ascii="Arial Narrow" w:hAnsi="Arial Narrow" w:cs="Calibri"/>
                <w:sz w:val="18"/>
                <w:szCs w:val="18"/>
              </w:rPr>
            </w:pPr>
            <w:r w:rsidRPr="0078024B">
              <w:rPr>
                <w:rFonts w:ascii="Arial Narrow" w:hAnsi="Arial Narrow" w:cs="Calibri"/>
                <w:sz w:val="18"/>
                <w:szCs w:val="18"/>
              </w:rPr>
              <w:t>13.417</w:t>
            </w:r>
          </w:p>
        </w:tc>
        <w:tc>
          <w:tcPr>
            <w:tcW w:w="567" w:type="dxa"/>
            <w:tcBorders>
              <w:top w:val="single" w:sz="2" w:space="0" w:color="auto"/>
              <w:left w:val="single" w:sz="2" w:space="0" w:color="auto"/>
              <w:bottom w:val="single" w:sz="4" w:space="0" w:color="auto"/>
            </w:tcBorders>
            <w:shd w:val="clear" w:color="auto" w:fill="auto"/>
            <w:noWrap/>
            <w:vAlign w:val="center"/>
            <w:hideMark/>
          </w:tcPr>
          <w:p w14:paraId="71EB9B2B" w14:textId="77777777" w:rsidR="0078024B" w:rsidRPr="0078024B" w:rsidRDefault="0078024B" w:rsidP="008601F6">
            <w:pPr>
              <w:jc w:val="right"/>
              <w:rPr>
                <w:rFonts w:ascii="Arial Narrow" w:hAnsi="Arial Narrow" w:cs="Calibri"/>
                <w:sz w:val="18"/>
                <w:szCs w:val="18"/>
              </w:rPr>
            </w:pPr>
            <w:r w:rsidRPr="0078024B">
              <w:rPr>
                <w:rFonts w:ascii="Arial Narrow" w:hAnsi="Arial Narrow" w:cs="Calibri"/>
                <w:sz w:val="18"/>
                <w:szCs w:val="18"/>
              </w:rPr>
              <w:t>64</w:t>
            </w:r>
          </w:p>
        </w:tc>
        <w:tc>
          <w:tcPr>
            <w:tcW w:w="563" w:type="dxa"/>
            <w:tcBorders>
              <w:top w:val="single" w:sz="2" w:space="0" w:color="auto"/>
              <w:bottom w:val="single" w:sz="4" w:space="0" w:color="auto"/>
            </w:tcBorders>
            <w:shd w:val="clear" w:color="auto" w:fill="auto"/>
            <w:noWrap/>
            <w:vAlign w:val="center"/>
            <w:hideMark/>
          </w:tcPr>
          <w:p w14:paraId="76ACBC1A" w14:textId="77777777" w:rsidR="0078024B" w:rsidRPr="0078024B" w:rsidRDefault="0078024B" w:rsidP="008601F6">
            <w:pPr>
              <w:jc w:val="right"/>
              <w:rPr>
                <w:rFonts w:ascii="Arial Narrow" w:hAnsi="Arial Narrow" w:cs="Calibri"/>
                <w:sz w:val="18"/>
                <w:szCs w:val="18"/>
              </w:rPr>
            </w:pPr>
            <w:r w:rsidRPr="0078024B">
              <w:rPr>
                <w:rFonts w:ascii="Arial Narrow" w:hAnsi="Arial Narrow" w:cs="Calibri"/>
                <w:sz w:val="18"/>
                <w:szCs w:val="18"/>
              </w:rPr>
              <w:t>59</w:t>
            </w:r>
          </w:p>
        </w:tc>
        <w:tc>
          <w:tcPr>
            <w:tcW w:w="571" w:type="dxa"/>
            <w:tcBorders>
              <w:top w:val="single" w:sz="2" w:space="0" w:color="auto"/>
              <w:bottom w:val="single" w:sz="4" w:space="0" w:color="auto"/>
            </w:tcBorders>
            <w:shd w:val="clear" w:color="auto" w:fill="auto"/>
            <w:noWrap/>
            <w:vAlign w:val="center"/>
            <w:hideMark/>
          </w:tcPr>
          <w:p w14:paraId="5BB91878" w14:textId="77777777" w:rsidR="0078024B" w:rsidRPr="0078024B" w:rsidRDefault="0078024B" w:rsidP="008601F6">
            <w:pPr>
              <w:jc w:val="right"/>
              <w:rPr>
                <w:rFonts w:ascii="Arial Narrow" w:hAnsi="Arial Narrow" w:cs="Calibri"/>
                <w:sz w:val="18"/>
                <w:szCs w:val="18"/>
              </w:rPr>
            </w:pPr>
            <w:r w:rsidRPr="0078024B">
              <w:rPr>
                <w:rFonts w:ascii="Arial Narrow" w:hAnsi="Arial Narrow" w:cs="Calibri"/>
                <w:sz w:val="18"/>
                <w:szCs w:val="18"/>
              </w:rPr>
              <w:t>52</w:t>
            </w:r>
          </w:p>
        </w:tc>
      </w:tr>
      <w:tr w:rsidR="0078024B" w:rsidRPr="00ED59EE" w14:paraId="018FA9E1" w14:textId="77777777" w:rsidTr="005A637D">
        <w:trPr>
          <w:trHeight w:val="255"/>
        </w:trPr>
        <w:tc>
          <w:tcPr>
            <w:tcW w:w="1126" w:type="dxa"/>
            <w:tcBorders>
              <w:top w:val="single" w:sz="4" w:space="0" w:color="auto"/>
              <w:bottom w:val="single" w:sz="4" w:space="0" w:color="auto"/>
            </w:tcBorders>
            <w:shd w:val="clear" w:color="000000" w:fill="8DB3E2"/>
            <w:vAlign w:val="center"/>
            <w:hideMark/>
          </w:tcPr>
          <w:p w14:paraId="2055FAD2" w14:textId="77777777" w:rsidR="0078024B" w:rsidRPr="00ED59EE" w:rsidRDefault="0078024B" w:rsidP="008601F6">
            <w:pPr>
              <w:rPr>
                <w:rFonts w:ascii="Arial" w:hAnsi="Arial" w:cs="Arial"/>
                <w:sz w:val="18"/>
                <w:szCs w:val="18"/>
              </w:rPr>
            </w:pPr>
            <w:r w:rsidRPr="00ED59EE">
              <w:rPr>
                <w:rFonts w:ascii="Arial" w:hAnsi="Arial" w:cs="Arial"/>
                <w:sz w:val="18"/>
                <w:szCs w:val="18"/>
              </w:rPr>
              <w:t> </w:t>
            </w:r>
          </w:p>
        </w:tc>
        <w:tc>
          <w:tcPr>
            <w:tcW w:w="630" w:type="dxa"/>
            <w:tcBorders>
              <w:top w:val="single" w:sz="4" w:space="0" w:color="auto"/>
              <w:bottom w:val="single" w:sz="4" w:space="0" w:color="auto"/>
            </w:tcBorders>
            <w:shd w:val="clear" w:color="000000" w:fill="8DB3E2"/>
            <w:vAlign w:val="center"/>
          </w:tcPr>
          <w:p w14:paraId="1D84099B" w14:textId="77777777" w:rsidR="0078024B" w:rsidRPr="00ED59EE" w:rsidRDefault="0078024B" w:rsidP="008601F6">
            <w:pPr>
              <w:jc w:val="right"/>
              <w:rPr>
                <w:rFonts w:ascii="Arial" w:hAnsi="Arial" w:cs="Arial"/>
                <w:sz w:val="18"/>
                <w:szCs w:val="18"/>
              </w:rPr>
            </w:pPr>
            <w:r w:rsidRPr="00ED59EE">
              <w:rPr>
                <w:rFonts w:ascii="Arial" w:hAnsi="Arial" w:cs="Arial"/>
                <w:sz w:val="18"/>
                <w:szCs w:val="18"/>
              </w:rPr>
              <w:t>14.953</w:t>
            </w:r>
          </w:p>
        </w:tc>
        <w:tc>
          <w:tcPr>
            <w:tcW w:w="630" w:type="dxa"/>
            <w:tcBorders>
              <w:top w:val="single" w:sz="4" w:space="0" w:color="auto"/>
              <w:bottom w:val="single" w:sz="4" w:space="0" w:color="auto"/>
            </w:tcBorders>
            <w:shd w:val="clear" w:color="000000" w:fill="8DB3E2"/>
            <w:vAlign w:val="center"/>
          </w:tcPr>
          <w:p w14:paraId="6D714570" w14:textId="77777777" w:rsidR="0078024B" w:rsidRPr="00ED59EE" w:rsidRDefault="0078024B" w:rsidP="008601F6">
            <w:pPr>
              <w:jc w:val="right"/>
              <w:rPr>
                <w:rFonts w:ascii="Arial" w:hAnsi="Arial" w:cs="Arial"/>
                <w:sz w:val="18"/>
                <w:szCs w:val="18"/>
              </w:rPr>
            </w:pPr>
            <w:r w:rsidRPr="00ED59EE">
              <w:rPr>
                <w:rFonts w:ascii="Arial" w:hAnsi="Arial" w:cs="Arial"/>
                <w:sz w:val="18"/>
                <w:szCs w:val="18"/>
              </w:rPr>
              <w:t>15.725</w:t>
            </w:r>
          </w:p>
        </w:tc>
        <w:tc>
          <w:tcPr>
            <w:tcW w:w="697" w:type="dxa"/>
            <w:tcBorders>
              <w:top w:val="single" w:sz="4" w:space="0" w:color="auto"/>
              <w:bottom w:val="single" w:sz="4" w:space="0" w:color="auto"/>
              <w:right w:val="single" w:sz="2" w:space="0" w:color="auto"/>
            </w:tcBorders>
            <w:shd w:val="clear" w:color="000000" w:fill="8DB3E2"/>
            <w:vAlign w:val="center"/>
          </w:tcPr>
          <w:p w14:paraId="2D81DA7E" w14:textId="77777777" w:rsidR="0078024B" w:rsidRPr="00ED59EE" w:rsidRDefault="0078024B" w:rsidP="008601F6">
            <w:pPr>
              <w:jc w:val="right"/>
              <w:rPr>
                <w:rFonts w:ascii="Arial" w:hAnsi="Arial" w:cs="Arial"/>
                <w:sz w:val="18"/>
                <w:szCs w:val="18"/>
              </w:rPr>
            </w:pPr>
            <w:r w:rsidRPr="00ED59EE">
              <w:rPr>
                <w:rFonts w:ascii="Arial" w:hAnsi="Arial" w:cs="Arial"/>
                <w:sz w:val="18"/>
                <w:szCs w:val="18"/>
              </w:rPr>
              <w:t>17.211</w:t>
            </w:r>
          </w:p>
        </w:tc>
        <w:tc>
          <w:tcPr>
            <w:tcW w:w="655" w:type="dxa"/>
            <w:tcBorders>
              <w:top w:val="single" w:sz="4" w:space="0" w:color="auto"/>
              <w:left w:val="single" w:sz="2" w:space="0" w:color="auto"/>
              <w:bottom w:val="single" w:sz="4" w:space="0" w:color="auto"/>
            </w:tcBorders>
            <w:shd w:val="clear" w:color="000000" w:fill="8DB3E2"/>
            <w:vAlign w:val="center"/>
          </w:tcPr>
          <w:p w14:paraId="69A7D08A" w14:textId="77777777" w:rsidR="0078024B" w:rsidRPr="00ED59EE" w:rsidRDefault="0078024B" w:rsidP="008601F6">
            <w:pPr>
              <w:jc w:val="right"/>
              <w:rPr>
                <w:rFonts w:ascii="Arial" w:hAnsi="Arial" w:cs="Arial"/>
                <w:sz w:val="18"/>
                <w:szCs w:val="18"/>
              </w:rPr>
            </w:pPr>
            <w:r w:rsidRPr="00ED59EE">
              <w:rPr>
                <w:rFonts w:ascii="Arial" w:hAnsi="Arial" w:cs="Arial"/>
                <w:sz w:val="18"/>
                <w:szCs w:val="18"/>
              </w:rPr>
              <w:t>17.172</w:t>
            </w:r>
          </w:p>
        </w:tc>
        <w:tc>
          <w:tcPr>
            <w:tcW w:w="630" w:type="dxa"/>
            <w:tcBorders>
              <w:top w:val="single" w:sz="4" w:space="0" w:color="auto"/>
              <w:bottom w:val="single" w:sz="4" w:space="0" w:color="auto"/>
            </w:tcBorders>
            <w:shd w:val="clear" w:color="000000" w:fill="8DB3E2"/>
            <w:vAlign w:val="center"/>
          </w:tcPr>
          <w:p w14:paraId="65F823E2" w14:textId="77777777" w:rsidR="0078024B" w:rsidRPr="00ED59EE" w:rsidRDefault="0078024B" w:rsidP="008601F6">
            <w:pPr>
              <w:jc w:val="right"/>
              <w:rPr>
                <w:rFonts w:ascii="Arial" w:hAnsi="Arial" w:cs="Arial"/>
                <w:sz w:val="18"/>
                <w:szCs w:val="18"/>
              </w:rPr>
            </w:pPr>
            <w:r w:rsidRPr="00ED59EE">
              <w:rPr>
                <w:rFonts w:ascii="Arial" w:hAnsi="Arial" w:cs="Arial"/>
                <w:sz w:val="18"/>
                <w:szCs w:val="18"/>
              </w:rPr>
              <w:t>16.140</w:t>
            </w:r>
          </w:p>
        </w:tc>
        <w:tc>
          <w:tcPr>
            <w:tcW w:w="630" w:type="dxa"/>
            <w:tcBorders>
              <w:top w:val="single" w:sz="4" w:space="0" w:color="auto"/>
              <w:bottom w:val="single" w:sz="4" w:space="0" w:color="auto"/>
              <w:right w:val="single" w:sz="2" w:space="0" w:color="auto"/>
            </w:tcBorders>
            <w:shd w:val="clear" w:color="000000" w:fill="8DB3E2"/>
            <w:vAlign w:val="center"/>
          </w:tcPr>
          <w:p w14:paraId="7B858890" w14:textId="77777777" w:rsidR="0078024B" w:rsidRPr="00ED59EE" w:rsidRDefault="0078024B" w:rsidP="004066B7">
            <w:pPr>
              <w:jc w:val="right"/>
              <w:rPr>
                <w:rFonts w:ascii="Arial" w:hAnsi="Arial" w:cs="Arial"/>
                <w:sz w:val="18"/>
                <w:szCs w:val="18"/>
              </w:rPr>
            </w:pPr>
            <w:r w:rsidRPr="00ED59EE">
              <w:rPr>
                <w:rFonts w:ascii="Arial" w:hAnsi="Arial" w:cs="Arial"/>
                <w:sz w:val="18"/>
                <w:szCs w:val="18"/>
              </w:rPr>
              <w:t>1</w:t>
            </w:r>
            <w:r w:rsidR="004066B7" w:rsidRPr="00ED59EE">
              <w:rPr>
                <w:rFonts w:ascii="Arial" w:hAnsi="Arial" w:cs="Arial"/>
                <w:sz w:val="18"/>
                <w:szCs w:val="18"/>
              </w:rPr>
              <w:t>5</w:t>
            </w:r>
            <w:r w:rsidRPr="00ED59EE">
              <w:rPr>
                <w:rFonts w:ascii="Arial" w:hAnsi="Arial" w:cs="Arial"/>
                <w:sz w:val="18"/>
                <w:szCs w:val="18"/>
              </w:rPr>
              <w:t>.326</w:t>
            </w:r>
          </w:p>
        </w:tc>
        <w:tc>
          <w:tcPr>
            <w:tcW w:w="696" w:type="dxa"/>
            <w:tcBorders>
              <w:top w:val="single" w:sz="4" w:space="0" w:color="auto"/>
              <w:left w:val="single" w:sz="2" w:space="0" w:color="auto"/>
              <w:bottom w:val="single" w:sz="4" w:space="0" w:color="auto"/>
            </w:tcBorders>
            <w:shd w:val="clear" w:color="000000" w:fill="8DB3E2"/>
            <w:vAlign w:val="center"/>
          </w:tcPr>
          <w:p w14:paraId="4CD4F8FE" w14:textId="77777777" w:rsidR="0078024B" w:rsidRPr="00ED59EE" w:rsidRDefault="0078024B" w:rsidP="008601F6">
            <w:pPr>
              <w:jc w:val="right"/>
              <w:rPr>
                <w:rFonts w:ascii="Arial" w:hAnsi="Arial" w:cs="Arial"/>
                <w:sz w:val="18"/>
                <w:szCs w:val="18"/>
              </w:rPr>
            </w:pPr>
            <w:r w:rsidRPr="00ED59EE">
              <w:rPr>
                <w:rFonts w:ascii="Arial" w:hAnsi="Arial" w:cs="Arial"/>
                <w:sz w:val="18"/>
                <w:szCs w:val="18"/>
              </w:rPr>
              <w:t>32.125</w:t>
            </w:r>
          </w:p>
        </w:tc>
        <w:tc>
          <w:tcPr>
            <w:tcW w:w="697" w:type="dxa"/>
            <w:tcBorders>
              <w:top w:val="single" w:sz="4" w:space="0" w:color="auto"/>
              <w:bottom w:val="single" w:sz="4" w:space="0" w:color="auto"/>
            </w:tcBorders>
            <w:shd w:val="clear" w:color="000000" w:fill="8DB3E2"/>
            <w:vAlign w:val="center"/>
          </w:tcPr>
          <w:p w14:paraId="21610BB5" w14:textId="77777777" w:rsidR="0078024B" w:rsidRPr="00ED59EE" w:rsidRDefault="0078024B" w:rsidP="008601F6">
            <w:pPr>
              <w:jc w:val="right"/>
              <w:rPr>
                <w:rFonts w:ascii="Arial" w:hAnsi="Arial" w:cs="Arial"/>
                <w:sz w:val="18"/>
                <w:szCs w:val="18"/>
              </w:rPr>
            </w:pPr>
            <w:r w:rsidRPr="00ED59EE">
              <w:rPr>
                <w:rFonts w:ascii="Arial" w:hAnsi="Arial" w:cs="Arial"/>
                <w:sz w:val="18"/>
                <w:szCs w:val="18"/>
              </w:rPr>
              <w:t>31.865</w:t>
            </w:r>
          </w:p>
        </w:tc>
        <w:tc>
          <w:tcPr>
            <w:tcW w:w="697" w:type="dxa"/>
            <w:tcBorders>
              <w:top w:val="single" w:sz="4" w:space="0" w:color="auto"/>
              <w:bottom w:val="single" w:sz="4" w:space="0" w:color="auto"/>
              <w:right w:val="single" w:sz="2" w:space="0" w:color="auto"/>
            </w:tcBorders>
            <w:shd w:val="clear" w:color="000000" w:fill="8DB3E2"/>
            <w:vAlign w:val="center"/>
          </w:tcPr>
          <w:p w14:paraId="230AD3A8" w14:textId="77777777" w:rsidR="0078024B" w:rsidRPr="00ED59EE" w:rsidRDefault="0078024B" w:rsidP="008601F6">
            <w:pPr>
              <w:jc w:val="right"/>
              <w:rPr>
                <w:rFonts w:ascii="Arial" w:hAnsi="Arial" w:cs="Arial"/>
                <w:sz w:val="18"/>
                <w:szCs w:val="18"/>
              </w:rPr>
            </w:pPr>
            <w:r w:rsidRPr="00ED59EE">
              <w:rPr>
                <w:rFonts w:ascii="Arial" w:hAnsi="Arial" w:cs="Arial"/>
                <w:sz w:val="18"/>
                <w:szCs w:val="18"/>
              </w:rPr>
              <w:t>32.537</w:t>
            </w:r>
          </w:p>
        </w:tc>
        <w:tc>
          <w:tcPr>
            <w:tcW w:w="567" w:type="dxa"/>
            <w:tcBorders>
              <w:top w:val="single" w:sz="4" w:space="0" w:color="auto"/>
              <w:left w:val="single" w:sz="2" w:space="0" w:color="auto"/>
              <w:bottom w:val="single" w:sz="4" w:space="0" w:color="auto"/>
            </w:tcBorders>
            <w:shd w:val="clear" w:color="000000" w:fill="8DB3E2"/>
            <w:noWrap/>
            <w:vAlign w:val="center"/>
          </w:tcPr>
          <w:p w14:paraId="716690A5" w14:textId="77777777" w:rsidR="0078024B" w:rsidRPr="00ED59EE" w:rsidRDefault="0078024B" w:rsidP="008601F6">
            <w:pPr>
              <w:jc w:val="right"/>
              <w:rPr>
                <w:rFonts w:ascii="Arial" w:hAnsi="Arial" w:cs="Arial"/>
                <w:sz w:val="18"/>
                <w:szCs w:val="18"/>
              </w:rPr>
            </w:pPr>
            <w:r w:rsidRPr="00ED59EE">
              <w:rPr>
                <w:rFonts w:ascii="Arial" w:hAnsi="Arial" w:cs="Arial"/>
                <w:sz w:val="18"/>
                <w:szCs w:val="18"/>
              </w:rPr>
              <w:t>53</w:t>
            </w:r>
          </w:p>
        </w:tc>
        <w:tc>
          <w:tcPr>
            <w:tcW w:w="563" w:type="dxa"/>
            <w:tcBorders>
              <w:top w:val="single" w:sz="4" w:space="0" w:color="auto"/>
              <w:bottom w:val="single" w:sz="4" w:space="0" w:color="auto"/>
            </w:tcBorders>
            <w:shd w:val="clear" w:color="000000" w:fill="8DB3E2"/>
            <w:noWrap/>
            <w:vAlign w:val="center"/>
          </w:tcPr>
          <w:p w14:paraId="06C80820" w14:textId="77777777" w:rsidR="0078024B" w:rsidRPr="00ED59EE" w:rsidRDefault="0078024B" w:rsidP="008601F6">
            <w:pPr>
              <w:jc w:val="right"/>
              <w:rPr>
                <w:rFonts w:ascii="Arial" w:hAnsi="Arial" w:cs="Arial"/>
                <w:sz w:val="18"/>
                <w:szCs w:val="18"/>
              </w:rPr>
            </w:pPr>
            <w:r w:rsidRPr="00ED59EE">
              <w:rPr>
                <w:rFonts w:ascii="Arial" w:hAnsi="Arial" w:cs="Arial"/>
                <w:sz w:val="18"/>
                <w:szCs w:val="18"/>
              </w:rPr>
              <w:t>51</w:t>
            </w:r>
          </w:p>
        </w:tc>
        <w:tc>
          <w:tcPr>
            <w:tcW w:w="571" w:type="dxa"/>
            <w:tcBorders>
              <w:top w:val="single" w:sz="4" w:space="0" w:color="auto"/>
              <w:bottom w:val="single" w:sz="4" w:space="0" w:color="auto"/>
            </w:tcBorders>
            <w:shd w:val="clear" w:color="000000" w:fill="8DB3E2"/>
            <w:noWrap/>
            <w:vAlign w:val="center"/>
          </w:tcPr>
          <w:p w14:paraId="42EC629B" w14:textId="77777777" w:rsidR="0078024B" w:rsidRPr="00ED59EE" w:rsidRDefault="0078024B" w:rsidP="008601F6">
            <w:pPr>
              <w:jc w:val="right"/>
              <w:rPr>
                <w:rFonts w:ascii="Arial" w:hAnsi="Arial" w:cs="Arial"/>
                <w:sz w:val="18"/>
                <w:szCs w:val="18"/>
              </w:rPr>
            </w:pPr>
            <w:r w:rsidRPr="00ED59EE">
              <w:rPr>
                <w:rFonts w:ascii="Arial" w:hAnsi="Arial" w:cs="Arial"/>
                <w:sz w:val="18"/>
                <w:szCs w:val="18"/>
              </w:rPr>
              <w:t>47</w:t>
            </w:r>
          </w:p>
        </w:tc>
      </w:tr>
    </w:tbl>
    <w:p w14:paraId="7F74E0D8" w14:textId="77777777" w:rsidR="0078024B" w:rsidRDefault="0078024B" w:rsidP="0078024B">
      <w:pPr>
        <w:pStyle w:val="texto"/>
        <w:spacing w:before="240" w:after="120"/>
        <w:jc w:val="both"/>
      </w:pPr>
      <w:r w:rsidRPr="00CA52B1">
        <w:lastRenderedPageBreak/>
        <w:t xml:space="preserve">Se observa una progresiva disminución desde el ejercicio 2021. El índice de temporalidad prácticamente se mantiene respecto a 2021 en la Administración Núcleo y disminuye en Educación y el SNS-O, siendo en </w:t>
      </w:r>
      <w:proofErr w:type="gramStart"/>
      <w:r w:rsidRPr="00CA52B1">
        <w:t>éste</w:t>
      </w:r>
      <w:proofErr w:type="gramEnd"/>
      <w:r w:rsidRPr="00CA52B1">
        <w:t xml:space="preserve"> último donde se observa la mayor disminución.</w:t>
      </w:r>
    </w:p>
    <w:p w14:paraId="41E2C2F1" w14:textId="77777777" w:rsidR="00F159DB" w:rsidRPr="0082650E" w:rsidRDefault="00F159DB" w:rsidP="00F34E94">
      <w:pPr>
        <w:pStyle w:val="texto"/>
        <w:spacing w:before="240" w:after="240"/>
        <w:jc w:val="both"/>
      </w:pPr>
      <w:r w:rsidRPr="0082650E">
        <w:t xml:space="preserve">Sobre la información del cuadro anterior, </w:t>
      </w:r>
      <w:r w:rsidR="0078024B">
        <w:t>(eliminando el personal de justicia</w:t>
      </w:r>
      <w:r w:rsidR="004066B7">
        <w:t>, dado que la actuación sobre estas plazas le corresponde al Ministerio de Justicia</w:t>
      </w:r>
      <w:r w:rsidR="0078024B">
        <w:t>)</w:t>
      </w:r>
      <w:r w:rsidRPr="0082650E">
        <w:t xml:space="preserve">, </w:t>
      </w:r>
      <w:r w:rsidR="008C1A80">
        <w:t xml:space="preserve">incluimos la </w:t>
      </w:r>
      <w:r w:rsidRPr="0082650E">
        <w:t>información sobre el t</w:t>
      </w:r>
      <w:r w:rsidR="004066B7">
        <w:t xml:space="preserve">ipo </w:t>
      </w:r>
      <w:r w:rsidRPr="0082650E">
        <w:t xml:space="preserve">de plazas en la que están trabajando esas personas, según sean de plantilla o fuera de plantilla. </w:t>
      </w:r>
    </w:p>
    <w:tbl>
      <w:tblPr>
        <w:tblW w:w="8789" w:type="dxa"/>
        <w:tblCellMar>
          <w:left w:w="70" w:type="dxa"/>
          <w:right w:w="70" w:type="dxa"/>
        </w:tblCellMar>
        <w:tblLook w:val="04A0" w:firstRow="1" w:lastRow="0" w:firstColumn="1" w:lastColumn="0" w:noHBand="0" w:noVBand="1"/>
      </w:tblPr>
      <w:tblGrid>
        <w:gridCol w:w="3261"/>
        <w:gridCol w:w="992"/>
        <w:gridCol w:w="1276"/>
        <w:gridCol w:w="992"/>
        <w:gridCol w:w="992"/>
        <w:gridCol w:w="1276"/>
      </w:tblGrid>
      <w:tr w:rsidR="00390D67" w:rsidRPr="00FE27FF" w14:paraId="5D59FDEB" w14:textId="77777777" w:rsidTr="005A637D">
        <w:trPr>
          <w:trHeight w:val="255"/>
        </w:trPr>
        <w:tc>
          <w:tcPr>
            <w:tcW w:w="3261" w:type="dxa"/>
            <w:tcBorders>
              <w:top w:val="single" w:sz="4" w:space="0" w:color="auto"/>
              <w:left w:val="nil"/>
              <w:bottom w:val="single" w:sz="4" w:space="0" w:color="auto"/>
              <w:right w:val="nil"/>
            </w:tcBorders>
            <w:shd w:val="clear" w:color="000000" w:fill="8DB3E2"/>
            <w:vAlign w:val="center"/>
            <w:hideMark/>
          </w:tcPr>
          <w:p w14:paraId="335D8253" w14:textId="77777777" w:rsidR="00390D67" w:rsidRPr="00FE27FF" w:rsidRDefault="00390D67" w:rsidP="00A92DF1">
            <w:pPr>
              <w:rPr>
                <w:rFonts w:ascii="Arial" w:hAnsi="Arial" w:cs="Arial"/>
                <w:sz w:val="18"/>
                <w:szCs w:val="18"/>
              </w:rPr>
            </w:pPr>
            <w:r w:rsidRPr="00FE27FF">
              <w:rPr>
                <w:rFonts w:ascii="Arial" w:hAnsi="Arial" w:cs="Arial"/>
                <w:sz w:val="18"/>
                <w:szCs w:val="18"/>
              </w:rPr>
              <w:t>Personas</w:t>
            </w:r>
          </w:p>
        </w:tc>
        <w:tc>
          <w:tcPr>
            <w:tcW w:w="992" w:type="dxa"/>
            <w:tcBorders>
              <w:top w:val="single" w:sz="4" w:space="0" w:color="auto"/>
              <w:left w:val="nil"/>
              <w:bottom w:val="single" w:sz="4" w:space="0" w:color="auto"/>
              <w:right w:val="nil"/>
            </w:tcBorders>
            <w:shd w:val="clear" w:color="000000" w:fill="8DB3E2"/>
            <w:vAlign w:val="center"/>
            <w:hideMark/>
          </w:tcPr>
          <w:p w14:paraId="255D7DC6" w14:textId="77777777" w:rsidR="00390D67" w:rsidRPr="00FE27FF" w:rsidRDefault="00390D67" w:rsidP="00A92DF1">
            <w:pPr>
              <w:jc w:val="right"/>
              <w:rPr>
                <w:rFonts w:ascii="Arial" w:hAnsi="Arial" w:cs="Arial"/>
                <w:sz w:val="18"/>
                <w:szCs w:val="18"/>
              </w:rPr>
            </w:pPr>
            <w:r w:rsidRPr="00FE27FF">
              <w:rPr>
                <w:rFonts w:ascii="Arial" w:hAnsi="Arial" w:cs="Arial"/>
                <w:sz w:val="18"/>
                <w:szCs w:val="18"/>
              </w:rPr>
              <w:t>Fijo</w:t>
            </w:r>
          </w:p>
        </w:tc>
        <w:tc>
          <w:tcPr>
            <w:tcW w:w="1276" w:type="dxa"/>
            <w:tcBorders>
              <w:top w:val="single" w:sz="4" w:space="0" w:color="auto"/>
              <w:left w:val="nil"/>
              <w:bottom w:val="single" w:sz="4" w:space="0" w:color="auto"/>
              <w:right w:val="nil"/>
            </w:tcBorders>
            <w:shd w:val="clear" w:color="000000" w:fill="8DB3E2"/>
            <w:vAlign w:val="center"/>
            <w:hideMark/>
          </w:tcPr>
          <w:p w14:paraId="0EAEE3AF" w14:textId="77777777" w:rsidR="00390D67" w:rsidRPr="00FE27FF" w:rsidRDefault="00390D67" w:rsidP="00A92DF1">
            <w:pPr>
              <w:jc w:val="right"/>
              <w:rPr>
                <w:rFonts w:ascii="Arial" w:hAnsi="Arial" w:cs="Arial"/>
                <w:sz w:val="18"/>
                <w:szCs w:val="18"/>
              </w:rPr>
            </w:pPr>
            <w:r w:rsidRPr="00FE27FF">
              <w:rPr>
                <w:rFonts w:ascii="Arial" w:hAnsi="Arial" w:cs="Arial"/>
                <w:sz w:val="18"/>
                <w:szCs w:val="18"/>
              </w:rPr>
              <w:t>Temporal</w:t>
            </w:r>
          </w:p>
        </w:tc>
        <w:tc>
          <w:tcPr>
            <w:tcW w:w="992" w:type="dxa"/>
            <w:tcBorders>
              <w:top w:val="single" w:sz="4" w:space="0" w:color="auto"/>
              <w:left w:val="nil"/>
              <w:bottom w:val="single" w:sz="4" w:space="0" w:color="auto"/>
              <w:right w:val="nil"/>
            </w:tcBorders>
            <w:shd w:val="clear" w:color="000000" w:fill="8DB3E2"/>
            <w:vAlign w:val="center"/>
            <w:hideMark/>
          </w:tcPr>
          <w:p w14:paraId="66616060" w14:textId="77777777" w:rsidR="00390D67" w:rsidRPr="00FE27FF" w:rsidRDefault="00390D67" w:rsidP="00A92DF1">
            <w:pPr>
              <w:jc w:val="right"/>
              <w:rPr>
                <w:rFonts w:ascii="Arial" w:hAnsi="Arial" w:cs="Arial"/>
                <w:sz w:val="18"/>
                <w:szCs w:val="18"/>
              </w:rPr>
            </w:pPr>
            <w:r w:rsidRPr="00FE27FF">
              <w:rPr>
                <w:rFonts w:ascii="Arial" w:hAnsi="Arial" w:cs="Arial"/>
                <w:sz w:val="18"/>
                <w:szCs w:val="18"/>
              </w:rPr>
              <w:t>Total</w:t>
            </w:r>
          </w:p>
        </w:tc>
        <w:tc>
          <w:tcPr>
            <w:tcW w:w="992" w:type="dxa"/>
            <w:tcBorders>
              <w:top w:val="single" w:sz="4" w:space="0" w:color="auto"/>
              <w:left w:val="nil"/>
              <w:bottom w:val="single" w:sz="4" w:space="0" w:color="auto"/>
              <w:right w:val="nil"/>
            </w:tcBorders>
            <w:shd w:val="clear" w:color="000000" w:fill="8DB3E2"/>
            <w:vAlign w:val="center"/>
            <w:hideMark/>
          </w:tcPr>
          <w:p w14:paraId="40BB3EBB" w14:textId="77777777" w:rsidR="00390D67" w:rsidRPr="00FE27FF" w:rsidRDefault="00390D67" w:rsidP="00A92DF1">
            <w:pPr>
              <w:jc w:val="right"/>
              <w:rPr>
                <w:rFonts w:ascii="Arial" w:hAnsi="Arial" w:cs="Arial"/>
                <w:sz w:val="18"/>
                <w:szCs w:val="18"/>
              </w:rPr>
            </w:pPr>
            <w:r w:rsidRPr="00FE27FF">
              <w:rPr>
                <w:rFonts w:ascii="Arial" w:hAnsi="Arial" w:cs="Arial"/>
                <w:sz w:val="18"/>
                <w:szCs w:val="18"/>
              </w:rPr>
              <w:t>% fijo</w:t>
            </w:r>
          </w:p>
        </w:tc>
        <w:tc>
          <w:tcPr>
            <w:tcW w:w="1276" w:type="dxa"/>
            <w:tcBorders>
              <w:top w:val="single" w:sz="4" w:space="0" w:color="auto"/>
              <w:left w:val="nil"/>
              <w:bottom w:val="single" w:sz="4" w:space="0" w:color="auto"/>
              <w:right w:val="nil"/>
            </w:tcBorders>
            <w:shd w:val="clear" w:color="000000" w:fill="8DB3E2"/>
            <w:vAlign w:val="center"/>
          </w:tcPr>
          <w:p w14:paraId="6A626F70" w14:textId="77777777" w:rsidR="00390D67" w:rsidRPr="00FE27FF" w:rsidRDefault="00390D67" w:rsidP="00A92DF1">
            <w:pPr>
              <w:jc w:val="right"/>
              <w:rPr>
                <w:rFonts w:ascii="Arial" w:hAnsi="Arial" w:cs="Arial"/>
                <w:sz w:val="18"/>
                <w:szCs w:val="18"/>
              </w:rPr>
            </w:pPr>
            <w:r w:rsidRPr="00FE27FF">
              <w:rPr>
                <w:rFonts w:ascii="Arial" w:hAnsi="Arial" w:cs="Arial"/>
                <w:sz w:val="18"/>
                <w:szCs w:val="18"/>
              </w:rPr>
              <w:t>% temporal</w:t>
            </w:r>
          </w:p>
        </w:tc>
      </w:tr>
      <w:tr w:rsidR="00390D67" w:rsidRPr="0082650E" w14:paraId="7E71A1DD" w14:textId="77777777" w:rsidTr="005A637D">
        <w:trPr>
          <w:trHeight w:val="198"/>
        </w:trPr>
        <w:tc>
          <w:tcPr>
            <w:tcW w:w="3261" w:type="dxa"/>
            <w:tcBorders>
              <w:top w:val="single" w:sz="4" w:space="0" w:color="auto"/>
              <w:left w:val="nil"/>
              <w:bottom w:val="single" w:sz="2" w:space="0" w:color="auto"/>
              <w:right w:val="nil"/>
            </w:tcBorders>
            <w:shd w:val="clear" w:color="auto" w:fill="auto"/>
            <w:vAlign w:val="center"/>
            <w:hideMark/>
          </w:tcPr>
          <w:p w14:paraId="606EFF3B" w14:textId="77777777" w:rsidR="00390D67" w:rsidRPr="0082650E" w:rsidRDefault="00390D67" w:rsidP="00A92DF1">
            <w:pPr>
              <w:rPr>
                <w:rFonts w:ascii="Arial Narrow" w:hAnsi="Arial Narrow" w:cs="Calibri"/>
                <w:sz w:val="20"/>
                <w:szCs w:val="20"/>
              </w:rPr>
            </w:pPr>
            <w:r w:rsidRPr="0082650E">
              <w:rPr>
                <w:rFonts w:ascii="Arial Narrow" w:hAnsi="Arial Narrow" w:cs="Calibri"/>
                <w:sz w:val="20"/>
                <w:szCs w:val="20"/>
              </w:rPr>
              <w:t>Plazas en Plantilla orgánica</w:t>
            </w:r>
          </w:p>
        </w:tc>
        <w:tc>
          <w:tcPr>
            <w:tcW w:w="992" w:type="dxa"/>
            <w:tcBorders>
              <w:top w:val="single" w:sz="4" w:space="0" w:color="auto"/>
              <w:left w:val="nil"/>
              <w:bottom w:val="single" w:sz="2" w:space="0" w:color="auto"/>
              <w:right w:val="nil"/>
            </w:tcBorders>
            <w:shd w:val="clear" w:color="auto" w:fill="auto"/>
            <w:noWrap/>
            <w:vAlign w:val="center"/>
            <w:hideMark/>
          </w:tcPr>
          <w:p w14:paraId="1D4252A0" w14:textId="77777777" w:rsidR="00390D67" w:rsidRPr="0082650E" w:rsidRDefault="00390D67" w:rsidP="004066B7">
            <w:pPr>
              <w:jc w:val="right"/>
              <w:rPr>
                <w:rFonts w:ascii="Arial Narrow" w:hAnsi="Arial Narrow" w:cs="Calibri"/>
                <w:sz w:val="20"/>
                <w:szCs w:val="20"/>
              </w:rPr>
            </w:pPr>
            <w:r w:rsidRPr="0082650E">
              <w:rPr>
                <w:rFonts w:ascii="Arial Narrow" w:hAnsi="Arial Narrow" w:cs="Calibri"/>
                <w:sz w:val="20"/>
                <w:szCs w:val="20"/>
              </w:rPr>
              <w:t>1</w:t>
            </w:r>
            <w:r>
              <w:rPr>
                <w:rFonts w:ascii="Arial Narrow" w:hAnsi="Arial Narrow" w:cs="Calibri"/>
                <w:sz w:val="20"/>
                <w:szCs w:val="20"/>
              </w:rPr>
              <w:t>6.231</w:t>
            </w:r>
          </w:p>
        </w:tc>
        <w:tc>
          <w:tcPr>
            <w:tcW w:w="1276" w:type="dxa"/>
            <w:tcBorders>
              <w:top w:val="single" w:sz="4" w:space="0" w:color="auto"/>
              <w:left w:val="nil"/>
              <w:bottom w:val="single" w:sz="2" w:space="0" w:color="auto"/>
              <w:right w:val="nil"/>
            </w:tcBorders>
            <w:shd w:val="clear" w:color="auto" w:fill="auto"/>
            <w:noWrap/>
            <w:vAlign w:val="center"/>
            <w:hideMark/>
          </w:tcPr>
          <w:p w14:paraId="146895F3" w14:textId="77777777" w:rsidR="00390D67" w:rsidRPr="0082650E" w:rsidRDefault="00390D67" w:rsidP="00A92DF1">
            <w:pPr>
              <w:jc w:val="right"/>
              <w:rPr>
                <w:rFonts w:ascii="Arial Narrow" w:hAnsi="Arial Narrow" w:cs="Calibri"/>
                <w:sz w:val="20"/>
                <w:szCs w:val="20"/>
              </w:rPr>
            </w:pPr>
            <w:r w:rsidRPr="0082650E">
              <w:rPr>
                <w:rFonts w:ascii="Arial Narrow" w:hAnsi="Arial Narrow" w:cs="Calibri"/>
                <w:sz w:val="20"/>
                <w:szCs w:val="20"/>
              </w:rPr>
              <w:t>7.496</w:t>
            </w:r>
          </w:p>
        </w:tc>
        <w:tc>
          <w:tcPr>
            <w:tcW w:w="992" w:type="dxa"/>
            <w:tcBorders>
              <w:top w:val="single" w:sz="4" w:space="0" w:color="auto"/>
              <w:left w:val="nil"/>
              <w:bottom w:val="single" w:sz="2" w:space="0" w:color="auto"/>
              <w:right w:val="nil"/>
            </w:tcBorders>
            <w:shd w:val="clear" w:color="auto" w:fill="auto"/>
            <w:noWrap/>
            <w:vAlign w:val="center"/>
            <w:hideMark/>
          </w:tcPr>
          <w:p w14:paraId="0B4D4C3E" w14:textId="77777777" w:rsidR="00390D67" w:rsidRPr="0082650E" w:rsidRDefault="00390D67" w:rsidP="00A92DF1">
            <w:pPr>
              <w:jc w:val="right"/>
              <w:rPr>
                <w:rFonts w:ascii="Arial Narrow" w:hAnsi="Arial Narrow" w:cs="Calibri"/>
                <w:sz w:val="20"/>
                <w:szCs w:val="20"/>
              </w:rPr>
            </w:pPr>
            <w:r w:rsidRPr="0082650E">
              <w:rPr>
                <w:rFonts w:ascii="Arial Narrow" w:hAnsi="Arial Narrow" w:cs="Calibri"/>
                <w:sz w:val="20"/>
                <w:szCs w:val="20"/>
              </w:rPr>
              <w:t>23.130</w:t>
            </w:r>
          </w:p>
        </w:tc>
        <w:tc>
          <w:tcPr>
            <w:tcW w:w="992" w:type="dxa"/>
            <w:tcBorders>
              <w:top w:val="single" w:sz="4" w:space="0" w:color="auto"/>
              <w:left w:val="nil"/>
              <w:bottom w:val="single" w:sz="2" w:space="0" w:color="auto"/>
              <w:right w:val="nil"/>
            </w:tcBorders>
            <w:shd w:val="clear" w:color="auto" w:fill="auto"/>
            <w:noWrap/>
            <w:vAlign w:val="center"/>
            <w:hideMark/>
          </w:tcPr>
          <w:p w14:paraId="2F72AC82" w14:textId="77777777" w:rsidR="00390D67" w:rsidRPr="0082650E" w:rsidRDefault="00390D67" w:rsidP="00A92DF1">
            <w:pPr>
              <w:jc w:val="right"/>
              <w:rPr>
                <w:rFonts w:ascii="Arial Narrow" w:hAnsi="Arial Narrow" w:cs="Calibri"/>
                <w:sz w:val="20"/>
                <w:szCs w:val="20"/>
              </w:rPr>
            </w:pPr>
            <w:r>
              <w:rPr>
                <w:rFonts w:ascii="Arial Narrow" w:hAnsi="Arial Narrow" w:cs="Calibri"/>
                <w:sz w:val="20"/>
                <w:szCs w:val="20"/>
              </w:rPr>
              <w:t>70</w:t>
            </w:r>
          </w:p>
        </w:tc>
        <w:tc>
          <w:tcPr>
            <w:tcW w:w="1276" w:type="dxa"/>
            <w:tcBorders>
              <w:top w:val="single" w:sz="4" w:space="0" w:color="auto"/>
              <w:left w:val="nil"/>
              <w:bottom w:val="single" w:sz="2" w:space="0" w:color="auto"/>
              <w:right w:val="nil"/>
            </w:tcBorders>
            <w:vAlign w:val="center"/>
          </w:tcPr>
          <w:p w14:paraId="5D50C3BA" w14:textId="77777777" w:rsidR="00390D67" w:rsidRPr="0082650E" w:rsidRDefault="00390D67" w:rsidP="004066B7">
            <w:pPr>
              <w:jc w:val="right"/>
              <w:rPr>
                <w:rFonts w:ascii="Arial Narrow" w:hAnsi="Arial Narrow" w:cs="Calibri"/>
                <w:sz w:val="20"/>
                <w:szCs w:val="20"/>
              </w:rPr>
            </w:pPr>
            <w:r w:rsidRPr="0082650E">
              <w:rPr>
                <w:rFonts w:ascii="Arial Narrow" w:hAnsi="Arial Narrow" w:cs="Calibri"/>
                <w:sz w:val="20"/>
                <w:szCs w:val="20"/>
              </w:rPr>
              <w:t>3</w:t>
            </w:r>
            <w:r>
              <w:rPr>
                <w:rFonts w:ascii="Arial Narrow" w:hAnsi="Arial Narrow" w:cs="Calibri"/>
                <w:sz w:val="20"/>
                <w:szCs w:val="20"/>
              </w:rPr>
              <w:t>0</w:t>
            </w:r>
          </w:p>
        </w:tc>
      </w:tr>
      <w:tr w:rsidR="00390D67" w:rsidRPr="0082650E" w14:paraId="52427CE6" w14:textId="77777777" w:rsidTr="005A637D">
        <w:trPr>
          <w:trHeight w:val="198"/>
        </w:trPr>
        <w:tc>
          <w:tcPr>
            <w:tcW w:w="3261" w:type="dxa"/>
            <w:tcBorders>
              <w:top w:val="single" w:sz="2" w:space="0" w:color="auto"/>
              <w:left w:val="nil"/>
              <w:bottom w:val="single" w:sz="4" w:space="0" w:color="auto"/>
              <w:right w:val="nil"/>
            </w:tcBorders>
            <w:shd w:val="clear" w:color="auto" w:fill="auto"/>
            <w:vAlign w:val="center"/>
            <w:hideMark/>
          </w:tcPr>
          <w:p w14:paraId="685B9FAE" w14:textId="77777777" w:rsidR="00390D67" w:rsidRPr="0082650E" w:rsidRDefault="00390D67" w:rsidP="00A92DF1">
            <w:pPr>
              <w:rPr>
                <w:rFonts w:ascii="Arial Narrow" w:hAnsi="Arial Narrow" w:cs="Calibri"/>
                <w:sz w:val="20"/>
                <w:szCs w:val="20"/>
              </w:rPr>
            </w:pPr>
            <w:r w:rsidRPr="0082650E">
              <w:rPr>
                <w:rFonts w:ascii="Arial Narrow" w:hAnsi="Arial Narrow" w:cs="Calibri"/>
                <w:sz w:val="20"/>
                <w:szCs w:val="20"/>
              </w:rPr>
              <w:t>Plazas fuera de la Plantilla orgánica</w:t>
            </w:r>
          </w:p>
        </w:tc>
        <w:tc>
          <w:tcPr>
            <w:tcW w:w="992" w:type="dxa"/>
            <w:tcBorders>
              <w:top w:val="single" w:sz="2" w:space="0" w:color="auto"/>
              <w:left w:val="nil"/>
              <w:bottom w:val="single" w:sz="4" w:space="0" w:color="auto"/>
              <w:right w:val="nil"/>
            </w:tcBorders>
            <w:shd w:val="clear" w:color="auto" w:fill="auto"/>
            <w:noWrap/>
            <w:vAlign w:val="center"/>
            <w:hideMark/>
          </w:tcPr>
          <w:p w14:paraId="1E09D4EB" w14:textId="77777777" w:rsidR="00390D67" w:rsidRPr="0082650E" w:rsidRDefault="00390D67" w:rsidP="00A92DF1">
            <w:pPr>
              <w:jc w:val="right"/>
              <w:rPr>
                <w:rFonts w:ascii="Arial Narrow" w:hAnsi="Arial Narrow" w:cs="Calibri"/>
                <w:sz w:val="20"/>
                <w:szCs w:val="20"/>
              </w:rPr>
            </w:pPr>
            <w:r>
              <w:rPr>
                <w:rFonts w:ascii="Arial Narrow" w:hAnsi="Arial Narrow" w:cs="Calibri"/>
                <w:sz w:val="20"/>
                <w:szCs w:val="20"/>
              </w:rPr>
              <w:t>655</w:t>
            </w:r>
          </w:p>
        </w:tc>
        <w:tc>
          <w:tcPr>
            <w:tcW w:w="1276" w:type="dxa"/>
            <w:tcBorders>
              <w:top w:val="single" w:sz="2" w:space="0" w:color="auto"/>
              <w:left w:val="nil"/>
              <w:bottom w:val="single" w:sz="4" w:space="0" w:color="auto"/>
              <w:right w:val="nil"/>
            </w:tcBorders>
            <w:shd w:val="clear" w:color="auto" w:fill="auto"/>
            <w:noWrap/>
            <w:vAlign w:val="center"/>
            <w:hideMark/>
          </w:tcPr>
          <w:p w14:paraId="7A39F4C3" w14:textId="77777777" w:rsidR="00390D67" w:rsidRPr="0082650E" w:rsidRDefault="00390D67" w:rsidP="00A92DF1">
            <w:pPr>
              <w:jc w:val="right"/>
              <w:rPr>
                <w:rFonts w:ascii="Arial Narrow" w:hAnsi="Arial Narrow" w:cs="Calibri"/>
                <w:sz w:val="20"/>
                <w:szCs w:val="20"/>
              </w:rPr>
            </w:pPr>
            <w:r w:rsidRPr="0082650E">
              <w:rPr>
                <w:rFonts w:ascii="Arial Narrow" w:hAnsi="Arial Narrow" w:cs="Calibri"/>
                <w:sz w:val="20"/>
                <w:szCs w:val="20"/>
              </w:rPr>
              <w:t>7.568</w:t>
            </w:r>
          </w:p>
        </w:tc>
        <w:tc>
          <w:tcPr>
            <w:tcW w:w="992" w:type="dxa"/>
            <w:tcBorders>
              <w:top w:val="single" w:sz="2" w:space="0" w:color="auto"/>
              <w:left w:val="nil"/>
              <w:bottom w:val="single" w:sz="4" w:space="0" w:color="auto"/>
              <w:right w:val="nil"/>
            </w:tcBorders>
            <w:shd w:val="clear" w:color="auto" w:fill="auto"/>
            <w:noWrap/>
            <w:vAlign w:val="center"/>
            <w:hideMark/>
          </w:tcPr>
          <w:p w14:paraId="1C6FE24A" w14:textId="77777777" w:rsidR="00390D67" w:rsidRPr="0082650E" w:rsidRDefault="00390D67" w:rsidP="00A92DF1">
            <w:pPr>
              <w:jc w:val="right"/>
              <w:rPr>
                <w:rFonts w:ascii="Arial Narrow" w:hAnsi="Arial Narrow" w:cs="Calibri"/>
                <w:sz w:val="20"/>
                <w:szCs w:val="20"/>
              </w:rPr>
            </w:pPr>
            <w:r w:rsidRPr="0082650E">
              <w:rPr>
                <w:rFonts w:ascii="Arial Narrow" w:hAnsi="Arial Narrow" w:cs="Calibri"/>
                <w:sz w:val="20"/>
                <w:szCs w:val="20"/>
              </w:rPr>
              <w:t>8.820</w:t>
            </w:r>
          </w:p>
        </w:tc>
        <w:tc>
          <w:tcPr>
            <w:tcW w:w="992" w:type="dxa"/>
            <w:tcBorders>
              <w:top w:val="single" w:sz="2" w:space="0" w:color="auto"/>
              <w:left w:val="nil"/>
              <w:bottom w:val="single" w:sz="4" w:space="0" w:color="auto"/>
              <w:right w:val="nil"/>
            </w:tcBorders>
            <w:shd w:val="clear" w:color="auto" w:fill="auto"/>
            <w:noWrap/>
            <w:vAlign w:val="center"/>
            <w:hideMark/>
          </w:tcPr>
          <w:p w14:paraId="0B48F7B2" w14:textId="77777777" w:rsidR="00390D67" w:rsidRPr="0082650E" w:rsidRDefault="00390D67" w:rsidP="00A92DF1">
            <w:pPr>
              <w:jc w:val="right"/>
              <w:rPr>
                <w:rFonts w:ascii="Arial Narrow" w:hAnsi="Arial Narrow" w:cs="Calibri"/>
                <w:sz w:val="20"/>
                <w:szCs w:val="20"/>
              </w:rPr>
            </w:pPr>
            <w:r>
              <w:rPr>
                <w:rFonts w:ascii="Arial Narrow" w:hAnsi="Arial Narrow" w:cs="Calibri"/>
                <w:sz w:val="20"/>
                <w:szCs w:val="20"/>
              </w:rPr>
              <w:t>7</w:t>
            </w:r>
          </w:p>
        </w:tc>
        <w:tc>
          <w:tcPr>
            <w:tcW w:w="1276" w:type="dxa"/>
            <w:tcBorders>
              <w:top w:val="single" w:sz="2" w:space="0" w:color="auto"/>
              <w:left w:val="nil"/>
              <w:bottom w:val="single" w:sz="4" w:space="0" w:color="auto"/>
              <w:right w:val="nil"/>
            </w:tcBorders>
            <w:vAlign w:val="center"/>
          </w:tcPr>
          <w:p w14:paraId="09530DBB" w14:textId="77777777" w:rsidR="00390D67" w:rsidRPr="0082650E" w:rsidRDefault="00390D67" w:rsidP="00A92DF1">
            <w:pPr>
              <w:jc w:val="right"/>
              <w:rPr>
                <w:rFonts w:ascii="Arial Narrow" w:hAnsi="Arial Narrow" w:cs="Calibri"/>
                <w:sz w:val="20"/>
                <w:szCs w:val="20"/>
              </w:rPr>
            </w:pPr>
            <w:r>
              <w:rPr>
                <w:rFonts w:ascii="Arial Narrow" w:hAnsi="Arial Narrow" w:cs="Calibri"/>
                <w:sz w:val="20"/>
                <w:szCs w:val="20"/>
              </w:rPr>
              <w:t>93</w:t>
            </w:r>
          </w:p>
        </w:tc>
      </w:tr>
      <w:tr w:rsidR="00390D67" w:rsidRPr="00FE27FF" w14:paraId="2CCA47FF" w14:textId="77777777" w:rsidTr="005A637D">
        <w:trPr>
          <w:trHeight w:val="255"/>
        </w:trPr>
        <w:tc>
          <w:tcPr>
            <w:tcW w:w="3261" w:type="dxa"/>
            <w:tcBorders>
              <w:top w:val="single" w:sz="4" w:space="0" w:color="auto"/>
              <w:left w:val="nil"/>
              <w:bottom w:val="single" w:sz="4" w:space="0" w:color="auto"/>
              <w:right w:val="nil"/>
            </w:tcBorders>
            <w:shd w:val="clear" w:color="000000" w:fill="8DB3E2"/>
            <w:vAlign w:val="center"/>
            <w:hideMark/>
          </w:tcPr>
          <w:p w14:paraId="5BBE65B6" w14:textId="77777777" w:rsidR="00390D67" w:rsidRPr="00FE27FF" w:rsidRDefault="00390D67" w:rsidP="00A92DF1">
            <w:pPr>
              <w:rPr>
                <w:rFonts w:ascii="Arial" w:hAnsi="Arial" w:cs="Arial"/>
                <w:sz w:val="18"/>
                <w:szCs w:val="18"/>
              </w:rPr>
            </w:pPr>
            <w:r w:rsidRPr="00FE27FF">
              <w:rPr>
                <w:rFonts w:ascii="Arial" w:hAnsi="Arial" w:cs="Arial"/>
                <w:sz w:val="18"/>
                <w:szCs w:val="18"/>
              </w:rPr>
              <w:t>Total</w:t>
            </w:r>
          </w:p>
        </w:tc>
        <w:tc>
          <w:tcPr>
            <w:tcW w:w="992" w:type="dxa"/>
            <w:tcBorders>
              <w:top w:val="single" w:sz="4" w:space="0" w:color="auto"/>
              <w:left w:val="nil"/>
              <w:bottom w:val="single" w:sz="4" w:space="0" w:color="auto"/>
              <w:right w:val="nil"/>
            </w:tcBorders>
            <w:shd w:val="clear" w:color="000000" w:fill="8DB3E2"/>
            <w:vAlign w:val="center"/>
            <w:hideMark/>
          </w:tcPr>
          <w:p w14:paraId="3250CF02" w14:textId="77777777" w:rsidR="00390D67" w:rsidRPr="00FE27FF" w:rsidRDefault="00390D67" w:rsidP="00A92DF1">
            <w:pPr>
              <w:jc w:val="right"/>
              <w:rPr>
                <w:rFonts w:ascii="Arial" w:hAnsi="Arial" w:cs="Arial"/>
                <w:sz w:val="18"/>
                <w:szCs w:val="18"/>
              </w:rPr>
            </w:pPr>
            <w:r w:rsidRPr="00FE27FF">
              <w:rPr>
                <w:rFonts w:ascii="Arial" w:hAnsi="Arial" w:cs="Arial"/>
                <w:sz w:val="18"/>
                <w:szCs w:val="18"/>
              </w:rPr>
              <w:t>16.886</w:t>
            </w:r>
          </w:p>
        </w:tc>
        <w:tc>
          <w:tcPr>
            <w:tcW w:w="1276" w:type="dxa"/>
            <w:tcBorders>
              <w:top w:val="single" w:sz="4" w:space="0" w:color="auto"/>
              <w:left w:val="nil"/>
              <w:bottom w:val="single" w:sz="4" w:space="0" w:color="auto"/>
              <w:right w:val="nil"/>
            </w:tcBorders>
            <w:shd w:val="clear" w:color="000000" w:fill="8DB3E2"/>
            <w:vAlign w:val="center"/>
            <w:hideMark/>
          </w:tcPr>
          <w:p w14:paraId="61225C09" w14:textId="77777777" w:rsidR="00390D67" w:rsidRPr="00FE27FF" w:rsidRDefault="00390D67" w:rsidP="00A92DF1">
            <w:pPr>
              <w:jc w:val="right"/>
              <w:rPr>
                <w:rFonts w:ascii="Arial" w:hAnsi="Arial" w:cs="Arial"/>
                <w:sz w:val="18"/>
                <w:szCs w:val="18"/>
              </w:rPr>
            </w:pPr>
            <w:r w:rsidRPr="00FE27FF">
              <w:rPr>
                <w:rFonts w:ascii="Arial" w:hAnsi="Arial" w:cs="Arial"/>
                <w:sz w:val="18"/>
                <w:szCs w:val="18"/>
              </w:rPr>
              <w:t>15.064</w:t>
            </w:r>
          </w:p>
        </w:tc>
        <w:tc>
          <w:tcPr>
            <w:tcW w:w="992" w:type="dxa"/>
            <w:tcBorders>
              <w:top w:val="single" w:sz="4" w:space="0" w:color="auto"/>
              <w:left w:val="nil"/>
              <w:bottom w:val="single" w:sz="4" w:space="0" w:color="auto"/>
              <w:right w:val="nil"/>
            </w:tcBorders>
            <w:shd w:val="clear" w:color="000000" w:fill="8DB3E2"/>
            <w:vAlign w:val="center"/>
            <w:hideMark/>
          </w:tcPr>
          <w:p w14:paraId="7E31BD14" w14:textId="77777777" w:rsidR="00390D67" w:rsidRPr="00FE27FF" w:rsidRDefault="00390D67" w:rsidP="00A92DF1">
            <w:pPr>
              <w:jc w:val="right"/>
              <w:rPr>
                <w:rFonts w:ascii="Arial" w:hAnsi="Arial" w:cs="Arial"/>
                <w:sz w:val="18"/>
                <w:szCs w:val="18"/>
              </w:rPr>
            </w:pPr>
            <w:r w:rsidRPr="00FE27FF">
              <w:rPr>
                <w:rFonts w:ascii="Arial" w:hAnsi="Arial" w:cs="Arial"/>
                <w:sz w:val="18"/>
                <w:szCs w:val="18"/>
              </w:rPr>
              <w:t>31.950</w:t>
            </w:r>
          </w:p>
        </w:tc>
        <w:tc>
          <w:tcPr>
            <w:tcW w:w="992" w:type="dxa"/>
            <w:tcBorders>
              <w:top w:val="single" w:sz="4" w:space="0" w:color="auto"/>
              <w:left w:val="nil"/>
              <w:bottom w:val="single" w:sz="4" w:space="0" w:color="auto"/>
              <w:right w:val="nil"/>
            </w:tcBorders>
            <w:shd w:val="clear" w:color="000000" w:fill="8DB3E2"/>
            <w:vAlign w:val="center"/>
            <w:hideMark/>
          </w:tcPr>
          <w:p w14:paraId="552F931D" w14:textId="77777777" w:rsidR="00390D67" w:rsidRPr="00FE27FF" w:rsidRDefault="00390D67" w:rsidP="00A92DF1">
            <w:pPr>
              <w:jc w:val="right"/>
              <w:rPr>
                <w:rFonts w:ascii="Arial" w:hAnsi="Arial" w:cs="Arial"/>
                <w:sz w:val="18"/>
                <w:szCs w:val="18"/>
              </w:rPr>
            </w:pPr>
            <w:r w:rsidRPr="00FE27FF">
              <w:rPr>
                <w:rFonts w:ascii="Arial" w:hAnsi="Arial" w:cs="Arial"/>
                <w:sz w:val="18"/>
                <w:szCs w:val="18"/>
              </w:rPr>
              <w:t>53</w:t>
            </w:r>
          </w:p>
        </w:tc>
        <w:tc>
          <w:tcPr>
            <w:tcW w:w="1276" w:type="dxa"/>
            <w:tcBorders>
              <w:top w:val="single" w:sz="4" w:space="0" w:color="auto"/>
              <w:left w:val="nil"/>
              <w:bottom w:val="single" w:sz="4" w:space="0" w:color="auto"/>
              <w:right w:val="nil"/>
            </w:tcBorders>
            <w:shd w:val="clear" w:color="000000" w:fill="8DB3E2"/>
            <w:vAlign w:val="center"/>
          </w:tcPr>
          <w:p w14:paraId="1D2B9A47" w14:textId="77777777" w:rsidR="00390D67" w:rsidRPr="00FE27FF" w:rsidRDefault="00390D67" w:rsidP="00A92DF1">
            <w:pPr>
              <w:jc w:val="right"/>
              <w:rPr>
                <w:rFonts w:ascii="Arial" w:hAnsi="Arial" w:cs="Arial"/>
                <w:sz w:val="18"/>
                <w:szCs w:val="18"/>
              </w:rPr>
            </w:pPr>
            <w:r w:rsidRPr="00FE27FF">
              <w:rPr>
                <w:rFonts w:ascii="Arial" w:hAnsi="Arial" w:cs="Arial"/>
                <w:sz w:val="18"/>
                <w:szCs w:val="18"/>
              </w:rPr>
              <w:t>47</w:t>
            </w:r>
          </w:p>
        </w:tc>
      </w:tr>
    </w:tbl>
    <w:p w14:paraId="6738CFEF" w14:textId="77777777" w:rsidR="00AF5AB8" w:rsidRDefault="00F159DB" w:rsidP="00F159DB">
      <w:pPr>
        <w:pStyle w:val="texto"/>
        <w:spacing w:before="240" w:after="120"/>
        <w:jc w:val="both"/>
      </w:pPr>
      <w:r w:rsidRPr="0082650E">
        <w:t>Es decir, hay 31.950 pe</w:t>
      </w:r>
      <w:r w:rsidR="00390D67">
        <w:t>rsonas trabajando a 31</w:t>
      </w:r>
      <w:r w:rsidR="00154861">
        <w:t xml:space="preserve"> de diciembre de </w:t>
      </w:r>
      <w:r w:rsidR="00390D67">
        <w:t xml:space="preserve">2023; </w:t>
      </w:r>
      <w:r w:rsidRPr="0082650E">
        <w:t>un 53 por ciento de ellas como personal fijo y un 47 por ciento con contrato temporal. Si analizamos por tipo de plaza, en plantilla el porcentaje de temporalidad es del 3</w:t>
      </w:r>
      <w:r w:rsidR="00390D67">
        <w:t>0</w:t>
      </w:r>
      <w:r w:rsidRPr="0082650E">
        <w:t xml:space="preserve"> por ciento, mientras que, en plazas de fuera de planti</w:t>
      </w:r>
      <w:r w:rsidR="00390D67">
        <w:t>lla, los temporales suponen un 93</w:t>
      </w:r>
      <w:r w:rsidRPr="0082650E">
        <w:t xml:space="preserve"> por ciento del personal. </w:t>
      </w:r>
      <w:r w:rsidR="00830D6B">
        <w:t xml:space="preserve"> </w:t>
      </w:r>
      <w:r w:rsidR="00BB0E43" w:rsidRPr="0078024B">
        <w:t xml:space="preserve">Lo relevante de este análisis </w:t>
      </w:r>
      <w:r w:rsidR="00AF5AB8">
        <w:t>se concentran en los siguientes aspectos:</w:t>
      </w:r>
    </w:p>
    <w:p w14:paraId="098DFCE9" w14:textId="77777777" w:rsidR="00AF5AB8" w:rsidRPr="00AF5AB8" w:rsidRDefault="00BB0E43" w:rsidP="008C2B8E">
      <w:pPr>
        <w:pStyle w:val="texto"/>
        <w:numPr>
          <w:ilvl w:val="0"/>
          <w:numId w:val="6"/>
        </w:numPr>
        <w:tabs>
          <w:tab w:val="clear" w:pos="360"/>
          <w:tab w:val="num" w:pos="300"/>
          <w:tab w:val="left" w:pos="480"/>
          <w:tab w:val="num" w:pos="600"/>
        </w:tabs>
        <w:spacing w:before="120"/>
        <w:ind w:firstLine="289"/>
        <w:jc w:val="both"/>
      </w:pPr>
      <w:r w:rsidRPr="00AF5AB8">
        <w:t>8.820 personas, es decir el 27,6 por ciento están trabajand</w:t>
      </w:r>
      <w:r w:rsidR="00691626" w:rsidRPr="00AF5AB8">
        <w:t xml:space="preserve">o en plazas fuera de plantilla. </w:t>
      </w:r>
    </w:p>
    <w:p w14:paraId="272C3E81" w14:textId="77777777" w:rsidR="00691626" w:rsidRPr="00AF5AB8" w:rsidRDefault="00AF5AB8" w:rsidP="008C2B8E">
      <w:pPr>
        <w:pStyle w:val="texto"/>
        <w:numPr>
          <w:ilvl w:val="0"/>
          <w:numId w:val="6"/>
        </w:numPr>
        <w:tabs>
          <w:tab w:val="clear" w:pos="360"/>
          <w:tab w:val="num" w:pos="300"/>
          <w:tab w:val="left" w:pos="480"/>
          <w:tab w:val="num" w:pos="600"/>
        </w:tabs>
        <w:spacing w:before="120"/>
        <w:ind w:firstLine="289"/>
        <w:jc w:val="both"/>
      </w:pPr>
      <w:r w:rsidRPr="00AF5AB8">
        <w:t xml:space="preserve">De estas personas, </w:t>
      </w:r>
      <w:r w:rsidR="00691626" w:rsidRPr="00AF5AB8">
        <w:t>4.051 personas, es decir el 46 por ciento se corresponden con plazas docentes y 1.387 personas corresponden, es decir el 16 por ciento al SNS-O</w:t>
      </w:r>
      <w:r w:rsidRPr="00AF5AB8">
        <w:rPr>
          <w:color w:val="FF0000"/>
        </w:rPr>
        <w:t xml:space="preserve">. </w:t>
      </w:r>
    </w:p>
    <w:p w14:paraId="676695C1" w14:textId="77777777" w:rsidR="00AF5AB8" w:rsidRDefault="005B147F" w:rsidP="0044109D">
      <w:pPr>
        <w:pStyle w:val="texto"/>
        <w:spacing w:before="120" w:after="120"/>
        <w:jc w:val="both"/>
      </w:pPr>
      <w:r>
        <w:t xml:space="preserve">Sobre la contratación temporal de las áreas de salud y educación, es necesario contextualizar que resulta fundamental para atender las necesidades </w:t>
      </w:r>
      <w:r w:rsidR="005934EE">
        <w:t xml:space="preserve">del </w:t>
      </w:r>
      <w:r>
        <w:t xml:space="preserve">sistema educativo y sanitario. El dinamismo propio del funcionamiento del sistema educativo, así como las distintas situaciones de obligada sustitución </w:t>
      </w:r>
      <w:r w:rsidR="00AF5AB8">
        <w:t xml:space="preserve">de personal, </w:t>
      </w:r>
      <w:r>
        <w:t xml:space="preserve">tanto en el ámbito educativo como sanitario, implica la variabilidad de una parte significativa de las necesidades </w:t>
      </w:r>
      <w:r w:rsidR="00AF5AB8">
        <w:t>de personal.</w:t>
      </w:r>
    </w:p>
    <w:p w14:paraId="658C0479" w14:textId="77777777" w:rsidR="00614DC4" w:rsidRPr="00710D7B" w:rsidRDefault="00614DC4" w:rsidP="002D15F8">
      <w:pPr>
        <w:pStyle w:val="texto"/>
        <w:spacing w:before="120" w:after="240"/>
        <w:jc w:val="both"/>
      </w:pPr>
      <w:r w:rsidRPr="00710D7B">
        <w:t>Por otro lado, hemos analizado la edad del personal fijo en el periodo 201</w:t>
      </w:r>
      <w:r w:rsidR="00710D7B" w:rsidRPr="00710D7B">
        <w:t>9</w:t>
      </w:r>
      <w:r w:rsidRPr="00710D7B">
        <w:t>-202</w:t>
      </w:r>
      <w:r w:rsidR="00710D7B" w:rsidRPr="00710D7B">
        <w:t>3</w:t>
      </w:r>
      <w:r w:rsidRPr="00710D7B">
        <w:t xml:space="preserve"> y los datos obtenidos a 31 de diciembre de cada año son: </w:t>
      </w:r>
    </w:p>
    <w:tbl>
      <w:tblPr>
        <w:tblStyle w:val="Tablaconcuadrcula"/>
        <w:tblW w:w="5081" w:type="pct"/>
        <w:jc w:val="center"/>
        <w:tblBorders>
          <w:top w:val="single" w:sz="2"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1472"/>
        <w:gridCol w:w="797"/>
        <w:gridCol w:w="709"/>
        <w:gridCol w:w="707"/>
        <w:gridCol w:w="709"/>
        <w:gridCol w:w="13"/>
        <w:gridCol w:w="845"/>
        <w:gridCol w:w="700"/>
        <w:gridCol w:w="14"/>
        <w:gridCol w:w="806"/>
        <w:gridCol w:w="14"/>
        <w:gridCol w:w="750"/>
        <w:gridCol w:w="816"/>
        <w:gridCol w:w="579"/>
      </w:tblGrid>
      <w:tr w:rsidR="008C0F2B" w:rsidRPr="008C0F2B" w14:paraId="5D15F903" w14:textId="77777777" w:rsidTr="00E04706">
        <w:trPr>
          <w:trHeight w:val="255"/>
          <w:jc w:val="center"/>
        </w:trPr>
        <w:tc>
          <w:tcPr>
            <w:tcW w:w="824" w:type="pct"/>
            <w:shd w:val="clear" w:color="auto" w:fill="8DB3E2"/>
            <w:vAlign w:val="center"/>
          </w:tcPr>
          <w:p w14:paraId="47947D5C" w14:textId="77777777" w:rsidR="00F56DF5" w:rsidRPr="008C0F2B" w:rsidRDefault="00F56DF5" w:rsidP="004101A9">
            <w:pPr>
              <w:pStyle w:val="cuadroCabe"/>
            </w:pPr>
          </w:p>
        </w:tc>
        <w:tc>
          <w:tcPr>
            <w:tcW w:w="843" w:type="pct"/>
            <w:gridSpan w:val="2"/>
            <w:tcBorders>
              <w:right w:val="single" w:sz="4" w:space="0" w:color="auto"/>
            </w:tcBorders>
            <w:shd w:val="clear" w:color="auto" w:fill="8DB3E2"/>
            <w:vAlign w:val="center"/>
            <w:hideMark/>
          </w:tcPr>
          <w:p w14:paraId="2699FF60" w14:textId="77777777" w:rsidR="00F56DF5" w:rsidRPr="008C0F2B" w:rsidRDefault="00F56DF5" w:rsidP="00CA52B1">
            <w:pPr>
              <w:spacing w:after="0" w:line="240" w:lineRule="atLeast"/>
              <w:ind w:firstLine="0"/>
              <w:jc w:val="center"/>
              <w:rPr>
                <w:rFonts w:ascii="Arial" w:hAnsi="Arial" w:cs="Arial"/>
                <w:sz w:val="16"/>
                <w:szCs w:val="16"/>
              </w:rPr>
            </w:pPr>
            <w:r w:rsidRPr="008C0F2B">
              <w:rPr>
                <w:rFonts w:ascii="Arial" w:hAnsi="Arial" w:cs="Arial"/>
                <w:sz w:val="16"/>
                <w:szCs w:val="16"/>
              </w:rPr>
              <w:t>201</w:t>
            </w:r>
            <w:r w:rsidR="00CA52B1" w:rsidRPr="008C0F2B">
              <w:rPr>
                <w:rFonts w:ascii="Arial" w:hAnsi="Arial" w:cs="Arial"/>
                <w:sz w:val="16"/>
                <w:szCs w:val="16"/>
              </w:rPr>
              <w:t>9</w:t>
            </w:r>
          </w:p>
        </w:tc>
        <w:tc>
          <w:tcPr>
            <w:tcW w:w="800" w:type="pct"/>
            <w:gridSpan w:val="3"/>
            <w:tcBorders>
              <w:left w:val="single" w:sz="4" w:space="0" w:color="auto"/>
              <w:right w:val="single" w:sz="4" w:space="0" w:color="auto"/>
            </w:tcBorders>
            <w:shd w:val="clear" w:color="auto" w:fill="8DB3E2"/>
            <w:vAlign w:val="center"/>
            <w:hideMark/>
          </w:tcPr>
          <w:p w14:paraId="7CE6CE41" w14:textId="77777777" w:rsidR="00F56DF5" w:rsidRPr="008C0F2B" w:rsidRDefault="00CA52B1" w:rsidP="00CA52B1">
            <w:pPr>
              <w:spacing w:after="0" w:line="240" w:lineRule="atLeast"/>
              <w:ind w:left="-95" w:right="-46" w:firstLine="0"/>
              <w:jc w:val="center"/>
              <w:rPr>
                <w:rFonts w:ascii="Arial" w:hAnsi="Arial" w:cs="Arial"/>
                <w:sz w:val="16"/>
                <w:szCs w:val="16"/>
              </w:rPr>
            </w:pPr>
            <w:r w:rsidRPr="008C0F2B">
              <w:rPr>
                <w:rFonts w:ascii="Arial" w:hAnsi="Arial" w:cs="Arial"/>
                <w:sz w:val="16"/>
                <w:szCs w:val="16"/>
              </w:rPr>
              <w:t>2020</w:t>
            </w:r>
          </w:p>
        </w:tc>
        <w:tc>
          <w:tcPr>
            <w:tcW w:w="865" w:type="pct"/>
            <w:gridSpan w:val="2"/>
            <w:tcBorders>
              <w:left w:val="single" w:sz="4" w:space="0" w:color="auto"/>
              <w:right w:val="single" w:sz="4" w:space="0" w:color="auto"/>
            </w:tcBorders>
            <w:shd w:val="clear" w:color="auto" w:fill="8DB3E2"/>
            <w:vAlign w:val="center"/>
            <w:hideMark/>
          </w:tcPr>
          <w:p w14:paraId="3D837F49" w14:textId="77777777" w:rsidR="00F56DF5" w:rsidRPr="008C0F2B" w:rsidRDefault="00CA52B1" w:rsidP="00F56DF5">
            <w:pPr>
              <w:spacing w:after="0" w:line="240" w:lineRule="atLeast"/>
              <w:ind w:firstLine="0"/>
              <w:jc w:val="center"/>
              <w:rPr>
                <w:rFonts w:ascii="Arial" w:hAnsi="Arial" w:cs="Arial"/>
                <w:sz w:val="16"/>
                <w:szCs w:val="16"/>
              </w:rPr>
            </w:pPr>
            <w:r w:rsidRPr="008C0F2B">
              <w:rPr>
                <w:rFonts w:ascii="Arial" w:hAnsi="Arial" w:cs="Arial"/>
                <w:sz w:val="16"/>
                <w:szCs w:val="16"/>
              </w:rPr>
              <w:t>2021</w:t>
            </w:r>
          </w:p>
        </w:tc>
        <w:tc>
          <w:tcPr>
            <w:tcW w:w="887" w:type="pct"/>
            <w:gridSpan w:val="4"/>
            <w:tcBorders>
              <w:left w:val="single" w:sz="4" w:space="0" w:color="auto"/>
              <w:right w:val="single" w:sz="4" w:space="0" w:color="auto"/>
            </w:tcBorders>
            <w:shd w:val="clear" w:color="auto" w:fill="8DB3E2"/>
            <w:vAlign w:val="center"/>
            <w:hideMark/>
          </w:tcPr>
          <w:p w14:paraId="78B6EE1B" w14:textId="77777777" w:rsidR="00F56DF5" w:rsidRPr="008C0F2B" w:rsidRDefault="00CA52B1" w:rsidP="00F56DF5">
            <w:pPr>
              <w:spacing w:after="0" w:line="240" w:lineRule="atLeast"/>
              <w:ind w:left="-127" w:firstLine="0"/>
              <w:jc w:val="center"/>
              <w:rPr>
                <w:rFonts w:ascii="Arial" w:hAnsi="Arial" w:cs="Arial"/>
                <w:sz w:val="16"/>
                <w:szCs w:val="16"/>
              </w:rPr>
            </w:pPr>
            <w:r w:rsidRPr="008C0F2B">
              <w:rPr>
                <w:rFonts w:ascii="Arial" w:hAnsi="Arial" w:cs="Arial"/>
                <w:sz w:val="16"/>
                <w:szCs w:val="16"/>
              </w:rPr>
              <w:t>2022</w:t>
            </w:r>
          </w:p>
        </w:tc>
        <w:tc>
          <w:tcPr>
            <w:tcW w:w="781" w:type="pct"/>
            <w:gridSpan w:val="2"/>
            <w:tcBorders>
              <w:left w:val="single" w:sz="4" w:space="0" w:color="auto"/>
            </w:tcBorders>
            <w:shd w:val="clear" w:color="auto" w:fill="8DB3E2"/>
            <w:vAlign w:val="center"/>
            <w:hideMark/>
          </w:tcPr>
          <w:p w14:paraId="1CD972CE" w14:textId="77777777" w:rsidR="00F56DF5" w:rsidRPr="008C0F2B" w:rsidRDefault="00CA52B1" w:rsidP="00F56DF5">
            <w:pPr>
              <w:spacing w:after="0" w:line="240" w:lineRule="atLeast"/>
              <w:ind w:firstLine="0"/>
              <w:jc w:val="center"/>
              <w:rPr>
                <w:rFonts w:ascii="Arial" w:hAnsi="Arial" w:cs="Arial"/>
                <w:sz w:val="16"/>
                <w:szCs w:val="16"/>
              </w:rPr>
            </w:pPr>
            <w:r w:rsidRPr="008C0F2B">
              <w:rPr>
                <w:rFonts w:ascii="Arial" w:hAnsi="Arial" w:cs="Arial"/>
                <w:sz w:val="16"/>
                <w:szCs w:val="16"/>
              </w:rPr>
              <w:t>2023</w:t>
            </w:r>
          </w:p>
        </w:tc>
      </w:tr>
      <w:tr w:rsidR="008C0F2B" w:rsidRPr="008C0F2B" w14:paraId="676F7205" w14:textId="77777777" w:rsidTr="005C48AE">
        <w:trPr>
          <w:trHeight w:val="255"/>
          <w:jc w:val="center"/>
        </w:trPr>
        <w:tc>
          <w:tcPr>
            <w:tcW w:w="824" w:type="pct"/>
            <w:shd w:val="clear" w:color="auto" w:fill="8DB3E2"/>
            <w:vAlign w:val="center"/>
          </w:tcPr>
          <w:p w14:paraId="2EFEE06D" w14:textId="77777777" w:rsidR="00F56DF5" w:rsidRPr="008C0F2B" w:rsidRDefault="00F56DF5" w:rsidP="00F56DF5">
            <w:pPr>
              <w:tabs>
                <w:tab w:val="center" w:pos="2835"/>
                <w:tab w:val="center" w:pos="3969"/>
                <w:tab w:val="center" w:pos="5103"/>
                <w:tab w:val="center" w:pos="6237"/>
                <w:tab w:val="center" w:pos="7371"/>
              </w:tabs>
              <w:spacing w:after="0" w:line="240" w:lineRule="atLeast"/>
              <w:ind w:firstLine="0"/>
              <w:jc w:val="center"/>
              <w:rPr>
                <w:rFonts w:ascii="Arial" w:hAnsi="Arial" w:cs="Arial"/>
                <w:spacing w:val="6"/>
                <w:sz w:val="16"/>
                <w:szCs w:val="16"/>
              </w:rPr>
            </w:pPr>
          </w:p>
        </w:tc>
        <w:tc>
          <w:tcPr>
            <w:tcW w:w="446" w:type="pct"/>
            <w:tcBorders>
              <w:right w:val="single" w:sz="2" w:space="0" w:color="auto"/>
            </w:tcBorders>
            <w:shd w:val="clear" w:color="auto" w:fill="8DB3E2"/>
            <w:vAlign w:val="center"/>
            <w:hideMark/>
          </w:tcPr>
          <w:p w14:paraId="02F48480" w14:textId="77777777" w:rsidR="00F56DF5" w:rsidRPr="008C0F2B" w:rsidRDefault="00F56DF5" w:rsidP="00F56DF5">
            <w:pPr>
              <w:spacing w:after="0" w:line="0" w:lineRule="atLeast"/>
              <w:ind w:left="-96" w:right="-96" w:firstLine="0"/>
              <w:jc w:val="center"/>
              <w:rPr>
                <w:rFonts w:ascii="Arial" w:hAnsi="Arial" w:cs="Arial"/>
                <w:sz w:val="16"/>
                <w:szCs w:val="16"/>
              </w:rPr>
            </w:pPr>
            <w:r w:rsidRPr="008C0F2B">
              <w:rPr>
                <w:rFonts w:ascii="Arial" w:hAnsi="Arial" w:cs="Arial"/>
                <w:sz w:val="16"/>
                <w:szCs w:val="16"/>
              </w:rPr>
              <w:t>Personas</w:t>
            </w:r>
          </w:p>
        </w:tc>
        <w:tc>
          <w:tcPr>
            <w:tcW w:w="397" w:type="pct"/>
            <w:tcBorders>
              <w:left w:val="single" w:sz="2" w:space="0" w:color="auto"/>
              <w:right w:val="single" w:sz="2" w:space="0" w:color="auto"/>
            </w:tcBorders>
            <w:shd w:val="clear" w:color="auto" w:fill="8DB3E2"/>
            <w:vAlign w:val="center"/>
            <w:hideMark/>
          </w:tcPr>
          <w:p w14:paraId="798BE03D" w14:textId="77777777" w:rsidR="00F56DF5" w:rsidRPr="008C0F2B" w:rsidRDefault="00F56DF5" w:rsidP="00F56DF5">
            <w:pPr>
              <w:spacing w:after="0" w:line="0" w:lineRule="atLeast"/>
              <w:ind w:left="-95" w:right="-96" w:firstLine="0"/>
              <w:jc w:val="center"/>
              <w:rPr>
                <w:rFonts w:ascii="Arial" w:hAnsi="Arial" w:cs="Arial"/>
                <w:sz w:val="16"/>
                <w:szCs w:val="16"/>
              </w:rPr>
            </w:pPr>
            <w:r w:rsidRPr="008C0F2B">
              <w:rPr>
                <w:rFonts w:ascii="Arial" w:hAnsi="Arial" w:cs="Arial"/>
                <w:sz w:val="16"/>
                <w:szCs w:val="16"/>
              </w:rPr>
              <w:t>% s/ total</w:t>
            </w:r>
          </w:p>
        </w:tc>
        <w:tc>
          <w:tcPr>
            <w:tcW w:w="396" w:type="pct"/>
            <w:tcBorders>
              <w:left w:val="single" w:sz="2" w:space="0" w:color="auto"/>
              <w:right w:val="single" w:sz="2" w:space="0" w:color="auto"/>
            </w:tcBorders>
            <w:shd w:val="clear" w:color="auto" w:fill="8DB3E2"/>
            <w:vAlign w:val="center"/>
            <w:hideMark/>
          </w:tcPr>
          <w:p w14:paraId="062677C8" w14:textId="77777777" w:rsidR="00F56DF5" w:rsidRPr="008C0F2B" w:rsidRDefault="00F56DF5" w:rsidP="00F56DF5">
            <w:pPr>
              <w:spacing w:after="0" w:line="0" w:lineRule="atLeast"/>
              <w:ind w:left="-138" w:right="-96" w:firstLine="0"/>
              <w:jc w:val="center"/>
              <w:rPr>
                <w:rFonts w:ascii="Arial" w:hAnsi="Arial" w:cs="Arial"/>
                <w:sz w:val="16"/>
                <w:szCs w:val="16"/>
              </w:rPr>
            </w:pPr>
            <w:r w:rsidRPr="008C0F2B">
              <w:rPr>
                <w:rFonts w:ascii="Arial" w:hAnsi="Arial" w:cs="Arial"/>
                <w:sz w:val="16"/>
                <w:szCs w:val="16"/>
              </w:rPr>
              <w:t>Personas</w:t>
            </w:r>
          </w:p>
        </w:tc>
        <w:tc>
          <w:tcPr>
            <w:tcW w:w="404" w:type="pct"/>
            <w:gridSpan w:val="2"/>
            <w:tcBorders>
              <w:left w:val="single" w:sz="2" w:space="0" w:color="auto"/>
              <w:right w:val="single" w:sz="2" w:space="0" w:color="auto"/>
            </w:tcBorders>
            <w:shd w:val="clear" w:color="auto" w:fill="8DB3E2"/>
            <w:vAlign w:val="center"/>
            <w:hideMark/>
          </w:tcPr>
          <w:p w14:paraId="0CCDE231" w14:textId="77777777" w:rsidR="00F56DF5" w:rsidRPr="008C0F2B" w:rsidRDefault="00F56DF5" w:rsidP="00F56DF5">
            <w:pPr>
              <w:spacing w:after="0" w:line="0" w:lineRule="atLeast"/>
              <w:ind w:left="-138" w:right="-96" w:firstLine="0"/>
              <w:jc w:val="center"/>
              <w:rPr>
                <w:rFonts w:ascii="Arial" w:hAnsi="Arial" w:cs="Arial"/>
                <w:sz w:val="16"/>
                <w:szCs w:val="16"/>
              </w:rPr>
            </w:pPr>
            <w:r w:rsidRPr="008C0F2B">
              <w:rPr>
                <w:rFonts w:ascii="Arial" w:hAnsi="Arial" w:cs="Arial"/>
                <w:sz w:val="16"/>
                <w:szCs w:val="16"/>
              </w:rPr>
              <w:t>% s/ total</w:t>
            </w:r>
          </w:p>
        </w:tc>
        <w:tc>
          <w:tcPr>
            <w:tcW w:w="473" w:type="pct"/>
            <w:tcBorders>
              <w:left w:val="single" w:sz="2" w:space="0" w:color="auto"/>
              <w:right w:val="single" w:sz="2" w:space="0" w:color="auto"/>
            </w:tcBorders>
            <w:shd w:val="clear" w:color="auto" w:fill="8DB3E2"/>
            <w:vAlign w:val="center"/>
            <w:hideMark/>
          </w:tcPr>
          <w:p w14:paraId="516B1D8F" w14:textId="77777777" w:rsidR="00F56DF5" w:rsidRPr="008C0F2B" w:rsidRDefault="00F56DF5" w:rsidP="00F56DF5">
            <w:pPr>
              <w:spacing w:after="0" w:line="0" w:lineRule="atLeast"/>
              <w:ind w:left="-127" w:right="-96" w:firstLine="0"/>
              <w:jc w:val="center"/>
              <w:rPr>
                <w:rFonts w:ascii="Arial" w:hAnsi="Arial" w:cs="Arial"/>
                <w:sz w:val="16"/>
                <w:szCs w:val="16"/>
              </w:rPr>
            </w:pPr>
            <w:r w:rsidRPr="008C0F2B">
              <w:rPr>
                <w:rFonts w:ascii="Arial" w:hAnsi="Arial" w:cs="Arial"/>
                <w:sz w:val="16"/>
                <w:szCs w:val="16"/>
              </w:rPr>
              <w:t>Personas</w:t>
            </w:r>
          </w:p>
        </w:tc>
        <w:tc>
          <w:tcPr>
            <w:tcW w:w="392" w:type="pct"/>
            <w:tcBorders>
              <w:left w:val="single" w:sz="2" w:space="0" w:color="auto"/>
              <w:right w:val="single" w:sz="2" w:space="0" w:color="auto"/>
            </w:tcBorders>
            <w:shd w:val="clear" w:color="auto" w:fill="8DB3E2"/>
            <w:vAlign w:val="center"/>
            <w:hideMark/>
          </w:tcPr>
          <w:p w14:paraId="1559D3CA" w14:textId="77777777" w:rsidR="00F56DF5" w:rsidRPr="008C0F2B" w:rsidRDefault="00F56DF5" w:rsidP="00F56DF5">
            <w:pPr>
              <w:spacing w:after="0" w:line="0" w:lineRule="atLeast"/>
              <w:ind w:left="-127" w:right="-96" w:firstLine="0"/>
              <w:jc w:val="center"/>
              <w:rPr>
                <w:rFonts w:ascii="Arial" w:hAnsi="Arial" w:cs="Arial"/>
                <w:sz w:val="16"/>
                <w:szCs w:val="16"/>
              </w:rPr>
            </w:pPr>
            <w:r w:rsidRPr="008C0F2B">
              <w:rPr>
                <w:rFonts w:ascii="Arial" w:hAnsi="Arial" w:cs="Arial"/>
                <w:sz w:val="16"/>
                <w:szCs w:val="16"/>
              </w:rPr>
              <w:t>% s/ total</w:t>
            </w:r>
          </w:p>
        </w:tc>
        <w:tc>
          <w:tcPr>
            <w:tcW w:w="459" w:type="pct"/>
            <w:gridSpan w:val="2"/>
            <w:tcBorders>
              <w:left w:val="single" w:sz="2" w:space="0" w:color="auto"/>
              <w:right w:val="single" w:sz="2" w:space="0" w:color="auto"/>
            </w:tcBorders>
            <w:shd w:val="clear" w:color="auto" w:fill="8DB3E2"/>
            <w:vAlign w:val="center"/>
            <w:hideMark/>
          </w:tcPr>
          <w:p w14:paraId="321EA1E2" w14:textId="77777777" w:rsidR="00F56DF5" w:rsidRPr="008C0F2B" w:rsidRDefault="00F56DF5" w:rsidP="00F56DF5">
            <w:pPr>
              <w:spacing w:after="0" w:line="0" w:lineRule="atLeast"/>
              <w:ind w:left="-75" w:right="-96" w:firstLine="0"/>
              <w:jc w:val="center"/>
              <w:rPr>
                <w:rFonts w:ascii="Arial" w:hAnsi="Arial" w:cs="Arial"/>
                <w:sz w:val="16"/>
                <w:szCs w:val="16"/>
              </w:rPr>
            </w:pPr>
            <w:r w:rsidRPr="008C0F2B">
              <w:rPr>
                <w:rFonts w:ascii="Arial" w:hAnsi="Arial" w:cs="Arial"/>
                <w:sz w:val="16"/>
                <w:szCs w:val="16"/>
              </w:rPr>
              <w:t>Personas</w:t>
            </w:r>
          </w:p>
        </w:tc>
        <w:tc>
          <w:tcPr>
            <w:tcW w:w="428" w:type="pct"/>
            <w:gridSpan w:val="2"/>
            <w:tcBorders>
              <w:left w:val="single" w:sz="2" w:space="0" w:color="auto"/>
              <w:right w:val="single" w:sz="2" w:space="0" w:color="auto"/>
            </w:tcBorders>
            <w:shd w:val="clear" w:color="auto" w:fill="8DB3E2"/>
            <w:vAlign w:val="center"/>
            <w:hideMark/>
          </w:tcPr>
          <w:p w14:paraId="5C35291A" w14:textId="77777777" w:rsidR="00F56DF5" w:rsidRPr="008C0F2B" w:rsidRDefault="00F56DF5" w:rsidP="00F56DF5">
            <w:pPr>
              <w:spacing w:after="0" w:line="0" w:lineRule="atLeast"/>
              <w:ind w:left="-75" w:right="-96" w:firstLine="0"/>
              <w:jc w:val="center"/>
              <w:rPr>
                <w:rFonts w:ascii="Arial" w:hAnsi="Arial" w:cs="Arial"/>
                <w:sz w:val="16"/>
                <w:szCs w:val="16"/>
              </w:rPr>
            </w:pPr>
            <w:r w:rsidRPr="008C0F2B">
              <w:rPr>
                <w:rFonts w:ascii="Arial" w:hAnsi="Arial" w:cs="Arial"/>
                <w:sz w:val="16"/>
                <w:szCs w:val="16"/>
              </w:rPr>
              <w:t>% s/ total</w:t>
            </w:r>
          </w:p>
        </w:tc>
        <w:tc>
          <w:tcPr>
            <w:tcW w:w="457" w:type="pct"/>
            <w:tcBorders>
              <w:left w:val="single" w:sz="2" w:space="0" w:color="auto"/>
              <w:right w:val="single" w:sz="2" w:space="0" w:color="auto"/>
            </w:tcBorders>
            <w:shd w:val="clear" w:color="auto" w:fill="8DB3E2"/>
            <w:vAlign w:val="center"/>
            <w:hideMark/>
          </w:tcPr>
          <w:p w14:paraId="7E76A7A7" w14:textId="77777777" w:rsidR="00F56DF5" w:rsidRPr="008C0F2B" w:rsidRDefault="00F56DF5" w:rsidP="00F56DF5">
            <w:pPr>
              <w:spacing w:after="0" w:line="0" w:lineRule="atLeast"/>
              <w:ind w:left="-75" w:right="-96" w:firstLine="0"/>
              <w:jc w:val="center"/>
              <w:rPr>
                <w:rFonts w:ascii="Arial" w:hAnsi="Arial" w:cs="Arial"/>
                <w:sz w:val="16"/>
                <w:szCs w:val="16"/>
              </w:rPr>
            </w:pPr>
            <w:r w:rsidRPr="008C0F2B">
              <w:rPr>
                <w:rFonts w:ascii="Arial" w:hAnsi="Arial" w:cs="Arial"/>
                <w:sz w:val="16"/>
                <w:szCs w:val="16"/>
              </w:rPr>
              <w:t>Personas</w:t>
            </w:r>
          </w:p>
        </w:tc>
        <w:tc>
          <w:tcPr>
            <w:tcW w:w="324" w:type="pct"/>
            <w:tcBorders>
              <w:left w:val="single" w:sz="2" w:space="0" w:color="auto"/>
            </w:tcBorders>
            <w:shd w:val="clear" w:color="auto" w:fill="8DB3E2"/>
            <w:vAlign w:val="center"/>
            <w:hideMark/>
          </w:tcPr>
          <w:p w14:paraId="290AB060" w14:textId="77777777" w:rsidR="0044109D" w:rsidRDefault="00F56DF5" w:rsidP="005C48AE">
            <w:pPr>
              <w:spacing w:after="0" w:line="0" w:lineRule="atLeast"/>
              <w:ind w:left="-75" w:right="-96" w:firstLine="0"/>
              <w:jc w:val="right"/>
              <w:rPr>
                <w:rFonts w:ascii="Arial" w:hAnsi="Arial" w:cs="Arial"/>
                <w:sz w:val="16"/>
                <w:szCs w:val="16"/>
              </w:rPr>
            </w:pPr>
            <w:r w:rsidRPr="008C0F2B">
              <w:rPr>
                <w:rFonts w:ascii="Arial" w:hAnsi="Arial" w:cs="Arial"/>
                <w:sz w:val="16"/>
                <w:szCs w:val="16"/>
              </w:rPr>
              <w:t xml:space="preserve">% </w:t>
            </w:r>
          </w:p>
          <w:p w14:paraId="1A1D0C59" w14:textId="77777777" w:rsidR="00F56DF5" w:rsidRPr="008C0F2B" w:rsidRDefault="00F56DF5" w:rsidP="005C48AE">
            <w:pPr>
              <w:spacing w:after="0" w:line="0" w:lineRule="atLeast"/>
              <w:ind w:left="-75" w:right="-96" w:firstLine="0"/>
              <w:jc w:val="right"/>
              <w:rPr>
                <w:rFonts w:ascii="Arial" w:hAnsi="Arial" w:cs="Arial"/>
                <w:sz w:val="16"/>
                <w:szCs w:val="16"/>
              </w:rPr>
            </w:pPr>
            <w:r w:rsidRPr="008C0F2B">
              <w:rPr>
                <w:rFonts w:ascii="Arial" w:hAnsi="Arial" w:cs="Arial"/>
                <w:sz w:val="16"/>
                <w:szCs w:val="16"/>
              </w:rPr>
              <w:t>s/total</w:t>
            </w:r>
          </w:p>
        </w:tc>
      </w:tr>
      <w:tr w:rsidR="008C0F2B" w:rsidRPr="008C0F2B" w14:paraId="698F4A1A" w14:textId="77777777" w:rsidTr="005C48AE">
        <w:trPr>
          <w:trHeight w:val="198"/>
          <w:jc w:val="center"/>
        </w:trPr>
        <w:tc>
          <w:tcPr>
            <w:tcW w:w="824" w:type="pct"/>
            <w:vAlign w:val="center"/>
            <w:hideMark/>
          </w:tcPr>
          <w:p w14:paraId="397612CB" w14:textId="77777777" w:rsidR="00CA52B1" w:rsidRPr="0044109D" w:rsidRDefault="00CA52B1" w:rsidP="00CA52B1">
            <w:pPr>
              <w:tabs>
                <w:tab w:val="center" w:pos="2835"/>
                <w:tab w:val="center" w:pos="3969"/>
                <w:tab w:val="center" w:pos="5103"/>
                <w:tab w:val="center" w:pos="6237"/>
                <w:tab w:val="center" w:pos="7371"/>
              </w:tabs>
              <w:spacing w:after="0" w:line="240" w:lineRule="atLeast"/>
              <w:ind w:left="-42" w:right="-108" w:firstLine="0"/>
              <w:jc w:val="left"/>
              <w:rPr>
                <w:rFonts w:ascii="Arial Narrow" w:hAnsi="Arial Narrow"/>
                <w:spacing w:val="6"/>
                <w:sz w:val="18"/>
                <w:szCs w:val="18"/>
              </w:rPr>
            </w:pPr>
            <w:r w:rsidRPr="0044109D">
              <w:rPr>
                <w:rFonts w:ascii="Arial Narrow" w:hAnsi="Arial Narrow"/>
                <w:spacing w:val="6"/>
                <w:sz w:val="18"/>
                <w:szCs w:val="18"/>
              </w:rPr>
              <w:t>Menores 30 años</w:t>
            </w:r>
          </w:p>
        </w:tc>
        <w:tc>
          <w:tcPr>
            <w:tcW w:w="446" w:type="pct"/>
            <w:tcBorders>
              <w:right w:val="single" w:sz="2" w:space="0" w:color="auto"/>
            </w:tcBorders>
            <w:vAlign w:val="center"/>
          </w:tcPr>
          <w:p w14:paraId="01BBBB95"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280</w:t>
            </w:r>
          </w:p>
        </w:tc>
        <w:tc>
          <w:tcPr>
            <w:tcW w:w="397" w:type="pct"/>
            <w:tcBorders>
              <w:left w:val="single" w:sz="2" w:space="0" w:color="auto"/>
              <w:right w:val="single" w:sz="2" w:space="0" w:color="auto"/>
            </w:tcBorders>
            <w:vAlign w:val="center"/>
          </w:tcPr>
          <w:p w14:paraId="1A1801B2"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2</w:t>
            </w:r>
          </w:p>
        </w:tc>
        <w:tc>
          <w:tcPr>
            <w:tcW w:w="396" w:type="pct"/>
            <w:tcBorders>
              <w:left w:val="single" w:sz="2" w:space="0" w:color="auto"/>
              <w:right w:val="single" w:sz="2" w:space="0" w:color="auto"/>
            </w:tcBorders>
            <w:vAlign w:val="center"/>
          </w:tcPr>
          <w:p w14:paraId="2605D6D8"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256</w:t>
            </w:r>
          </w:p>
        </w:tc>
        <w:tc>
          <w:tcPr>
            <w:tcW w:w="397" w:type="pct"/>
            <w:tcBorders>
              <w:left w:val="single" w:sz="2" w:space="0" w:color="auto"/>
              <w:right w:val="single" w:sz="2" w:space="0" w:color="auto"/>
            </w:tcBorders>
            <w:vAlign w:val="center"/>
          </w:tcPr>
          <w:p w14:paraId="490FEA65"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2</w:t>
            </w:r>
          </w:p>
        </w:tc>
        <w:tc>
          <w:tcPr>
            <w:tcW w:w="480" w:type="pct"/>
            <w:gridSpan w:val="2"/>
            <w:tcBorders>
              <w:left w:val="single" w:sz="2" w:space="0" w:color="auto"/>
              <w:right w:val="single" w:sz="2" w:space="0" w:color="auto"/>
            </w:tcBorders>
            <w:vAlign w:val="center"/>
          </w:tcPr>
          <w:p w14:paraId="029FFAF0"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315</w:t>
            </w:r>
          </w:p>
        </w:tc>
        <w:tc>
          <w:tcPr>
            <w:tcW w:w="400" w:type="pct"/>
            <w:gridSpan w:val="2"/>
            <w:tcBorders>
              <w:left w:val="single" w:sz="2" w:space="0" w:color="auto"/>
              <w:right w:val="single" w:sz="2" w:space="0" w:color="auto"/>
            </w:tcBorders>
            <w:vAlign w:val="center"/>
          </w:tcPr>
          <w:p w14:paraId="4E6A7F49"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2</w:t>
            </w:r>
          </w:p>
        </w:tc>
        <w:tc>
          <w:tcPr>
            <w:tcW w:w="459" w:type="pct"/>
            <w:gridSpan w:val="2"/>
            <w:tcBorders>
              <w:left w:val="single" w:sz="2" w:space="0" w:color="auto"/>
              <w:right w:val="single" w:sz="2" w:space="0" w:color="auto"/>
            </w:tcBorders>
            <w:vAlign w:val="center"/>
          </w:tcPr>
          <w:p w14:paraId="66A1F2E7"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459</w:t>
            </w:r>
          </w:p>
        </w:tc>
        <w:tc>
          <w:tcPr>
            <w:tcW w:w="420" w:type="pct"/>
            <w:tcBorders>
              <w:left w:val="single" w:sz="2" w:space="0" w:color="auto"/>
              <w:right w:val="single" w:sz="2" w:space="0" w:color="auto"/>
            </w:tcBorders>
            <w:vAlign w:val="center"/>
          </w:tcPr>
          <w:p w14:paraId="6DF08186"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3</w:t>
            </w:r>
          </w:p>
        </w:tc>
        <w:tc>
          <w:tcPr>
            <w:tcW w:w="457" w:type="pct"/>
            <w:tcBorders>
              <w:left w:val="single" w:sz="2" w:space="0" w:color="auto"/>
              <w:right w:val="single" w:sz="2" w:space="0" w:color="auto"/>
            </w:tcBorders>
            <w:vAlign w:val="center"/>
          </w:tcPr>
          <w:p w14:paraId="3EA5EA51"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437</w:t>
            </w:r>
          </w:p>
        </w:tc>
        <w:tc>
          <w:tcPr>
            <w:tcW w:w="324" w:type="pct"/>
            <w:tcBorders>
              <w:left w:val="single" w:sz="2" w:space="0" w:color="auto"/>
            </w:tcBorders>
            <w:vAlign w:val="center"/>
          </w:tcPr>
          <w:p w14:paraId="7E1AE9FB"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3</w:t>
            </w:r>
          </w:p>
        </w:tc>
      </w:tr>
      <w:tr w:rsidR="008C0F2B" w:rsidRPr="008C0F2B" w14:paraId="288B4F20" w14:textId="77777777" w:rsidTr="005C48AE">
        <w:trPr>
          <w:trHeight w:val="198"/>
          <w:jc w:val="center"/>
        </w:trPr>
        <w:tc>
          <w:tcPr>
            <w:tcW w:w="824" w:type="pct"/>
            <w:vAlign w:val="center"/>
            <w:hideMark/>
          </w:tcPr>
          <w:p w14:paraId="391AB477" w14:textId="77777777" w:rsidR="00CA52B1" w:rsidRPr="0044109D" w:rsidRDefault="00CA52B1" w:rsidP="00CA52B1">
            <w:pPr>
              <w:tabs>
                <w:tab w:val="center" w:pos="2835"/>
                <w:tab w:val="center" w:pos="3969"/>
                <w:tab w:val="center" w:pos="5103"/>
                <w:tab w:val="center" w:pos="6237"/>
                <w:tab w:val="center" w:pos="7371"/>
              </w:tabs>
              <w:spacing w:after="0" w:line="240" w:lineRule="atLeast"/>
              <w:ind w:left="-42" w:right="-108" w:firstLine="0"/>
              <w:jc w:val="left"/>
              <w:rPr>
                <w:rFonts w:ascii="Arial Narrow" w:hAnsi="Arial Narrow"/>
                <w:spacing w:val="6"/>
                <w:sz w:val="18"/>
                <w:szCs w:val="18"/>
              </w:rPr>
            </w:pPr>
            <w:r w:rsidRPr="0044109D">
              <w:rPr>
                <w:rFonts w:ascii="Arial Narrow" w:hAnsi="Arial Narrow"/>
                <w:spacing w:val="6"/>
                <w:sz w:val="18"/>
                <w:szCs w:val="18"/>
              </w:rPr>
              <w:t>Entre 31 y 40 años</w:t>
            </w:r>
          </w:p>
        </w:tc>
        <w:tc>
          <w:tcPr>
            <w:tcW w:w="446" w:type="pct"/>
            <w:tcBorders>
              <w:right w:val="single" w:sz="2" w:space="0" w:color="auto"/>
            </w:tcBorders>
            <w:vAlign w:val="center"/>
          </w:tcPr>
          <w:p w14:paraId="508A1E15"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1.955</w:t>
            </w:r>
          </w:p>
        </w:tc>
        <w:tc>
          <w:tcPr>
            <w:tcW w:w="397" w:type="pct"/>
            <w:tcBorders>
              <w:left w:val="single" w:sz="2" w:space="0" w:color="auto"/>
              <w:right w:val="single" w:sz="2" w:space="0" w:color="auto"/>
            </w:tcBorders>
            <w:vAlign w:val="center"/>
          </w:tcPr>
          <w:p w14:paraId="5DB0F833"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13</w:t>
            </w:r>
          </w:p>
        </w:tc>
        <w:tc>
          <w:tcPr>
            <w:tcW w:w="396" w:type="pct"/>
            <w:tcBorders>
              <w:left w:val="single" w:sz="2" w:space="0" w:color="auto"/>
              <w:right w:val="single" w:sz="2" w:space="0" w:color="auto"/>
            </w:tcBorders>
            <w:vAlign w:val="center"/>
          </w:tcPr>
          <w:p w14:paraId="692E9DEF"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1.795</w:t>
            </w:r>
          </w:p>
        </w:tc>
        <w:tc>
          <w:tcPr>
            <w:tcW w:w="397" w:type="pct"/>
            <w:tcBorders>
              <w:left w:val="single" w:sz="2" w:space="0" w:color="auto"/>
              <w:right w:val="single" w:sz="2" w:space="0" w:color="auto"/>
            </w:tcBorders>
            <w:vAlign w:val="center"/>
          </w:tcPr>
          <w:p w14:paraId="3C6DB8C2"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12</w:t>
            </w:r>
          </w:p>
        </w:tc>
        <w:tc>
          <w:tcPr>
            <w:tcW w:w="480" w:type="pct"/>
            <w:gridSpan w:val="2"/>
            <w:tcBorders>
              <w:left w:val="single" w:sz="2" w:space="0" w:color="auto"/>
              <w:right w:val="single" w:sz="2" w:space="0" w:color="auto"/>
            </w:tcBorders>
            <w:vAlign w:val="center"/>
          </w:tcPr>
          <w:p w14:paraId="5855C9A2"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1.874</w:t>
            </w:r>
          </w:p>
        </w:tc>
        <w:tc>
          <w:tcPr>
            <w:tcW w:w="400" w:type="pct"/>
            <w:gridSpan w:val="2"/>
            <w:tcBorders>
              <w:left w:val="single" w:sz="2" w:space="0" w:color="auto"/>
              <w:right w:val="single" w:sz="2" w:space="0" w:color="auto"/>
            </w:tcBorders>
            <w:vAlign w:val="center"/>
          </w:tcPr>
          <w:p w14:paraId="6E253FEA"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13</w:t>
            </w:r>
          </w:p>
        </w:tc>
        <w:tc>
          <w:tcPr>
            <w:tcW w:w="459" w:type="pct"/>
            <w:gridSpan w:val="2"/>
            <w:tcBorders>
              <w:left w:val="single" w:sz="2" w:space="0" w:color="auto"/>
              <w:right w:val="single" w:sz="2" w:space="0" w:color="auto"/>
            </w:tcBorders>
            <w:vAlign w:val="center"/>
          </w:tcPr>
          <w:p w14:paraId="2611DBB6"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2.175</w:t>
            </w:r>
          </w:p>
        </w:tc>
        <w:tc>
          <w:tcPr>
            <w:tcW w:w="420" w:type="pct"/>
            <w:tcBorders>
              <w:left w:val="single" w:sz="2" w:space="0" w:color="auto"/>
              <w:right w:val="single" w:sz="2" w:space="0" w:color="auto"/>
            </w:tcBorders>
            <w:vAlign w:val="center"/>
          </w:tcPr>
          <w:p w14:paraId="16269795"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14</w:t>
            </w:r>
          </w:p>
        </w:tc>
        <w:tc>
          <w:tcPr>
            <w:tcW w:w="457" w:type="pct"/>
            <w:tcBorders>
              <w:left w:val="single" w:sz="2" w:space="0" w:color="auto"/>
              <w:right w:val="single" w:sz="2" w:space="0" w:color="auto"/>
            </w:tcBorders>
            <w:vAlign w:val="center"/>
          </w:tcPr>
          <w:p w14:paraId="6191E706"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2.690</w:t>
            </w:r>
          </w:p>
        </w:tc>
        <w:tc>
          <w:tcPr>
            <w:tcW w:w="324" w:type="pct"/>
            <w:tcBorders>
              <w:left w:val="single" w:sz="2" w:space="0" w:color="auto"/>
            </w:tcBorders>
            <w:vAlign w:val="center"/>
          </w:tcPr>
          <w:p w14:paraId="3558BE5A"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16</w:t>
            </w:r>
          </w:p>
        </w:tc>
      </w:tr>
      <w:tr w:rsidR="008C0F2B" w:rsidRPr="008C0F2B" w14:paraId="2E3AD787" w14:textId="77777777" w:rsidTr="005C48AE">
        <w:trPr>
          <w:trHeight w:val="198"/>
          <w:jc w:val="center"/>
        </w:trPr>
        <w:tc>
          <w:tcPr>
            <w:tcW w:w="824" w:type="pct"/>
            <w:vAlign w:val="center"/>
            <w:hideMark/>
          </w:tcPr>
          <w:p w14:paraId="03673C98" w14:textId="77777777" w:rsidR="00CA52B1" w:rsidRPr="0044109D" w:rsidRDefault="00CA52B1" w:rsidP="00CA52B1">
            <w:pPr>
              <w:tabs>
                <w:tab w:val="center" w:pos="2835"/>
                <w:tab w:val="center" w:pos="3969"/>
                <w:tab w:val="center" w:pos="5103"/>
                <w:tab w:val="center" w:pos="6237"/>
                <w:tab w:val="center" w:pos="7371"/>
              </w:tabs>
              <w:spacing w:after="0" w:line="240" w:lineRule="atLeast"/>
              <w:ind w:left="-42" w:right="-108" w:firstLine="0"/>
              <w:jc w:val="left"/>
              <w:rPr>
                <w:rFonts w:ascii="Arial Narrow" w:hAnsi="Arial Narrow"/>
                <w:spacing w:val="6"/>
                <w:sz w:val="18"/>
                <w:szCs w:val="18"/>
              </w:rPr>
            </w:pPr>
            <w:r w:rsidRPr="0044109D">
              <w:rPr>
                <w:rFonts w:ascii="Arial Narrow" w:hAnsi="Arial Narrow"/>
                <w:spacing w:val="6"/>
                <w:sz w:val="18"/>
                <w:szCs w:val="18"/>
              </w:rPr>
              <w:t>Entre 41 y 50 años</w:t>
            </w:r>
          </w:p>
        </w:tc>
        <w:tc>
          <w:tcPr>
            <w:tcW w:w="446" w:type="pct"/>
            <w:tcBorders>
              <w:right w:val="single" w:sz="2" w:space="0" w:color="auto"/>
            </w:tcBorders>
            <w:vAlign w:val="center"/>
          </w:tcPr>
          <w:p w14:paraId="2A8C4F03"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5.096</w:t>
            </w:r>
          </w:p>
        </w:tc>
        <w:tc>
          <w:tcPr>
            <w:tcW w:w="397" w:type="pct"/>
            <w:tcBorders>
              <w:left w:val="single" w:sz="2" w:space="0" w:color="auto"/>
              <w:right w:val="single" w:sz="2" w:space="0" w:color="auto"/>
            </w:tcBorders>
            <w:vAlign w:val="center"/>
          </w:tcPr>
          <w:p w14:paraId="63BFFDFB"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34</w:t>
            </w:r>
          </w:p>
        </w:tc>
        <w:tc>
          <w:tcPr>
            <w:tcW w:w="396" w:type="pct"/>
            <w:tcBorders>
              <w:left w:val="single" w:sz="2" w:space="0" w:color="auto"/>
              <w:right w:val="single" w:sz="2" w:space="0" w:color="auto"/>
            </w:tcBorders>
            <w:vAlign w:val="center"/>
          </w:tcPr>
          <w:p w14:paraId="577F627F"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4.877</w:t>
            </w:r>
          </w:p>
        </w:tc>
        <w:tc>
          <w:tcPr>
            <w:tcW w:w="397" w:type="pct"/>
            <w:tcBorders>
              <w:left w:val="single" w:sz="2" w:space="0" w:color="auto"/>
              <w:right w:val="single" w:sz="2" w:space="0" w:color="auto"/>
            </w:tcBorders>
            <w:vAlign w:val="center"/>
          </w:tcPr>
          <w:p w14:paraId="4CF27395"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33</w:t>
            </w:r>
          </w:p>
        </w:tc>
        <w:tc>
          <w:tcPr>
            <w:tcW w:w="480" w:type="pct"/>
            <w:gridSpan w:val="2"/>
            <w:tcBorders>
              <w:left w:val="single" w:sz="2" w:space="0" w:color="auto"/>
              <w:right w:val="single" w:sz="2" w:space="0" w:color="auto"/>
            </w:tcBorders>
            <w:vAlign w:val="center"/>
          </w:tcPr>
          <w:p w14:paraId="0C4905FB"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4.935</w:t>
            </w:r>
          </w:p>
        </w:tc>
        <w:tc>
          <w:tcPr>
            <w:tcW w:w="400" w:type="pct"/>
            <w:gridSpan w:val="2"/>
            <w:tcBorders>
              <w:left w:val="single" w:sz="2" w:space="0" w:color="auto"/>
              <w:right w:val="single" w:sz="2" w:space="0" w:color="auto"/>
            </w:tcBorders>
            <w:vAlign w:val="center"/>
          </w:tcPr>
          <w:p w14:paraId="68772268"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33</w:t>
            </w:r>
          </w:p>
        </w:tc>
        <w:tc>
          <w:tcPr>
            <w:tcW w:w="459" w:type="pct"/>
            <w:gridSpan w:val="2"/>
            <w:tcBorders>
              <w:left w:val="single" w:sz="2" w:space="0" w:color="auto"/>
              <w:right w:val="single" w:sz="2" w:space="0" w:color="auto"/>
            </w:tcBorders>
            <w:vAlign w:val="center"/>
          </w:tcPr>
          <w:p w14:paraId="3D6FE0C6"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5.168</w:t>
            </w:r>
          </w:p>
        </w:tc>
        <w:tc>
          <w:tcPr>
            <w:tcW w:w="420" w:type="pct"/>
            <w:tcBorders>
              <w:left w:val="single" w:sz="2" w:space="0" w:color="auto"/>
              <w:right w:val="single" w:sz="2" w:space="0" w:color="auto"/>
            </w:tcBorders>
            <w:vAlign w:val="center"/>
          </w:tcPr>
          <w:p w14:paraId="080EE27A"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33</w:t>
            </w:r>
          </w:p>
        </w:tc>
        <w:tc>
          <w:tcPr>
            <w:tcW w:w="457" w:type="pct"/>
            <w:tcBorders>
              <w:left w:val="single" w:sz="2" w:space="0" w:color="auto"/>
              <w:right w:val="single" w:sz="2" w:space="0" w:color="auto"/>
            </w:tcBorders>
            <w:vAlign w:val="center"/>
          </w:tcPr>
          <w:p w14:paraId="3E130DEE"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5.600</w:t>
            </w:r>
          </w:p>
        </w:tc>
        <w:tc>
          <w:tcPr>
            <w:tcW w:w="324" w:type="pct"/>
            <w:tcBorders>
              <w:left w:val="single" w:sz="2" w:space="0" w:color="auto"/>
            </w:tcBorders>
            <w:vAlign w:val="center"/>
          </w:tcPr>
          <w:p w14:paraId="7C0A325B"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33</w:t>
            </w:r>
          </w:p>
        </w:tc>
      </w:tr>
      <w:tr w:rsidR="008C0F2B" w:rsidRPr="008C0F2B" w14:paraId="241446FB" w14:textId="77777777" w:rsidTr="005C48AE">
        <w:trPr>
          <w:trHeight w:val="198"/>
          <w:jc w:val="center"/>
        </w:trPr>
        <w:tc>
          <w:tcPr>
            <w:tcW w:w="824" w:type="pct"/>
            <w:vAlign w:val="center"/>
            <w:hideMark/>
          </w:tcPr>
          <w:p w14:paraId="226B234C" w14:textId="77777777" w:rsidR="00CA52B1" w:rsidRPr="0044109D" w:rsidRDefault="00CA52B1" w:rsidP="00CA52B1">
            <w:pPr>
              <w:tabs>
                <w:tab w:val="center" w:pos="2835"/>
                <w:tab w:val="center" w:pos="3969"/>
                <w:tab w:val="center" w:pos="5103"/>
                <w:tab w:val="center" w:pos="6237"/>
                <w:tab w:val="center" w:pos="7371"/>
              </w:tabs>
              <w:spacing w:after="0" w:line="240" w:lineRule="atLeast"/>
              <w:ind w:left="-42" w:right="-108" w:firstLine="0"/>
              <w:jc w:val="left"/>
              <w:rPr>
                <w:rFonts w:ascii="Arial Narrow" w:hAnsi="Arial Narrow"/>
                <w:spacing w:val="6"/>
                <w:sz w:val="18"/>
                <w:szCs w:val="18"/>
              </w:rPr>
            </w:pPr>
            <w:r w:rsidRPr="0044109D">
              <w:rPr>
                <w:rFonts w:ascii="Arial Narrow" w:hAnsi="Arial Narrow"/>
                <w:spacing w:val="6"/>
                <w:sz w:val="18"/>
                <w:szCs w:val="18"/>
              </w:rPr>
              <w:t>Entre 51 y 55 años</w:t>
            </w:r>
          </w:p>
        </w:tc>
        <w:tc>
          <w:tcPr>
            <w:tcW w:w="446" w:type="pct"/>
            <w:tcBorders>
              <w:right w:val="single" w:sz="2" w:space="0" w:color="auto"/>
            </w:tcBorders>
            <w:vAlign w:val="center"/>
          </w:tcPr>
          <w:p w14:paraId="0335D881"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3.299</w:t>
            </w:r>
          </w:p>
        </w:tc>
        <w:tc>
          <w:tcPr>
            <w:tcW w:w="397" w:type="pct"/>
            <w:tcBorders>
              <w:left w:val="single" w:sz="2" w:space="0" w:color="auto"/>
              <w:right w:val="single" w:sz="2" w:space="0" w:color="auto"/>
            </w:tcBorders>
            <w:vAlign w:val="center"/>
          </w:tcPr>
          <w:p w14:paraId="43BF81B0"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22</w:t>
            </w:r>
          </w:p>
        </w:tc>
        <w:tc>
          <w:tcPr>
            <w:tcW w:w="396" w:type="pct"/>
            <w:tcBorders>
              <w:left w:val="single" w:sz="2" w:space="0" w:color="auto"/>
              <w:right w:val="single" w:sz="2" w:space="0" w:color="auto"/>
            </w:tcBorders>
            <w:vAlign w:val="center"/>
          </w:tcPr>
          <w:p w14:paraId="24DF18F4"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3.214</w:t>
            </w:r>
          </w:p>
        </w:tc>
        <w:tc>
          <w:tcPr>
            <w:tcW w:w="397" w:type="pct"/>
            <w:tcBorders>
              <w:left w:val="single" w:sz="2" w:space="0" w:color="auto"/>
              <w:right w:val="single" w:sz="2" w:space="0" w:color="auto"/>
            </w:tcBorders>
            <w:vAlign w:val="center"/>
          </w:tcPr>
          <w:p w14:paraId="1DCD1538"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22</w:t>
            </w:r>
          </w:p>
        </w:tc>
        <w:tc>
          <w:tcPr>
            <w:tcW w:w="480" w:type="pct"/>
            <w:gridSpan w:val="2"/>
            <w:tcBorders>
              <w:left w:val="single" w:sz="2" w:space="0" w:color="auto"/>
              <w:right w:val="single" w:sz="2" w:space="0" w:color="auto"/>
            </w:tcBorders>
            <w:vAlign w:val="center"/>
          </w:tcPr>
          <w:p w14:paraId="5FB3D13F"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3.125</w:t>
            </w:r>
          </w:p>
        </w:tc>
        <w:tc>
          <w:tcPr>
            <w:tcW w:w="400" w:type="pct"/>
            <w:gridSpan w:val="2"/>
            <w:tcBorders>
              <w:left w:val="single" w:sz="2" w:space="0" w:color="auto"/>
              <w:right w:val="single" w:sz="2" w:space="0" w:color="auto"/>
            </w:tcBorders>
            <w:vAlign w:val="center"/>
          </w:tcPr>
          <w:p w14:paraId="106F37CE"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21</w:t>
            </w:r>
          </w:p>
        </w:tc>
        <w:tc>
          <w:tcPr>
            <w:tcW w:w="459" w:type="pct"/>
            <w:gridSpan w:val="2"/>
            <w:tcBorders>
              <w:left w:val="single" w:sz="2" w:space="0" w:color="auto"/>
              <w:right w:val="single" w:sz="2" w:space="0" w:color="auto"/>
            </w:tcBorders>
            <w:vAlign w:val="center"/>
          </w:tcPr>
          <w:p w14:paraId="15BC8C1E"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3.107</w:t>
            </w:r>
          </w:p>
        </w:tc>
        <w:tc>
          <w:tcPr>
            <w:tcW w:w="420" w:type="pct"/>
            <w:tcBorders>
              <w:left w:val="single" w:sz="2" w:space="0" w:color="auto"/>
              <w:right w:val="single" w:sz="2" w:space="0" w:color="auto"/>
            </w:tcBorders>
            <w:vAlign w:val="center"/>
          </w:tcPr>
          <w:p w14:paraId="7D5809CD"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20</w:t>
            </w:r>
          </w:p>
        </w:tc>
        <w:tc>
          <w:tcPr>
            <w:tcW w:w="457" w:type="pct"/>
            <w:tcBorders>
              <w:left w:val="single" w:sz="2" w:space="0" w:color="auto"/>
              <w:right w:val="single" w:sz="2" w:space="0" w:color="auto"/>
            </w:tcBorders>
            <w:vAlign w:val="center"/>
          </w:tcPr>
          <w:p w14:paraId="357CF270"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3.278</w:t>
            </w:r>
          </w:p>
        </w:tc>
        <w:tc>
          <w:tcPr>
            <w:tcW w:w="324" w:type="pct"/>
            <w:tcBorders>
              <w:left w:val="single" w:sz="2" w:space="0" w:color="auto"/>
            </w:tcBorders>
            <w:vAlign w:val="center"/>
          </w:tcPr>
          <w:p w14:paraId="156D7AFF" w14:textId="77777777" w:rsidR="00CA52B1" w:rsidRPr="0044109D" w:rsidRDefault="00CA52B1"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19</w:t>
            </w:r>
          </w:p>
        </w:tc>
      </w:tr>
      <w:tr w:rsidR="008C0F2B" w:rsidRPr="008C0F2B" w14:paraId="4D349707" w14:textId="77777777" w:rsidTr="005C48AE">
        <w:tblPrEx>
          <w:jc w:val="left"/>
        </w:tblPrEx>
        <w:trPr>
          <w:trHeight w:val="198"/>
        </w:trPr>
        <w:tc>
          <w:tcPr>
            <w:tcW w:w="824" w:type="pct"/>
            <w:hideMark/>
          </w:tcPr>
          <w:p w14:paraId="38F3C375" w14:textId="77777777" w:rsidR="00CA52B1" w:rsidRPr="0044109D" w:rsidRDefault="00CA52B1" w:rsidP="00C55887">
            <w:pPr>
              <w:tabs>
                <w:tab w:val="center" w:pos="2835"/>
                <w:tab w:val="center" w:pos="3969"/>
                <w:tab w:val="center" w:pos="5103"/>
                <w:tab w:val="center" w:pos="6237"/>
                <w:tab w:val="center" w:pos="7371"/>
              </w:tabs>
              <w:spacing w:after="0" w:line="240" w:lineRule="atLeast"/>
              <w:ind w:left="-42" w:right="-108" w:firstLine="0"/>
              <w:jc w:val="left"/>
              <w:rPr>
                <w:rFonts w:ascii="Arial Narrow" w:hAnsi="Arial Narrow"/>
                <w:spacing w:val="6"/>
                <w:sz w:val="18"/>
                <w:szCs w:val="18"/>
              </w:rPr>
            </w:pPr>
            <w:r w:rsidRPr="0044109D">
              <w:rPr>
                <w:rFonts w:ascii="Arial Narrow" w:hAnsi="Arial Narrow"/>
                <w:spacing w:val="6"/>
                <w:sz w:val="18"/>
                <w:szCs w:val="18"/>
              </w:rPr>
              <w:t xml:space="preserve">Mayores 55 años </w:t>
            </w:r>
          </w:p>
        </w:tc>
        <w:tc>
          <w:tcPr>
            <w:tcW w:w="446" w:type="pct"/>
            <w:tcBorders>
              <w:right w:val="single" w:sz="2" w:space="0" w:color="auto"/>
            </w:tcBorders>
          </w:tcPr>
          <w:p w14:paraId="7A9E22C9" w14:textId="77777777" w:rsidR="00CA52B1" w:rsidRPr="0044109D" w:rsidRDefault="00CA52B1" w:rsidP="00C55887">
            <w:pPr>
              <w:spacing w:after="0" w:line="240" w:lineRule="atLeast"/>
              <w:ind w:left="-75" w:firstLine="0"/>
              <w:jc w:val="right"/>
              <w:rPr>
                <w:rFonts w:ascii="Arial Narrow" w:hAnsi="Arial Narrow"/>
                <w:sz w:val="18"/>
                <w:szCs w:val="18"/>
              </w:rPr>
            </w:pPr>
            <w:r w:rsidRPr="0044109D">
              <w:rPr>
                <w:rFonts w:ascii="Arial Narrow" w:hAnsi="Arial Narrow"/>
                <w:sz w:val="18"/>
                <w:szCs w:val="18"/>
              </w:rPr>
              <w:t>4.432</w:t>
            </w:r>
          </w:p>
        </w:tc>
        <w:tc>
          <w:tcPr>
            <w:tcW w:w="397" w:type="pct"/>
            <w:tcBorders>
              <w:left w:val="single" w:sz="2" w:space="0" w:color="auto"/>
              <w:right w:val="single" w:sz="2" w:space="0" w:color="auto"/>
            </w:tcBorders>
          </w:tcPr>
          <w:p w14:paraId="1FA97D92" w14:textId="77777777" w:rsidR="00CA52B1" w:rsidRPr="0044109D" w:rsidRDefault="00CA52B1" w:rsidP="00C55887">
            <w:pPr>
              <w:spacing w:after="0" w:line="240" w:lineRule="atLeast"/>
              <w:ind w:left="-75" w:firstLine="0"/>
              <w:jc w:val="right"/>
              <w:rPr>
                <w:rFonts w:ascii="Arial Narrow" w:hAnsi="Arial Narrow"/>
                <w:sz w:val="18"/>
                <w:szCs w:val="18"/>
              </w:rPr>
            </w:pPr>
            <w:r w:rsidRPr="0044109D">
              <w:rPr>
                <w:rFonts w:ascii="Arial Narrow" w:hAnsi="Arial Narrow"/>
                <w:sz w:val="18"/>
                <w:szCs w:val="18"/>
              </w:rPr>
              <w:t>29</w:t>
            </w:r>
          </w:p>
        </w:tc>
        <w:tc>
          <w:tcPr>
            <w:tcW w:w="396" w:type="pct"/>
            <w:tcBorders>
              <w:left w:val="single" w:sz="2" w:space="0" w:color="auto"/>
              <w:right w:val="single" w:sz="2" w:space="0" w:color="auto"/>
            </w:tcBorders>
          </w:tcPr>
          <w:p w14:paraId="444309F4" w14:textId="77777777" w:rsidR="00CA52B1" w:rsidRPr="0044109D" w:rsidRDefault="00CA52B1" w:rsidP="00C55887">
            <w:pPr>
              <w:spacing w:after="0" w:line="240" w:lineRule="atLeast"/>
              <w:ind w:left="-75" w:firstLine="0"/>
              <w:jc w:val="right"/>
              <w:rPr>
                <w:rFonts w:ascii="Arial Narrow" w:hAnsi="Arial Narrow"/>
                <w:sz w:val="18"/>
                <w:szCs w:val="18"/>
              </w:rPr>
            </w:pPr>
            <w:r w:rsidRPr="0044109D">
              <w:rPr>
                <w:rFonts w:ascii="Arial Narrow" w:hAnsi="Arial Narrow"/>
                <w:sz w:val="18"/>
                <w:szCs w:val="18"/>
              </w:rPr>
              <w:t>4.538</w:t>
            </w:r>
          </w:p>
        </w:tc>
        <w:tc>
          <w:tcPr>
            <w:tcW w:w="397" w:type="pct"/>
            <w:tcBorders>
              <w:left w:val="single" w:sz="2" w:space="0" w:color="auto"/>
              <w:right w:val="single" w:sz="2" w:space="0" w:color="auto"/>
            </w:tcBorders>
          </w:tcPr>
          <w:p w14:paraId="5AE1AD28" w14:textId="77777777" w:rsidR="00CA52B1" w:rsidRPr="0044109D" w:rsidRDefault="00CA52B1" w:rsidP="00C55887">
            <w:pPr>
              <w:spacing w:after="0" w:line="240" w:lineRule="atLeast"/>
              <w:ind w:left="-75" w:firstLine="0"/>
              <w:jc w:val="right"/>
              <w:rPr>
                <w:rFonts w:ascii="Arial Narrow" w:hAnsi="Arial Narrow"/>
                <w:sz w:val="18"/>
                <w:szCs w:val="18"/>
              </w:rPr>
            </w:pPr>
            <w:r w:rsidRPr="0044109D">
              <w:rPr>
                <w:rFonts w:ascii="Arial Narrow" w:hAnsi="Arial Narrow"/>
                <w:sz w:val="18"/>
                <w:szCs w:val="18"/>
              </w:rPr>
              <w:t>31</w:t>
            </w:r>
          </w:p>
        </w:tc>
        <w:tc>
          <w:tcPr>
            <w:tcW w:w="480" w:type="pct"/>
            <w:gridSpan w:val="2"/>
            <w:tcBorders>
              <w:left w:val="single" w:sz="2" w:space="0" w:color="auto"/>
              <w:right w:val="single" w:sz="2" w:space="0" w:color="auto"/>
            </w:tcBorders>
          </w:tcPr>
          <w:p w14:paraId="1EBCB75E" w14:textId="77777777" w:rsidR="00CA52B1" w:rsidRPr="0044109D" w:rsidRDefault="00CA52B1" w:rsidP="00C55887">
            <w:pPr>
              <w:spacing w:after="0" w:line="240" w:lineRule="atLeast"/>
              <w:ind w:left="-75" w:firstLine="0"/>
              <w:jc w:val="right"/>
              <w:rPr>
                <w:rFonts w:ascii="Arial Narrow" w:hAnsi="Arial Narrow"/>
                <w:sz w:val="18"/>
                <w:szCs w:val="18"/>
              </w:rPr>
            </w:pPr>
            <w:r w:rsidRPr="0044109D">
              <w:rPr>
                <w:rFonts w:ascii="Arial Narrow" w:hAnsi="Arial Narrow"/>
                <w:sz w:val="18"/>
                <w:szCs w:val="18"/>
              </w:rPr>
              <w:t>4.704</w:t>
            </w:r>
          </w:p>
        </w:tc>
        <w:tc>
          <w:tcPr>
            <w:tcW w:w="400" w:type="pct"/>
            <w:gridSpan w:val="2"/>
            <w:tcBorders>
              <w:left w:val="single" w:sz="2" w:space="0" w:color="auto"/>
              <w:right w:val="single" w:sz="2" w:space="0" w:color="auto"/>
            </w:tcBorders>
          </w:tcPr>
          <w:p w14:paraId="48D350D6" w14:textId="77777777" w:rsidR="00CA52B1" w:rsidRPr="0044109D" w:rsidRDefault="00CA52B1" w:rsidP="00C55887">
            <w:pPr>
              <w:spacing w:after="0" w:line="240" w:lineRule="atLeast"/>
              <w:ind w:left="-75" w:firstLine="0"/>
              <w:jc w:val="right"/>
              <w:rPr>
                <w:rFonts w:ascii="Arial Narrow" w:hAnsi="Arial Narrow"/>
                <w:sz w:val="18"/>
                <w:szCs w:val="18"/>
              </w:rPr>
            </w:pPr>
            <w:r w:rsidRPr="0044109D">
              <w:rPr>
                <w:rFonts w:ascii="Arial Narrow" w:hAnsi="Arial Narrow"/>
                <w:sz w:val="18"/>
                <w:szCs w:val="18"/>
              </w:rPr>
              <w:t>31</w:t>
            </w:r>
          </w:p>
        </w:tc>
        <w:tc>
          <w:tcPr>
            <w:tcW w:w="459" w:type="pct"/>
            <w:gridSpan w:val="2"/>
            <w:tcBorders>
              <w:left w:val="single" w:sz="2" w:space="0" w:color="auto"/>
              <w:right w:val="single" w:sz="2" w:space="0" w:color="auto"/>
            </w:tcBorders>
          </w:tcPr>
          <w:p w14:paraId="6DD10AB7" w14:textId="77777777" w:rsidR="00CA52B1" w:rsidRPr="0044109D" w:rsidRDefault="00CA52B1" w:rsidP="00C55887">
            <w:pPr>
              <w:spacing w:after="0" w:line="240" w:lineRule="atLeast"/>
              <w:ind w:left="-75" w:firstLine="0"/>
              <w:jc w:val="right"/>
              <w:rPr>
                <w:rFonts w:ascii="Arial Narrow" w:hAnsi="Arial Narrow"/>
                <w:sz w:val="18"/>
                <w:szCs w:val="18"/>
              </w:rPr>
            </w:pPr>
            <w:r w:rsidRPr="0044109D">
              <w:rPr>
                <w:rFonts w:ascii="Arial Narrow" w:hAnsi="Arial Narrow"/>
                <w:sz w:val="18"/>
                <w:szCs w:val="18"/>
              </w:rPr>
              <w:t>4.816</w:t>
            </w:r>
          </w:p>
        </w:tc>
        <w:tc>
          <w:tcPr>
            <w:tcW w:w="420" w:type="pct"/>
            <w:tcBorders>
              <w:left w:val="single" w:sz="2" w:space="0" w:color="auto"/>
              <w:right w:val="single" w:sz="2" w:space="0" w:color="auto"/>
            </w:tcBorders>
          </w:tcPr>
          <w:p w14:paraId="0794FAAE" w14:textId="77777777" w:rsidR="00CA52B1" w:rsidRPr="0044109D" w:rsidRDefault="00CA52B1" w:rsidP="00C55887">
            <w:pPr>
              <w:spacing w:after="0" w:line="240" w:lineRule="atLeast"/>
              <w:ind w:left="-75" w:firstLine="0"/>
              <w:jc w:val="right"/>
              <w:rPr>
                <w:rFonts w:ascii="Arial Narrow" w:hAnsi="Arial Narrow"/>
                <w:sz w:val="18"/>
                <w:szCs w:val="18"/>
              </w:rPr>
            </w:pPr>
            <w:r w:rsidRPr="0044109D">
              <w:rPr>
                <w:rFonts w:ascii="Arial Narrow" w:hAnsi="Arial Narrow"/>
                <w:sz w:val="18"/>
                <w:szCs w:val="18"/>
              </w:rPr>
              <w:t>31</w:t>
            </w:r>
          </w:p>
        </w:tc>
        <w:tc>
          <w:tcPr>
            <w:tcW w:w="457" w:type="pct"/>
            <w:tcBorders>
              <w:left w:val="single" w:sz="2" w:space="0" w:color="auto"/>
              <w:right w:val="single" w:sz="2" w:space="0" w:color="auto"/>
            </w:tcBorders>
          </w:tcPr>
          <w:p w14:paraId="7961A3C6" w14:textId="77777777" w:rsidR="00CA52B1" w:rsidRPr="0044109D" w:rsidRDefault="00CA52B1" w:rsidP="00C55887">
            <w:pPr>
              <w:spacing w:after="0" w:line="240" w:lineRule="atLeast"/>
              <w:ind w:left="-75" w:firstLine="0"/>
              <w:jc w:val="right"/>
              <w:rPr>
                <w:rFonts w:ascii="Arial Narrow" w:hAnsi="Arial Narrow"/>
                <w:sz w:val="18"/>
                <w:szCs w:val="18"/>
              </w:rPr>
            </w:pPr>
            <w:r w:rsidRPr="0044109D">
              <w:rPr>
                <w:rFonts w:ascii="Arial Narrow" w:hAnsi="Arial Narrow"/>
                <w:sz w:val="18"/>
                <w:szCs w:val="18"/>
              </w:rPr>
              <w:t>5.206</w:t>
            </w:r>
          </w:p>
        </w:tc>
        <w:tc>
          <w:tcPr>
            <w:tcW w:w="324" w:type="pct"/>
            <w:tcBorders>
              <w:left w:val="single" w:sz="2" w:space="0" w:color="auto"/>
            </w:tcBorders>
          </w:tcPr>
          <w:p w14:paraId="31D4D678" w14:textId="77777777" w:rsidR="00CA52B1" w:rsidRPr="0044109D" w:rsidRDefault="00CA52B1" w:rsidP="00C55887">
            <w:pPr>
              <w:spacing w:after="0" w:line="240" w:lineRule="atLeast"/>
              <w:ind w:left="-75" w:firstLine="0"/>
              <w:jc w:val="right"/>
              <w:rPr>
                <w:rFonts w:ascii="Arial Narrow" w:hAnsi="Arial Narrow"/>
                <w:sz w:val="18"/>
                <w:szCs w:val="18"/>
              </w:rPr>
            </w:pPr>
            <w:r w:rsidRPr="0044109D">
              <w:rPr>
                <w:rFonts w:ascii="Arial Narrow" w:hAnsi="Arial Narrow"/>
                <w:sz w:val="18"/>
                <w:szCs w:val="18"/>
              </w:rPr>
              <w:t>30</w:t>
            </w:r>
          </w:p>
        </w:tc>
      </w:tr>
      <w:tr w:rsidR="008C0F2B" w:rsidRPr="008C0F2B" w14:paraId="3836E761" w14:textId="77777777" w:rsidTr="00E04706">
        <w:trPr>
          <w:trHeight w:val="198"/>
          <w:jc w:val="center"/>
        </w:trPr>
        <w:tc>
          <w:tcPr>
            <w:tcW w:w="824" w:type="pct"/>
            <w:tcBorders>
              <w:bottom w:val="single" w:sz="4" w:space="0" w:color="auto"/>
            </w:tcBorders>
            <w:vAlign w:val="center"/>
            <w:hideMark/>
          </w:tcPr>
          <w:p w14:paraId="7592D4C9" w14:textId="77777777" w:rsidR="00CA52B1" w:rsidRPr="0044109D" w:rsidRDefault="00CA52B1" w:rsidP="00CA52B1">
            <w:pPr>
              <w:tabs>
                <w:tab w:val="center" w:pos="2835"/>
                <w:tab w:val="center" w:pos="3969"/>
                <w:tab w:val="center" w:pos="5103"/>
                <w:tab w:val="center" w:pos="6237"/>
                <w:tab w:val="center" w:pos="7371"/>
              </w:tabs>
              <w:spacing w:after="0" w:line="240" w:lineRule="atLeast"/>
              <w:ind w:left="-42" w:right="-108" w:firstLine="0"/>
              <w:jc w:val="left"/>
              <w:rPr>
                <w:rFonts w:ascii="Arial Narrow" w:hAnsi="Arial Narrow"/>
                <w:spacing w:val="6"/>
                <w:sz w:val="18"/>
                <w:szCs w:val="18"/>
              </w:rPr>
            </w:pPr>
            <w:r w:rsidRPr="0044109D">
              <w:rPr>
                <w:rFonts w:ascii="Arial Narrow" w:hAnsi="Arial Narrow"/>
                <w:spacing w:val="6"/>
                <w:sz w:val="18"/>
                <w:szCs w:val="18"/>
              </w:rPr>
              <w:t xml:space="preserve">Total personal fijo </w:t>
            </w:r>
          </w:p>
        </w:tc>
        <w:tc>
          <w:tcPr>
            <w:tcW w:w="446" w:type="pct"/>
            <w:tcBorders>
              <w:bottom w:val="single" w:sz="4" w:space="0" w:color="auto"/>
              <w:right w:val="single" w:sz="2" w:space="0" w:color="auto"/>
            </w:tcBorders>
            <w:vAlign w:val="center"/>
          </w:tcPr>
          <w:p w14:paraId="1CFA1CC8" w14:textId="77777777" w:rsidR="00CA52B1" w:rsidRPr="0044109D" w:rsidRDefault="008C0F2B"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15.064</w:t>
            </w:r>
          </w:p>
        </w:tc>
        <w:tc>
          <w:tcPr>
            <w:tcW w:w="397" w:type="pct"/>
            <w:tcBorders>
              <w:left w:val="single" w:sz="2" w:space="0" w:color="auto"/>
              <w:bottom w:val="single" w:sz="4" w:space="0" w:color="auto"/>
              <w:right w:val="single" w:sz="2" w:space="0" w:color="auto"/>
            </w:tcBorders>
            <w:vAlign w:val="center"/>
          </w:tcPr>
          <w:p w14:paraId="422EDE93" w14:textId="77777777" w:rsidR="00CA52B1" w:rsidRPr="0044109D" w:rsidRDefault="008C0F2B"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100</w:t>
            </w:r>
          </w:p>
        </w:tc>
        <w:tc>
          <w:tcPr>
            <w:tcW w:w="396" w:type="pct"/>
            <w:tcBorders>
              <w:left w:val="single" w:sz="2" w:space="0" w:color="auto"/>
              <w:bottom w:val="single" w:sz="4" w:space="0" w:color="auto"/>
              <w:right w:val="single" w:sz="2" w:space="0" w:color="auto"/>
            </w:tcBorders>
            <w:vAlign w:val="center"/>
          </w:tcPr>
          <w:p w14:paraId="1B1D96E7" w14:textId="77777777" w:rsidR="00CA52B1" w:rsidRPr="0044109D" w:rsidRDefault="008C0F2B"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14.680</w:t>
            </w:r>
          </w:p>
        </w:tc>
        <w:tc>
          <w:tcPr>
            <w:tcW w:w="397" w:type="pct"/>
            <w:tcBorders>
              <w:left w:val="single" w:sz="2" w:space="0" w:color="auto"/>
              <w:bottom w:val="single" w:sz="4" w:space="0" w:color="auto"/>
              <w:right w:val="single" w:sz="2" w:space="0" w:color="auto"/>
            </w:tcBorders>
            <w:vAlign w:val="center"/>
          </w:tcPr>
          <w:p w14:paraId="5932EC2A" w14:textId="77777777" w:rsidR="00CA52B1" w:rsidRPr="0044109D" w:rsidRDefault="008C0F2B"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100</w:t>
            </w:r>
          </w:p>
        </w:tc>
        <w:tc>
          <w:tcPr>
            <w:tcW w:w="480" w:type="pct"/>
            <w:gridSpan w:val="2"/>
            <w:tcBorders>
              <w:left w:val="single" w:sz="2" w:space="0" w:color="auto"/>
              <w:bottom w:val="single" w:sz="4" w:space="0" w:color="auto"/>
              <w:right w:val="single" w:sz="2" w:space="0" w:color="auto"/>
            </w:tcBorders>
            <w:vAlign w:val="center"/>
          </w:tcPr>
          <w:p w14:paraId="119AF5B5" w14:textId="77777777" w:rsidR="00CA52B1" w:rsidRPr="0044109D" w:rsidRDefault="008C0F2B"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14.953</w:t>
            </w:r>
          </w:p>
        </w:tc>
        <w:tc>
          <w:tcPr>
            <w:tcW w:w="400" w:type="pct"/>
            <w:gridSpan w:val="2"/>
            <w:tcBorders>
              <w:left w:val="single" w:sz="2" w:space="0" w:color="auto"/>
              <w:bottom w:val="single" w:sz="4" w:space="0" w:color="auto"/>
              <w:right w:val="single" w:sz="2" w:space="0" w:color="auto"/>
            </w:tcBorders>
            <w:vAlign w:val="center"/>
          </w:tcPr>
          <w:p w14:paraId="00D0CA32" w14:textId="77777777" w:rsidR="00CA52B1" w:rsidRPr="0044109D" w:rsidRDefault="008C0F2B"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100</w:t>
            </w:r>
          </w:p>
        </w:tc>
        <w:tc>
          <w:tcPr>
            <w:tcW w:w="459" w:type="pct"/>
            <w:gridSpan w:val="2"/>
            <w:tcBorders>
              <w:left w:val="single" w:sz="2" w:space="0" w:color="auto"/>
              <w:bottom w:val="single" w:sz="4" w:space="0" w:color="auto"/>
              <w:right w:val="single" w:sz="2" w:space="0" w:color="auto"/>
            </w:tcBorders>
            <w:vAlign w:val="center"/>
          </w:tcPr>
          <w:p w14:paraId="64E97E6F" w14:textId="77777777" w:rsidR="00CA52B1" w:rsidRPr="0044109D" w:rsidRDefault="008C0F2B"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15.725</w:t>
            </w:r>
          </w:p>
        </w:tc>
        <w:tc>
          <w:tcPr>
            <w:tcW w:w="420" w:type="pct"/>
            <w:tcBorders>
              <w:left w:val="single" w:sz="2" w:space="0" w:color="auto"/>
              <w:bottom w:val="single" w:sz="4" w:space="0" w:color="auto"/>
              <w:right w:val="single" w:sz="2" w:space="0" w:color="auto"/>
            </w:tcBorders>
            <w:vAlign w:val="center"/>
          </w:tcPr>
          <w:p w14:paraId="6CA450D9" w14:textId="77777777" w:rsidR="00CA52B1" w:rsidRPr="0044109D" w:rsidRDefault="008C0F2B"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100</w:t>
            </w:r>
          </w:p>
        </w:tc>
        <w:tc>
          <w:tcPr>
            <w:tcW w:w="457" w:type="pct"/>
            <w:tcBorders>
              <w:left w:val="single" w:sz="2" w:space="0" w:color="auto"/>
              <w:bottom w:val="single" w:sz="4" w:space="0" w:color="auto"/>
              <w:right w:val="single" w:sz="2" w:space="0" w:color="auto"/>
            </w:tcBorders>
            <w:vAlign w:val="center"/>
          </w:tcPr>
          <w:p w14:paraId="76BE890B" w14:textId="77777777" w:rsidR="00CA52B1" w:rsidRPr="0044109D" w:rsidRDefault="008C0F2B" w:rsidP="00CA52B1">
            <w:pPr>
              <w:spacing w:after="0" w:line="240" w:lineRule="atLeast"/>
              <w:ind w:left="-75" w:firstLine="0"/>
              <w:jc w:val="right"/>
              <w:rPr>
                <w:rFonts w:ascii="Arial Narrow" w:hAnsi="Arial Narrow"/>
                <w:sz w:val="18"/>
                <w:szCs w:val="18"/>
              </w:rPr>
            </w:pPr>
            <w:r w:rsidRPr="0044109D">
              <w:rPr>
                <w:rFonts w:ascii="Arial Narrow" w:hAnsi="Arial Narrow"/>
                <w:sz w:val="18"/>
                <w:szCs w:val="18"/>
              </w:rPr>
              <w:t>17.211</w:t>
            </w:r>
          </w:p>
        </w:tc>
        <w:tc>
          <w:tcPr>
            <w:tcW w:w="324" w:type="pct"/>
            <w:tcBorders>
              <w:left w:val="single" w:sz="2" w:space="0" w:color="auto"/>
              <w:bottom w:val="single" w:sz="4" w:space="0" w:color="auto"/>
            </w:tcBorders>
            <w:vAlign w:val="center"/>
          </w:tcPr>
          <w:p w14:paraId="069C60B6" w14:textId="77777777" w:rsidR="00CA52B1" w:rsidRPr="0044109D" w:rsidRDefault="00CA52B1" w:rsidP="00CA52B1">
            <w:pPr>
              <w:spacing w:after="0" w:line="240" w:lineRule="atLeast"/>
              <w:ind w:left="-75" w:firstLine="0"/>
              <w:jc w:val="right"/>
              <w:rPr>
                <w:rFonts w:ascii="Arial Narrow" w:hAnsi="Arial Narrow"/>
                <w:sz w:val="18"/>
                <w:szCs w:val="18"/>
              </w:rPr>
            </w:pPr>
          </w:p>
        </w:tc>
      </w:tr>
      <w:tr w:rsidR="008C0F2B" w:rsidRPr="008C0F2B" w14:paraId="28D36565" w14:textId="77777777" w:rsidTr="00E04706">
        <w:trPr>
          <w:trHeight w:val="198"/>
          <w:jc w:val="center"/>
        </w:trPr>
        <w:tc>
          <w:tcPr>
            <w:tcW w:w="824" w:type="pct"/>
            <w:tcBorders>
              <w:top w:val="single" w:sz="4" w:space="0" w:color="auto"/>
              <w:bottom w:val="single" w:sz="4" w:space="0" w:color="auto"/>
            </w:tcBorders>
            <w:vAlign w:val="center"/>
            <w:hideMark/>
          </w:tcPr>
          <w:p w14:paraId="2D575619" w14:textId="77777777" w:rsidR="00CA52B1" w:rsidRPr="0044109D" w:rsidRDefault="00CA52B1" w:rsidP="00CA52B1">
            <w:pPr>
              <w:tabs>
                <w:tab w:val="center" w:pos="2835"/>
                <w:tab w:val="center" w:pos="3969"/>
                <w:tab w:val="center" w:pos="5103"/>
                <w:tab w:val="center" w:pos="6237"/>
                <w:tab w:val="center" w:pos="7371"/>
              </w:tabs>
              <w:spacing w:after="0" w:line="240" w:lineRule="atLeast"/>
              <w:ind w:left="-42" w:right="-108" w:firstLine="0"/>
              <w:jc w:val="left"/>
              <w:rPr>
                <w:rFonts w:ascii="Arial Narrow" w:hAnsi="Arial Narrow" w:cs="Arial"/>
                <w:spacing w:val="6"/>
                <w:sz w:val="18"/>
                <w:szCs w:val="18"/>
              </w:rPr>
            </w:pPr>
            <w:r w:rsidRPr="0044109D">
              <w:rPr>
                <w:rFonts w:ascii="Arial Narrow" w:hAnsi="Arial Narrow" w:cs="Arial"/>
                <w:spacing w:val="6"/>
                <w:sz w:val="18"/>
                <w:szCs w:val="18"/>
              </w:rPr>
              <w:t>Edad media</w:t>
            </w:r>
          </w:p>
        </w:tc>
        <w:tc>
          <w:tcPr>
            <w:tcW w:w="446" w:type="pct"/>
            <w:tcBorders>
              <w:top w:val="single" w:sz="4" w:space="0" w:color="auto"/>
              <w:bottom w:val="single" w:sz="4" w:space="0" w:color="auto"/>
              <w:right w:val="single" w:sz="2" w:space="0" w:color="auto"/>
            </w:tcBorders>
            <w:vAlign w:val="center"/>
          </w:tcPr>
          <w:p w14:paraId="0A8EB91A" w14:textId="77777777" w:rsidR="00CA52B1" w:rsidRPr="0044109D" w:rsidRDefault="00CA52B1" w:rsidP="00CA52B1">
            <w:pPr>
              <w:spacing w:after="0" w:line="240" w:lineRule="atLeast"/>
              <w:ind w:left="-127" w:firstLine="0"/>
              <w:jc w:val="right"/>
              <w:rPr>
                <w:rFonts w:ascii="Arial Narrow" w:hAnsi="Arial Narrow" w:cs="Arial"/>
                <w:sz w:val="18"/>
                <w:szCs w:val="18"/>
              </w:rPr>
            </w:pPr>
            <w:r w:rsidRPr="0044109D">
              <w:rPr>
                <w:rFonts w:ascii="Arial Narrow" w:hAnsi="Arial Narrow" w:cs="Arial"/>
                <w:sz w:val="18"/>
                <w:szCs w:val="18"/>
              </w:rPr>
              <w:t>50</w:t>
            </w:r>
          </w:p>
        </w:tc>
        <w:tc>
          <w:tcPr>
            <w:tcW w:w="397" w:type="pct"/>
            <w:tcBorders>
              <w:top w:val="single" w:sz="4" w:space="0" w:color="auto"/>
              <w:left w:val="single" w:sz="2" w:space="0" w:color="auto"/>
              <w:bottom w:val="single" w:sz="4" w:space="0" w:color="auto"/>
              <w:right w:val="single" w:sz="2" w:space="0" w:color="auto"/>
            </w:tcBorders>
            <w:vAlign w:val="center"/>
          </w:tcPr>
          <w:p w14:paraId="205FE0E1" w14:textId="77777777" w:rsidR="00CA52B1" w:rsidRPr="0044109D" w:rsidRDefault="00CA52B1" w:rsidP="00CA52B1">
            <w:pPr>
              <w:spacing w:after="0" w:line="240" w:lineRule="atLeast"/>
              <w:ind w:left="-127" w:firstLine="0"/>
              <w:jc w:val="right"/>
              <w:rPr>
                <w:rFonts w:ascii="Arial Narrow" w:hAnsi="Arial Narrow" w:cs="Arial"/>
                <w:sz w:val="18"/>
                <w:szCs w:val="18"/>
              </w:rPr>
            </w:pPr>
            <w:r w:rsidRPr="0044109D">
              <w:rPr>
                <w:rFonts w:ascii="Arial Narrow" w:hAnsi="Arial Narrow" w:cs="Arial"/>
                <w:sz w:val="18"/>
                <w:szCs w:val="18"/>
              </w:rPr>
              <w:t>-</w:t>
            </w:r>
          </w:p>
        </w:tc>
        <w:tc>
          <w:tcPr>
            <w:tcW w:w="396" w:type="pct"/>
            <w:tcBorders>
              <w:top w:val="single" w:sz="4" w:space="0" w:color="auto"/>
              <w:left w:val="single" w:sz="2" w:space="0" w:color="auto"/>
              <w:bottom w:val="single" w:sz="4" w:space="0" w:color="auto"/>
              <w:right w:val="single" w:sz="2" w:space="0" w:color="auto"/>
            </w:tcBorders>
            <w:vAlign w:val="center"/>
          </w:tcPr>
          <w:p w14:paraId="1942E7B1" w14:textId="77777777" w:rsidR="00CA52B1" w:rsidRPr="0044109D" w:rsidRDefault="00CA52B1" w:rsidP="00CA52B1">
            <w:pPr>
              <w:spacing w:after="0" w:line="240" w:lineRule="atLeast"/>
              <w:ind w:left="-75" w:firstLine="0"/>
              <w:jc w:val="right"/>
              <w:rPr>
                <w:rFonts w:ascii="Arial Narrow" w:hAnsi="Arial Narrow" w:cs="Arial"/>
                <w:sz w:val="18"/>
                <w:szCs w:val="18"/>
              </w:rPr>
            </w:pPr>
            <w:r w:rsidRPr="0044109D">
              <w:rPr>
                <w:rFonts w:ascii="Arial Narrow" w:hAnsi="Arial Narrow" w:cs="Arial"/>
                <w:sz w:val="18"/>
                <w:szCs w:val="18"/>
              </w:rPr>
              <w:t>50</w:t>
            </w:r>
          </w:p>
        </w:tc>
        <w:tc>
          <w:tcPr>
            <w:tcW w:w="397" w:type="pct"/>
            <w:tcBorders>
              <w:top w:val="single" w:sz="4" w:space="0" w:color="auto"/>
              <w:left w:val="single" w:sz="2" w:space="0" w:color="auto"/>
              <w:bottom w:val="single" w:sz="4" w:space="0" w:color="auto"/>
              <w:right w:val="single" w:sz="2" w:space="0" w:color="auto"/>
            </w:tcBorders>
            <w:vAlign w:val="center"/>
          </w:tcPr>
          <w:p w14:paraId="36BF1D82" w14:textId="77777777" w:rsidR="00CA52B1" w:rsidRPr="0044109D" w:rsidRDefault="00CA52B1" w:rsidP="00CA52B1">
            <w:pPr>
              <w:spacing w:after="0" w:line="240" w:lineRule="atLeast"/>
              <w:ind w:left="-75" w:firstLine="0"/>
              <w:jc w:val="right"/>
              <w:rPr>
                <w:rFonts w:ascii="Arial Narrow" w:hAnsi="Arial Narrow" w:cs="Arial"/>
                <w:sz w:val="18"/>
                <w:szCs w:val="18"/>
              </w:rPr>
            </w:pPr>
          </w:p>
        </w:tc>
        <w:tc>
          <w:tcPr>
            <w:tcW w:w="480" w:type="pct"/>
            <w:gridSpan w:val="2"/>
            <w:tcBorders>
              <w:top w:val="single" w:sz="4" w:space="0" w:color="auto"/>
              <w:left w:val="single" w:sz="2" w:space="0" w:color="auto"/>
              <w:bottom w:val="single" w:sz="4" w:space="0" w:color="auto"/>
              <w:right w:val="single" w:sz="2" w:space="0" w:color="auto"/>
            </w:tcBorders>
            <w:vAlign w:val="center"/>
          </w:tcPr>
          <w:p w14:paraId="5CDBE482" w14:textId="77777777" w:rsidR="00CA52B1" w:rsidRPr="0044109D" w:rsidRDefault="00CA52B1" w:rsidP="00CA52B1">
            <w:pPr>
              <w:spacing w:after="0" w:line="240" w:lineRule="atLeast"/>
              <w:ind w:left="-75" w:firstLine="0"/>
              <w:jc w:val="right"/>
              <w:rPr>
                <w:rFonts w:ascii="Arial Narrow" w:hAnsi="Arial Narrow" w:cs="Arial"/>
                <w:sz w:val="18"/>
                <w:szCs w:val="18"/>
              </w:rPr>
            </w:pPr>
            <w:r w:rsidRPr="0044109D">
              <w:rPr>
                <w:rFonts w:ascii="Arial Narrow" w:hAnsi="Arial Narrow" w:cs="Arial"/>
                <w:sz w:val="18"/>
                <w:szCs w:val="18"/>
              </w:rPr>
              <w:t>50</w:t>
            </w:r>
          </w:p>
        </w:tc>
        <w:tc>
          <w:tcPr>
            <w:tcW w:w="400" w:type="pct"/>
            <w:gridSpan w:val="2"/>
            <w:tcBorders>
              <w:top w:val="single" w:sz="4" w:space="0" w:color="auto"/>
              <w:left w:val="single" w:sz="2" w:space="0" w:color="auto"/>
              <w:bottom w:val="single" w:sz="4" w:space="0" w:color="auto"/>
              <w:right w:val="single" w:sz="2" w:space="0" w:color="auto"/>
            </w:tcBorders>
            <w:vAlign w:val="center"/>
          </w:tcPr>
          <w:p w14:paraId="7ADA38B9" w14:textId="77777777" w:rsidR="00CA52B1" w:rsidRPr="0044109D" w:rsidRDefault="00CA52B1" w:rsidP="00CA52B1">
            <w:pPr>
              <w:spacing w:after="0" w:line="240" w:lineRule="atLeast"/>
              <w:ind w:left="-75" w:firstLine="0"/>
              <w:jc w:val="right"/>
              <w:rPr>
                <w:rFonts w:ascii="Arial Narrow" w:hAnsi="Arial Narrow" w:cs="Arial"/>
                <w:sz w:val="18"/>
                <w:szCs w:val="18"/>
              </w:rPr>
            </w:pPr>
          </w:p>
        </w:tc>
        <w:tc>
          <w:tcPr>
            <w:tcW w:w="459" w:type="pct"/>
            <w:gridSpan w:val="2"/>
            <w:tcBorders>
              <w:top w:val="single" w:sz="4" w:space="0" w:color="auto"/>
              <w:left w:val="single" w:sz="2" w:space="0" w:color="auto"/>
              <w:bottom w:val="single" w:sz="4" w:space="0" w:color="auto"/>
              <w:right w:val="single" w:sz="2" w:space="0" w:color="auto"/>
            </w:tcBorders>
            <w:vAlign w:val="center"/>
          </w:tcPr>
          <w:p w14:paraId="20BF07D2" w14:textId="77777777" w:rsidR="00CA52B1" w:rsidRPr="0044109D" w:rsidRDefault="00CA52B1" w:rsidP="00CA52B1">
            <w:pPr>
              <w:spacing w:after="0" w:line="240" w:lineRule="atLeast"/>
              <w:ind w:left="-75" w:firstLine="0"/>
              <w:jc w:val="right"/>
              <w:rPr>
                <w:rFonts w:ascii="Arial Narrow" w:hAnsi="Arial Narrow" w:cs="Arial"/>
                <w:sz w:val="18"/>
                <w:szCs w:val="18"/>
              </w:rPr>
            </w:pPr>
            <w:r w:rsidRPr="0044109D">
              <w:rPr>
                <w:rFonts w:ascii="Arial Narrow" w:hAnsi="Arial Narrow" w:cs="Arial"/>
                <w:sz w:val="18"/>
                <w:szCs w:val="18"/>
              </w:rPr>
              <w:t>50</w:t>
            </w:r>
          </w:p>
        </w:tc>
        <w:tc>
          <w:tcPr>
            <w:tcW w:w="420" w:type="pct"/>
            <w:tcBorders>
              <w:top w:val="single" w:sz="4" w:space="0" w:color="auto"/>
              <w:left w:val="single" w:sz="2" w:space="0" w:color="auto"/>
              <w:bottom w:val="single" w:sz="4" w:space="0" w:color="auto"/>
              <w:right w:val="single" w:sz="2" w:space="0" w:color="auto"/>
            </w:tcBorders>
            <w:vAlign w:val="center"/>
          </w:tcPr>
          <w:p w14:paraId="5B9BCB72" w14:textId="77777777" w:rsidR="00CA52B1" w:rsidRPr="0044109D" w:rsidRDefault="00CA52B1" w:rsidP="00CA52B1">
            <w:pPr>
              <w:spacing w:after="0" w:line="240" w:lineRule="atLeast"/>
              <w:ind w:left="-75" w:firstLine="0"/>
              <w:jc w:val="right"/>
              <w:rPr>
                <w:rFonts w:ascii="Arial Narrow" w:hAnsi="Arial Narrow" w:cs="Arial"/>
                <w:sz w:val="18"/>
                <w:szCs w:val="18"/>
              </w:rPr>
            </w:pPr>
          </w:p>
        </w:tc>
        <w:tc>
          <w:tcPr>
            <w:tcW w:w="457" w:type="pct"/>
            <w:tcBorders>
              <w:top w:val="single" w:sz="4" w:space="0" w:color="auto"/>
              <w:left w:val="single" w:sz="2" w:space="0" w:color="auto"/>
              <w:bottom w:val="single" w:sz="4" w:space="0" w:color="auto"/>
              <w:right w:val="single" w:sz="2" w:space="0" w:color="auto"/>
            </w:tcBorders>
            <w:vAlign w:val="center"/>
          </w:tcPr>
          <w:p w14:paraId="02D8AB2F" w14:textId="77777777" w:rsidR="00CA52B1" w:rsidRPr="0044109D" w:rsidRDefault="00CA52B1" w:rsidP="00CA52B1">
            <w:pPr>
              <w:spacing w:after="0" w:line="240" w:lineRule="atLeast"/>
              <w:ind w:left="-75" w:firstLine="0"/>
              <w:jc w:val="right"/>
              <w:rPr>
                <w:rFonts w:ascii="Arial Narrow" w:hAnsi="Arial Narrow" w:cs="Arial"/>
                <w:sz w:val="18"/>
                <w:szCs w:val="18"/>
              </w:rPr>
            </w:pPr>
            <w:r w:rsidRPr="0044109D">
              <w:rPr>
                <w:rFonts w:ascii="Arial Narrow" w:hAnsi="Arial Narrow" w:cs="Arial"/>
                <w:sz w:val="18"/>
                <w:szCs w:val="18"/>
              </w:rPr>
              <w:t>49</w:t>
            </w:r>
          </w:p>
        </w:tc>
        <w:tc>
          <w:tcPr>
            <w:tcW w:w="324" w:type="pct"/>
            <w:tcBorders>
              <w:top w:val="single" w:sz="4" w:space="0" w:color="auto"/>
              <w:left w:val="single" w:sz="2" w:space="0" w:color="auto"/>
              <w:bottom w:val="single" w:sz="4" w:space="0" w:color="auto"/>
            </w:tcBorders>
            <w:vAlign w:val="center"/>
          </w:tcPr>
          <w:p w14:paraId="4D2BEA96" w14:textId="77777777" w:rsidR="00CA52B1" w:rsidRPr="0044109D" w:rsidRDefault="00CA52B1" w:rsidP="00CA52B1">
            <w:pPr>
              <w:spacing w:after="0" w:line="240" w:lineRule="atLeast"/>
              <w:ind w:left="-75" w:firstLine="0"/>
              <w:jc w:val="right"/>
              <w:rPr>
                <w:rFonts w:ascii="Arial Narrow" w:hAnsi="Arial Narrow" w:cs="Arial"/>
                <w:sz w:val="18"/>
                <w:szCs w:val="18"/>
              </w:rPr>
            </w:pPr>
          </w:p>
        </w:tc>
      </w:tr>
    </w:tbl>
    <w:p w14:paraId="50E5A98F" w14:textId="77777777" w:rsidR="00614DC4" w:rsidRPr="00B47521" w:rsidRDefault="00614DC4" w:rsidP="002D15F8">
      <w:pPr>
        <w:pStyle w:val="texto"/>
        <w:spacing w:before="240"/>
        <w:jc w:val="both"/>
      </w:pPr>
      <w:r w:rsidRPr="008C0F2B">
        <w:lastRenderedPageBreak/>
        <w:t>Destacamos que las personas con edad superior a 55 años suponen en torno al 3</w:t>
      </w:r>
      <w:r w:rsidR="00B47521">
        <w:t>0</w:t>
      </w:r>
      <w:r w:rsidRPr="008C0F2B">
        <w:t xml:space="preserve"> por </w:t>
      </w:r>
      <w:r w:rsidR="00B47521">
        <w:t xml:space="preserve">ciento en el periodo analizado y es el primer ejercicio en el que existe una ligera disminución respecto al ejercicio anterior. </w:t>
      </w:r>
      <w:r w:rsidR="00B47521" w:rsidRPr="00B47521">
        <w:t>A</w:t>
      </w:r>
      <w:r w:rsidRPr="00B47521">
        <w:t xml:space="preserve">simismo, aquellas con edad superior a 60 años </w:t>
      </w:r>
      <w:r w:rsidR="00B47521" w:rsidRPr="00B47521">
        <w:t xml:space="preserve">siguen suponiendo el 13 por ciento, igual que en el ejercicio anterior. </w:t>
      </w:r>
      <w:r w:rsidRPr="00B47521">
        <w:t xml:space="preserve"> </w:t>
      </w:r>
    </w:p>
    <w:p w14:paraId="15A6B2EF" w14:textId="77777777" w:rsidR="00614DC4" w:rsidRPr="008D728D" w:rsidRDefault="00614DC4" w:rsidP="002D15F8">
      <w:pPr>
        <w:pStyle w:val="texto"/>
        <w:spacing w:before="120" w:after="240"/>
        <w:jc w:val="both"/>
      </w:pPr>
      <w:r w:rsidRPr="008D728D">
        <w:rPr>
          <w:b/>
        </w:rPr>
        <w:t>En definitiva</w:t>
      </w:r>
      <w:r w:rsidRPr="008D728D">
        <w:t xml:space="preserve">, la ACFN debe seguir adoptando las medidas necesarias para cubrir las vacantes existentes, reduciendo en lo posible la temporalidad del empleo público en plazas estructurales y el </w:t>
      </w:r>
      <w:r w:rsidR="00AF5AB8" w:rsidRPr="008D728D">
        <w:t>envejecimiento de la plantilla.</w:t>
      </w:r>
    </w:p>
    <w:p w14:paraId="372B4873" w14:textId="77777777" w:rsidR="00614DC4" w:rsidRPr="00740CD8" w:rsidRDefault="00614DC4" w:rsidP="00FE27FF">
      <w:pPr>
        <w:pStyle w:val="atitulo3"/>
        <w:spacing w:before="240"/>
      </w:pPr>
      <w:r w:rsidRPr="00740CD8">
        <w:t>Verificaciones del gasto de personal</w:t>
      </w:r>
    </w:p>
    <w:p w14:paraId="12874483" w14:textId="77777777" w:rsidR="00614DC4" w:rsidRPr="00740CD8" w:rsidRDefault="00614DC4" w:rsidP="00FE27FF">
      <w:pPr>
        <w:pStyle w:val="texto"/>
        <w:spacing w:after="120"/>
        <w:jc w:val="both"/>
        <w:rPr>
          <w:b/>
        </w:rPr>
      </w:pPr>
      <w:r w:rsidRPr="00740CD8">
        <w:t>Hemos analizado si el gasto reflejado en la aplicación SAP RRHH, de la cual se obtienen las nóminas, se corresponde con el registrado en SAPGE`21 y en el presupuesto, constatando que los gastos de todos los conceptos retributivos que componen la nómina son coincidentes y están correctamente contabilizados.</w:t>
      </w:r>
    </w:p>
    <w:p w14:paraId="6A5C1C2C" w14:textId="77777777" w:rsidR="00614DC4" w:rsidRPr="00740CD8" w:rsidRDefault="00614DC4" w:rsidP="00FE27FF">
      <w:pPr>
        <w:pStyle w:val="texto"/>
        <w:spacing w:after="120"/>
        <w:jc w:val="both"/>
      </w:pPr>
      <w:r w:rsidRPr="00740CD8">
        <w:t>Además, hemos revisado una muestra de conceptos retributivos de la nómina devengada en todo el año 202</w:t>
      </w:r>
      <w:r w:rsidR="00183267" w:rsidRPr="00740CD8">
        <w:t>3</w:t>
      </w:r>
      <w:r w:rsidRPr="00740CD8">
        <w:t xml:space="preserve"> del personal de la ACFN y sus OOAA sin incluir </w:t>
      </w:r>
      <w:r w:rsidR="00931295" w:rsidRPr="00740CD8">
        <w:t xml:space="preserve">al personal </w:t>
      </w:r>
      <w:r w:rsidRPr="00740CD8">
        <w:t xml:space="preserve">que </w:t>
      </w:r>
      <w:r w:rsidR="00931295" w:rsidRPr="00740CD8">
        <w:t>pertenece al régimen de pasivos</w:t>
      </w:r>
      <w:r w:rsidRPr="00740CD8">
        <w:t xml:space="preserve"> </w:t>
      </w:r>
    </w:p>
    <w:p w14:paraId="6AB1A1DE" w14:textId="77777777" w:rsidR="0060542B" w:rsidRDefault="00614DC4" w:rsidP="00FE27FF">
      <w:pPr>
        <w:pStyle w:val="texto"/>
        <w:spacing w:after="120"/>
        <w:jc w:val="both"/>
      </w:pPr>
      <w:r w:rsidRPr="00740CD8">
        <w:t>En concreto, hemos analiza</w:t>
      </w:r>
      <w:r w:rsidR="00931295" w:rsidRPr="00740CD8">
        <w:t>do 31</w:t>
      </w:r>
      <w:r w:rsidRPr="00740CD8">
        <w:t xml:space="preserve"> conceptos de nómina</w:t>
      </w:r>
      <w:r w:rsidRPr="00740CD8">
        <w:rPr>
          <w:rStyle w:val="Refdenotaalpie"/>
        </w:rPr>
        <w:footnoteReference w:id="21"/>
      </w:r>
      <w:r w:rsidRPr="00740CD8">
        <w:t xml:space="preserve"> contenidos en un total de </w:t>
      </w:r>
      <w:r w:rsidR="00740CD8" w:rsidRPr="00740CD8">
        <w:t xml:space="preserve">1.154.371 </w:t>
      </w:r>
      <w:r w:rsidRPr="00740CD8">
        <w:t xml:space="preserve">registros, correspondientes a </w:t>
      </w:r>
      <w:proofErr w:type="gramStart"/>
      <w:r w:rsidRPr="00740CD8">
        <w:t>3</w:t>
      </w:r>
      <w:r w:rsidR="00740CD8" w:rsidRPr="00740CD8">
        <w:t xml:space="preserve">3.507 </w:t>
      </w:r>
      <w:r w:rsidRPr="00740CD8">
        <w:t xml:space="preserve"> personas</w:t>
      </w:r>
      <w:proofErr w:type="gramEnd"/>
      <w:r w:rsidRPr="00740CD8">
        <w:t xml:space="preserve">, por un importe total de </w:t>
      </w:r>
      <w:r w:rsidR="00740CD8" w:rsidRPr="00740CD8">
        <w:t>713.535</w:t>
      </w:r>
      <w:r w:rsidRPr="00740CD8">
        <w:t xml:space="preserve"> millones; este importe supone el 4</w:t>
      </w:r>
      <w:r w:rsidR="00740CD8" w:rsidRPr="00740CD8">
        <w:t>9,95</w:t>
      </w:r>
      <w:r w:rsidRPr="00740CD8">
        <w:t xml:space="preserve"> por ciento del total de la nómina devengada en el año por estos conceptos del personal de la ACFN.</w:t>
      </w:r>
      <w:r w:rsidR="00740CD8">
        <w:t xml:space="preserve"> </w:t>
      </w:r>
    </w:p>
    <w:p w14:paraId="3B9BB257" w14:textId="77777777" w:rsidR="00614DC4" w:rsidRDefault="00740CD8" w:rsidP="002D15F8">
      <w:pPr>
        <w:pStyle w:val="texto"/>
        <w:spacing w:after="120"/>
        <w:jc w:val="both"/>
      </w:pPr>
      <w:r>
        <w:t xml:space="preserve">De las pruebas realizadas, hemos detectado diferencias no significativas, que han sido notificadas a Función Pública y posteriormente corregidas en las nóminas de los empleados afectados. </w:t>
      </w:r>
      <w:r w:rsidR="009E3B34">
        <w:t>El resultado final, es que el pers</w:t>
      </w:r>
      <w:r w:rsidR="00614DC4" w:rsidRPr="00740CD8">
        <w:t>onal analizado ha percibido adecuadamente todos los conceptos retributivos revisados de acuerdo a lo establecido en la plantilla.</w:t>
      </w:r>
    </w:p>
    <w:p w14:paraId="5F1594A3" w14:textId="77777777" w:rsidR="008C1A80" w:rsidRPr="00FE27FF" w:rsidRDefault="008C1A80" w:rsidP="00FE27FF">
      <w:pPr>
        <w:pStyle w:val="atitulo3"/>
        <w:spacing w:before="240"/>
      </w:pPr>
      <w:r w:rsidRPr="00FE27FF">
        <w:t>A</w:t>
      </w:r>
      <w:r w:rsidR="00375E4D" w:rsidRPr="00FE27FF">
        <w:t xml:space="preserve">usencias </w:t>
      </w:r>
      <w:r w:rsidRPr="00FE27FF">
        <w:t>del personal</w:t>
      </w:r>
    </w:p>
    <w:p w14:paraId="59F413AB" w14:textId="77777777" w:rsidR="00C9230A" w:rsidRDefault="0060542B" w:rsidP="002D15F8">
      <w:pPr>
        <w:pStyle w:val="texto"/>
        <w:spacing w:after="120"/>
        <w:jc w:val="both"/>
      </w:pPr>
      <w:r>
        <w:t xml:space="preserve">El análisis que hemos realizado en </w:t>
      </w:r>
      <w:r w:rsidR="00C9230A">
        <w:t xml:space="preserve">este apartado </w:t>
      </w:r>
      <w:r w:rsidR="00375E4D">
        <w:t xml:space="preserve">está basado en </w:t>
      </w:r>
      <w:r w:rsidR="00C9230A">
        <w:t>las siguientes premisas:</w:t>
      </w:r>
    </w:p>
    <w:p w14:paraId="03A37AE4" w14:textId="77777777" w:rsidR="00C9230A" w:rsidRDefault="00C9230A" w:rsidP="008C2B8E">
      <w:pPr>
        <w:pStyle w:val="texto"/>
        <w:numPr>
          <w:ilvl w:val="0"/>
          <w:numId w:val="6"/>
        </w:numPr>
        <w:tabs>
          <w:tab w:val="clear" w:pos="360"/>
          <w:tab w:val="num" w:pos="300"/>
          <w:tab w:val="left" w:pos="480"/>
          <w:tab w:val="num" w:pos="600"/>
        </w:tabs>
        <w:spacing w:before="120"/>
        <w:ind w:firstLine="289"/>
        <w:jc w:val="both"/>
      </w:pPr>
      <w:r>
        <w:t>Los datos del personal se refieren a personal equivalente: horas teóricas del personal que ha prestado sus servicios en la ACFN, considerando la duración de su contrato entre una jornada de 1.790</w:t>
      </w:r>
      <w:r w:rsidR="005934EE">
        <w:rPr>
          <w:rStyle w:val="Refdenotaalpie"/>
        </w:rPr>
        <w:footnoteReference w:id="22"/>
      </w:r>
      <w:r>
        <w:t xml:space="preserve"> horas anuales.</w:t>
      </w:r>
    </w:p>
    <w:p w14:paraId="31AE224B" w14:textId="77777777" w:rsidR="00D122E2" w:rsidRDefault="00D122E2" w:rsidP="008C2B8E">
      <w:pPr>
        <w:pStyle w:val="texto"/>
        <w:numPr>
          <w:ilvl w:val="0"/>
          <w:numId w:val="6"/>
        </w:numPr>
        <w:tabs>
          <w:tab w:val="clear" w:pos="360"/>
          <w:tab w:val="num" w:pos="300"/>
          <w:tab w:val="left" w:pos="480"/>
          <w:tab w:val="num" w:pos="600"/>
        </w:tabs>
        <w:spacing w:before="120"/>
        <w:ind w:firstLine="289"/>
        <w:jc w:val="both"/>
      </w:pPr>
      <w:r>
        <w:lastRenderedPageBreak/>
        <w:t xml:space="preserve">Se ha contrastado la información entre </w:t>
      </w:r>
      <w:proofErr w:type="spellStart"/>
      <w:r>
        <w:t>Tableau</w:t>
      </w:r>
      <w:proofErr w:type="spellEnd"/>
      <w:r>
        <w:t xml:space="preserve"> (plataforma de análisis de resultados que permite realizar explotaciones masivas de</w:t>
      </w:r>
      <w:r w:rsidR="00C97896">
        <w:t xml:space="preserve"> datos), y SAP Recursos Humanos (en adelante SAPRRHH)</w:t>
      </w:r>
      <w:r w:rsidR="0044109D">
        <w:t>.</w:t>
      </w:r>
    </w:p>
    <w:p w14:paraId="00666A32" w14:textId="77777777" w:rsidR="00C9230A" w:rsidRPr="00C97896" w:rsidRDefault="00C9230A" w:rsidP="00BA0AC3">
      <w:pPr>
        <w:pStyle w:val="texto"/>
        <w:numPr>
          <w:ilvl w:val="0"/>
          <w:numId w:val="6"/>
        </w:numPr>
        <w:tabs>
          <w:tab w:val="clear" w:pos="360"/>
          <w:tab w:val="num" w:pos="300"/>
          <w:tab w:val="left" w:pos="480"/>
          <w:tab w:val="num" w:pos="600"/>
        </w:tabs>
        <w:spacing w:before="120" w:after="120"/>
        <w:ind w:firstLine="289"/>
        <w:jc w:val="both"/>
      </w:pPr>
      <w:r w:rsidRPr="00C97896">
        <w:t xml:space="preserve">En el análisis, únicamente se ha tenido en cuenta </w:t>
      </w:r>
      <w:r w:rsidR="00154861" w:rsidRPr="00C97896">
        <w:t xml:space="preserve">la ausencia de personal </w:t>
      </w:r>
      <w:r w:rsidRPr="00C97896">
        <w:t>por motivos de salud (accidente de trabajo/enfermedad profesional e incapacidad laboral) y otras causas</w:t>
      </w:r>
      <w:r w:rsidRPr="00C97896">
        <w:rPr>
          <w:rStyle w:val="Refdenotaalpie"/>
        </w:rPr>
        <w:footnoteReference w:id="23"/>
      </w:r>
      <w:r w:rsidRPr="00C97896">
        <w:rPr>
          <w:rStyle w:val="Refdenotaalpie"/>
        </w:rPr>
        <w:t xml:space="preserve"> </w:t>
      </w:r>
      <w:r w:rsidR="0060542B" w:rsidRPr="00C97896">
        <w:t>. N</w:t>
      </w:r>
      <w:r w:rsidRPr="00C97896">
        <w:t xml:space="preserve">o se ha tenido en cuenta </w:t>
      </w:r>
      <w:r w:rsidR="00154861" w:rsidRPr="00C97896">
        <w:t xml:space="preserve">la ausencia del personal </w:t>
      </w:r>
      <w:r w:rsidR="0060542B" w:rsidRPr="00C97896">
        <w:t xml:space="preserve">por vacaciones/asuntos propios, dado que </w:t>
      </w:r>
      <w:r w:rsidR="00154861" w:rsidRPr="00C97896">
        <w:t>este tipo de ausencias del personal docente y de justicia no se registran en SAP</w:t>
      </w:r>
      <w:r w:rsidR="00C97896">
        <w:t>RRHH</w:t>
      </w:r>
      <w:r w:rsidR="00154861" w:rsidRPr="00C97896">
        <w:t xml:space="preserve">, </w:t>
      </w:r>
      <w:r w:rsidR="0060542B" w:rsidRPr="00C97896">
        <w:t>por lo que el tratamiento de la informa</w:t>
      </w:r>
      <w:r w:rsidR="00D77F97">
        <w:t xml:space="preserve">ción no hubiera sido homogéneo, y distorsionado la información. </w:t>
      </w:r>
    </w:p>
    <w:p w14:paraId="7404B68F" w14:textId="77777777" w:rsidR="00794089" w:rsidRDefault="00757E45" w:rsidP="006864FC">
      <w:pPr>
        <w:pStyle w:val="texto"/>
        <w:spacing w:after="240"/>
        <w:jc w:val="both"/>
      </w:pPr>
      <w:r>
        <w:t>En el siguiente cuadro, reflejamos los datos de ocupación, a</w:t>
      </w:r>
      <w:r w:rsidR="00C97896">
        <w:t xml:space="preserve">usencia </w:t>
      </w:r>
      <w:r>
        <w:t>y la t</w:t>
      </w:r>
      <w:r w:rsidR="00CE22CD">
        <w:t xml:space="preserve">asa de </w:t>
      </w:r>
      <w:r w:rsidR="00C97896">
        <w:t xml:space="preserve">ausencia </w:t>
      </w:r>
      <w:r w:rsidR="005934EE">
        <w:t>en 2023:</w:t>
      </w:r>
    </w:p>
    <w:tbl>
      <w:tblPr>
        <w:tblW w:w="0" w:type="auto"/>
        <w:tblCellMar>
          <w:left w:w="70" w:type="dxa"/>
          <w:right w:w="70" w:type="dxa"/>
        </w:tblCellMar>
        <w:tblLook w:val="04A0" w:firstRow="1" w:lastRow="0" w:firstColumn="1" w:lastColumn="0" w:noHBand="0" w:noVBand="1"/>
      </w:tblPr>
      <w:tblGrid>
        <w:gridCol w:w="1109"/>
        <w:gridCol w:w="1159"/>
        <w:gridCol w:w="1418"/>
        <w:gridCol w:w="992"/>
        <w:gridCol w:w="1276"/>
        <w:gridCol w:w="992"/>
        <w:gridCol w:w="851"/>
        <w:gridCol w:w="992"/>
      </w:tblGrid>
      <w:tr w:rsidR="00CE22CD" w14:paraId="6B78C058" w14:textId="77777777" w:rsidTr="00E04706">
        <w:trPr>
          <w:trHeight w:val="255"/>
        </w:trPr>
        <w:tc>
          <w:tcPr>
            <w:tcW w:w="0" w:type="auto"/>
            <w:vMerge w:val="restart"/>
            <w:tcBorders>
              <w:top w:val="single" w:sz="4" w:space="0" w:color="auto"/>
              <w:left w:val="nil"/>
              <w:bottom w:val="single" w:sz="4" w:space="0" w:color="auto"/>
              <w:right w:val="nil"/>
            </w:tcBorders>
            <w:shd w:val="clear" w:color="000000" w:fill="95B3D7"/>
            <w:vAlign w:val="center"/>
            <w:hideMark/>
          </w:tcPr>
          <w:p w14:paraId="73DC8734" w14:textId="77777777" w:rsidR="00794089" w:rsidRDefault="00794089">
            <w:pPr>
              <w:rPr>
                <w:rFonts w:ascii="Arial" w:hAnsi="Arial" w:cs="Arial"/>
                <w:color w:val="000000"/>
                <w:sz w:val="18"/>
                <w:szCs w:val="18"/>
              </w:rPr>
            </w:pPr>
            <w:r>
              <w:rPr>
                <w:rFonts w:ascii="Arial" w:hAnsi="Arial" w:cs="Arial"/>
                <w:color w:val="000000"/>
                <w:sz w:val="18"/>
                <w:szCs w:val="18"/>
              </w:rPr>
              <w:t>Estamento</w:t>
            </w:r>
          </w:p>
        </w:tc>
        <w:tc>
          <w:tcPr>
            <w:tcW w:w="1159" w:type="dxa"/>
            <w:vMerge w:val="restart"/>
            <w:tcBorders>
              <w:top w:val="single" w:sz="4" w:space="0" w:color="auto"/>
              <w:left w:val="nil"/>
              <w:bottom w:val="single" w:sz="4" w:space="0" w:color="auto"/>
              <w:right w:val="nil"/>
            </w:tcBorders>
            <w:shd w:val="clear" w:color="000000" w:fill="95B3D7"/>
            <w:vAlign w:val="center"/>
            <w:hideMark/>
          </w:tcPr>
          <w:p w14:paraId="6E3BDCD6" w14:textId="77777777" w:rsidR="00794089" w:rsidRDefault="00794089">
            <w:pPr>
              <w:jc w:val="center"/>
              <w:rPr>
                <w:rFonts w:ascii="Arial" w:hAnsi="Arial" w:cs="Arial"/>
                <w:color w:val="000000"/>
                <w:sz w:val="18"/>
                <w:szCs w:val="18"/>
              </w:rPr>
            </w:pPr>
            <w:r>
              <w:rPr>
                <w:rFonts w:ascii="Arial" w:hAnsi="Arial" w:cs="Arial"/>
                <w:color w:val="000000"/>
                <w:sz w:val="18"/>
                <w:szCs w:val="18"/>
              </w:rPr>
              <w:t>Ocupación</w:t>
            </w:r>
          </w:p>
        </w:tc>
        <w:tc>
          <w:tcPr>
            <w:tcW w:w="3686" w:type="dxa"/>
            <w:gridSpan w:val="3"/>
            <w:tcBorders>
              <w:top w:val="single" w:sz="4" w:space="0" w:color="auto"/>
              <w:left w:val="nil"/>
              <w:bottom w:val="single" w:sz="2" w:space="0" w:color="auto"/>
              <w:right w:val="nil"/>
            </w:tcBorders>
            <w:shd w:val="clear" w:color="000000" w:fill="95B3D7"/>
            <w:vAlign w:val="center"/>
            <w:hideMark/>
          </w:tcPr>
          <w:p w14:paraId="0993DCD4" w14:textId="77777777" w:rsidR="00794089" w:rsidRDefault="00C97896" w:rsidP="00C97896">
            <w:pPr>
              <w:jc w:val="center"/>
              <w:rPr>
                <w:rFonts w:ascii="Arial" w:hAnsi="Arial" w:cs="Arial"/>
                <w:color w:val="000000"/>
                <w:sz w:val="18"/>
                <w:szCs w:val="18"/>
              </w:rPr>
            </w:pPr>
            <w:r>
              <w:rPr>
                <w:rFonts w:ascii="Arial" w:hAnsi="Arial" w:cs="Arial"/>
                <w:color w:val="000000"/>
                <w:sz w:val="18"/>
                <w:szCs w:val="18"/>
              </w:rPr>
              <w:t>Ausencia</w:t>
            </w:r>
          </w:p>
        </w:tc>
        <w:tc>
          <w:tcPr>
            <w:tcW w:w="992" w:type="dxa"/>
            <w:vMerge w:val="restart"/>
            <w:tcBorders>
              <w:top w:val="single" w:sz="4" w:space="0" w:color="auto"/>
              <w:left w:val="nil"/>
              <w:bottom w:val="single" w:sz="4" w:space="0" w:color="auto"/>
              <w:right w:val="nil"/>
            </w:tcBorders>
            <w:shd w:val="clear" w:color="000000" w:fill="95B3D7"/>
            <w:vAlign w:val="center"/>
            <w:hideMark/>
          </w:tcPr>
          <w:p w14:paraId="088B77D4" w14:textId="77777777" w:rsidR="00F36FA3" w:rsidRDefault="00794089" w:rsidP="005C48AE">
            <w:pPr>
              <w:jc w:val="right"/>
              <w:rPr>
                <w:rFonts w:ascii="Arial" w:hAnsi="Arial" w:cs="Arial"/>
                <w:color w:val="000000"/>
                <w:sz w:val="18"/>
                <w:szCs w:val="18"/>
              </w:rPr>
            </w:pPr>
            <w:r>
              <w:rPr>
                <w:rFonts w:ascii="Arial" w:hAnsi="Arial" w:cs="Arial"/>
                <w:color w:val="000000"/>
                <w:sz w:val="18"/>
                <w:szCs w:val="18"/>
              </w:rPr>
              <w:t>Tasa</w:t>
            </w:r>
          </w:p>
          <w:p w14:paraId="6980A614" w14:textId="77777777" w:rsidR="00794089" w:rsidRDefault="00794089" w:rsidP="005C48AE">
            <w:pPr>
              <w:jc w:val="right"/>
              <w:rPr>
                <w:rFonts w:ascii="Arial" w:hAnsi="Arial" w:cs="Arial"/>
                <w:color w:val="000000"/>
                <w:sz w:val="18"/>
                <w:szCs w:val="18"/>
              </w:rPr>
            </w:pPr>
            <w:r>
              <w:rPr>
                <w:rFonts w:ascii="Arial" w:hAnsi="Arial" w:cs="Arial"/>
                <w:color w:val="000000"/>
                <w:sz w:val="18"/>
                <w:szCs w:val="18"/>
              </w:rPr>
              <w:t xml:space="preserve"> </w:t>
            </w:r>
            <w:proofErr w:type="spellStart"/>
            <w:r w:rsidR="00CE22CD">
              <w:rPr>
                <w:rFonts w:ascii="Arial" w:hAnsi="Arial" w:cs="Arial"/>
                <w:color w:val="000000"/>
                <w:sz w:val="18"/>
                <w:szCs w:val="18"/>
              </w:rPr>
              <w:t>Inc</w:t>
            </w:r>
            <w:proofErr w:type="spellEnd"/>
            <w:r w:rsidR="00CE22CD">
              <w:rPr>
                <w:rFonts w:ascii="Arial" w:hAnsi="Arial" w:cs="Arial"/>
                <w:color w:val="000000"/>
                <w:sz w:val="18"/>
                <w:szCs w:val="18"/>
              </w:rPr>
              <w:t>/</w:t>
            </w:r>
            <w:proofErr w:type="spellStart"/>
            <w:r w:rsidR="00CE22CD">
              <w:rPr>
                <w:rFonts w:ascii="Arial" w:hAnsi="Arial" w:cs="Arial"/>
                <w:color w:val="000000"/>
                <w:sz w:val="18"/>
                <w:szCs w:val="18"/>
              </w:rPr>
              <w:t>Enf</w:t>
            </w:r>
            <w:proofErr w:type="spellEnd"/>
            <w:r w:rsidR="00CE22CD">
              <w:rPr>
                <w:rFonts w:ascii="Arial" w:hAnsi="Arial" w:cs="Arial"/>
                <w:color w:val="000000"/>
                <w:sz w:val="18"/>
                <w:szCs w:val="18"/>
              </w:rPr>
              <w:t>.</w:t>
            </w:r>
          </w:p>
        </w:tc>
        <w:tc>
          <w:tcPr>
            <w:tcW w:w="851" w:type="dxa"/>
            <w:vMerge w:val="restart"/>
            <w:tcBorders>
              <w:top w:val="single" w:sz="4" w:space="0" w:color="auto"/>
              <w:left w:val="nil"/>
              <w:bottom w:val="single" w:sz="4" w:space="0" w:color="auto"/>
              <w:right w:val="nil"/>
            </w:tcBorders>
            <w:shd w:val="clear" w:color="000000" w:fill="95B3D7"/>
            <w:vAlign w:val="center"/>
            <w:hideMark/>
          </w:tcPr>
          <w:p w14:paraId="07703199" w14:textId="77777777" w:rsidR="00F36FA3" w:rsidRDefault="00794089" w:rsidP="005C48AE">
            <w:pPr>
              <w:jc w:val="right"/>
              <w:rPr>
                <w:rFonts w:ascii="Arial" w:hAnsi="Arial" w:cs="Arial"/>
                <w:color w:val="000000"/>
                <w:sz w:val="18"/>
                <w:szCs w:val="18"/>
              </w:rPr>
            </w:pPr>
            <w:r>
              <w:rPr>
                <w:rFonts w:ascii="Arial" w:hAnsi="Arial" w:cs="Arial"/>
                <w:color w:val="000000"/>
                <w:sz w:val="18"/>
                <w:szCs w:val="18"/>
              </w:rPr>
              <w:t xml:space="preserve">Tasa </w:t>
            </w:r>
          </w:p>
          <w:p w14:paraId="762B765F" w14:textId="77777777" w:rsidR="00794089" w:rsidRDefault="00794089" w:rsidP="005C48AE">
            <w:pPr>
              <w:jc w:val="right"/>
              <w:rPr>
                <w:rFonts w:ascii="Arial" w:hAnsi="Arial" w:cs="Arial"/>
                <w:color w:val="000000"/>
                <w:sz w:val="18"/>
                <w:szCs w:val="18"/>
              </w:rPr>
            </w:pPr>
            <w:r>
              <w:rPr>
                <w:rFonts w:ascii="Arial" w:hAnsi="Arial" w:cs="Arial"/>
                <w:color w:val="000000"/>
                <w:sz w:val="18"/>
                <w:szCs w:val="18"/>
              </w:rPr>
              <w:t>otros</w:t>
            </w:r>
          </w:p>
        </w:tc>
        <w:tc>
          <w:tcPr>
            <w:tcW w:w="992" w:type="dxa"/>
            <w:vMerge w:val="restart"/>
            <w:tcBorders>
              <w:top w:val="single" w:sz="4" w:space="0" w:color="auto"/>
              <w:left w:val="nil"/>
              <w:bottom w:val="single" w:sz="4" w:space="0" w:color="auto"/>
              <w:right w:val="nil"/>
            </w:tcBorders>
            <w:shd w:val="clear" w:color="000000" w:fill="95B3D7"/>
            <w:vAlign w:val="center"/>
            <w:hideMark/>
          </w:tcPr>
          <w:p w14:paraId="7C6918C3" w14:textId="77777777" w:rsidR="00F36FA3" w:rsidRDefault="00794089" w:rsidP="00424743">
            <w:pPr>
              <w:jc w:val="right"/>
              <w:rPr>
                <w:rFonts w:ascii="Arial" w:hAnsi="Arial" w:cs="Arial"/>
                <w:color w:val="000000"/>
                <w:sz w:val="18"/>
                <w:szCs w:val="18"/>
              </w:rPr>
            </w:pPr>
            <w:r>
              <w:rPr>
                <w:rFonts w:ascii="Arial" w:hAnsi="Arial" w:cs="Arial"/>
                <w:color w:val="000000"/>
                <w:sz w:val="18"/>
                <w:szCs w:val="18"/>
              </w:rPr>
              <w:t>Tasa</w:t>
            </w:r>
          </w:p>
          <w:p w14:paraId="66E7F396" w14:textId="77777777" w:rsidR="00794089" w:rsidRDefault="00C97896" w:rsidP="00C97896">
            <w:pPr>
              <w:jc w:val="right"/>
              <w:rPr>
                <w:rFonts w:ascii="Arial" w:hAnsi="Arial" w:cs="Arial"/>
                <w:color w:val="000000"/>
                <w:sz w:val="18"/>
                <w:szCs w:val="18"/>
              </w:rPr>
            </w:pPr>
            <w:r>
              <w:rPr>
                <w:rFonts w:ascii="Arial" w:hAnsi="Arial" w:cs="Arial"/>
                <w:color w:val="000000"/>
                <w:sz w:val="18"/>
                <w:szCs w:val="18"/>
              </w:rPr>
              <w:t>Ausencia</w:t>
            </w:r>
          </w:p>
        </w:tc>
      </w:tr>
      <w:tr w:rsidR="00CE22CD" w14:paraId="0F1A87BD" w14:textId="77777777" w:rsidTr="00E04706">
        <w:trPr>
          <w:trHeight w:val="261"/>
        </w:trPr>
        <w:tc>
          <w:tcPr>
            <w:tcW w:w="0" w:type="auto"/>
            <w:vMerge/>
            <w:tcBorders>
              <w:top w:val="single" w:sz="4" w:space="0" w:color="auto"/>
              <w:left w:val="nil"/>
              <w:bottom w:val="single" w:sz="4" w:space="0" w:color="auto"/>
              <w:right w:val="nil"/>
            </w:tcBorders>
            <w:vAlign w:val="center"/>
            <w:hideMark/>
          </w:tcPr>
          <w:p w14:paraId="1277DDAB" w14:textId="77777777" w:rsidR="00794089" w:rsidRDefault="00794089">
            <w:pPr>
              <w:rPr>
                <w:rFonts w:ascii="Arial" w:hAnsi="Arial" w:cs="Arial"/>
                <w:color w:val="000000"/>
                <w:sz w:val="18"/>
                <w:szCs w:val="18"/>
              </w:rPr>
            </w:pPr>
          </w:p>
        </w:tc>
        <w:tc>
          <w:tcPr>
            <w:tcW w:w="1159" w:type="dxa"/>
            <w:vMerge/>
            <w:tcBorders>
              <w:top w:val="single" w:sz="4" w:space="0" w:color="auto"/>
              <w:left w:val="nil"/>
              <w:bottom w:val="single" w:sz="4" w:space="0" w:color="auto"/>
              <w:right w:val="nil"/>
            </w:tcBorders>
            <w:vAlign w:val="center"/>
            <w:hideMark/>
          </w:tcPr>
          <w:p w14:paraId="1B7F999A" w14:textId="77777777" w:rsidR="00794089" w:rsidRDefault="00794089">
            <w:pPr>
              <w:rPr>
                <w:rFonts w:ascii="Arial" w:hAnsi="Arial" w:cs="Arial"/>
                <w:color w:val="000000"/>
                <w:sz w:val="18"/>
                <w:szCs w:val="18"/>
              </w:rPr>
            </w:pPr>
          </w:p>
        </w:tc>
        <w:tc>
          <w:tcPr>
            <w:tcW w:w="1418" w:type="dxa"/>
            <w:tcBorders>
              <w:top w:val="single" w:sz="2" w:space="0" w:color="auto"/>
              <w:left w:val="nil"/>
              <w:bottom w:val="single" w:sz="4" w:space="0" w:color="auto"/>
              <w:right w:val="nil"/>
            </w:tcBorders>
            <w:shd w:val="clear" w:color="000000" w:fill="95B3D7"/>
            <w:vAlign w:val="center"/>
            <w:hideMark/>
          </w:tcPr>
          <w:p w14:paraId="0934706E" w14:textId="77777777" w:rsidR="00794089" w:rsidRDefault="00CE22CD" w:rsidP="00CE22CD">
            <w:pPr>
              <w:jc w:val="center"/>
              <w:rPr>
                <w:rFonts w:ascii="Arial" w:hAnsi="Arial" w:cs="Arial"/>
                <w:color w:val="000000"/>
                <w:sz w:val="18"/>
                <w:szCs w:val="18"/>
              </w:rPr>
            </w:pPr>
            <w:proofErr w:type="spellStart"/>
            <w:r>
              <w:rPr>
                <w:rFonts w:ascii="Arial" w:hAnsi="Arial" w:cs="Arial"/>
                <w:color w:val="000000"/>
                <w:sz w:val="18"/>
                <w:szCs w:val="18"/>
              </w:rPr>
              <w:t>Inc</w:t>
            </w:r>
            <w:proofErr w:type="spellEnd"/>
            <w:r>
              <w:rPr>
                <w:rFonts w:ascii="Arial" w:hAnsi="Arial" w:cs="Arial"/>
                <w:color w:val="000000"/>
                <w:sz w:val="18"/>
                <w:szCs w:val="18"/>
              </w:rPr>
              <w:t>/</w:t>
            </w:r>
            <w:r w:rsidR="00794089">
              <w:rPr>
                <w:rFonts w:ascii="Arial" w:hAnsi="Arial" w:cs="Arial"/>
                <w:color w:val="000000"/>
                <w:sz w:val="18"/>
                <w:szCs w:val="18"/>
              </w:rPr>
              <w:t>/</w:t>
            </w:r>
            <w:proofErr w:type="spellStart"/>
            <w:r>
              <w:rPr>
                <w:rFonts w:ascii="Arial" w:hAnsi="Arial" w:cs="Arial"/>
                <w:color w:val="000000"/>
                <w:sz w:val="18"/>
                <w:szCs w:val="18"/>
              </w:rPr>
              <w:t>Enf</w:t>
            </w:r>
            <w:proofErr w:type="spellEnd"/>
            <w:r>
              <w:rPr>
                <w:rFonts w:ascii="Arial" w:hAnsi="Arial" w:cs="Arial"/>
                <w:color w:val="000000"/>
                <w:sz w:val="18"/>
                <w:szCs w:val="18"/>
              </w:rPr>
              <w:t>. Prof.</w:t>
            </w:r>
          </w:p>
        </w:tc>
        <w:tc>
          <w:tcPr>
            <w:tcW w:w="992" w:type="dxa"/>
            <w:tcBorders>
              <w:top w:val="single" w:sz="2" w:space="0" w:color="auto"/>
              <w:left w:val="nil"/>
              <w:bottom w:val="single" w:sz="4" w:space="0" w:color="auto"/>
              <w:right w:val="nil"/>
            </w:tcBorders>
            <w:shd w:val="clear" w:color="000000" w:fill="95B3D7"/>
            <w:vAlign w:val="center"/>
            <w:hideMark/>
          </w:tcPr>
          <w:p w14:paraId="3BC9EA60" w14:textId="77777777" w:rsidR="00794089" w:rsidRDefault="00794089" w:rsidP="00C9230A">
            <w:pPr>
              <w:jc w:val="right"/>
              <w:rPr>
                <w:rFonts w:ascii="Arial" w:hAnsi="Arial" w:cs="Arial"/>
                <w:color w:val="000000"/>
                <w:sz w:val="18"/>
                <w:szCs w:val="18"/>
              </w:rPr>
            </w:pPr>
            <w:r>
              <w:rPr>
                <w:rFonts w:ascii="Arial" w:hAnsi="Arial" w:cs="Arial"/>
                <w:color w:val="000000"/>
                <w:sz w:val="18"/>
                <w:szCs w:val="18"/>
              </w:rPr>
              <w:t>Otros</w:t>
            </w:r>
          </w:p>
        </w:tc>
        <w:tc>
          <w:tcPr>
            <w:tcW w:w="1276" w:type="dxa"/>
            <w:tcBorders>
              <w:top w:val="single" w:sz="2" w:space="0" w:color="auto"/>
              <w:left w:val="nil"/>
              <w:bottom w:val="single" w:sz="4" w:space="0" w:color="auto"/>
              <w:right w:val="nil"/>
            </w:tcBorders>
            <w:shd w:val="clear" w:color="000000" w:fill="95B3D7"/>
            <w:noWrap/>
            <w:vAlign w:val="center"/>
            <w:hideMark/>
          </w:tcPr>
          <w:p w14:paraId="4C314A7A" w14:textId="77777777" w:rsidR="00CE22CD" w:rsidRDefault="00794089" w:rsidP="00F36FA3">
            <w:pPr>
              <w:jc w:val="right"/>
              <w:rPr>
                <w:rFonts w:ascii="Arial" w:hAnsi="Arial" w:cs="Arial"/>
                <w:color w:val="000000"/>
                <w:sz w:val="18"/>
                <w:szCs w:val="18"/>
              </w:rPr>
            </w:pPr>
            <w:r>
              <w:rPr>
                <w:rFonts w:ascii="Arial" w:hAnsi="Arial" w:cs="Arial"/>
                <w:color w:val="000000"/>
                <w:sz w:val="18"/>
                <w:szCs w:val="18"/>
              </w:rPr>
              <w:t>Total</w:t>
            </w:r>
          </w:p>
          <w:p w14:paraId="1A030FDA" w14:textId="77777777" w:rsidR="00794089" w:rsidRDefault="00C97896" w:rsidP="00C97896">
            <w:pPr>
              <w:jc w:val="right"/>
              <w:rPr>
                <w:rFonts w:ascii="Arial" w:hAnsi="Arial" w:cs="Arial"/>
                <w:color w:val="000000"/>
                <w:sz w:val="18"/>
                <w:szCs w:val="18"/>
              </w:rPr>
            </w:pPr>
            <w:r>
              <w:rPr>
                <w:rFonts w:ascii="Arial" w:hAnsi="Arial" w:cs="Arial"/>
                <w:color w:val="000000"/>
                <w:sz w:val="18"/>
                <w:szCs w:val="18"/>
              </w:rPr>
              <w:t>Ausencia</w:t>
            </w:r>
          </w:p>
        </w:tc>
        <w:tc>
          <w:tcPr>
            <w:tcW w:w="992" w:type="dxa"/>
            <w:vMerge/>
            <w:tcBorders>
              <w:top w:val="single" w:sz="4" w:space="0" w:color="auto"/>
              <w:left w:val="nil"/>
              <w:bottom w:val="single" w:sz="4" w:space="0" w:color="auto"/>
              <w:right w:val="nil"/>
            </w:tcBorders>
            <w:vAlign w:val="center"/>
            <w:hideMark/>
          </w:tcPr>
          <w:p w14:paraId="0283D665" w14:textId="77777777" w:rsidR="00794089" w:rsidRDefault="00794089" w:rsidP="005C48AE">
            <w:pPr>
              <w:jc w:val="right"/>
              <w:rPr>
                <w:rFonts w:ascii="Arial" w:hAnsi="Arial" w:cs="Arial"/>
                <w:color w:val="000000"/>
                <w:sz w:val="18"/>
                <w:szCs w:val="18"/>
              </w:rPr>
            </w:pPr>
          </w:p>
        </w:tc>
        <w:tc>
          <w:tcPr>
            <w:tcW w:w="851" w:type="dxa"/>
            <w:vMerge/>
            <w:tcBorders>
              <w:top w:val="single" w:sz="4" w:space="0" w:color="auto"/>
              <w:left w:val="nil"/>
              <w:bottom w:val="single" w:sz="4" w:space="0" w:color="auto"/>
              <w:right w:val="nil"/>
            </w:tcBorders>
            <w:vAlign w:val="center"/>
            <w:hideMark/>
          </w:tcPr>
          <w:p w14:paraId="16C49D03" w14:textId="77777777" w:rsidR="00794089" w:rsidRDefault="00794089" w:rsidP="005C48AE">
            <w:pPr>
              <w:jc w:val="right"/>
              <w:rPr>
                <w:rFonts w:ascii="Arial" w:hAnsi="Arial" w:cs="Arial"/>
                <w:color w:val="000000"/>
                <w:sz w:val="18"/>
                <w:szCs w:val="18"/>
              </w:rPr>
            </w:pPr>
          </w:p>
        </w:tc>
        <w:tc>
          <w:tcPr>
            <w:tcW w:w="992" w:type="dxa"/>
            <w:vMerge/>
            <w:tcBorders>
              <w:top w:val="single" w:sz="4" w:space="0" w:color="auto"/>
              <w:left w:val="nil"/>
              <w:bottom w:val="single" w:sz="4" w:space="0" w:color="auto"/>
              <w:right w:val="nil"/>
            </w:tcBorders>
            <w:vAlign w:val="center"/>
            <w:hideMark/>
          </w:tcPr>
          <w:p w14:paraId="0FC8380A" w14:textId="77777777" w:rsidR="00794089" w:rsidRDefault="00794089">
            <w:pPr>
              <w:rPr>
                <w:rFonts w:ascii="Arial" w:hAnsi="Arial" w:cs="Arial"/>
                <w:color w:val="000000"/>
                <w:sz w:val="18"/>
                <w:szCs w:val="18"/>
              </w:rPr>
            </w:pPr>
          </w:p>
        </w:tc>
      </w:tr>
      <w:tr w:rsidR="00CE22CD" w14:paraId="0E3DEFF5" w14:textId="77777777" w:rsidTr="005C48AE">
        <w:trPr>
          <w:trHeight w:val="198"/>
        </w:trPr>
        <w:tc>
          <w:tcPr>
            <w:tcW w:w="0" w:type="auto"/>
            <w:tcBorders>
              <w:top w:val="single" w:sz="4" w:space="0" w:color="auto"/>
              <w:left w:val="nil"/>
              <w:bottom w:val="single" w:sz="2" w:space="0" w:color="auto"/>
              <w:right w:val="nil"/>
            </w:tcBorders>
            <w:shd w:val="clear" w:color="auto" w:fill="auto"/>
            <w:noWrap/>
            <w:vAlign w:val="center"/>
            <w:hideMark/>
          </w:tcPr>
          <w:p w14:paraId="07D628AB" w14:textId="77777777" w:rsidR="00794089" w:rsidRDefault="00794089">
            <w:pPr>
              <w:rPr>
                <w:rFonts w:ascii="Arial Narrow" w:hAnsi="Arial Narrow" w:cs="Calibri"/>
                <w:color w:val="000000"/>
                <w:sz w:val="18"/>
                <w:szCs w:val="18"/>
              </w:rPr>
            </w:pPr>
            <w:r>
              <w:rPr>
                <w:rFonts w:ascii="Arial Narrow" w:hAnsi="Arial Narrow" w:cs="Calibri"/>
                <w:color w:val="000000"/>
                <w:sz w:val="18"/>
                <w:szCs w:val="18"/>
              </w:rPr>
              <w:t>Eventuales</w:t>
            </w:r>
          </w:p>
        </w:tc>
        <w:tc>
          <w:tcPr>
            <w:tcW w:w="1159" w:type="dxa"/>
            <w:tcBorders>
              <w:top w:val="single" w:sz="4" w:space="0" w:color="auto"/>
              <w:left w:val="nil"/>
              <w:bottom w:val="single" w:sz="2" w:space="0" w:color="auto"/>
              <w:right w:val="nil"/>
            </w:tcBorders>
            <w:shd w:val="clear" w:color="auto" w:fill="auto"/>
            <w:noWrap/>
            <w:vAlign w:val="center"/>
            <w:hideMark/>
          </w:tcPr>
          <w:p w14:paraId="3DE2D4C7"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147,04</w:t>
            </w:r>
          </w:p>
        </w:tc>
        <w:tc>
          <w:tcPr>
            <w:tcW w:w="1418" w:type="dxa"/>
            <w:tcBorders>
              <w:top w:val="single" w:sz="4" w:space="0" w:color="auto"/>
              <w:left w:val="nil"/>
              <w:bottom w:val="single" w:sz="2" w:space="0" w:color="auto"/>
              <w:right w:val="nil"/>
            </w:tcBorders>
            <w:shd w:val="clear" w:color="auto" w:fill="auto"/>
            <w:noWrap/>
            <w:vAlign w:val="center"/>
            <w:hideMark/>
          </w:tcPr>
          <w:p w14:paraId="4209BA06"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2,02</w:t>
            </w:r>
          </w:p>
        </w:tc>
        <w:tc>
          <w:tcPr>
            <w:tcW w:w="992" w:type="dxa"/>
            <w:tcBorders>
              <w:top w:val="single" w:sz="4" w:space="0" w:color="auto"/>
              <w:left w:val="nil"/>
              <w:bottom w:val="single" w:sz="2" w:space="0" w:color="auto"/>
              <w:right w:val="nil"/>
            </w:tcBorders>
            <w:shd w:val="clear" w:color="auto" w:fill="auto"/>
            <w:noWrap/>
            <w:vAlign w:val="center"/>
            <w:hideMark/>
          </w:tcPr>
          <w:p w14:paraId="0A3248F5"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0,63</w:t>
            </w:r>
          </w:p>
        </w:tc>
        <w:tc>
          <w:tcPr>
            <w:tcW w:w="1276" w:type="dxa"/>
            <w:tcBorders>
              <w:top w:val="single" w:sz="4" w:space="0" w:color="auto"/>
              <w:left w:val="nil"/>
              <w:bottom w:val="single" w:sz="2" w:space="0" w:color="auto"/>
              <w:right w:val="nil"/>
            </w:tcBorders>
            <w:shd w:val="clear" w:color="auto" w:fill="auto"/>
            <w:noWrap/>
            <w:vAlign w:val="center"/>
            <w:hideMark/>
          </w:tcPr>
          <w:p w14:paraId="46258B23"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2,65</w:t>
            </w:r>
          </w:p>
        </w:tc>
        <w:tc>
          <w:tcPr>
            <w:tcW w:w="992" w:type="dxa"/>
            <w:tcBorders>
              <w:top w:val="single" w:sz="4" w:space="0" w:color="auto"/>
              <w:left w:val="nil"/>
              <w:bottom w:val="single" w:sz="2" w:space="0" w:color="auto"/>
              <w:right w:val="nil"/>
            </w:tcBorders>
            <w:shd w:val="clear" w:color="auto" w:fill="auto"/>
            <w:noWrap/>
            <w:vAlign w:val="center"/>
            <w:hideMark/>
          </w:tcPr>
          <w:p w14:paraId="29579708" w14:textId="77777777" w:rsidR="00794089" w:rsidRDefault="00794089" w:rsidP="005C48AE">
            <w:pPr>
              <w:jc w:val="right"/>
              <w:rPr>
                <w:rFonts w:ascii="Arial Narrow" w:hAnsi="Arial Narrow" w:cs="Calibri"/>
                <w:color w:val="000000"/>
                <w:sz w:val="18"/>
                <w:szCs w:val="18"/>
              </w:rPr>
            </w:pPr>
            <w:r>
              <w:rPr>
                <w:rFonts w:ascii="Arial Narrow" w:hAnsi="Arial Narrow" w:cs="Calibri"/>
                <w:color w:val="000000"/>
                <w:sz w:val="18"/>
                <w:szCs w:val="18"/>
              </w:rPr>
              <w:t>1,37</w:t>
            </w:r>
          </w:p>
        </w:tc>
        <w:tc>
          <w:tcPr>
            <w:tcW w:w="851" w:type="dxa"/>
            <w:tcBorders>
              <w:top w:val="single" w:sz="4" w:space="0" w:color="auto"/>
              <w:left w:val="nil"/>
              <w:bottom w:val="single" w:sz="2" w:space="0" w:color="auto"/>
              <w:right w:val="nil"/>
            </w:tcBorders>
            <w:shd w:val="clear" w:color="auto" w:fill="auto"/>
            <w:noWrap/>
            <w:vAlign w:val="center"/>
            <w:hideMark/>
          </w:tcPr>
          <w:p w14:paraId="2049D52A" w14:textId="77777777" w:rsidR="00794089" w:rsidRDefault="00794089" w:rsidP="005C48AE">
            <w:pPr>
              <w:jc w:val="right"/>
              <w:rPr>
                <w:rFonts w:ascii="Arial Narrow" w:hAnsi="Arial Narrow" w:cs="Calibri"/>
                <w:color w:val="000000"/>
                <w:sz w:val="18"/>
                <w:szCs w:val="18"/>
              </w:rPr>
            </w:pPr>
            <w:r>
              <w:rPr>
                <w:rFonts w:ascii="Arial Narrow" w:hAnsi="Arial Narrow" w:cs="Calibri"/>
                <w:color w:val="000000"/>
                <w:sz w:val="18"/>
                <w:szCs w:val="18"/>
              </w:rPr>
              <w:t>0,43</w:t>
            </w:r>
          </w:p>
        </w:tc>
        <w:tc>
          <w:tcPr>
            <w:tcW w:w="992" w:type="dxa"/>
            <w:tcBorders>
              <w:top w:val="single" w:sz="4" w:space="0" w:color="auto"/>
              <w:left w:val="nil"/>
              <w:bottom w:val="single" w:sz="2" w:space="0" w:color="auto"/>
              <w:right w:val="nil"/>
            </w:tcBorders>
            <w:shd w:val="clear" w:color="auto" w:fill="auto"/>
            <w:noWrap/>
            <w:vAlign w:val="center"/>
            <w:hideMark/>
          </w:tcPr>
          <w:p w14:paraId="4B837C22"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1,8</w:t>
            </w:r>
          </w:p>
        </w:tc>
      </w:tr>
      <w:tr w:rsidR="00CE22CD" w14:paraId="491E886E" w14:textId="77777777" w:rsidTr="005C48AE">
        <w:trPr>
          <w:trHeight w:val="198"/>
        </w:trPr>
        <w:tc>
          <w:tcPr>
            <w:tcW w:w="0" w:type="auto"/>
            <w:tcBorders>
              <w:top w:val="single" w:sz="2" w:space="0" w:color="auto"/>
              <w:left w:val="nil"/>
              <w:bottom w:val="single" w:sz="2" w:space="0" w:color="auto"/>
              <w:right w:val="nil"/>
            </w:tcBorders>
            <w:shd w:val="clear" w:color="auto" w:fill="auto"/>
            <w:noWrap/>
            <w:vAlign w:val="center"/>
            <w:hideMark/>
          </w:tcPr>
          <w:p w14:paraId="792B480B" w14:textId="77777777" w:rsidR="00794089" w:rsidRDefault="00794089">
            <w:pPr>
              <w:rPr>
                <w:rFonts w:ascii="Arial Narrow" w:hAnsi="Arial Narrow" w:cs="Calibri"/>
                <w:color w:val="000000"/>
                <w:sz w:val="18"/>
                <w:szCs w:val="18"/>
              </w:rPr>
            </w:pPr>
            <w:r>
              <w:rPr>
                <w:rFonts w:ascii="Arial Narrow" w:hAnsi="Arial Narrow" w:cs="Calibri"/>
                <w:color w:val="000000"/>
                <w:sz w:val="18"/>
                <w:szCs w:val="18"/>
              </w:rPr>
              <w:t>Administración</w:t>
            </w:r>
          </w:p>
        </w:tc>
        <w:tc>
          <w:tcPr>
            <w:tcW w:w="1159" w:type="dxa"/>
            <w:tcBorders>
              <w:top w:val="single" w:sz="2" w:space="0" w:color="auto"/>
              <w:left w:val="nil"/>
              <w:bottom w:val="single" w:sz="2" w:space="0" w:color="auto"/>
              <w:right w:val="nil"/>
            </w:tcBorders>
            <w:shd w:val="clear" w:color="auto" w:fill="auto"/>
            <w:noWrap/>
            <w:vAlign w:val="center"/>
            <w:hideMark/>
          </w:tcPr>
          <w:p w14:paraId="0C77B720"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7</w:t>
            </w:r>
            <w:r w:rsidR="00F36FA3">
              <w:rPr>
                <w:rFonts w:ascii="Arial Narrow" w:hAnsi="Arial Narrow" w:cs="Calibri"/>
                <w:color w:val="000000"/>
                <w:sz w:val="18"/>
                <w:szCs w:val="18"/>
              </w:rPr>
              <w:t>.</w:t>
            </w:r>
            <w:r>
              <w:rPr>
                <w:rFonts w:ascii="Arial Narrow" w:hAnsi="Arial Narrow" w:cs="Calibri"/>
                <w:color w:val="000000"/>
                <w:sz w:val="18"/>
                <w:szCs w:val="18"/>
              </w:rPr>
              <w:t>413,89</w:t>
            </w:r>
          </w:p>
        </w:tc>
        <w:tc>
          <w:tcPr>
            <w:tcW w:w="1418" w:type="dxa"/>
            <w:tcBorders>
              <w:top w:val="single" w:sz="2" w:space="0" w:color="auto"/>
              <w:left w:val="nil"/>
              <w:bottom w:val="single" w:sz="2" w:space="0" w:color="auto"/>
              <w:right w:val="nil"/>
            </w:tcBorders>
            <w:shd w:val="clear" w:color="auto" w:fill="auto"/>
            <w:noWrap/>
            <w:vAlign w:val="center"/>
            <w:hideMark/>
          </w:tcPr>
          <w:p w14:paraId="67B8F41B"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468,41</w:t>
            </w:r>
          </w:p>
        </w:tc>
        <w:tc>
          <w:tcPr>
            <w:tcW w:w="992" w:type="dxa"/>
            <w:tcBorders>
              <w:top w:val="single" w:sz="2" w:space="0" w:color="auto"/>
              <w:left w:val="nil"/>
              <w:bottom w:val="single" w:sz="2" w:space="0" w:color="auto"/>
              <w:right w:val="nil"/>
            </w:tcBorders>
            <w:shd w:val="clear" w:color="auto" w:fill="auto"/>
            <w:noWrap/>
            <w:vAlign w:val="center"/>
            <w:hideMark/>
          </w:tcPr>
          <w:p w14:paraId="3D799377"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176,86</w:t>
            </w:r>
          </w:p>
        </w:tc>
        <w:tc>
          <w:tcPr>
            <w:tcW w:w="1276" w:type="dxa"/>
            <w:tcBorders>
              <w:top w:val="single" w:sz="2" w:space="0" w:color="auto"/>
              <w:left w:val="nil"/>
              <w:bottom w:val="single" w:sz="2" w:space="0" w:color="auto"/>
              <w:right w:val="nil"/>
            </w:tcBorders>
            <w:shd w:val="clear" w:color="auto" w:fill="auto"/>
            <w:noWrap/>
            <w:vAlign w:val="center"/>
            <w:hideMark/>
          </w:tcPr>
          <w:p w14:paraId="7C1B0608"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645,27</w:t>
            </w:r>
          </w:p>
        </w:tc>
        <w:tc>
          <w:tcPr>
            <w:tcW w:w="992" w:type="dxa"/>
            <w:tcBorders>
              <w:top w:val="single" w:sz="2" w:space="0" w:color="auto"/>
              <w:left w:val="nil"/>
              <w:bottom w:val="single" w:sz="2" w:space="0" w:color="auto"/>
              <w:right w:val="nil"/>
            </w:tcBorders>
            <w:shd w:val="clear" w:color="auto" w:fill="auto"/>
            <w:noWrap/>
            <w:vAlign w:val="center"/>
            <w:hideMark/>
          </w:tcPr>
          <w:p w14:paraId="33C35DE3" w14:textId="77777777" w:rsidR="00794089" w:rsidRDefault="00794089" w:rsidP="005C48AE">
            <w:pPr>
              <w:jc w:val="right"/>
              <w:rPr>
                <w:rFonts w:ascii="Arial Narrow" w:hAnsi="Arial Narrow" w:cs="Calibri"/>
                <w:color w:val="000000"/>
                <w:sz w:val="18"/>
                <w:szCs w:val="18"/>
              </w:rPr>
            </w:pPr>
            <w:r>
              <w:rPr>
                <w:rFonts w:ascii="Arial Narrow" w:hAnsi="Arial Narrow" w:cs="Calibri"/>
                <w:color w:val="000000"/>
                <w:sz w:val="18"/>
                <w:szCs w:val="18"/>
              </w:rPr>
              <w:t>6,32</w:t>
            </w:r>
          </w:p>
        </w:tc>
        <w:tc>
          <w:tcPr>
            <w:tcW w:w="851" w:type="dxa"/>
            <w:tcBorders>
              <w:top w:val="single" w:sz="2" w:space="0" w:color="auto"/>
              <w:left w:val="nil"/>
              <w:bottom w:val="single" w:sz="2" w:space="0" w:color="auto"/>
              <w:right w:val="nil"/>
            </w:tcBorders>
            <w:shd w:val="clear" w:color="auto" w:fill="auto"/>
            <w:noWrap/>
            <w:vAlign w:val="center"/>
            <w:hideMark/>
          </w:tcPr>
          <w:p w14:paraId="68F5A667" w14:textId="77777777" w:rsidR="00794089" w:rsidRDefault="00794089" w:rsidP="005C48AE">
            <w:pPr>
              <w:jc w:val="right"/>
              <w:rPr>
                <w:rFonts w:ascii="Arial Narrow" w:hAnsi="Arial Narrow" w:cs="Calibri"/>
                <w:color w:val="000000"/>
                <w:sz w:val="18"/>
                <w:szCs w:val="18"/>
              </w:rPr>
            </w:pPr>
            <w:r>
              <w:rPr>
                <w:rFonts w:ascii="Arial Narrow" w:hAnsi="Arial Narrow" w:cs="Calibri"/>
                <w:color w:val="000000"/>
                <w:sz w:val="18"/>
                <w:szCs w:val="18"/>
              </w:rPr>
              <w:t>2,39</w:t>
            </w:r>
          </w:p>
        </w:tc>
        <w:tc>
          <w:tcPr>
            <w:tcW w:w="992" w:type="dxa"/>
            <w:tcBorders>
              <w:top w:val="single" w:sz="2" w:space="0" w:color="auto"/>
              <w:left w:val="nil"/>
              <w:bottom w:val="single" w:sz="2" w:space="0" w:color="auto"/>
              <w:right w:val="nil"/>
            </w:tcBorders>
            <w:shd w:val="clear" w:color="auto" w:fill="auto"/>
            <w:noWrap/>
            <w:vAlign w:val="center"/>
            <w:hideMark/>
          </w:tcPr>
          <w:p w14:paraId="32FDAE90"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8,7</w:t>
            </w:r>
          </w:p>
        </w:tc>
      </w:tr>
      <w:tr w:rsidR="00CE22CD" w14:paraId="19CB1BD2" w14:textId="77777777" w:rsidTr="005C48AE">
        <w:trPr>
          <w:trHeight w:val="198"/>
        </w:trPr>
        <w:tc>
          <w:tcPr>
            <w:tcW w:w="0" w:type="auto"/>
            <w:tcBorders>
              <w:top w:val="single" w:sz="2" w:space="0" w:color="auto"/>
              <w:left w:val="nil"/>
              <w:bottom w:val="single" w:sz="2" w:space="0" w:color="auto"/>
              <w:right w:val="nil"/>
            </w:tcBorders>
            <w:shd w:val="clear" w:color="auto" w:fill="auto"/>
            <w:noWrap/>
            <w:vAlign w:val="center"/>
            <w:hideMark/>
          </w:tcPr>
          <w:p w14:paraId="3364ADB1" w14:textId="77777777" w:rsidR="00794089" w:rsidRDefault="00794089">
            <w:pPr>
              <w:rPr>
                <w:rFonts w:ascii="Arial Narrow" w:hAnsi="Arial Narrow" w:cs="Calibri"/>
                <w:color w:val="000000"/>
                <w:sz w:val="18"/>
                <w:szCs w:val="18"/>
              </w:rPr>
            </w:pPr>
            <w:r>
              <w:rPr>
                <w:rFonts w:ascii="Arial Narrow" w:hAnsi="Arial Narrow" w:cs="Calibri"/>
                <w:color w:val="000000"/>
                <w:sz w:val="18"/>
                <w:szCs w:val="18"/>
              </w:rPr>
              <w:t>Sanitarios</w:t>
            </w:r>
          </w:p>
        </w:tc>
        <w:tc>
          <w:tcPr>
            <w:tcW w:w="1159" w:type="dxa"/>
            <w:tcBorders>
              <w:top w:val="single" w:sz="2" w:space="0" w:color="auto"/>
              <w:left w:val="nil"/>
              <w:bottom w:val="single" w:sz="2" w:space="0" w:color="auto"/>
              <w:right w:val="nil"/>
            </w:tcBorders>
            <w:shd w:val="clear" w:color="auto" w:fill="auto"/>
            <w:noWrap/>
            <w:vAlign w:val="center"/>
            <w:hideMark/>
          </w:tcPr>
          <w:p w14:paraId="38682EF3"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10</w:t>
            </w:r>
            <w:r w:rsidR="00F36FA3">
              <w:rPr>
                <w:rFonts w:ascii="Arial Narrow" w:hAnsi="Arial Narrow" w:cs="Calibri"/>
                <w:color w:val="000000"/>
                <w:sz w:val="18"/>
                <w:szCs w:val="18"/>
              </w:rPr>
              <w:t>.</w:t>
            </w:r>
            <w:r>
              <w:rPr>
                <w:rFonts w:ascii="Arial Narrow" w:hAnsi="Arial Narrow" w:cs="Calibri"/>
                <w:color w:val="000000"/>
                <w:sz w:val="18"/>
                <w:szCs w:val="18"/>
              </w:rPr>
              <w:t>243,09</w:t>
            </w:r>
          </w:p>
        </w:tc>
        <w:tc>
          <w:tcPr>
            <w:tcW w:w="1418" w:type="dxa"/>
            <w:tcBorders>
              <w:top w:val="single" w:sz="2" w:space="0" w:color="auto"/>
              <w:left w:val="nil"/>
              <w:bottom w:val="single" w:sz="2" w:space="0" w:color="auto"/>
              <w:right w:val="nil"/>
            </w:tcBorders>
            <w:shd w:val="clear" w:color="auto" w:fill="auto"/>
            <w:noWrap/>
            <w:vAlign w:val="center"/>
            <w:hideMark/>
          </w:tcPr>
          <w:p w14:paraId="0FDDFD57"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659,11</w:t>
            </w:r>
          </w:p>
        </w:tc>
        <w:tc>
          <w:tcPr>
            <w:tcW w:w="992" w:type="dxa"/>
            <w:tcBorders>
              <w:top w:val="single" w:sz="2" w:space="0" w:color="auto"/>
              <w:left w:val="nil"/>
              <w:bottom w:val="single" w:sz="2" w:space="0" w:color="auto"/>
              <w:right w:val="nil"/>
            </w:tcBorders>
            <w:shd w:val="clear" w:color="auto" w:fill="auto"/>
            <w:noWrap/>
            <w:vAlign w:val="center"/>
            <w:hideMark/>
          </w:tcPr>
          <w:p w14:paraId="524CBD02"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356,34</w:t>
            </w:r>
          </w:p>
        </w:tc>
        <w:tc>
          <w:tcPr>
            <w:tcW w:w="1276" w:type="dxa"/>
            <w:tcBorders>
              <w:top w:val="single" w:sz="2" w:space="0" w:color="auto"/>
              <w:left w:val="nil"/>
              <w:bottom w:val="single" w:sz="2" w:space="0" w:color="auto"/>
              <w:right w:val="nil"/>
            </w:tcBorders>
            <w:shd w:val="clear" w:color="auto" w:fill="auto"/>
            <w:noWrap/>
            <w:vAlign w:val="center"/>
            <w:hideMark/>
          </w:tcPr>
          <w:p w14:paraId="64FBDDBA"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1</w:t>
            </w:r>
            <w:r w:rsidR="00F36FA3">
              <w:rPr>
                <w:rFonts w:ascii="Arial Narrow" w:hAnsi="Arial Narrow" w:cs="Calibri"/>
                <w:color w:val="000000"/>
                <w:sz w:val="18"/>
                <w:szCs w:val="18"/>
              </w:rPr>
              <w:t>.</w:t>
            </w:r>
            <w:r>
              <w:rPr>
                <w:rFonts w:ascii="Arial Narrow" w:hAnsi="Arial Narrow" w:cs="Calibri"/>
                <w:color w:val="000000"/>
                <w:sz w:val="18"/>
                <w:szCs w:val="18"/>
              </w:rPr>
              <w:t>015,45</w:t>
            </w:r>
          </w:p>
        </w:tc>
        <w:tc>
          <w:tcPr>
            <w:tcW w:w="992" w:type="dxa"/>
            <w:tcBorders>
              <w:top w:val="single" w:sz="2" w:space="0" w:color="auto"/>
              <w:left w:val="nil"/>
              <w:bottom w:val="single" w:sz="2" w:space="0" w:color="auto"/>
              <w:right w:val="nil"/>
            </w:tcBorders>
            <w:shd w:val="clear" w:color="auto" w:fill="auto"/>
            <w:noWrap/>
            <w:vAlign w:val="center"/>
            <w:hideMark/>
          </w:tcPr>
          <w:p w14:paraId="2D7606E8" w14:textId="77777777" w:rsidR="00794089" w:rsidRDefault="00794089" w:rsidP="005C48AE">
            <w:pPr>
              <w:jc w:val="right"/>
              <w:rPr>
                <w:rFonts w:ascii="Arial Narrow" w:hAnsi="Arial Narrow" w:cs="Calibri"/>
                <w:color w:val="000000"/>
                <w:sz w:val="18"/>
                <w:szCs w:val="18"/>
              </w:rPr>
            </w:pPr>
            <w:r>
              <w:rPr>
                <w:rFonts w:ascii="Arial Narrow" w:hAnsi="Arial Narrow" w:cs="Calibri"/>
                <w:color w:val="000000"/>
                <w:sz w:val="18"/>
                <w:szCs w:val="18"/>
              </w:rPr>
              <w:t>6,43</w:t>
            </w:r>
          </w:p>
        </w:tc>
        <w:tc>
          <w:tcPr>
            <w:tcW w:w="851" w:type="dxa"/>
            <w:tcBorders>
              <w:top w:val="single" w:sz="2" w:space="0" w:color="auto"/>
              <w:left w:val="nil"/>
              <w:bottom w:val="single" w:sz="2" w:space="0" w:color="auto"/>
              <w:right w:val="nil"/>
            </w:tcBorders>
            <w:shd w:val="clear" w:color="auto" w:fill="auto"/>
            <w:noWrap/>
            <w:vAlign w:val="center"/>
            <w:hideMark/>
          </w:tcPr>
          <w:p w14:paraId="23F3C00F" w14:textId="77777777" w:rsidR="00794089" w:rsidRDefault="00794089" w:rsidP="005C48AE">
            <w:pPr>
              <w:jc w:val="right"/>
              <w:rPr>
                <w:rFonts w:ascii="Arial Narrow" w:hAnsi="Arial Narrow" w:cs="Calibri"/>
                <w:color w:val="000000"/>
                <w:sz w:val="18"/>
                <w:szCs w:val="18"/>
              </w:rPr>
            </w:pPr>
            <w:r>
              <w:rPr>
                <w:rFonts w:ascii="Arial Narrow" w:hAnsi="Arial Narrow" w:cs="Calibri"/>
                <w:color w:val="000000"/>
                <w:sz w:val="18"/>
                <w:szCs w:val="18"/>
              </w:rPr>
              <w:t>3,48</w:t>
            </w:r>
          </w:p>
        </w:tc>
        <w:tc>
          <w:tcPr>
            <w:tcW w:w="992" w:type="dxa"/>
            <w:tcBorders>
              <w:top w:val="single" w:sz="2" w:space="0" w:color="auto"/>
              <w:left w:val="nil"/>
              <w:bottom w:val="single" w:sz="2" w:space="0" w:color="auto"/>
              <w:right w:val="nil"/>
            </w:tcBorders>
            <w:shd w:val="clear" w:color="auto" w:fill="auto"/>
            <w:noWrap/>
            <w:vAlign w:val="center"/>
            <w:hideMark/>
          </w:tcPr>
          <w:p w14:paraId="591BC7C1"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9,91</w:t>
            </w:r>
          </w:p>
        </w:tc>
      </w:tr>
      <w:tr w:rsidR="00CE22CD" w14:paraId="6D514CC0" w14:textId="77777777" w:rsidTr="005C48AE">
        <w:trPr>
          <w:trHeight w:val="198"/>
        </w:trPr>
        <w:tc>
          <w:tcPr>
            <w:tcW w:w="0" w:type="auto"/>
            <w:tcBorders>
              <w:top w:val="single" w:sz="2" w:space="0" w:color="auto"/>
              <w:left w:val="nil"/>
              <w:bottom w:val="single" w:sz="2" w:space="0" w:color="auto"/>
              <w:right w:val="nil"/>
            </w:tcBorders>
            <w:shd w:val="clear" w:color="auto" w:fill="auto"/>
            <w:noWrap/>
            <w:vAlign w:val="center"/>
            <w:hideMark/>
          </w:tcPr>
          <w:p w14:paraId="1FF6FF90" w14:textId="77777777" w:rsidR="00794089" w:rsidRDefault="00794089">
            <w:pPr>
              <w:rPr>
                <w:rFonts w:ascii="Arial Narrow" w:hAnsi="Arial Narrow" w:cs="Calibri"/>
                <w:color w:val="000000"/>
                <w:sz w:val="18"/>
                <w:szCs w:val="18"/>
              </w:rPr>
            </w:pPr>
            <w:r>
              <w:rPr>
                <w:rFonts w:ascii="Arial Narrow" w:hAnsi="Arial Narrow" w:cs="Calibri"/>
                <w:color w:val="000000"/>
                <w:sz w:val="18"/>
                <w:szCs w:val="18"/>
              </w:rPr>
              <w:t>Docentes</w:t>
            </w:r>
          </w:p>
        </w:tc>
        <w:tc>
          <w:tcPr>
            <w:tcW w:w="1159" w:type="dxa"/>
            <w:tcBorders>
              <w:top w:val="single" w:sz="2" w:space="0" w:color="auto"/>
              <w:left w:val="nil"/>
              <w:bottom w:val="single" w:sz="2" w:space="0" w:color="auto"/>
              <w:right w:val="nil"/>
            </w:tcBorders>
            <w:shd w:val="clear" w:color="auto" w:fill="auto"/>
            <w:noWrap/>
            <w:vAlign w:val="center"/>
            <w:hideMark/>
          </w:tcPr>
          <w:p w14:paraId="61B6FA99"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10</w:t>
            </w:r>
            <w:r w:rsidR="00F36FA3">
              <w:rPr>
                <w:rFonts w:ascii="Arial Narrow" w:hAnsi="Arial Narrow" w:cs="Calibri"/>
                <w:color w:val="000000"/>
                <w:sz w:val="18"/>
                <w:szCs w:val="18"/>
              </w:rPr>
              <w:t>.</w:t>
            </w:r>
            <w:r>
              <w:rPr>
                <w:rFonts w:ascii="Arial Narrow" w:hAnsi="Arial Narrow" w:cs="Calibri"/>
                <w:color w:val="000000"/>
                <w:sz w:val="18"/>
                <w:szCs w:val="18"/>
              </w:rPr>
              <w:t>057,13</w:t>
            </w:r>
          </w:p>
        </w:tc>
        <w:tc>
          <w:tcPr>
            <w:tcW w:w="1418" w:type="dxa"/>
            <w:tcBorders>
              <w:top w:val="single" w:sz="2" w:space="0" w:color="auto"/>
              <w:left w:val="nil"/>
              <w:bottom w:val="single" w:sz="2" w:space="0" w:color="auto"/>
              <w:right w:val="nil"/>
            </w:tcBorders>
            <w:shd w:val="clear" w:color="auto" w:fill="auto"/>
            <w:noWrap/>
            <w:vAlign w:val="center"/>
            <w:hideMark/>
          </w:tcPr>
          <w:p w14:paraId="43B89DC4"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498,65</w:t>
            </w:r>
          </w:p>
        </w:tc>
        <w:tc>
          <w:tcPr>
            <w:tcW w:w="992" w:type="dxa"/>
            <w:tcBorders>
              <w:top w:val="single" w:sz="2" w:space="0" w:color="auto"/>
              <w:left w:val="nil"/>
              <w:bottom w:val="single" w:sz="2" w:space="0" w:color="auto"/>
              <w:right w:val="nil"/>
            </w:tcBorders>
            <w:shd w:val="clear" w:color="auto" w:fill="auto"/>
            <w:noWrap/>
            <w:vAlign w:val="center"/>
            <w:hideMark/>
          </w:tcPr>
          <w:p w14:paraId="1C894E68"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275,45</w:t>
            </w:r>
          </w:p>
        </w:tc>
        <w:tc>
          <w:tcPr>
            <w:tcW w:w="1276" w:type="dxa"/>
            <w:tcBorders>
              <w:top w:val="single" w:sz="2" w:space="0" w:color="auto"/>
              <w:left w:val="nil"/>
              <w:bottom w:val="single" w:sz="2" w:space="0" w:color="auto"/>
              <w:right w:val="nil"/>
            </w:tcBorders>
            <w:shd w:val="clear" w:color="auto" w:fill="auto"/>
            <w:noWrap/>
            <w:vAlign w:val="center"/>
            <w:hideMark/>
          </w:tcPr>
          <w:p w14:paraId="5A91BC54"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774,1</w:t>
            </w:r>
          </w:p>
        </w:tc>
        <w:tc>
          <w:tcPr>
            <w:tcW w:w="992" w:type="dxa"/>
            <w:tcBorders>
              <w:top w:val="single" w:sz="2" w:space="0" w:color="auto"/>
              <w:left w:val="nil"/>
              <w:bottom w:val="single" w:sz="2" w:space="0" w:color="auto"/>
              <w:right w:val="nil"/>
            </w:tcBorders>
            <w:shd w:val="clear" w:color="auto" w:fill="auto"/>
            <w:noWrap/>
            <w:vAlign w:val="center"/>
            <w:hideMark/>
          </w:tcPr>
          <w:p w14:paraId="23F2C679" w14:textId="77777777" w:rsidR="00794089" w:rsidRDefault="00794089" w:rsidP="005C48AE">
            <w:pPr>
              <w:jc w:val="right"/>
              <w:rPr>
                <w:rFonts w:ascii="Arial Narrow" w:hAnsi="Arial Narrow" w:cs="Calibri"/>
                <w:color w:val="000000"/>
                <w:sz w:val="18"/>
                <w:szCs w:val="18"/>
              </w:rPr>
            </w:pPr>
            <w:r>
              <w:rPr>
                <w:rFonts w:ascii="Arial Narrow" w:hAnsi="Arial Narrow" w:cs="Calibri"/>
                <w:color w:val="000000"/>
                <w:sz w:val="18"/>
                <w:szCs w:val="18"/>
              </w:rPr>
              <w:t>4,96</w:t>
            </w:r>
          </w:p>
        </w:tc>
        <w:tc>
          <w:tcPr>
            <w:tcW w:w="851" w:type="dxa"/>
            <w:tcBorders>
              <w:top w:val="single" w:sz="2" w:space="0" w:color="auto"/>
              <w:left w:val="nil"/>
              <w:bottom w:val="single" w:sz="2" w:space="0" w:color="auto"/>
              <w:right w:val="nil"/>
            </w:tcBorders>
            <w:shd w:val="clear" w:color="auto" w:fill="auto"/>
            <w:noWrap/>
            <w:vAlign w:val="center"/>
            <w:hideMark/>
          </w:tcPr>
          <w:p w14:paraId="33B4CF46" w14:textId="77777777" w:rsidR="00794089" w:rsidRDefault="00794089" w:rsidP="005C48AE">
            <w:pPr>
              <w:jc w:val="right"/>
              <w:rPr>
                <w:rFonts w:ascii="Arial Narrow" w:hAnsi="Arial Narrow" w:cs="Calibri"/>
                <w:color w:val="000000"/>
                <w:sz w:val="18"/>
                <w:szCs w:val="18"/>
              </w:rPr>
            </w:pPr>
            <w:r>
              <w:rPr>
                <w:rFonts w:ascii="Arial Narrow" w:hAnsi="Arial Narrow" w:cs="Calibri"/>
                <w:color w:val="000000"/>
                <w:sz w:val="18"/>
                <w:szCs w:val="18"/>
              </w:rPr>
              <w:t>2,74</w:t>
            </w:r>
          </w:p>
        </w:tc>
        <w:tc>
          <w:tcPr>
            <w:tcW w:w="992" w:type="dxa"/>
            <w:tcBorders>
              <w:top w:val="single" w:sz="2" w:space="0" w:color="auto"/>
              <w:left w:val="nil"/>
              <w:bottom w:val="single" w:sz="2" w:space="0" w:color="auto"/>
              <w:right w:val="nil"/>
            </w:tcBorders>
            <w:shd w:val="clear" w:color="auto" w:fill="auto"/>
            <w:noWrap/>
            <w:vAlign w:val="center"/>
            <w:hideMark/>
          </w:tcPr>
          <w:p w14:paraId="3A807690"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7,7</w:t>
            </w:r>
          </w:p>
        </w:tc>
      </w:tr>
      <w:tr w:rsidR="00CE22CD" w14:paraId="1AF8291D" w14:textId="77777777" w:rsidTr="005C48AE">
        <w:trPr>
          <w:trHeight w:val="198"/>
        </w:trPr>
        <w:tc>
          <w:tcPr>
            <w:tcW w:w="0" w:type="auto"/>
            <w:tcBorders>
              <w:top w:val="single" w:sz="2" w:space="0" w:color="auto"/>
              <w:left w:val="nil"/>
              <w:bottom w:val="single" w:sz="2" w:space="0" w:color="auto"/>
              <w:right w:val="nil"/>
            </w:tcBorders>
            <w:shd w:val="clear" w:color="auto" w:fill="auto"/>
            <w:noWrap/>
            <w:vAlign w:val="center"/>
            <w:hideMark/>
          </w:tcPr>
          <w:p w14:paraId="62FA44CE" w14:textId="77777777" w:rsidR="00794089" w:rsidRDefault="00794089">
            <w:pPr>
              <w:rPr>
                <w:rFonts w:ascii="Arial Narrow" w:hAnsi="Arial Narrow" w:cs="Calibri"/>
                <w:color w:val="000000"/>
                <w:sz w:val="18"/>
                <w:szCs w:val="18"/>
              </w:rPr>
            </w:pPr>
            <w:r>
              <w:rPr>
                <w:rFonts w:ascii="Arial Narrow" w:hAnsi="Arial Narrow" w:cs="Calibri"/>
                <w:color w:val="000000"/>
                <w:sz w:val="18"/>
                <w:szCs w:val="18"/>
              </w:rPr>
              <w:t>Policías</w:t>
            </w:r>
          </w:p>
        </w:tc>
        <w:tc>
          <w:tcPr>
            <w:tcW w:w="1159" w:type="dxa"/>
            <w:tcBorders>
              <w:top w:val="single" w:sz="2" w:space="0" w:color="auto"/>
              <w:left w:val="nil"/>
              <w:bottom w:val="single" w:sz="2" w:space="0" w:color="auto"/>
              <w:right w:val="nil"/>
            </w:tcBorders>
            <w:shd w:val="clear" w:color="auto" w:fill="auto"/>
            <w:noWrap/>
            <w:vAlign w:val="center"/>
            <w:hideMark/>
          </w:tcPr>
          <w:p w14:paraId="362E71C5"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1</w:t>
            </w:r>
            <w:r w:rsidR="00F36FA3">
              <w:rPr>
                <w:rFonts w:ascii="Arial Narrow" w:hAnsi="Arial Narrow" w:cs="Calibri"/>
                <w:color w:val="000000"/>
                <w:sz w:val="18"/>
                <w:szCs w:val="18"/>
              </w:rPr>
              <w:t>.</w:t>
            </w:r>
            <w:r>
              <w:rPr>
                <w:rFonts w:ascii="Arial Narrow" w:hAnsi="Arial Narrow" w:cs="Calibri"/>
                <w:color w:val="000000"/>
                <w:sz w:val="18"/>
                <w:szCs w:val="18"/>
              </w:rPr>
              <w:t>108,73</w:t>
            </w:r>
          </w:p>
        </w:tc>
        <w:tc>
          <w:tcPr>
            <w:tcW w:w="1418" w:type="dxa"/>
            <w:tcBorders>
              <w:top w:val="single" w:sz="2" w:space="0" w:color="auto"/>
              <w:left w:val="nil"/>
              <w:bottom w:val="single" w:sz="2" w:space="0" w:color="auto"/>
              <w:right w:val="nil"/>
            </w:tcBorders>
            <w:shd w:val="clear" w:color="auto" w:fill="auto"/>
            <w:noWrap/>
            <w:vAlign w:val="center"/>
            <w:hideMark/>
          </w:tcPr>
          <w:p w14:paraId="2ECF71BA"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71,57</w:t>
            </w:r>
          </w:p>
        </w:tc>
        <w:tc>
          <w:tcPr>
            <w:tcW w:w="992" w:type="dxa"/>
            <w:tcBorders>
              <w:top w:val="single" w:sz="2" w:space="0" w:color="auto"/>
              <w:left w:val="nil"/>
              <w:bottom w:val="single" w:sz="2" w:space="0" w:color="auto"/>
              <w:right w:val="nil"/>
            </w:tcBorders>
            <w:shd w:val="clear" w:color="auto" w:fill="auto"/>
            <w:noWrap/>
            <w:vAlign w:val="center"/>
            <w:hideMark/>
          </w:tcPr>
          <w:p w14:paraId="674ABA45"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55,21</w:t>
            </w:r>
          </w:p>
        </w:tc>
        <w:tc>
          <w:tcPr>
            <w:tcW w:w="1276" w:type="dxa"/>
            <w:tcBorders>
              <w:top w:val="single" w:sz="2" w:space="0" w:color="auto"/>
              <w:left w:val="nil"/>
              <w:bottom w:val="single" w:sz="2" w:space="0" w:color="auto"/>
              <w:right w:val="nil"/>
            </w:tcBorders>
            <w:shd w:val="clear" w:color="auto" w:fill="auto"/>
            <w:noWrap/>
            <w:vAlign w:val="center"/>
            <w:hideMark/>
          </w:tcPr>
          <w:p w14:paraId="38D8D0C5"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126,78</w:t>
            </w:r>
          </w:p>
        </w:tc>
        <w:tc>
          <w:tcPr>
            <w:tcW w:w="992" w:type="dxa"/>
            <w:tcBorders>
              <w:top w:val="single" w:sz="2" w:space="0" w:color="auto"/>
              <w:left w:val="nil"/>
              <w:bottom w:val="single" w:sz="2" w:space="0" w:color="auto"/>
              <w:right w:val="nil"/>
            </w:tcBorders>
            <w:shd w:val="clear" w:color="auto" w:fill="auto"/>
            <w:noWrap/>
            <w:vAlign w:val="center"/>
            <w:hideMark/>
          </w:tcPr>
          <w:p w14:paraId="70CDD806" w14:textId="77777777" w:rsidR="00794089" w:rsidRDefault="00794089" w:rsidP="005C48AE">
            <w:pPr>
              <w:jc w:val="right"/>
              <w:rPr>
                <w:rFonts w:ascii="Arial Narrow" w:hAnsi="Arial Narrow" w:cs="Calibri"/>
                <w:color w:val="000000"/>
                <w:sz w:val="18"/>
                <w:szCs w:val="18"/>
              </w:rPr>
            </w:pPr>
            <w:r>
              <w:rPr>
                <w:rFonts w:ascii="Arial Narrow" w:hAnsi="Arial Narrow" w:cs="Calibri"/>
                <w:color w:val="000000"/>
                <w:sz w:val="18"/>
                <w:szCs w:val="18"/>
              </w:rPr>
              <w:t>6,46</w:t>
            </w:r>
          </w:p>
        </w:tc>
        <w:tc>
          <w:tcPr>
            <w:tcW w:w="851" w:type="dxa"/>
            <w:tcBorders>
              <w:top w:val="single" w:sz="2" w:space="0" w:color="auto"/>
              <w:left w:val="nil"/>
              <w:bottom w:val="single" w:sz="2" w:space="0" w:color="auto"/>
              <w:right w:val="nil"/>
            </w:tcBorders>
            <w:shd w:val="clear" w:color="auto" w:fill="auto"/>
            <w:noWrap/>
            <w:vAlign w:val="center"/>
            <w:hideMark/>
          </w:tcPr>
          <w:p w14:paraId="23E562CE" w14:textId="77777777" w:rsidR="00794089" w:rsidRDefault="00794089" w:rsidP="005C48AE">
            <w:pPr>
              <w:jc w:val="right"/>
              <w:rPr>
                <w:rFonts w:ascii="Arial Narrow" w:hAnsi="Arial Narrow" w:cs="Calibri"/>
                <w:color w:val="000000"/>
                <w:sz w:val="18"/>
                <w:szCs w:val="18"/>
              </w:rPr>
            </w:pPr>
            <w:r>
              <w:rPr>
                <w:rFonts w:ascii="Arial Narrow" w:hAnsi="Arial Narrow" w:cs="Calibri"/>
                <w:color w:val="000000"/>
                <w:sz w:val="18"/>
                <w:szCs w:val="18"/>
              </w:rPr>
              <w:t>4,98</w:t>
            </w:r>
          </w:p>
        </w:tc>
        <w:tc>
          <w:tcPr>
            <w:tcW w:w="992" w:type="dxa"/>
            <w:tcBorders>
              <w:top w:val="single" w:sz="2" w:space="0" w:color="auto"/>
              <w:left w:val="nil"/>
              <w:bottom w:val="single" w:sz="2" w:space="0" w:color="auto"/>
              <w:right w:val="nil"/>
            </w:tcBorders>
            <w:shd w:val="clear" w:color="auto" w:fill="auto"/>
            <w:noWrap/>
            <w:vAlign w:val="center"/>
            <w:hideMark/>
          </w:tcPr>
          <w:p w14:paraId="320C3FCB"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11,43</w:t>
            </w:r>
          </w:p>
        </w:tc>
      </w:tr>
      <w:tr w:rsidR="00CE22CD" w14:paraId="09BE1028" w14:textId="77777777" w:rsidTr="005C48AE">
        <w:trPr>
          <w:trHeight w:val="198"/>
        </w:trPr>
        <w:tc>
          <w:tcPr>
            <w:tcW w:w="0" w:type="auto"/>
            <w:tcBorders>
              <w:top w:val="single" w:sz="2" w:space="0" w:color="auto"/>
              <w:left w:val="nil"/>
              <w:bottom w:val="single" w:sz="2" w:space="0" w:color="auto"/>
              <w:right w:val="nil"/>
            </w:tcBorders>
            <w:shd w:val="clear" w:color="auto" w:fill="auto"/>
            <w:noWrap/>
            <w:vAlign w:val="center"/>
            <w:hideMark/>
          </w:tcPr>
          <w:p w14:paraId="3D4DF342" w14:textId="77777777" w:rsidR="00794089" w:rsidRDefault="00794089">
            <w:pPr>
              <w:rPr>
                <w:rFonts w:ascii="Arial Narrow" w:hAnsi="Arial Narrow" w:cs="Calibri"/>
                <w:color w:val="000000"/>
                <w:sz w:val="18"/>
                <w:szCs w:val="18"/>
              </w:rPr>
            </w:pPr>
            <w:r>
              <w:rPr>
                <w:rFonts w:ascii="Arial Narrow" w:hAnsi="Arial Narrow" w:cs="Calibri"/>
                <w:color w:val="000000"/>
                <w:sz w:val="18"/>
                <w:szCs w:val="18"/>
              </w:rPr>
              <w:t>Bomberos</w:t>
            </w:r>
          </w:p>
        </w:tc>
        <w:tc>
          <w:tcPr>
            <w:tcW w:w="1159" w:type="dxa"/>
            <w:tcBorders>
              <w:top w:val="single" w:sz="2" w:space="0" w:color="auto"/>
              <w:left w:val="nil"/>
              <w:bottom w:val="single" w:sz="2" w:space="0" w:color="auto"/>
              <w:right w:val="nil"/>
            </w:tcBorders>
            <w:shd w:val="clear" w:color="auto" w:fill="auto"/>
            <w:noWrap/>
            <w:vAlign w:val="center"/>
            <w:hideMark/>
          </w:tcPr>
          <w:p w14:paraId="727A0DE1"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543,93</w:t>
            </w:r>
          </w:p>
        </w:tc>
        <w:tc>
          <w:tcPr>
            <w:tcW w:w="1418" w:type="dxa"/>
            <w:tcBorders>
              <w:top w:val="single" w:sz="2" w:space="0" w:color="auto"/>
              <w:left w:val="nil"/>
              <w:bottom w:val="single" w:sz="2" w:space="0" w:color="auto"/>
              <w:right w:val="nil"/>
            </w:tcBorders>
            <w:shd w:val="clear" w:color="auto" w:fill="auto"/>
            <w:noWrap/>
            <w:vAlign w:val="center"/>
            <w:hideMark/>
          </w:tcPr>
          <w:p w14:paraId="4F7367F3"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19,05</w:t>
            </w:r>
          </w:p>
        </w:tc>
        <w:tc>
          <w:tcPr>
            <w:tcW w:w="992" w:type="dxa"/>
            <w:tcBorders>
              <w:top w:val="single" w:sz="2" w:space="0" w:color="auto"/>
              <w:left w:val="nil"/>
              <w:bottom w:val="single" w:sz="2" w:space="0" w:color="auto"/>
              <w:right w:val="nil"/>
            </w:tcBorders>
            <w:shd w:val="clear" w:color="auto" w:fill="auto"/>
            <w:noWrap/>
            <w:vAlign w:val="center"/>
            <w:hideMark/>
          </w:tcPr>
          <w:p w14:paraId="1967AED2"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7,72</w:t>
            </w:r>
          </w:p>
        </w:tc>
        <w:tc>
          <w:tcPr>
            <w:tcW w:w="1276" w:type="dxa"/>
            <w:tcBorders>
              <w:top w:val="single" w:sz="2" w:space="0" w:color="auto"/>
              <w:left w:val="nil"/>
              <w:bottom w:val="single" w:sz="2" w:space="0" w:color="auto"/>
              <w:right w:val="nil"/>
            </w:tcBorders>
            <w:shd w:val="clear" w:color="auto" w:fill="auto"/>
            <w:noWrap/>
            <w:vAlign w:val="center"/>
            <w:hideMark/>
          </w:tcPr>
          <w:p w14:paraId="39AA6417"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26,77</w:t>
            </w:r>
          </w:p>
        </w:tc>
        <w:tc>
          <w:tcPr>
            <w:tcW w:w="992" w:type="dxa"/>
            <w:tcBorders>
              <w:top w:val="single" w:sz="2" w:space="0" w:color="auto"/>
              <w:left w:val="nil"/>
              <w:bottom w:val="single" w:sz="2" w:space="0" w:color="auto"/>
              <w:right w:val="nil"/>
            </w:tcBorders>
            <w:shd w:val="clear" w:color="auto" w:fill="auto"/>
            <w:noWrap/>
            <w:vAlign w:val="center"/>
            <w:hideMark/>
          </w:tcPr>
          <w:p w14:paraId="58CE89DD" w14:textId="77777777" w:rsidR="00794089" w:rsidRDefault="00794089" w:rsidP="005C48AE">
            <w:pPr>
              <w:jc w:val="right"/>
              <w:rPr>
                <w:rFonts w:ascii="Arial Narrow" w:hAnsi="Arial Narrow" w:cs="Calibri"/>
                <w:color w:val="000000"/>
                <w:sz w:val="18"/>
                <w:szCs w:val="18"/>
              </w:rPr>
            </w:pPr>
            <w:r>
              <w:rPr>
                <w:rFonts w:ascii="Arial Narrow" w:hAnsi="Arial Narrow" w:cs="Calibri"/>
                <w:color w:val="000000"/>
                <w:sz w:val="18"/>
                <w:szCs w:val="18"/>
              </w:rPr>
              <w:t>3,5</w:t>
            </w:r>
          </w:p>
        </w:tc>
        <w:tc>
          <w:tcPr>
            <w:tcW w:w="851" w:type="dxa"/>
            <w:tcBorders>
              <w:top w:val="single" w:sz="2" w:space="0" w:color="auto"/>
              <w:left w:val="nil"/>
              <w:bottom w:val="single" w:sz="2" w:space="0" w:color="auto"/>
              <w:right w:val="nil"/>
            </w:tcBorders>
            <w:shd w:val="clear" w:color="auto" w:fill="auto"/>
            <w:noWrap/>
            <w:vAlign w:val="center"/>
            <w:hideMark/>
          </w:tcPr>
          <w:p w14:paraId="068BD661" w14:textId="77777777" w:rsidR="00794089" w:rsidRDefault="00794089" w:rsidP="005C48AE">
            <w:pPr>
              <w:jc w:val="right"/>
              <w:rPr>
                <w:rFonts w:ascii="Arial Narrow" w:hAnsi="Arial Narrow" w:cs="Calibri"/>
                <w:color w:val="000000"/>
                <w:sz w:val="18"/>
                <w:szCs w:val="18"/>
              </w:rPr>
            </w:pPr>
            <w:r>
              <w:rPr>
                <w:rFonts w:ascii="Arial Narrow" w:hAnsi="Arial Narrow" w:cs="Calibri"/>
                <w:color w:val="000000"/>
                <w:sz w:val="18"/>
                <w:szCs w:val="18"/>
              </w:rPr>
              <w:t>1,42</w:t>
            </w:r>
          </w:p>
        </w:tc>
        <w:tc>
          <w:tcPr>
            <w:tcW w:w="992" w:type="dxa"/>
            <w:tcBorders>
              <w:top w:val="single" w:sz="2" w:space="0" w:color="auto"/>
              <w:left w:val="nil"/>
              <w:bottom w:val="single" w:sz="2" w:space="0" w:color="auto"/>
              <w:right w:val="nil"/>
            </w:tcBorders>
            <w:shd w:val="clear" w:color="auto" w:fill="auto"/>
            <w:noWrap/>
            <w:vAlign w:val="center"/>
            <w:hideMark/>
          </w:tcPr>
          <w:p w14:paraId="3DABFAB7"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4,92</w:t>
            </w:r>
          </w:p>
        </w:tc>
      </w:tr>
      <w:tr w:rsidR="00CE22CD" w14:paraId="18434D32" w14:textId="77777777" w:rsidTr="005C48AE">
        <w:trPr>
          <w:trHeight w:val="198"/>
        </w:trPr>
        <w:tc>
          <w:tcPr>
            <w:tcW w:w="0" w:type="auto"/>
            <w:tcBorders>
              <w:top w:val="single" w:sz="2" w:space="0" w:color="auto"/>
              <w:left w:val="nil"/>
              <w:bottom w:val="single" w:sz="4" w:space="0" w:color="auto"/>
              <w:right w:val="nil"/>
            </w:tcBorders>
            <w:shd w:val="clear" w:color="auto" w:fill="auto"/>
            <w:noWrap/>
            <w:vAlign w:val="center"/>
            <w:hideMark/>
          </w:tcPr>
          <w:p w14:paraId="5B7E818E" w14:textId="77777777" w:rsidR="00794089" w:rsidRDefault="00794089">
            <w:pPr>
              <w:rPr>
                <w:rFonts w:ascii="Arial Narrow" w:hAnsi="Arial Narrow" w:cs="Calibri"/>
                <w:color w:val="000000"/>
                <w:sz w:val="18"/>
                <w:szCs w:val="18"/>
              </w:rPr>
            </w:pPr>
            <w:r>
              <w:rPr>
                <w:rFonts w:ascii="Arial Narrow" w:hAnsi="Arial Narrow" w:cs="Calibri"/>
                <w:color w:val="000000"/>
                <w:sz w:val="18"/>
                <w:szCs w:val="18"/>
              </w:rPr>
              <w:t>Justicia</w:t>
            </w:r>
          </w:p>
        </w:tc>
        <w:tc>
          <w:tcPr>
            <w:tcW w:w="1159" w:type="dxa"/>
            <w:tcBorders>
              <w:top w:val="single" w:sz="2" w:space="0" w:color="auto"/>
              <w:left w:val="nil"/>
              <w:bottom w:val="single" w:sz="4" w:space="0" w:color="auto"/>
              <w:right w:val="nil"/>
            </w:tcBorders>
            <w:shd w:val="clear" w:color="auto" w:fill="auto"/>
            <w:noWrap/>
            <w:vAlign w:val="center"/>
            <w:hideMark/>
          </w:tcPr>
          <w:p w14:paraId="1F3D192D"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612,78</w:t>
            </w:r>
          </w:p>
        </w:tc>
        <w:tc>
          <w:tcPr>
            <w:tcW w:w="1418" w:type="dxa"/>
            <w:tcBorders>
              <w:top w:val="single" w:sz="2" w:space="0" w:color="auto"/>
              <w:left w:val="nil"/>
              <w:bottom w:val="single" w:sz="4" w:space="0" w:color="auto"/>
              <w:right w:val="nil"/>
            </w:tcBorders>
            <w:shd w:val="clear" w:color="auto" w:fill="auto"/>
            <w:noWrap/>
            <w:vAlign w:val="center"/>
            <w:hideMark/>
          </w:tcPr>
          <w:p w14:paraId="05FB9F1B"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31,39</w:t>
            </w:r>
          </w:p>
        </w:tc>
        <w:tc>
          <w:tcPr>
            <w:tcW w:w="992" w:type="dxa"/>
            <w:tcBorders>
              <w:top w:val="single" w:sz="2" w:space="0" w:color="auto"/>
              <w:left w:val="nil"/>
              <w:bottom w:val="single" w:sz="4" w:space="0" w:color="auto"/>
              <w:right w:val="nil"/>
            </w:tcBorders>
            <w:shd w:val="clear" w:color="auto" w:fill="auto"/>
            <w:noWrap/>
            <w:vAlign w:val="center"/>
            <w:hideMark/>
          </w:tcPr>
          <w:p w14:paraId="2113746D"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17,55</w:t>
            </w:r>
          </w:p>
        </w:tc>
        <w:tc>
          <w:tcPr>
            <w:tcW w:w="1276" w:type="dxa"/>
            <w:tcBorders>
              <w:top w:val="single" w:sz="2" w:space="0" w:color="auto"/>
              <w:left w:val="nil"/>
              <w:bottom w:val="single" w:sz="4" w:space="0" w:color="auto"/>
              <w:right w:val="nil"/>
            </w:tcBorders>
            <w:shd w:val="clear" w:color="auto" w:fill="auto"/>
            <w:noWrap/>
            <w:vAlign w:val="center"/>
            <w:hideMark/>
          </w:tcPr>
          <w:p w14:paraId="0266341F"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48,94</w:t>
            </w:r>
          </w:p>
        </w:tc>
        <w:tc>
          <w:tcPr>
            <w:tcW w:w="992" w:type="dxa"/>
            <w:tcBorders>
              <w:top w:val="single" w:sz="2" w:space="0" w:color="auto"/>
              <w:left w:val="nil"/>
              <w:bottom w:val="single" w:sz="4" w:space="0" w:color="auto"/>
              <w:right w:val="nil"/>
            </w:tcBorders>
            <w:shd w:val="clear" w:color="auto" w:fill="auto"/>
            <w:noWrap/>
            <w:vAlign w:val="center"/>
            <w:hideMark/>
          </w:tcPr>
          <w:p w14:paraId="25EA376B" w14:textId="77777777" w:rsidR="00794089" w:rsidRDefault="00794089" w:rsidP="005C48AE">
            <w:pPr>
              <w:jc w:val="right"/>
              <w:rPr>
                <w:rFonts w:ascii="Arial Narrow" w:hAnsi="Arial Narrow" w:cs="Calibri"/>
                <w:color w:val="000000"/>
                <w:sz w:val="18"/>
                <w:szCs w:val="18"/>
              </w:rPr>
            </w:pPr>
            <w:r>
              <w:rPr>
                <w:rFonts w:ascii="Arial Narrow" w:hAnsi="Arial Narrow" w:cs="Calibri"/>
                <w:color w:val="000000"/>
                <w:sz w:val="18"/>
                <w:szCs w:val="18"/>
              </w:rPr>
              <w:t>5,12</w:t>
            </w:r>
          </w:p>
        </w:tc>
        <w:tc>
          <w:tcPr>
            <w:tcW w:w="851" w:type="dxa"/>
            <w:tcBorders>
              <w:top w:val="single" w:sz="2" w:space="0" w:color="auto"/>
              <w:left w:val="nil"/>
              <w:bottom w:val="single" w:sz="4" w:space="0" w:color="auto"/>
              <w:right w:val="nil"/>
            </w:tcBorders>
            <w:shd w:val="clear" w:color="auto" w:fill="auto"/>
            <w:noWrap/>
            <w:vAlign w:val="center"/>
            <w:hideMark/>
          </w:tcPr>
          <w:p w14:paraId="255CD985" w14:textId="77777777" w:rsidR="00794089" w:rsidRDefault="00794089" w:rsidP="005C48AE">
            <w:pPr>
              <w:jc w:val="right"/>
              <w:rPr>
                <w:rFonts w:ascii="Arial Narrow" w:hAnsi="Arial Narrow" w:cs="Calibri"/>
                <w:color w:val="000000"/>
                <w:sz w:val="18"/>
                <w:szCs w:val="18"/>
              </w:rPr>
            </w:pPr>
            <w:r>
              <w:rPr>
                <w:rFonts w:ascii="Arial Narrow" w:hAnsi="Arial Narrow" w:cs="Calibri"/>
                <w:color w:val="000000"/>
                <w:sz w:val="18"/>
                <w:szCs w:val="18"/>
              </w:rPr>
              <w:t>2,86</w:t>
            </w:r>
          </w:p>
        </w:tc>
        <w:tc>
          <w:tcPr>
            <w:tcW w:w="992" w:type="dxa"/>
            <w:tcBorders>
              <w:top w:val="single" w:sz="2" w:space="0" w:color="auto"/>
              <w:left w:val="nil"/>
              <w:bottom w:val="single" w:sz="4" w:space="0" w:color="auto"/>
              <w:right w:val="nil"/>
            </w:tcBorders>
            <w:shd w:val="clear" w:color="auto" w:fill="auto"/>
            <w:noWrap/>
            <w:vAlign w:val="center"/>
            <w:hideMark/>
          </w:tcPr>
          <w:p w14:paraId="76117F08" w14:textId="77777777" w:rsidR="00794089" w:rsidRDefault="00794089">
            <w:pPr>
              <w:jc w:val="right"/>
              <w:rPr>
                <w:rFonts w:ascii="Arial Narrow" w:hAnsi="Arial Narrow" w:cs="Calibri"/>
                <w:color w:val="000000"/>
                <w:sz w:val="18"/>
                <w:szCs w:val="18"/>
              </w:rPr>
            </w:pPr>
            <w:r>
              <w:rPr>
                <w:rFonts w:ascii="Arial Narrow" w:hAnsi="Arial Narrow" w:cs="Calibri"/>
                <w:color w:val="000000"/>
                <w:sz w:val="18"/>
                <w:szCs w:val="18"/>
              </w:rPr>
              <w:t>7,99</w:t>
            </w:r>
          </w:p>
        </w:tc>
      </w:tr>
      <w:tr w:rsidR="00CE22CD" w14:paraId="5B27F3C6" w14:textId="77777777" w:rsidTr="005C48AE">
        <w:trPr>
          <w:trHeight w:val="255"/>
        </w:trPr>
        <w:tc>
          <w:tcPr>
            <w:tcW w:w="0" w:type="auto"/>
            <w:tcBorders>
              <w:top w:val="single" w:sz="4" w:space="0" w:color="auto"/>
              <w:left w:val="nil"/>
              <w:bottom w:val="single" w:sz="4" w:space="0" w:color="auto"/>
              <w:right w:val="nil"/>
            </w:tcBorders>
            <w:shd w:val="clear" w:color="000000" w:fill="8DB3E2"/>
            <w:noWrap/>
            <w:vAlign w:val="center"/>
            <w:hideMark/>
          </w:tcPr>
          <w:p w14:paraId="68F5313B" w14:textId="77777777" w:rsidR="00794089" w:rsidRDefault="00794089">
            <w:pPr>
              <w:rPr>
                <w:rFonts w:ascii="Arial" w:hAnsi="Arial" w:cs="Arial"/>
                <w:color w:val="000000"/>
                <w:sz w:val="18"/>
                <w:szCs w:val="18"/>
              </w:rPr>
            </w:pPr>
            <w:r>
              <w:rPr>
                <w:rFonts w:ascii="Arial" w:hAnsi="Arial" w:cs="Arial"/>
                <w:color w:val="000000"/>
                <w:sz w:val="18"/>
                <w:szCs w:val="18"/>
              </w:rPr>
              <w:t xml:space="preserve">Total </w:t>
            </w:r>
          </w:p>
        </w:tc>
        <w:tc>
          <w:tcPr>
            <w:tcW w:w="1159" w:type="dxa"/>
            <w:tcBorders>
              <w:top w:val="single" w:sz="4" w:space="0" w:color="auto"/>
              <w:left w:val="nil"/>
              <w:bottom w:val="single" w:sz="4" w:space="0" w:color="auto"/>
              <w:right w:val="nil"/>
            </w:tcBorders>
            <w:shd w:val="clear" w:color="000000" w:fill="8DB3E2"/>
            <w:vAlign w:val="center"/>
            <w:hideMark/>
          </w:tcPr>
          <w:p w14:paraId="216E9BDF" w14:textId="77777777" w:rsidR="00794089" w:rsidRDefault="00794089" w:rsidP="005934EE">
            <w:pPr>
              <w:jc w:val="right"/>
              <w:rPr>
                <w:rFonts w:ascii="Arial" w:hAnsi="Arial" w:cs="Arial"/>
                <w:color w:val="000000"/>
                <w:sz w:val="18"/>
                <w:szCs w:val="18"/>
              </w:rPr>
            </w:pPr>
            <w:r>
              <w:rPr>
                <w:rFonts w:ascii="Arial" w:hAnsi="Arial" w:cs="Arial"/>
                <w:color w:val="000000"/>
                <w:sz w:val="18"/>
                <w:szCs w:val="18"/>
              </w:rPr>
              <w:t>30.12</w:t>
            </w:r>
            <w:r w:rsidR="005934EE">
              <w:rPr>
                <w:rFonts w:ascii="Arial" w:hAnsi="Arial" w:cs="Arial"/>
                <w:color w:val="000000"/>
                <w:sz w:val="18"/>
                <w:szCs w:val="18"/>
              </w:rPr>
              <w:t>6,59</w:t>
            </w:r>
          </w:p>
        </w:tc>
        <w:tc>
          <w:tcPr>
            <w:tcW w:w="1418" w:type="dxa"/>
            <w:tcBorders>
              <w:top w:val="single" w:sz="4" w:space="0" w:color="auto"/>
              <w:left w:val="nil"/>
              <w:bottom w:val="single" w:sz="4" w:space="0" w:color="auto"/>
              <w:right w:val="nil"/>
            </w:tcBorders>
            <w:shd w:val="clear" w:color="000000" w:fill="8DB3E2"/>
            <w:vAlign w:val="center"/>
            <w:hideMark/>
          </w:tcPr>
          <w:p w14:paraId="2B5E8205" w14:textId="77777777" w:rsidR="00794089" w:rsidRDefault="00794089">
            <w:pPr>
              <w:jc w:val="right"/>
              <w:rPr>
                <w:rFonts w:ascii="Arial" w:hAnsi="Arial" w:cs="Arial"/>
                <w:color w:val="000000"/>
                <w:sz w:val="18"/>
                <w:szCs w:val="18"/>
              </w:rPr>
            </w:pPr>
            <w:r>
              <w:rPr>
                <w:rFonts w:ascii="Arial" w:hAnsi="Arial" w:cs="Arial"/>
                <w:color w:val="000000"/>
                <w:sz w:val="18"/>
                <w:szCs w:val="18"/>
              </w:rPr>
              <w:t>1.750,20</w:t>
            </w:r>
          </w:p>
        </w:tc>
        <w:tc>
          <w:tcPr>
            <w:tcW w:w="992" w:type="dxa"/>
            <w:tcBorders>
              <w:top w:val="single" w:sz="4" w:space="0" w:color="auto"/>
              <w:left w:val="nil"/>
              <w:bottom w:val="single" w:sz="4" w:space="0" w:color="auto"/>
              <w:right w:val="nil"/>
            </w:tcBorders>
            <w:shd w:val="clear" w:color="000000" w:fill="8DB3E2"/>
            <w:vAlign w:val="center"/>
            <w:hideMark/>
          </w:tcPr>
          <w:p w14:paraId="63AEC2A5" w14:textId="77777777" w:rsidR="00794089" w:rsidRDefault="00794089">
            <w:pPr>
              <w:jc w:val="right"/>
              <w:rPr>
                <w:rFonts w:ascii="Arial" w:hAnsi="Arial" w:cs="Arial"/>
                <w:color w:val="000000"/>
                <w:sz w:val="18"/>
                <w:szCs w:val="18"/>
              </w:rPr>
            </w:pPr>
            <w:r>
              <w:rPr>
                <w:rFonts w:ascii="Arial" w:hAnsi="Arial" w:cs="Arial"/>
                <w:color w:val="000000"/>
                <w:sz w:val="18"/>
                <w:szCs w:val="18"/>
              </w:rPr>
              <w:t>889,76</w:t>
            </w:r>
          </w:p>
        </w:tc>
        <w:tc>
          <w:tcPr>
            <w:tcW w:w="1276" w:type="dxa"/>
            <w:tcBorders>
              <w:top w:val="single" w:sz="4" w:space="0" w:color="auto"/>
              <w:left w:val="nil"/>
              <w:bottom w:val="single" w:sz="4" w:space="0" w:color="auto"/>
              <w:right w:val="nil"/>
            </w:tcBorders>
            <w:shd w:val="clear" w:color="000000" w:fill="8DB3E2"/>
            <w:vAlign w:val="center"/>
            <w:hideMark/>
          </w:tcPr>
          <w:p w14:paraId="426E230F" w14:textId="77777777" w:rsidR="00794089" w:rsidRDefault="00794089">
            <w:pPr>
              <w:jc w:val="right"/>
              <w:rPr>
                <w:rFonts w:ascii="Arial" w:hAnsi="Arial" w:cs="Arial"/>
                <w:color w:val="000000"/>
                <w:sz w:val="18"/>
                <w:szCs w:val="18"/>
              </w:rPr>
            </w:pPr>
            <w:r>
              <w:rPr>
                <w:rFonts w:ascii="Arial" w:hAnsi="Arial" w:cs="Arial"/>
                <w:color w:val="000000"/>
                <w:sz w:val="18"/>
                <w:szCs w:val="18"/>
              </w:rPr>
              <w:t>2.639,96</w:t>
            </w:r>
          </w:p>
        </w:tc>
        <w:tc>
          <w:tcPr>
            <w:tcW w:w="992" w:type="dxa"/>
            <w:tcBorders>
              <w:top w:val="single" w:sz="4" w:space="0" w:color="auto"/>
              <w:left w:val="nil"/>
              <w:bottom w:val="single" w:sz="4" w:space="0" w:color="auto"/>
              <w:right w:val="nil"/>
            </w:tcBorders>
            <w:shd w:val="clear" w:color="000000" w:fill="8DB3E2"/>
            <w:vAlign w:val="center"/>
            <w:hideMark/>
          </w:tcPr>
          <w:p w14:paraId="1643DE9A" w14:textId="77777777" w:rsidR="00794089" w:rsidRDefault="00794089" w:rsidP="005C48AE">
            <w:pPr>
              <w:jc w:val="right"/>
              <w:rPr>
                <w:rFonts w:ascii="Arial" w:hAnsi="Arial" w:cs="Arial"/>
                <w:color w:val="000000"/>
                <w:sz w:val="18"/>
                <w:szCs w:val="18"/>
              </w:rPr>
            </w:pPr>
            <w:r>
              <w:rPr>
                <w:rFonts w:ascii="Arial" w:hAnsi="Arial" w:cs="Arial"/>
                <w:color w:val="000000"/>
                <w:sz w:val="18"/>
                <w:szCs w:val="18"/>
              </w:rPr>
              <w:t>5,81</w:t>
            </w:r>
          </w:p>
        </w:tc>
        <w:tc>
          <w:tcPr>
            <w:tcW w:w="851" w:type="dxa"/>
            <w:tcBorders>
              <w:top w:val="single" w:sz="4" w:space="0" w:color="auto"/>
              <w:left w:val="nil"/>
              <w:bottom w:val="single" w:sz="4" w:space="0" w:color="auto"/>
              <w:right w:val="nil"/>
            </w:tcBorders>
            <w:shd w:val="clear" w:color="000000" w:fill="8DB3E2"/>
            <w:vAlign w:val="center"/>
            <w:hideMark/>
          </w:tcPr>
          <w:p w14:paraId="44BF7FDA" w14:textId="77777777" w:rsidR="00794089" w:rsidRDefault="00794089" w:rsidP="005C48AE">
            <w:pPr>
              <w:jc w:val="right"/>
              <w:rPr>
                <w:rFonts w:ascii="Arial" w:hAnsi="Arial" w:cs="Arial"/>
                <w:color w:val="000000"/>
                <w:sz w:val="18"/>
                <w:szCs w:val="18"/>
              </w:rPr>
            </w:pPr>
            <w:r>
              <w:rPr>
                <w:rFonts w:ascii="Arial" w:hAnsi="Arial" w:cs="Arial"/>
                <w:color w:val="000000"/>
                <w:sz w:val="18"/>
                <w:szCs w:val="18"/>
              </w:rPr>
              <w:t>2,95</w:t>
            </w:r>
          </w:p>
        </w:tc>
        <w:tc>
          <w:tcPr>
            <w:tcW w:w="992" w:type="dxa"/>
            <w:tcBorders>
              <w:top w:val="single" w:sz="4" w:space="0" w:color="auto"/>
              <w:left w:val="nil"/>
              <w:bottom w:val="single" w:sz="4" w:space="0" w:color="auto"/>
              <w:right w:val="nil"/>
            </w:tcBorders>
            <w:shd w:val="clear" w:color="000000" w:fill="8DB3E2"/>
            <w:vAlign w:val="center"/>
            <w:hideMark/>
          </w:tcPr>
          <w:p w14:paraId="0198BA19" w14:textId="77777777" w:rsidR="00794089" w:rsidRDefault="00794089">
            <w:pPr>
              <w:jc w:val="right"/>
              <w:rPr>
                <w:rFonts w:ascii="Arial" w:hAnsi="Arial" w:cs="Arial"/>
                <w:color w:val="000000"/>
                <w:sz w:val="18"/>
                <w:szCs w:val="18"/>
              </w:rPr>
            </w:pPr>
            <w:r>
              <w:rPr>
                <w:rFonts w:ascii="Arial" w:hAnsi="Arial" w:cs="Arial"/>
                <w:color w:val="000000"/>
                <w:sz w:val="18"/>
                <w:szCs w:val="18"/>
              </w:rPr>
              <w:t>8,76</w:t>
            </w:r>
          </w:p>
        </w:tc>
      </w:tr>
    </w:tbl>
    <w:p w14:paraId="26BFD098" w14:textId="77777777" w:rsidR="00757E45" w:rsidRDefault="00C97896" w:rsidP="00FE27FF">
      <w:pPr>
        <w:pStyle w:val="texto"/>
        <w:spacing w:before="240" w:after="120"/>
        <w:jc w:val="both"/>
      </w:pPr>
      <w:r>
        <w:t xml:space="preserve">La ausencia del personal </w:t>
      </w:r>
      <w:r w:rsidR="00CE22CD">
        <w:t xml:space="preserve">en </w:t>
      </w:r>
      <w:proofErr w:type="gramStart"/>
      <w:r w:rsidR="00CE22CD">
        <w:t>2023,</w:t>
      </w:r>
      <w:proofErr w:type="gramEnd"/>
      <w:r w:rsidR="00CE22CD">
        <w:t xml:space="preserve"> fue de 2.639,96 personas equivalentes. El 66,3 por ciento (1.750,2 personas) se debe a causas médicas y el 33,7 por ciento (889,76 personas) a otros motivos. Resulta una tasa de </w:t>
      </w:r>
      <w:r>
        <w:t xml:space="preserve">ausencia de personal </w:t>
      </w:r>
      <w:r w:rsidR="00CE22CD">
        <w:t>tot</w:t>
      </w:r>
      <w:r w:rsidR="00120F0D">
        <w:t>a</w:t>
      </w:r>
      <w:r w:rsidR="00CE22CD">
        <w:t xml:space="preserve">l del 8,76 por ciento, es decir, en 2023 faltaron al trabajo 8,76 personas de cada 100 personas contratadas (fijas o temporales). </w:t>
      </w:r>
      <w:r w:rsidR="00757E45">
        <w:t xml:space="preserve"> </w:t>
      </w:r>
      <w:r w:rsidR="00CE22CD">
        <w:t xml:space="preserve">La tasa se desglosa en 5,81 por motivos sanitarios, y el resto, 2,95 por otras causas. </w:t>
      </w:r>
    </w:p>
    <w:p w14:paraId="27B2181C" w14:textId="77777777" w:rsidR="00794089" w:rsidRDefault="00CE22CD" w:rsidP="002D15F8">
      <w:pPr>
        <w:pStyle w:val="texto"/>
        <w:spacing w:after="120"/>
        <w:jc w:val="both"/>
      </w:pPr>
      <w:r>
        <w:t xml:space="preserve">Por estamentos, el colectivo de Policías es el que presenta mayor tasa de </w:t>
      </w:r>
      <w:r w:rsidR="00D77F97">
        <w:t>ausencia</w:t>
      </w:r>
      <w:r>
        <w:t xml:space="preserve">, tanto por causas sanitarias, como en resto de causas. Por otra parte, la menor tasa de </w:t>
      </w:r>
      <w:r w:rsidR="00D77F97">
        <w:t>ausencia</w:t>
      </w:r>
      <w:r>
        <w:t xml:space="preserve"> la presentan los eventuales y los bomberos. </w:t>
      </w:r>
    </w:p>
    <w:p w14:paraId="7653A92F" w14:textId="77777777" w:rsidR="00830D6B" w:rsidRDefault="00830D6B">
      <w:pPr>
        <w:rPr>
          <w:spacing w:val="6"/>
          <w:sz w:val="26"/>
        </w:rPr>
      </w:pPr>
      <w:r>
        <w:br w:type="page"/>
      </w:r>
    </w:p>
    <w:p w14:paraId="028E6710" w14:textId="77777777" w:rsidR="00C97896" w:rsidRDefault="00F36FA3" w:rsidP="00424743">
      <w:pPr>
        <w:pStyle w:val="texto"/>
        <w:spacing w:after="240"/>
        <w:jc w:val="both"/>
      </w:pPr>
      <w:r>
        <w:lastRenderedPageBreak/>
        <w:t xml:space="preserve">Para contextualizar los datos obtenidos en 2023, </w:t>
      </w:r>
      <w:r w:rsidR="0060542B">
        <w:t>hemos analizado los datos en el periodo 2018-2023 y en el siguiente cuadro, reflejamos la variación que</w:t>
      </w:r>
      <w:r w:rsidR="00C97896">
        <w:t xml:space="preserve"> ha existido entre 2018 y 2023:</w:t>
      </w:r>
    </w:p>
    <w:tbl>
      <w:tblPr>
        <w:tblW w:w="0" w:type="auto"/>
        <w:tblCellMar>
          <w:left w:w="70" w:type="dxa"/>
          <w:right w:w="70" w:type="dxa"/>
        </w:tblCellMar>
        <w:tblLook w:val="04A0" w:firstRow="1" w:lastRow="0" w:firstColumn="1" w:lastColumn="0" w:noHBand="0" w:noVBand="1"/>
      </w:tblPr>
      <w:tblGrid>
        <w:gridCol w:w="4408"/>
        <w:gridCol w:w="1222"/>
        <w:gridCol w:w="1276"/>
        <w:gridCol w:w="1883"/>
      </w:tblGrid>
      <w:tr w:rsidR="00C97896" w:rsidRPr="0044109D" w14:paraId="61676A4D" w14:textId="77777777" w:rsidTr="0044109D">
        <w:trPr>
          <w:trHeight w:val="255"/>
        </w:trPr>
        <w:tc>
          <w:tcPr>
            <w:tcW w:w="0" w:type="auto"/>
            <w:tcBorders>
              <w:top w:val="single" w:sz="4" w:space="0" w:color="auto"/>
              <w:left w:val="nil"/>
              <w:bottom w:val="single" w:sz="4" w:space="0" w:color="auto"/>
              <w:right w:val="nil"/>
            </w:tcBorders>
            <w:shd w:val="clear" w:color="000000" w:fill="8DB3E2"/>
            <w:vAlign w:val="center"/>
            <w:hideMark/>
          </w:tcPr>
          <w:p w14:paraId="2C149560" w14:textId="77777777" w:rsidR="00C97896" w:rsidRPr="0044109D" w:rsidRDefault="00C97896">
            <w:pPr>
              <w:rPr>
                <w:rFonts w:ascii="Arial" w:hAnsi="Arial" w:cs="Arial"/>
                <w:sz w:val="18"/>
                <w:szCs w:val="18"/>
              </w:rPr>
            </w:pPr>
            <w:r w:rsidRPr="0044109D">
              <w:rPr>
                <w:rFonts w:ascii="Arial" w:hAnsi="Arial" w:cs="Arial"/>
                <w:sz w:val="18"/>
                <w:szCs w:val="18"/>
              </w:rPr>
              <w:t> </w:t>
            </w:r>
          </w:p>
        </w:tc>
        <w:tc>
          <w:tcPr>
            <w:tcW w:w="1222" w:type="dxa"/>
            <w:tcBorders>
              <w:top w:val="single" w:sz="4" w:space="0" w:color="auto"/>
              <w:left w:val="nil"/>
              <w:bottom w:val="single" w:sz="4" w:space="0" w:color="auto"/>
              <w:right w:val="nil"/>
            </w:tcBorders>
            <w:shd w:val="clear" w:color="000000" w:fill="8DB3E2"/>
            <w:vAlign w:val="center"/>
            <w:hideMark/>
          </w:tcPr>
          <w:p w14:paraId="2CB33F12" w14:textId="77777777" w:rsidR="00C97896" w:rsidRPr="0044109D" w:rsidRDefault="00C97896">
            <w:pPr>
              <w:jc w:val="right"/>
              <w:rPr>
                <w:rFonts w:ascii="Arial" w:hAnsi="Arial" w:cs="Arial"/>
                <w:sz w:val="18"/>
                <w:szCs w:val="18"/>
              </w:rPr>
            </w:pPr>
            <w:r w:rsidRPr="0044109D">
              <w:rPr>
                <w:rFonts w:ascii="Arial" w:hAnsi="Arial" w:cs="Arial"/>
                <w:sz w:val="18"/>
                <w:szCs w:val="18"/>
              </w:rPr>
              <w:t>2018</w:t>
            </w:r>
          </w:p>
        </w:tc>
        <w:tc>
          <w:tcPr>
            <w:tcW w:w="1276" w:type="dxa"/>
            <w:tcBorders>
              <w:top w:val="single" w:sz="4" w:space="0" w:color="auto"/>
              <w:left w:val="nil"/>
              <w:bottom w:val="single" w:sz="4" w:space="0" w:color="auto"/>
              <w:right w:val="nil"/>
            </w:tcBorders>
            <w:shd w:val="clear" w:color="000000" w:fill="8DB3E2"/>
            <w:vAlign w:val="center"/>
            <w:hideMark/>
          </w:tcPr>
          <w:p w14:paraId="7387730C" w14:textId="77777777" w:rsidR="00C97896" w:rsidRPr="0044109D" w:rsidRDefault="00660EA4" w:rsidP="00660EA4">
            <w:pPr>
              <w:jc w:val="right"/>
              <w:rPr>
                <w:rFonts w:ascii="Arial" w:hAnsi="Arial" w:cs="Arial"/>
                <w:sz w:val="18"/>
                <w:szCs w:val="18"/>
              </w:rPr>
            </w:pPr>
            <w:r w:rsidRPr="0044109D">
              <w:rPr>
                <w:rFonts w:ascii="Arial" w:hAnsi="Arial" w:cs="Arial"/>
                <w:sz w:val="18"/>
                <w:szCs w:val="18"/>
              </w:rPr>
              <w:t>2023</w:t>
            </w:r>
          </w:p>
        </w:tc>
        <w:tc>
          <w:tcPr>
            <w:tcW w:w="1883" w:type="dxa"/>
            <w:tcBorders>
              <w:top w:val="single" w:sz="4" w:space="0" w:color="auto"/>
              <w:left w:val="nil"/>
              <w:bottom w:val="single" w:sz="4" w:space="0" w:color="auto"/>
              <w:right w:val="nil"/>
            </w:tcBorders>
            <w:shd w:val="clear" w:color="000000" w:fill="8DB3E2"/>
            <w:vAlign w:val="center"/>
            <w:hideMark/>
          </w:tcPr>
          <w:p w14:paraId="2E558793" w14:textId="77777777" w:rsidR="00FE27FF" w:rsidRPr="0044109D" w:rsidRDefault="00C97896">
            <w:pPr>
              <w:jc w:val="right"/>
              <w:rPr>
                <w:rFonts w:ascii="Arial" w:hAnsi="Arial" w:cs="Arial"/>
                <w:sz w:val="18"/>
                <w:szCs w:val="18"/>
              </w:rPr>
            </w:pPr>
            <w:r w:rsidRPr="0044109D">
              <w:rPr>
                <w:rFonts w:ascii="Arial" w:hAnsi="Arial" w:cs="Arial"/>
                <w:sz w:val="18"/>
                <w:szCs w:val="18"/>
              </w:rPr>
              <w:t xml:space="preserve">% variación </w:t>
            </w:r>
          </w:p>
          <w:p w14:paraId="223EE1C1" w14:textId="77777777" w:rsidR="00C97896" w:rsidRPr="0044109D" w:rsidRDefault="00C97896">
            <w:pPr>
              <w:jc w:val="right"/>
              <w:rPr>
                <w:rFonts w:ascii="Arial" w:hAnsi="Arial" w:cs="Arial"/>
                <w:sz w:val="18"/>
                <w:szCs w:val="18"/>
              </w:rPr>
            </w:pPr>
            <w:r w:rsidRPr="0044109D">
              <w:rPr>
                <w:rFonts w:ascii="Arial" w:hAnsi="Arial" w:cs="Arial"/>
                <w:sz w:val="18"/>
                <w:szCs w:val="18"/>
              </w:rPr>
              <w:t>2023/2018</w:t>
            </w:r>
          </w:p>
        </w:tc>
      </w:tr>
      <w:tr w:rsidR="00C97896" w:rsidRPr="00FE27FF" w14:paraId="78CA448B" w14:textId="77777777" w:rsidTr="0044109D">
        <w:trPr>
          <w:trHeight w:val="198"/>
        </w:trPr>
        <w:tc>
          <w:tcPr>
            <w:tcW w:w="0" w:type="auto"/>
            <w:tcBorders>
              <w:top w:val="single" w:sz="4" w:space="0" w:color="auto"/>
              <w:left w:val="nil"/>
              <w:bottom w:val="single" w:sz="2" w:space="0" w:color="auto"/>
              <w:right w:val="nil"/>
            </w:tcBorders>
            <w:shd w:val="clear" w:color="auto" w:fill="auto"/>
            <w:vAlign w:val="center"/>
            <w:hideMark/>
          </w:tcPr>
          <w:p w14:paraId="5765E6DC" w14:textId="77777777" w:rsidR="00C97896" w:rsidRPr="00FE27FF" w:rsidRDefault="00C97896">
            <w:pPr>
              <w:rPr>
                <w:rFonts w:ascii="Arial Narrow" w:hAnsi="Arial Narrow" w:cs="Calibri"/>
                <w:sz w:val="20"/>
                <w:szCs w:val="20"/>
              </w:rPr>
            </w:pPr>
            <w:r w:rsidRPr="00FE27FF">
              <w:rPr>
                <w:rFonts w:ascii="Arial Narrow" w:hAnsi="Arial Narrow" w:cs="Calibri"/>
                <w:sz w:val="20"/>
                <w:szCs w:val="20"/>
              </w:rPr>
              <w:t>Ocupación</w:t>
            </w:r>
          </w:p>
        </w:tc>
        <w:tc>
          <w:tcPr>
            <w:tcW w:w="1222" w:type="dxa"/>
            <w:tcBorders>
              <w:top w:val="single" w:sz="4" w:space="0" w:color="auto"/>
              <w:left w:val="nil"/>
              <w:bottom w:val="single" w:sz="2" w:space="0" w:color="auto"/>
              <w:right w:val="nil"/>
            </w:tcBorders>
            <w:shd w:val="clear" w:color="auto" w:fill="auto"/>
            <w:noWrap/>
            <w:vAlign w:val="bottom"/>
            <w:hideMark/>
          </w:tcPr>
          <w:p w14:paraId="7B566C6C" w14:textId="77777777" w:rsidR="00C97896" w:rsidRPr="00FE27FF" w:rsidRDefault="00C97896">
            <w:pPr>
              <w:jc w:val="right"/>
              <w:rPr>
                <w:rFonts w:ascii="Arial Narrow" w:hAnsi="Arial Narrow" w:cs="Calibri"/>
                <w:sz w:val="20"/>
                <w:szCs w:val="20"/>
              </w:rPr>
            </w:pPr>
            <w:r w:rsidRPr="00FE27FF">
              <w:rPr>
                <w:rFonts w:ascii="Arial Narrow" w:hAnsi="Arial Narrow" w:cs="Calibri"/>
                <w:sz w:val="20"/>
                <w:szCs w:val="20"/>
              </w:rPr>
              <w:t>26.036,93</w:t>
            </w:r>
          </w:p>
        </w:tc>
        <w:tc>
          <w:tcPr>
            <w:tcW w:w="1276" w:type="dxa"/>
            <w:tcBorders>
              <w:top w:val="single" w:sz="4" w:space="0" w:color="auto"/>
              <w:left w:val="nil"/>
              <w:bottom w:val="single" w:sz="2" w:space="0" w:color="auto"/>
              <w:right w:val="nil"/>
            </w:tcBorders>
            <w:shd w:val="clear" w:color="auto" w:fill="auto"/>
            <w:noWrap/>
            <w:vAlign w:val="bottom"/>
            <w:hideMark/>
          </w:tcPr>
          <w:p w14:paraId="3D8A57A8" w14:textId="77777777" w:rsidR="00C97896" w:rsidRPr="00FE27FF" w:rsidRDefault="00C97896">
            <w:pPr>
              <w:jc w:val="right"/>
              <w:rPr>
                <w:rFonts w:ascii="Arial Narrow" w:hAnsi="Arial Narrow" w:cs="Calibri"/>
                <w:sz w:val="20"/>
                <w:szCs w:val="20"/>
              </w:rPr>
            </w:pPr>
            <w:r w:rsidRPr="00FE27FF">
              <w:rPr>
                <w:rFonts w:ascii="Arial Narrow" w:hAnsi="Arial Narrow" w:cs="Calibri"/>
                <w:sz w:val="20"/>
                <w:szCs w:val="20"/>
              </w:rPr>
              <w:t>30.126,59</w:t>
            </w:r>
          </w:p>
        </w:tc>
        <w:tc>
          <w:tcPr>
            <w:tcW w:w="1883" w:type="dxa"/>
            <w:tcBorders>
              <w:top w:val="single" w:sz="4" w:space="0" w:color="auto"/>
              <w:left w:val="nil"/>
              <w:bottom w:val="single" w:sz="2" w:space="0" w:color="auto"/>
              <w:right w:val="nil"/>
            </w:tcBorders>
            <w:shd w:val="clear" w:color="auto" w:fill="auto"/>
            <w:vAlign w:val="center"/>
            <w:hideMark/>
          </w:tcPr>
          <w:p w14:paraId="7F519B93" w14:textId="77777777" w:rsidR="00C97896" w:rsidRPr="00FE27FF" w:rsidRDefault="00C97896">
            <w:pPr>
              <w:jc w:val="right"/>
              <w:rPr>
                <w:rFonts w:ascii="Arial Narrow" w:hAnsi="Arial Narrow" w:cs="Calibri"/>
                <w:sz w:val="20"/>
                <w:szCs w:val="20"/>
              </w:rPr>
            </w:pPr>
            <w:r w:rsidRPr="00FE27FF">
              <w:rPr>
                <w:rFonts w:ascii="Arial Narrow" w:hAnsi="Arial Narrow" w:cs="Calibri"/>
                <w:sz w:val="20"/>
                <w:szCs w:val="20"/>
              </w:rPr>
              <w:t>15,71</w:t>
            </w:r>
          </w:p>
        </w:tc>
      </w:tr>
      <w:tr w:rsidR="00C97896" w:rsidRPr="00FE27FF" w14:paraId="6C5D7149" w14:textId="77777777" w:rsidTr="0044109D">
        <w:trPr>
          <w:trHeight w:val="198"/>
        </w:trPr>
        <w:tc>
          <w:tcPr>
            <w:tcW w:w="0" w:type="auto"/>
            <w:tcBorders>
              <w:top w:val="single" w:sz="2" w:space="0" w:color="auto"/>
              <w:left w:val="nil"/>
              <w:bottom w:val="single" w:sz="2" w:space="0" w:color="auto"/>
              <w:right w:val="nil"/>
            </w:tcBorders>
            <w:shd w:val="clear" w:color="auto" w:fill="auto"/>
            <w:vAlign w:val="center"/>
            <w:hideMark/>
          </w:tcPr>
          <w:p w14:paraId="02B4894D" w14:textId="77777777" w:rsidR="00C97896" w:rsidRPr="00FE27FF" w:rsidRDefault="00D77F97">
            <w:pPr>
              <w:rPr>
                <w:rFonts w:ascii="Arial Narrow" w:hAnsi="Arial Narrow" w:cs="Calibri"/>
                <w:sz w:val="20"/>
                <w:szCs w:val="20"/>
              </w:rPr>
            </w:pPr>
            <w:r w:rsidRPr="00FE27FF">
              <w:rPr>
                <w:rFonts w:ascii="Arial Narrow" w:hAnsi="Arial Narrow" w:cs="Calibri"/>
                <w:sz w:val="20"/>
                <w:szCs w:val="20"/>
              </w:rPr>
              <w:t>Ausencia</w:t>
            </w:r>
            <w:r w:rsidR="00C97896" w:rsidRPr="00FE27FF">
              <w:rPr>
                <w:rFonts w:ascii="Arial Narrow" w:hAnsi="Arial Narrow" w:cs="Calibri"/>
                <w:sz w:val="20"/>
                <w:szCs w:val="20"/>
              </w:rPr>
              <w:t xml:space="preserve"> por incapacidad/ enfermedad profesional</w:t>
            </w:r>
          </w:p>
        </w:tc>
        <w:tc>
          <w:tcPr>
            <w:tcW w:w="1222" w:type="dxa"/>
            <w:tcBorders>
              <w:top w:val="single" w:sz="2" w:space="0" w:color="auto"/>
              <w:left w:val="nil"/>
              <w:bottom w:val="single" w:sz="2" w:space="0" w:color="auto"/>
              <w:right w:val="nil"/>
            </w:tcBorders>
            <w:shd w:val="clear" w:color="auto" w:fill="auto"/>
            <w:noWrap/>
            <w:vAlign w:val="bottom"/>
            <w:hideMark/>
          </w:tcPr>
          <w:p w14:paraId="63040BBD" w14:textId="77777777" w:rsidR="00C97896" w:rsidRPr="00FE27FF" w:rsidRDefault="00C97896">
            <w:pPr>
              <w:jc w:val="right"/>
              <w:rPr>
                <w:rFonts w:ascii="Arial Narrow" w:hAnsi="Arial Narrow" w:cs="Calibri"/>
                <w:sz w:val="20"/>
                <w:szCs w:val="20"/>
              </w:rPr>
            </w:pPr>
            <w:r w:rsidRPr="00FE27FF">
              <w:rPr>
                <w:rFonts w:ascii="Arial Narrow" w:hAnsi="Arial Narrow" w:cs="Calibri"/>
                <w:sz w:val="20"/>
                <w:szCs w:val="20"/>
              </w:rPr>
              <w:t>1.359,23</w:t>
            </w:r>
          </w:p>
        </w:tc>
        <w:tc>
          <w:tcPr>
            <w:tcW w:w="1276" w:type="dxa"/>
            <w:tcBorders>
              <w:top w:val="single" w:sz="2" w:space="0" w:color="auto"/>
              <w:left w:val="nil"/>
              <w:bottom w:val="single" w:sz="2" w:space="0" w:color="auto"/>
              <w:right w:val="nil"/>
            </w:tcBorders>
            <w:shd w:val="clear" w:color="auto" w:fill="auto"/>
            <w:noWrap/>
            <w:vAlign w:val="bottom"/>
            <w:hideMark/>
          </w:tcPr>
          <w:p w14:paraId="2D43376B" w14:textId="77777777" w:rsidR="00C97896" w:rsidRPr="00FE27FF" w:rsidRDefault="00C97896">
            <w:pPr>
              <w:jc w:val="right"/>
              <w:rPr>
                <w:rFonts w:ascii="Arial Narrow" w:hAnsi="Arial Narrow" w:cs="Calibri"/>
                <w:sz w:val="20"/>
                <w:szCs w:val="20"/>
              </w:rPr>
            </w:pPr>
            <w:r w:rsidRPr="00FE27FF">
              <w:rPr>
                <w:rFonts w:ascii="Arial Narrow" w:hAnsi="Arial Narrow" w:cs="Calibri"/>
                <w:sz w:val="20"/>
                <w:szCs w:val="20"/>
              </w:rPr>
              <w:t>1.750,20</w:t>
            </w:r>
          </w:p>
        </w:tc>
        <w:tc>
          <w:tcPr>
            <w:tcW w:w="1883" w:type="dxa"/>
            <w:tcBorders>
              <w:top w:val="single" w:sz="2" w:space="0" w:color="auto"/>
              <w:left w:val="nil"/>
              <w:bottom w:val="single" w:sz="2" w:space="0" w:color="auto"/>
              <w:right w:val="nil"/>
            </w:tcBorders>
            <w:shd w:val="clear" w:color="auto" w:fill="auto"/>
            <w:vAlign w:val="center"/>
            <w:hideMark/>
          </w:tcPr>
          <w:p w14:paraId="06B1C19E" w14:textId="77777777" w:rsidR="00C97896" w:rsidRPr="00FE27FF" w:rsidRDefault="00C97896">
            <w:pPr>
              <w:jc w:val="right"/>
              <w:rPr>
                <w:rFonts w:ascii="Arial Narrow" w:hAnsi="Arial Narrow" w:cs="Calibri"/>
                <w:sz w:val="20"/>
                <w:szCs w:val="20"/>
              </w:rPr>
            </w:pPr>
            <w:r w:rsidRPr="00FE27FF">
              <w:rPr>
                <w:rFonts w:ascii="Arial Narrow" w:hAnsi="Arial Narrow" w:cs="Calibri"/>
                <w:sz w:val="20"/>
                <w:szCs w:val="20"/>
              </w:rPr>
              <w:t>28,76</w:t>
            </w:r>
          </w:p>
        </w:tc>
      </w:tr>
      <w:tr w:rsidR="00C97896" w:rsidRPr="00FE27FF" w14:paraId="4A16B581" w14:textId="77777777" w:rsidTr="0044109D">
        <w:trPr>
          <w:trHeight w:val="198"/>
        </w:trPr>
        <w:tc>
          <w:tcPr>
            <w:tcW w:w="0" w:type="auto"/>
            <w:tcBorders>
              <w:top w:val="single" w:sz="2" w:space="0" w:color="auto"/>
              <w:left w:val="nil"/>
              <w:bottom w:val="single" w:sz="2" w:space="0" w:color="auto"/>
              <w:right w:val="nil"/>
            </w:tcBorders>
            <w:shd w:val="clear" w:color="auto" w:fill="auto"/>
            <w:vAlign w:val="center"/>
            <w:hideMark/>
          </w:tcPr>
          <w:p w14:paraId="57CFE1C6" w14:textId="77777777" w:rsidR="00C97896" w:rsidRPr="00FE27FF" w:rsidRDefault="00D77F97">
            <w:pPr>
              <w:rPr>
                <w:rFonts w:ascii="Arial Narrow" w:hAnsi="Arial Narrow" w:cs="Calibri"/>
                <w:sz w:val="20"/>
                <w:szCs w:val="20"/>
              </w:rPr>
            </w:pPr>
            <w:r w:rsidRPr="00FE27FF">
              <w:rPr>
                <w:rFonts w:ascii="Arial Narrow" w:hAnsi="Arial Narrow" w:cs="Calibri"/>
                <w:sz w:val="20"/>
                <w:szCs w:val="20"/>
              </w:rPr>
              <w:t>Ausencia</w:t>
            </w:r>
            <w:r w:rsidR="00C97896" w:rsidRPr="00FE27FF">
              <w:rPr>
                <w:rFonts w:ascii="Arial Narrow" w:hAnsi="Arial Narrow" w:cs="Calibri"/>
                <w:sz w:val="20"/>
                <w:szCs w:val="20"/>
              </w:rPr>
              <w:t xml:space="preserve"> por otras causas</w:t>
            </w:r>
          </w:p>
        </w:tc>
        <w:tc>
          <w:tcPr>
            <w:tcW w:w="1222" w:type="dxa"/>
            <w:tcBorders>
              <w:top w:val="single" w:sz="2" w:space="0" w:color="auto"/>
              <w:left w:val="nil"/>
              <w:bottom w:val="single" w:sz="2" w:space="0" w:color="auto"/>
              <w:right w:val="nil"/>
            </w:tcBorders>
            <w:shd w:val="clear" w:color="auto" w:fill="auto"/>
            <w:noWrap/>
            <w:vAlign w:val="bottom"/>
            <w:hideMark/>
          </w:tcPr>
          <w:p w14:paraId="5D154444" w14:textId="77777777" w:rsidR="00C97896" w:rsidRPr="00FE27FF" w:rsidRDefault="00C97896">
            <w:pPr>
              <w:jc w:val="right"/>
              <w:rPr>
                <w:rFonts w:ascii="Arial Narrow" w:hAnsi="Arial Narrow" w:cs="Calibri"/>
                <w:sz w:val="20"/>
                <w:szCs w:val="20"/>
              </w:rPr>
            </w:pPr>
            <w:r w:rsidRPr="00FE27FF">
              <w:rPr>
                <w:rFonts w:ascii="Arial Narrow" w:hAnsi="Arial Narrow" w:cs="Calibri"/>
                <w:sz w:val="20"/>
                <w:szCs w:val="20"/>
              </w:rPr>
              <w:t>705,12</w:t>
            </w:r>
          </w:p>
        </w:tc>
        <w:tc>
          <w:tcPr>
            <w:tcW w:w="1276" w:type="dxa"/>
            <w:tcBorders>
              <w:top w:val="single" w:sz="2" w:space="0" w:color="auto"/>
              <w:left w:val="nil"/>
              <w:bottom w:val="single" w:sz="2" w:space="0" w:color="auto"/>
              <w:right w:val="nil"/>
            </w:tcBorders>
            <w:shd w:val="clear" w:color="auto" w:fill="auto"/>
            <w:noWrap/>
            <w:vAlign w:val="bottom"/>
            <w:hideMark/>
          </w:tcPr>
          <w:p w14:paraId="13E8CEA8" w14:textId="77777777" w:rsidR="00C97896" w:rsidRPr="00FE27FF" w:rsidRDefault="00C97896">
            <w:pPr>
              <w:jc w:val="right"/>
              <w:rPr>
                <w:rFonts w:ascii="Arial Narrow" w:hAnsi="Arial Narrow" w:cs="Calibri"/>
                <w:sz w:val="20"/>
                <w:szCs w:val="20"/>
              </w:rPr>
            </w:pPr>
            <w:r w:rsidRPr="00FE27FF">
              <w:rPr>
                <w:rFonts w:ascii="Arial Narrow" w:hAnsi="Arial Narrow" w:cs="Calibri"/>
                <w:sz w:val="20"/>
                <w:szCs w:val="20"/>
              </w:rPr>
              <w:t>889,76</w:t>
            </w:r>
          </w:p>
        </w:tc>
        <w:tc>
          <w:tcPr>
            <w:tcW w:w="1883" w:type="dxa"/>
            <w:tcBorders>
              <w:top w:val="single" w:sz="2" w:space="0" w:color="auto"/>
              <w:left w:val="nil"/>
              <w:bottom w:val="single" w:sz="2" w:space="0" w:color="auto"/>
              <w:right w:val="nil"/>
            </w:tcBorders>
            <w:shd w:val="clear" w:color="auto" w:fill="auto"/>
            <w:vAlign w:val="center"/>
            <w:hideMark/>
          </w:tcPr>
          <w:p w14:paraId="654CB05C" w14:textId="77777777" w:rsidR="00C97896" w:rsidRPr="00FE27FF" w:rsidRDefault="00C97896">
            <w:pPr>
              <w:jc w:val="right"/>
              <w:rPr>
                <w:rFonts w:ascii="Arial Narrow" w:hAnsi="Arial Narrow" w:cs="Calibri"/>
                <w:sz w:val="20"/>
                <w:szCs w:val="20"/>
              </w:rPr>
            </w:pPr>
            <w:r w:rsidRPr="00FE27FF">
              <w:rPr>
                <w:rFonts w:ascii="Arial Narrow" w:hAnsi="Arial Narrow" w:cs="Calibri"/>
                <w:sz w:val="20"/>
                <w:szCs w:val="20"/>
              </w:rPr>
              <w:t>26,19</w:t>
            </w:r>
          </w:p>
        </w:tc>
      </w:tr>
      <w:tr w:rsidR="00C97896" w:rsidRPr="00FE27FF" w14:paraId="617EEE46" w14:textId="77777777" w:rsidTr="0044109D">
        <w:trPr>
          <w:trHeight w:val="198"/>
        </w:trPr>
        <w:tc>
          <w:tcPr>
            <w:tcW w:w="0" w:type="auto"/>
            <w:tcBorders>
              <w:top w:val="single" w:sz="2" w:space="0" w:color="auto"/>
              <w:left w:val="nil"/>
              <w:bottom w:val="single" w:sz="2" w:space="0" w:color="auto"/>
              <w:right w:val="nil"/>
            </w:tcBorders>
            <w:shd w:val="clear" w:color="auto" w:fill="auto"/>
            <w:vAlign w:val="center"/>
            <w:hideMark/>
          </w:tcPr>
          <w:p w14:paraId="643DE7E8" w14:textId="77777777" w:rsidR="00C97896" w:rsidRPr="00FE27FF" w:rsidRDefault="00C97896">
            <w:pPr>
              <w:rPr>
                <w:rFonts w:ascii="Arial Narrow" w:hAnsi="Arial Narrow" w:cs="Calibri"/>
                <w:sz w:val="20"/>
                <w:szCs w:val="20"/>
              </w:rPr>
            </w:pPr>
            <w:r w:rsidRPr="00FE27FF">
              <w:rPr>
                <w:rFonts w:ascii="Arial Narrow" w:hAnsi="Arial Narrow" w:cs="Calibri"/>
                <w:sz w:val="20"/>
                <w:szCs w:val="20"/>
              </w:rPr>
              <w:t xml:space="preserve">Tasa de </w:t>
            </w:r>
            <w:r w:rsidR="00D77F97" w:rsidRPr="00FE27FF">
              <w:rPr>
                <w:rFonts w:ascii="Arial Narrow" w:hAnsi="Arial Narrow" w:cs="Calibri"/>
                <w:sz w:val="20"/>
                <w:szCs w:val="20"/>
              </w:rPr>
              <w:t>ausencia</w:t>
            </w:r>
            <w:r w:rsidRPr="00FE27FF">
              <w:rPr>
                <w:rFonts w:ascii="Arial Narrow" w:hAnsi="Arial Narrow" w:cs="Calibri"/>
                <w:sz w:val="20"/>
                <w:szCs w:val="20"/>
              </w:rPr>
              <w:t xml:space="preserve"> total</w:t>
            </w:r>
          </w:p>
        </w:tc>
        <w:tc>
          <w:tcPr>
            <w:tcW w:w="1222" w:type="dxa"/>
            <w:tcBorders>
              <w:top w:val="single" w:sz="2" w:space="0" w:color="auto"/>
              <w:left w:val="nil"/>
              <w:bottom w:val="single" w:sz="2" w:space="0" w:color="auto"/>
              <w:right w:val="nil"/>
            </w:tcBorders>
            <w:shd w:val="clear" w:color="auto" w:fill="auto"/>
            <w:noWrap/>
            <w:vAlign w:val="bottom"/>
            <w:hideMark/>
          </w:tcPr>
          <w:p w14:paraId="35F6AB83" w14:textId="77777777" w:rsidR="00C97896" w:rsidRPr="00FE27FF" w:rsidRDefault="00C97896">
            <w:pPr>
              <w:jc w:val="right"/>
              <w:rPr>
                <w:rFonts w:ascii="Arial Narrow" w:hAnsi="Arial Narrow" w:cs="Calibri"/>
                <w:sz w:val="20"/>
                <w:szCs w:val="20"/>
              </w:rPr>
            </w:pPr>
            <w:r w:rsidRPr="00FE27FF">
              <w:rPr>
                <w:rFonts w:ascii="Arial Narrow" w:hAnsi="Arial Narrow" w:cs="Calibri"/>
                <w:sz w:val="20"/>
                <w:szCs w:val="20"/>
              </w:rPr>
              <w:t>7,93%</w:t>
            </w:r>
          </w:p>
        </w:tc>
        <w:tc>
          <w:tcPr>
            <w:tcW w:w="1276" w:type="dxa"/>
            <w:tcBorders>
              <w:top w:val="single" w:sz="2" w:space="0" w:color="auto"/>
              <w:left w:val="nil"/>
              <w:bottom w:val="single" w:sz="2" w:space="0" w:color="auto"/>
              <w:right w:val="nil"/>
            </w:tcBorders>
            <w:shd w:val="clear" w:color="auto" w:fill="auto"/>
            <w:noWrap/>
            <w:vAlign w:val="bottom"/>
            <w:hideMark/>
          </w:tcPr>
          <w:p w14:paraId="531EA092" w14:textId="77777777" w:rsidR="00C97896" w:rsidRPr="00FE27FF" w:rsidRDefault="00C97896">
            <w:pPr>
              <w:jc w:val="right"/>
              <w:rPr>
                <w:rFonts w:ascii="Arial Narrow" w:hAnsi="Arial Narrow" w:cs="Calibri"/>
                <w:sz w:val="20"/>
                <w:szCs w:val="20"/>
              </w:rPr>
            </w:pPr>
            <w:r w:rsidRPr="00FE27FF">
              <w:rPr>
                <w:rFonts w:ascii="Arial Narrow" w:hAnsi="Arial Narrow" w:cs="Calibri"/>
                <w:sz w:val="20"/>
                <w:szCs w:val="20"/>
              </w:rPr>
              <w:t>8,76%</w:t>
            </w:r>
          </w:p>
        </w:tc>
        <w:tc>
          <w:tcPr>
            <w:tcW w:w="1883" w:type="dxa"/>
            <w:tcBorders>
              <w:top w:val="single" w:sz="2" w:space="0" w:color="auto"/>
              <w:left w:val="nil"/>
              <w:bottom w:val="single" w:sz="2" w:space="0" w:color="auto"/>
              <w:right w:val="nil"/>
            </w:tcBorders>
            <w:shd w:val="clear" w:color="auto" w:fill="auto"/>
            <w:vAlign w:val="center"/>
            <w:hideMark/>
          </w:tcPr>
          <w:p w14:paraId="5902F507" w14:textId="77777777" w:rsidR="00C97896" w:rsidRPr="00FE27FF" w:rsidRDefault="00C97896" w:rsidP="00660EA4">
            <w:pPr>
              <w:jc w:val="right"/>
              <w:rPr>
                <w:rFonts w:ascii="Arial Narrow" w:hAnsi="Arial Narrow" w:cs="Calibri"/>
                <w:sz w:val="20"/>
                <w:szCs w:val="20"/>
              </w:rPr>
            </w:pPr>
            <w:r w:rsidRPr="00FE27FF">
              <w:rPr>
                <w:rFonts w:ascii="Arial Narrow" w:hAnsi="Arial Narrow" w:cs="Calibri"/>
                <w:sz w:val="20"/>
                <w:szCs w:val="20"/>
              </w:rPr>
              <w:t>10,</w:t>
            </w:r>
            <w:r w:rsidR="00660EA4" w:rsidRPr="00FE27FF">
              <w:rPr>
                <w:rFonts w:ascii="Arial Narrow" w:hAnsi="Arial Narrow" w:cs="Calibri"/>
                <w:sz w:val="20"/>
                <w:szCs w:val="20"/>
              </w:rPr>
              <w:t>47</w:t>
            </w:r>
          </w:p>
        </w:tc>
      </w:tr>
      <w:tr w:rsidR="00C97896" w:rsidRPr="00FE27FF" w14:paraId="7D202E1F" w14:textId="77777777" w:rsidTr="0044109D">
        <w:trPr>
          <w:trHeight w:val="198"/>
        </w:trPr>
        <w:tc>
          <w:tcPr>
            <w:tcW w:w="0" w:type="auto"/>
            <w:tcBorders>
              <w:top w:val="single" w:sz="2" w:space="0" w:color="auto"/>
              <w:left w:val="nil"/>
              <w:bottom w:val="single" w:sz="2" w:space="0" w:color="auto"/>
              <w:right w:val="nil"/>
            </w:tcBorders>
            <w:shd w:val="clear" w:color="auto" w:fill="auto"/>
            <w:vAlign w:val="center"/>
            <w:hideMark/>
          </w:tcPr>
          <w:p w14:paraId="5D87E060" w14:textId="77777777" w:rsidR="00C97896" w:rsidRPr="00FE27FF" w:rsidRDefault="00C97896">
            <w:pPr>
              <w:jc w:val="right"/>
              <w:rPr>
                <w:rFonts w:ascii="Arial Narrow" w:hAnsi="Arial Narrow" w:cs="Calibri"/>
                <w:sz w:val="20"/>
                <w:szCs w:val="20"/>
              </w:rPr>
            </w:pPr>
            <w:r w:rsidRPr="00FE27FF">
              <w:rPr>
                <w:rFonts w:ascii="Arial Narrow" w:hAnsi="Arial Narrow" w:cs="Calibri"/>
                <w:sz w:val="20"/>
                <w:szCs w:val="20"/>
              </w:rPr>
              <w:t xml:space="preserve">Tasa de </w:t>
            </w:r>
            <w:r w:rsidR="00D77F97" w:rsidRPr="00FE27FF">
              <w:rPr>
                <w:rFonts w:ascii="Arial Narrow" w:hAnsi="Arial Narrow" w:cs="Calibri"/>
                <w:sz w:val="20"/>
                <w:szCs w:val="20"/>
              </w:rPr>
              <w:t>ausencia</w:t>
            </w:r>
            <w:r w:rsidRPr="00FE27FF">
              <w:rPr>
                <w:rFonts w:ascii="Arial Narrow" w:hAnsi="Arial Narrow" w:cs="Calibri"/>
                <w:sz w:val="20"/>
                <w:szCs w:val="20"/>
              </w:rPr>
              <w:t xml:space="preserve"> por incapacidad/enfermedad profesional</w:t>
            </w:r>
          </w:p>
        </w:tc>
        <w:tc>
          <w:tcPr>
            <w:tcW w:w="1222" w:type="dxa"/>
            <w:tcBorders>
              <w:top w:val="single" w:sz="2" w:space="0" w:color="auto"/>
              <w:left w:val="nil"/>
              <w:bottom w:val="single" w:sz="2" w:space="0" w:color="auto"/>
              <w:right w:val="nil"/>
            </w:tcBorders>
            <w:shd w:val="clear" w:color="auto" w:fill="auto"/>
            <w:noWrap/>
            <w:vAlign w:val="bottom"/>
            <w:hideMark/>
          </w:tcPr>
          <w:p w14:paraId="40B7A0C3" w14:textId="77777777" w:rsidR="00C97896" w:rsidRPr="00FE27FF" w:rsidRDefault="00C97896">
            <w:pPr>
              <w:jc w:val="right"/>
              <w:rPr>
                <w:rFonts w:ascii="Arial Narrow" w:hAnsi="Arial Narrow" w:cs="Calibri"/>
                <w:sz w:val="20"/>
                <w:szCs w:val="20"/>
              </w:rPr>
            </w:pPr>
            <w:r w:rsidRPr="00FE27FF">
              <w:rPr>
                <w:rFonts w:ascii="Arial Narrow" w:hAnsi="Arial Narrow" w:cs="Calibri"/>
                <w:sz w:val="20"/>
                <w:szCs w:val="20"/>
              </w:rPr>
              <w:t>5,22%</w:t>
            </w:r>
          </w:p>
        </w:tc>
        <w:tc>
          <w:tcPr>
            <w:tcW w:w="1276" w:type="dxa"/>
            <w:tcBorders>
              <w:top w:val="single" w:sz="2" w:space="0" w:color="auto"/>
              <w:left w:val="nil"/>
              <w:bottom w:val="single" w:sz="2" w:space="0" w:color="auto"/>
              <w:right w:val="nil"/>
            </w:tcBorders>
            <w:shd w:val="clear" w:color="auto" w:fill="auto"/>
            <w:noWrap/>
            <w:vAlign w:val="bottom"/>
            <w:hideMark/>
          </w:tcPr>
          <w:p w14:paraId="5F9F232B" w14:textId="77777777" w:rsidR="00C97896" w:rsidRPr="00FE27FF" w:rsidRDefault="00C97896">
            <w:pPr>
              <w:jc w:val="right"/>
              <w:rPr>
                <w:rFonts w:ascii="Arial Narrow" w:hAnsi="Arial Narrow" w:cs="Calibri"/>
                <w:sz w:val="20"/>
                <w:szCs w:val="20"/>
              </w:rPr>
            </w:pPr>
            <w:r w:rsidRPr="00FE27FF">
              <w:rPr>
                <w:rFonts w:ascii="Arial Narrow" w:hAnsi="Arial Narrow" w:cs="Calibri"/>
                <w:sz w:val="20"/>
                <w:szCs w:val="20"/>
              </w:rPr>
              <w:t>5,81%</w:t>
            </w:r>
          </w:p>
        </w:tc>
        <w:tc>
          <w:tcPr>
            <w:tcW w:w="1883" w:type="dxa"/>
            <w:tcBorders>
              <w:top w:val="single" w:sz="2" w:space="0" w:color="auto"/>
              <w:left w:val="nil"/>
              <w:bottom w:val="single" w:sz="2" w:space="0" w:color="auto"/>
              <w:right w:val="nil"/>
            </w:tcBorders>
            <w:shd w:val="clear" w:color="auto" w:fill="auto"/>
            <w:vAlign w:val="center"/>
            <w:hideMark/>
          </w:tcPr>
          <w:p w14:paraId="771509A6" w14:textId="77777777" w:rsidR="00C97896" w:rsidRPr="00FE27FF" w:rsidRDefault="00660EA4">
            <w:pPr>
              <w:jc w:val="right"/>
              <w:rPr>
                <w:rFonts w:ascii="Arial Narrow" w:hAnsi="Arial Narrow" w:cs="Calibri"/>
                <w:sz w:val="20"/>
                <w:szCs w:val="20"/>
              </w:rPr>
            </w:pPr>
            <w:r w:rsidRPr="00FE27FF">
              <w:rPr>
                <w:rFonts w:ascii="Arial Narrow" w:hAnsi="Arial Narrow" w:cs="Calibri"/>
                <w:sz w:val="20"/>
                <w:szCs w:val="20"/>
              </w:rPr>
              <w:t>11,30</w:t>
            </w:r>
          </w:p>
        </w:tc>
      </w:tr>
      <w:tr w:rsidR="00660EA4" w:rsidRPr="00FE27FF" w14:paraId="66843389" w14:textId="77777777" w:rsidTr="0044109D">
        <w:trPr>
          <w:trHeight w:val="198"/>
        </w:trPr>
        <w:tc>
          <w:tcPr>
            <w:tcW w:w="0" w:type="auto"/>
            <w:tcBorders>
              <w:top w:val="single" w:sz="2" w:space="0" w:color="auto"/>
              <w:left w:val="nil"/>
              <w:bottom w:val="single" w:sz="4" w:space="0" w:color="auto"/>
              <w:right w:val="nil"/>
            </w:tcBorders>
            <w:shd w:val="clear" w:color="auto" w:fill="auto"/>
            <w:vAlign w:val="center"/>
            <w:hideMark/>
          </w:tcPr>
          <w:p w14:paraId="56964F2D" w14:textId="77777777" w:rsidR="00C97896" w:rsidRPr="00FE27FF" w:rsidRDefault="00C97896" w:rsidP="0044109D">
            <w:pPr>
              <w:rPr>
                <w:rFonts w:ascii="Arial Narrow" w:hAnsi="Arial Narrow" w:cs="Calibri"/>
                <w:sz w:val="20"/>
                <w:szCs w:val="20"/>
              </w:rPr>
            </w:pPr>
            <w:r w:rsidRPr="00FE27FF">
              <w:rPr>
                <w:rFonts w:ascii="Arial Narrow" w:hAnsi="Arial Narrow" w:cs="Calibri"/>
                <w:sz w:val="20"/>
                <w:szCs w:val="20"/>
              </w:rPr>
              <w:t xml:space="preserve">Tasa de </w:t>
            </w:r>
            <w:r w:rsidR="00D77F97" w:rsidRPr="00FE27FF">
              <w:rPr>
                <w:rFonts w:ascii="Arial Narrow" w:hAnsi="Arial Narrow" w:cs="Calibri"/>
                <w:sz w:val="20"/>
                <w:szCs w:val="20"/>
              </w:rPr>
              <w:t>ausencia</w:t>
            </w:r>
            <w:r w:rsidRPr="00FE27FF">
              <w:rPr>
                <w:rFonts w:ascii="Arial Narrow" w:hAnsi="Arial Narrow" w:cs="Calibri"/>
                <w:sz w:val="20"/>
                <w:szCs w:val="20"/>
              </w:rPr>
              <w:t xml:space="preserve"> por otras causas</w:t>
            </w:r>
          </w:p>
        </w:tc>
        <w:tc>
          <w:tcPr>
            <w:tcW w:w="1222" w:type="dxa"/>
            <w:tcBorders>
              <w:top w:val="single" w:sz="2" w:space="0" w:color="auto"/>
              <w:left w:val="nil"/>
              <w:bottom w:val="single" w:sz="4" w:space="0" w:color="auto"/>
              <w:right w:val="nil"/>
            </w:tcBorders>
            <w:shd w:val="clear" w:color="auto" w:fill="auto"/>
            <w:noWrap/>
            <w:vAlign w:val="bottom"/>
            <w:hideMark/>
          </w:tcPr>
          <w:p w14:paraId="5F684B2F" w14:textId="77777777" w:rsidR="00C97896" w:rsidRPr="00FE27FF" w:rsidRDefault="00C97896">
            <w:pPr>
              <w:jc w:val="right"/>
              <w:rPr>
                <w:rFonts w:ascii="Arial Narrow" w:hAnsi="Arial Narrow" w:cs="Calibri"/>
                <w:sz w:val="20"/>
                <w:szCs w:val="20"/>
              </w:rPr>
            </w:pPr>
            <w:r w:rsidRPr="00FE27FF">
              <w:rPr>
                <w:rFonts w:ascii="Arial Narrow" w:hAnsi="Arial Narrow" w:cs="Calibri"/>
                <w:sz w:val="20"/>
                <w:szCs w:val="20"/>
              </w:rPr>
              <w:t>2,71</w:t>
            </w:r>
          </w:p>
        </w:tc>
        <w:tc>
          <w:tcPr>
            <w:tcW w:w="1276" w:type="dxa"/>
            <w:tcBorders>
              <w:top w:val="single" w:sz="2" w:space="0" w:color="auto"/>
              <w:left w:val="nil"/>
              <w:bottom w:val="single" w:sz="4" w:space="0" w:color="auto"/>
              <w:right w:val="nil"/>
            </w:tcBorders>
            <w:shd w:val="clear" w:color="auto" w:fill="auto"/>
            <w:noWrap/>
            <w:vAlign w:val="bottom"/>
            <w:hideMark/>
          </w:tcPr>
          <w:p w14:paraId="3F19421C" w14:textId="77777777" w:rsidR="00C97896" w:rsidRPr="00FE27FF" w:rsidRDefault="00C97896">
            <w:pPr>
              <w:jc w:val="right"/>
              <w:rPr>
                <w:rFonts w:ascii="Arial Narrow" w:hAnsi="Arial Narrow" w:cs="Calibri"/>
                <w:sz w:val="20"/>
                <w:szCs w:val="20"/>
              </w:rPr>
            </w:pPr>
            <w:r w:rsidRPr="00FE27FF">
              <w:rPr>
                <w:rFonts w:ascii="Arial Narrow" w:hAnsi="Arial Narrow" w:cs="Calibri"/>
                <w:sz w:val="20"/>
                <w:szCs w:val="20"/>
              </w:rPr>
              <w:t>2,95</w:t>
            </w:r>
          </w:p>
        </w:tc>
        <w:tc>
          <w:tcPr>
            <w:tcW w:w="1883" w:type="dxa"/>
            <w:tcBorders>
              <w:top w:val="single" w:sz="2" w:space="0" w:color="auto"/>
              <w:left w:val="nil"/>
              <w:bottom w:val="single" w:sz="4" w:space="0" w:color="auto"/>
              <w:right w:val="nil"/>
            </w:tcBorders>
            <w:shd w:val="clear" w:color="auto" w:fill="auto"/>
            <w:vAlign w:val="center"/>
            <w:hideMark/>
          </w:tcPr>
          <w:p w14:paraId="470A0590" w14:textId="77777777" w:rsidR="00C97896" w:rsidRPr="00FE27FF" w:rsidRDefault="00660EA4">
            <w:pPr>
              <w:jc w:val="right"/>
              <w:rPr>
                <w:rFonts w:ascii="Arial Narrow" w:hAnsi="Arial Narrow" w:cs="Calibri"/>
                <w:sz w:val="20"/>
                <w:szCs w:val="20"/>
              </w:rPr>
            </w:pPr>
            <w:r w:rsidRPr="00FE27FF">
              <w:rPr>
                <w:rFonts w:ascii="Arial Narrow" w:hAnsi="Arial Narrow" w:cs="Calibri"/>
                <w:sz w:val="20"/>
                <w:szCs w:val="20"/>
              </w:rPr>
              <w:t>8,86</w:t>
            </w:r>
          </w:p>
        </w:tc>
      </w:tr>
    </w:tbl>
    <w:p w14:paraId="78BA00E2" w14:textId="77777777" w:rsidR="00AB0157" w:rsidRDefault="00120F0D" w:rsidP="004D49FB">
      <w:pPr>
        <w:pStyle w:val="texto"/>
        <w:spacing w:before="240" w:after="120"/>
        <w:ind w:left="646" w:hanging="362"/>
        <w:jc w:val="both"/>
      </w:pPr>
      <w:r>
        <w:t>De este análisis se concluye lo siguiente:</w:t>
      </w:r>
    </w:p>
    <w:p w14:paraId="12C0D072" w14:textId="77777777" w:rsidR="00AB0157" w:rsidRDefault="006B5260" w:rsidP="00FE27FF">
      <w:pPr>
        <w:pStyle w:val="texto"/>
        <w:numPr>
          <w:ilvl w:val="0"/>
          <w:numId w:val="6"/>
        </w:numPr>
        <w:tabs>
          <w:tab w:val="clear" w:pos="360"/>
          <w:tab w:val="num" w:pos="300"/>
          <w:tab w:val="left" w:pos="480"/>
          <w:tab w:val="num" w:pos="600"/>
        </w:tabs>
        <w:spacing w:after="120"/>
        <w:ind w:firstLine="289"/>
        <w:jc w:val="both"/>
      </w:pPr>
      <w:r>
        <w:t>Las personas equivalentes empleadas han aumentado un 15,71 por ciento en el periodo 2018-2023. Los estamentos que mayor incremento de empleados presentan son los docentes y los eventuales.</w:t>
      </w:r>
    </w:p>
    <w:p w14:paraId="0A096016" w14:textId="77777777" w:rsidR="00EE5170" w:rsidRPr="000A0DC8" w:rsidRDefault="000A0DC8" w:rsidP="00FE27FF">
      <w:pPr>
        <w:pStyle w:val="texto"/>
        <w:numPr>
          <w:ilvl w:val="0"/>
          <w:numId w:val="6"/>
        </w:numPr>
        <w:tabs>
          <w:tab w:val="clear" w:pos="360"/>
          <w:tab w:val="num" w:pos="300"/>
          <w:tab w:val="left" w:pos="480"/>
          <w:tab w:val="num" w:pos="600"/>
        </w:tabs>
        <w:spacing w:after="120"/>
        <w:ind w:firstLine="289"/>
        <w:jc w:val="both"/>
      </w:pPr>
      <w:r>
        <w:t xml:space="preserve">La ausencia de personal </w:t>
      </w:r>
      <w:r w:rsidR="006B5260" w:rsidRPr="000A0DC8">
        <w:t xml:space="preserve">se ha incrementado de 2018 a 2023, un 28,76 por ciento, debido a causas médicas y </w:t>
      </w:r>
      <w:r w:rsidR="00120F0D" w:rsidRPr="000A0DC8">
        <w:t xml:space="preserve">un </w:t>
      </w:r>
      <w:r w:rsidR="006B5260" w:rsidRPr="000A0DC8">
        <w:t xml:space="preserve">26,19 por ciento, debido a otras causas. </w:t>
      </w:r>
    </w:p>
    <w:p w14:paraId="24B7E816" w14:textId="77777777" w:rsidR="00227805" w:rsidRPr="00660EA4" w:rsidRDefault="006B5260" w:rsidP="00FE27FF">
      <w:pPr>
        <w:pStyle w:val="texto"/>
        <w:numPr>
          <w:ilvl w:val="0"/>
          <w:numId w:val="6"/>
        </w:numPr>
        <w:tabs>
          <w:tab w:val="clear" w:pos="360"/>
          <w:tab w:val="num" w:pos="300"/>
          <w:tab w:val="left" w:pos="480"/>
          <w:tab w:val="num" w:pos="600"/>
        </w:tabs>
        <w:spacing w:after="120"/>
        <w:ind w:firstLine="289"/>
        <w:jc w:val="both"/>
      </w:pPr>
      <w:r w:rsidRPr="00660EA4">
        <w:t>En 2018 faltaban al trabajo el 7,93 por ciento de las personas empleadas, mientra</w:t>
      </w:r>
      <w:r w:rsidR="000A0DC8" w:rsidRPr="00660EA4">
        <w:t>s que en 2023 han faltado el 8,7</w:t>
      </w:r>
      <w:r w:rsidRPr="00660EA4">
        <w:t>6 por ciento, lo que</w:t>
      </w:r>
      <w:r w:rsidR="00660EA4" w:rsidRPr="00660EA4">
        <w:t xml:space="preserve"> ha supuesto un aumento del 10,47</w:t>
      </w:r>
      <w:r w:rsidRPr="00660EA4">
        <w:t xml:space="preserve"> p</w:t>
      </w:r>
      <w:r w:rsidR="00660EA4" w:rsidRPr="00660EA4">
        <w:t>or ciento, desglosado en un 11,30</w:t>
      </w:r>
      <w:r w:rsidRPr="00660EA4">
        <w:t xml:space="preserve"> por ciento por causas médicas y un </w:t>
      </w:r>
      <w:r w:rsidR="00660EA4" w:rsidRPr="00660EA4">
        <w:t>8,86</w:t>
      </w:r>
      <w:r w:rsidRPr="00660EA4">
        <w:t xml:space="preserve"> por ciento por otras causas.</w:t>
      </w:r>
      <w:r w:rsidR="00764481" w:rsidRPr="00660EA4">
        <w:t xml:space="preserve"> </w:t>
      </w:r>
    </w:p>
    <w:p w14:paraId="3E4F6165" w14:textId="77777777" w:rsidR="00614DC4" w:rsidRDefault="00FE27FF" w:rsidP="00614DC4">
      <w:pPr>
        <w:pStyle w:val="atitulo2"/>
        <w:spacing w:before="240"/>
        <w:rPr>
          <w:bCs w:val="0"/>
          <w:iCs w:val="0"/>
        </w:rPr>
      </w:pPr>
      <w:bookmarkStart w:id="121" w:name="_Toc146471247"/>
      <w:bookmarkStart w:id="122" w:name="_Toc52267372"/>
      <w:bookmarkStart w:id="123" w:name="_Toc525907443"/>
      <w:bookmarkStart w:id="124" w:name="_Toc494270387"/>
      <w:bookmarkStart w:id="125" w:name="_Toc182464283"/>
      <w:r>
        <w:rPr>
          <w:bCs w:val="0"/>
          <w:iCs w:val="0"/>
        </w:rPr>
        <w:t>5.5</w:t>
      </w:r>
      <w:r w:rsidR="00614DC4">
        <w:rPr>
          <w:bCs w:val="0"/>
          <w:iCs w:val="0"/>
        </w:rPr>
        <w:t xml:space="preserve"> </w:t>
      </w:r>
      <w:r w:rsidR="001F6045">
        <w:rPr>
          <w:bCs w:val="0"/>
          <w:iCs w:val="0"/>
        </w:rPr>
        <w:t>Contratación pública</w:t>
      </w:r>
      <w:bookmarkEnd w:id="121"/>
      <w:bookmarkEnd w:id="122"/>
      <w:bookmarkEnd w:id="123"/>
      <w:bookmarkEnd w:id="124"/>
      <w:bookmarkEnd w:id="125"/>
    </w:p>
    <w:p w14:paraId="06582B86" w14:textId="77777777" w:rsidR="005D3AC5" w:rsidRDefault="00EF2ACB" w:rsidP="00FE27FF">
      <w:pPr>
        <w:pStyle w:val="atitulo3"/>
        <w:spacing w:before="240"/>
      </w:pPr>
      <w:r>
        <w:t xml:space="preserve">Revisión de expedientes de </w:t>
      </w:r>
      <w:r w:rsidR="005D3AC5">
        <w:t>contratación</w:t>
      </w:r>
    </w:p>
    <w:p w14:paraId="7F8A6042" w14:textId="77777777" w:rsidR="005D3AC5" w:rsidRDefault="005D3AC5" w:rsidP="00FE27FF">
      <w:pPr>
        <w:pStyle w:val="texto"/>
        <w:spacing w:after="240"/>
        <w:jc w:val="both"/>
      </w:pPr>
      <w:r>
        <w:t xml:space="preserve">La revisión de los expedientes de contratación en la fiscalización de estas Cuentas </w:t>
      </w:r>
      <w:proofErr w:type="gramStart"/>
      <w:r>
        <w:t>Generales,</w:t>
      </w:r>
      <w:proofErr w:type="gramEnd"/>
      <w:r>
        <w:t xml:space="preserve"> se ha realizado </w:t>
      </w:r>
      <w:r w:rsidR="00EF2ACB">
        <w:t xml:space="preserve">seleccionando </w:t>
      </w:r>
      <w:r>
        <w:t xml:space="preserve">una muestra mayor de contratos, y delimitando el alcance a determinadas cuestiones que hemos considerado especialmente relevantes en el proceso de adjudicación. Son las siguientes: </w:t>
      </w:r>
    </w:p>
    <w:tbl>
      <w:tblPr>
        <w:tblW w:w="8789" w:type="dxa"/>
        <w:tblCellMar>
          <w:left w:w="70" w:type="dxa"/>
          <w:right w:w="70" w:type="dxa"/>
        </w:tblCellMar>
        <w:tblLook w:val="04A0" w:firstRow="1" w:lastRow="0" w:firstColumn="1" w:lastColumn="0" w:noHBand="0" w:noVBand="1"/>
      </w:tblPr>
      <w:tblGrid>
        <w:gridCol w:w="8789"/>
      </w:tblGrid>
      <w:tr w:rsidR="005D3AC5" w:rsidRPr="00740CD8" w14:paraId="4532057D" w14:textId="77777777" w:rsidTr="0044109D">
        <w:trPr>
          <w:trHeight w:val="255"/>
        </w:trPr>
        <w:tc>
          <w:tcPr>
            <w:tcW w:w="8789" w:type="dxa"/>
            <w:tcBorders>
              <w:top w:val="single" w:sz="4" w:space="0" w:color="auto"/>
              <w:left w:val="nil"/>
              <w:bottom w:val="single" w:sz="4" w:space="0" w:color="auto"/>
              <w:right w:val="nil"/>
            </w:tcBorders>
            <w:shd w:val="clear" w:color="000000" w:fill="8DB3E2"/>
            <w:vAlign w:val="center"/>
            <w:hideMark/>
          </w:tcPr>
          <w:p w14:paraId="7A9BC719" w14:textId="77777777" w:rsidR="005D3AC5" w:rsidRPr="00740CD8" w:rsidRDefault="005D3AC5" w:rsidP="003D0EF2">
            <w:pPr>
              <w:rPr>
                <w:rFonts w:ascii="Arial" w:hAnsi="Arial" w:cs="Arial"/>
                <w:sz w:val="18"/>
                <w:szCs w:val="18"/>
              </w:rPr>
            </w:pPr>
            <w:r w:rsidRPr="00740CD8">
              <w:rPr>
                <w:rFonts w:ascii="Arial" w:hAnsi="Arial" w:cs="Arial"/>
                <w:sz w:val="18"/>
                <w:szCs w:val="18"/>
              </w:rPr>
              <w:t> </w:t>
            </w:r>
          </w:p>
        </w:tc>
      </w:tr>
      <w:tr w:rsidR="005D3AC5" w:rsidRPr="00740CD8" w14:paraId="2395EC0F" w14:textId="77777777" w:rsidTr="0044109D">
        <w:trPr>
          <w:trHeight w:val="198"/>
        </w:trPr>
        <w:tc>
          <w:tcPr>
            <w:tcW w:w="8789" w:type="dxa"/>
            <w:tcBorders>
              <w:top w:val="single" w:sz="4" w:space="0" w:color="auto"/>
              <w:left w:val="nil"/>
              <w:bottom w:val="single" w:sz="2" w:space="0" w:color="auto"/>
            </w:tcBorders>
            <w:shd w:val="clear" w:color="auto" w:fill="auto"/>
            <w:vAlign w:val="center"/>
          </w:tcPr>
          <w:p w14:paraId="2B096C8B" w14:textId="77777777" w:rsidR="005D3AC5" w:rsidRPr="004D49FB" w:rsidRDefault="005D3AC5" w:rsidP="003D0EF2">
            <w:pPr>
              <w:rPr>
                <w:rFonts w:ascii="Arial Narrow" w:hAnsi="Arial Narrow" w:cs="Calibri"/>
                <w:sz w:val="20"/>
                <w:szCs w:val="20"/>
              </w:rPr>
            </w:pPr>
            <w:r w:rsidRPr="004D49FB">
              <w:rPr>
                <w:rFonts w:ascii="Arial Narrow" w:hAnsi="Arial Narrow" w:cs="Calibri"/>
                <w:sz w:val="20"/>
                <w:szCs w:val="20"/>
              </w:rPr>
              <w:t>Nº Licitadores (nivel de competencia)</w:t>
            </w:r>
          </w:p>
        </w:tc>
      </w:tr>
      <w:tr w:rsidR="005D3AC5" w:rsidRPr="00740CD8" w14:paraId="61088BE1" w14:textId="77777777" w:rsidTr="0044109D">
        <w:trPr>
          <w:trHeight w:val="198"/>
        </w:trPr>
        <w:tc>
          <w:tcPr>
            <w:tcW w:w="8789" w:type="dxa"/>
            <w:tcBorders>
              <w:top w:val="single" w:sz="2" w:space="0" w:color="auto"/>
              <w:left w:val="nil"/>
              <w:bottom w:val="single" w:sz="2" w:space="0" w:color="auto"/>
            </w:tcBorders>
            <w:shd w:val="clear" w:color="auto" w:fill="auto"/>
            <w:vAlign w:val="center"/>
          </w:tcPr>
          <w:p w14:paraId="498DD3F0" w14:textId="77777777" w:rsidR="005D3AC5" w:rsidRPr="004D49FB" w:rsidRDefault="005D3AC5" w:rsidP="003D0EF2">
            <w:pPr>
              <w:rPr>
                <w:rFonts w:ascii="Arial Narrow" w:hAnsi="Arial Narrow" w:cs="Calibri"/>
                <w:sz w:val="20"/>
                <w:szCs w:val="20"/>
              </w:rPr>
            </w:pPr>
            <w:r w:rsidRPr="004D49FB">
              <w:rPr>
                <w:rFonts w:ascii="Arial Narrow" w:hAnsi="Arial Narrow" w:cs="Calibri"/>
                <w:sz w:val="20"/>
                <w:szCs w:val="20"/>
              </w:rPr>
              <w:t xml:space="preserve">Ponderación de los criterios de adjudicación (fórmulas + juicio de valor) </w:t>
            </w:r>
          </w:p>
        </w:tc>
      </w:tr>
      <w:tr w:rsidR="005D3AC5" w:rsidRPr="00740CD8" w14:paraId="1D349266" w14:textId="77777777" w:rsidTr="00627F85">
        <w:trPr>
          <w:trHeight w:val="198"/>
        </w:trPr>
        <w:tc>
          <w:tcPr>
            <w:tcW w:w="8789" w:type="dxa"/>
            <w:tcBorders>
              <w:top w:val="single" w:sz="2" w:space="0" w:color="auto"/>
              <w:left w:val="nil"/>
              <w:bottom w:val="single" w:sz="2" w:space="0" w:color="auto"/>
            </w:tcBorders>
            <w:shd w:val="clear" w:color="auto" w:fill="auto"/>
            <w:vAlign w:val="center"/>
          </w:tcPr>
          <w:p w14:paraId="1FEB33F2" w14:textId="77777777" w:rsidR="005D3AC5" w:rsidRPr="004D49FB" w:rsidRDefault="005D3AC5" w:rsidP="003D0EF2">
            <w:pPr>
              <w:rPr>
                <w:rFonts w:ascii="Arial Narrow" w:hAnsi="Arial Narrow" w:cs="Calibri"/>
                <w:sz w:val="20"/>
                <w:szCs w:val="20"/>
              </w:rPr>
            </w:pPr>
            <w:r w:rsidRPr="004D49FB">
              <w:rPr>
                <w:rFonts w:ascii="Arial Narrow" w:hAnsi="Arial Narrow" w:cs="Calibri"/>
                <w:sz w:val="20"/>
                <w:szCs w:val="20"/>
              </w:rPr>
              <w:t>Proporcionalidad de la fórmula económica</w:t>
            </w:r>
          </w:p>
        </w:tc>
      </w:tr>
      <w:tr w:rsidR="005D3AC5" w:rsidRPr="00740CD8" w14:paraId="49680E32" w14:textId="77777777" w:rsidTr="0044109D">
        <w:trPr>
          <w:trHeight w:val="198"/>
        </w:trPr>
        <w:tc>
          <w:tcPr>
            <w:tcW w:w="8789" w:type="dxa"/>
            <w:tcBorders>
              <w:top w:val="single" w:sz="2" w:space="0" w:color="auto"/>
              <w:left w:val="nil"/>
              <w:bottom w:val="single" w:sz="2" w:space="0" w:color="auto"/>
            </w:tcBorders>
            <w:shd w:val="clear" w:color="auto" w:fill="auto"/>
            <w:vAlign w:val="center"/>
          </w:tcPr>
          <w:p w14:paraId="04E11179" w14:textId="77777777" w:rsidR="005D3AC5" w:rsidRPr="004D49FB" w:rsidRDefault="005D3AC5" w:rsidP="003D0EF2">
            <w:pPr>
              <w:rPr>
                <w:rFonts w:ascii="Arial Narrow" w:hAnsi="Arial Narrow" w:cs="Calibri"/>
                <w:sz w:val="20"/>
                <w:szCs w:val="20"/>
              </w:rPr>
            </w:pPr>
            <w:r w:rsidRPr="004D49FB">
              <w:rPr>
                <w:rFonts w:ascii="Arial Narrow" w:hAnsi="Arial Narrow" w:cs="Calibri"/>
                <w:sz w:val="20"/>
                <w:szCs w:val="20"/>
              </w:rPr>
              <w:t>Motivación en la valoración técnica de las ofertas</w:t>
            </w:r>
          </w:p>
        </w:tc>
      </w:tr>
      <w:tr w:rsidR="005D3AC5" w:rsidRPr="00740CD8" w14:paraId="5F4A59DC" w14:textId="77777777" w:rsidTr="0044109D">
        <w:trPr>
          <w:trHeight w:val="198"/>
        </w:trPr>
        <w:tc>
          <w:tcPr>
            <w:tcW w:w="8789" w:type="dxa"/>
            <w:tcBorders>
              <w:top w:val="single" w:sz="2" w:space="0" w:color="auto"/>
              <w:left w:val="nil"/>
              <w:bottom w:val="single" w:sz="2" w:space="0" w:color="auto"/>
            </w:tcBorders>
            <w:shd w:val="clear" w:color="auto" w:fill="auto"/>
            <w:vAlign w:val="center"/>
          </w:tcPr>
          <w:p w14:paraId="37F579B1" w14:textId="77777777" w:rsidR="005D3AC5" w:rsidRPr="004D49FB" w:rsidRDefault="005D3AC5" w:rsidP="003D0EF2">
            <w:pPr>
              <w:rPr>
                <w:rFonts w:ascii="Arial Narrow" w:hAnsi="Arial Narrow" w:cs="Calibri"/>
                <w:sz w:val="20"/>
                <w:szCs w:val="20"/>
              </w:rPr>
            </w:pPr>
            <w:r w:rsidRPr="004D49FB">
              <w:rPr>
                <w:rFonts w:ascii="Arial Narrow" w:hAnsi="Arial Narrow" w:cs="Calibri"/>
                <w:sz w:val="20"/>
                <w:szCs w:val="20"/>
              </w:rPr>
              <w:t>Criterio definitivo en la adjudicación en los contratos</w:t>
            </w:r>
          </w:p>
        </w:tc>
      </w:tr>
      <w:tr w:rsidR="005D3AC5" w:rsidRPr="00740CD8" w14:paraId="653D0940" w14:textId="77777777" w:rsidTr="0044109D">
        <w:trPr>
          <w:trHeight w:val="198"/>
        </w:trPr>
        <w:tc>
          <w:tcPr>
            <w:tcW w:w="8789" w:type="dxa"/>
            <w:tcBorders>
              <w:top w:val="single" w:sz="2" w:space="0" w:color="auto"/>
              <w:left w:val="nil"/>
              <w:bottom w:val="single" w:sz="2" w:space="0" w:color="auto"/>
            </w:tcBorders>
            <w:shd w:val="clear" w:color="auto" w:fill="auto"/>
            <w:vAlign w:val="center"/>
          </w:tcPr>
          <w:p w14:paraId="42662F9A" w14:textId="77777777" w:rsidR="005D3AC5" w:rsidRPr="004D49FB" w:rsidRDefault="005D3AC5" w:rsidP="003D0EF2">
            <w:pPr>
              <w:rPr>
                <w:rFonts w:ascii="Arial Narrow" w:hAnsi="Arial Narrow" w:cs="Calibri"/>
                <w:sz w:val="20"/>
                <w:szCs w:val="20"/>
              </w:rPr>
            </w:pPr>
            <w:r w:rsidRPr="004D49FB">
              <w:rPr>
                <w:rFonts w:ascii="Arial Narrow" w:hAnsi="Arial Narrow" w:cs="Calibri"/>
                <w:sz w:val="20"/>
                <w:szCs w:val="20"/>
              </w:rPr>
              <w:t>% Baja en la adjudicación</w:t>
            </w:r>
          </w:p>
        </w:tc>
      </w:tr>
      <w:tr w:rsidR="005D3AC5" w:rsidRPr="00740CD8" w14:paraId="0C5A4D57" w14:textId="77777777" w:rsidTr="0044109D">
        <w:trPr>
          <w:trHeight w:val="198"/>
        </w:trPr>
        <w:tc>
          <w:tcPr>
            <w:tcW w:w="8789" w:type="dxa"/>
            <w:tcBorders>
              <w:top w:val="single" w:sz="2" w:space="0" w:color="auto"/>
              <w:left w:val="nil"/>
              <w:bottom w:val="single" w:sz="2" w:space="0" w:color="auto"/>
            </w:tcBorders>
            <w:shd w:val="clear" w:color="auto" w:fill="auto"/>
            <w:vAlign w:val="center"/>
          </w:tcPr>
          <w:p w14:paraId="7198C213" w14:textId="77777777" w:rsidR="005D3AC5" w:rsidRPr="004D49FB" w:rsidRDefault="005D3AC5" w:rsidP="003D0EF2">
            <w:pPr>
              <w:rPr>
                <w:rFonts w:ascii="Arial Narrow" w:hAnsi="Arial Narrow" w:cs="Calibri"/>
                <w:sz w:val="20"/>
                <w:szCs w:val="20"/>
              </w:rPr>
            </w:pPr>
            <w:r w:rsidRPr="004D49FB">
              <w:rPr>
                <w:rFonts w:ascii="Arial Narrow" w:hAnsi="Arial Narrow" w:cs="Calibri"/>
                <w:sz w:val="20"/>
                <w:szCs w:val="20"/>
              </w:rPr>
              <w:t>Criterios sociales y medioambientales + Condiciones Especiales de Ejecución</w:t>
            </w:r>
          </w:p>
        </w:tc>
      </w:tr>
      <w:tr w:rsidR="005D3AC5" w:rsidRPr="00740CD8" w14:paraId="1517A23C" w14:textId="77777777" w:rsidTr="0044109D">
        <w:trPr>
          <w:trHeight w:val="198"/>
        </w:trPr>
        <w:tc>
          <w:tcPr>
            <w:tcW w:w="8789" w:type="dxa"/>
            <w:tcBorders>
              <w:top w:val="single" w:sz="2" w:space="0" w:color="auto"/>
              <w:left w:val="nil"/>
              <w:bottom w:val="single" w:sz="2" w:space="0" w:color="auto"/>
            </w:tcBorders>
            <w:shd w:val="clear" w:color="auto" w:fill="auto"/>
            <w:vAlign w:val="center"/>
          </w:tcPr>
          <w:p w14:paraId="7F55AE96" w14:textId="77777777" w:rsidR="005D3AC5" w:rsidRPr="004D49FB" w:rsidRDefault="005D3AC5" w:rsidP="00FE27FF">
            <w:pPr>
              <w:pStyle w:val="Prrafodelista"/>
              <w:numPr>
                <w:ilvl w:val="0"/>
                <w:numId w:val="31"/>
              </w:numPr>
              <w:ind w:left="639" w:hanging="279"/>
              <w:rPr>
                <w:rFonts w:ascii="Arial Narrow" w:hAnsi="Arial Narrow" w:cs="Calibri"/>
                <w:sz w:val="20"/>
                <w:szCs w:val="20"/>
              </w:rPr>
            </w:pPr>
            <w:r w:rsidRPr="004D49FB">
              <w:rPr>
                <w:rFonts w:ascii="Arial Narrow" w:hAnsi="Arial Narrow" w:cs="Calibri"/>
                <w:sz w:val="20"/>
                <w:szCs w:val="20"/>
              </w:rPr>
              <w:t>Inclusión</w:t>
            </w:r>
          </w:p>
        </w:tc>
      </w:tr>
      <w:tr w:rsidR="005D3AC5" w:rsidRPr="00740CD8" w14:paraId="0E9F9D7A" w14:textId="77777777" w:rsidTr="0044109D">
        <w:trPr>
          <w:trHeight w:val="198"/>
        </w:trPr>
        <w:tc>
          <w:tcPr>
            <w:tcW w:w="8789" w:type="dxa"/>
            <w:tcBorders>
              <w:top w:val="single" w:sz="2" w:space="0" w:color="auto"/>
              <w:left w:val="nil"/>
              <w:bottom w:val="single" w:sz="2" w:space="0" w:color="auto"/>
            </w:tcBorders>
            <w:shd w:val="clear" w:color="auto" w:fill="auto"/>
            <w:vAlign w:val="center"/>
          </w:tcPr>
          <w:p w14:paraId="46B7A772" w14:textId="77777777" w:rsidR="005D3AC5" w:rsidRPr="004D49FB" w:rsidRDefault="005D3AC5" w:rsidP="00FE27FF">
            <w:pPr>
              <w:pStyle w:val="Prrafodelista"/>
              <w:numPr>
                <w:ilvl w:val="0"/>
                <w:numId w:val="31"/>
              </w:numPr>
              <w:ind w:left="639" w:hanging="279"/>
              <w:rPr>
                <w:rFonts w:ascii="Arial Narrow" w:hAnsi="Arial Narrow" w:cs="Calibri"/>
                <w:sz w:val="20"/>
                <w:szCs w:val="20"/>
              </w:rPr>
            </w:pPr>
            <w:r w:rsidRPr="004D49FB">
              <w:rPr>
                <w:rFonts w:ascii="Arial Narrow" w:hAnsi="Arial Narrow" w:cs="Calibri"/>
                <w:sz w:val="20"/>
                <w:szCs w:val="20"/>
              </w:rPr>
              <w:t>Relación con el objeto del contrato</w:t>
            </w:r>
          </w:p>
        </w:tc>
      </w:tr>
      <w:tr w:rsidR="005D3AC5" w:rsidRPr="00740CD8" w14:paraId="07597036" w14:textId="77777777" w:rsidTr="0044109D">
        <w:trPr>
          <w:trHeight w:val="198"/>
        </w:trPr>
        <w:tc>
          <w:tcPr>
            <w:tcW w:w="8789" w:type="dxa"/>
            <w:tcBorders>
              <w:top w:val="single" w:sz="2" w:space="0" w:color="auto"/>
              <w:left w:val="nil"/>
              <w:bottom w:val="single" w:sz="4" w:space="0" w:color="auto"/>
            </w:tcBorders>
            <w:shd w:val="clear" w:color="auto" w:fill="auto"/>
            <w:vAlign w:val="center"/>
          </w:tcPr>
          <w:p w14:paraId="1C691BBA" w14:textId="77777777" w:rsidR="005D3AC5" w:rsidRPr="004D49FB" w:rsidRDefault="005D3AC5" w:rsidP="00FE27FF">
            <w:pPr>
              <w:pStyle w:val="Prrafodelista"/>
              <w:numPr>
                <w:ilvl w:val="0"/>
                <w:numId w:val="31"/>
              </w:numPr>
              <w:ind w:left="639" w:hanging="279"/>
              <w:rPr>
                <w:rFonts w:ascii="Arial Narrow" w:hAnsi="Arial Narrow" w:cs="Calibri"/>
                <w:sz w:val="20"/>
                <w:szCs w:val="20"/>
              </w:rPr>
            </w:pPr>
            <w:r w:rsidRPr="004D49FB">
              <w:rPr>
                <w:rFonts w:ascii="Arial Narrow" w:hAnsi="Arial Narrow" w:cs="Calibri"/>
                <w:sz w:val="20"/>
                <w:szCs w:val="20"/>
              </w:rPr>
              <w:t>Seguimiento y comprobación</w:t>
            </w:r>
          </w:p>
        </w:tc>
      </w:tr>
    </w:tbl>
    <w:p w14:paraId="0D327F98" w14:textId="77777777" w:rsidR="005D3AC5" w:rsidRDefault="005D3AC5" w:rsidP="00FE27FF">
      <w:pPr>
        <w:pStyle w:val="texto"/>
        <w:spacing w:before="240" w:after="120"/>
        <w:jc w:val="both"/>
      </w:pPr>
      <w:r>
        <w:lastRenderedPageBreak/>
        <w:t>No forman parte del alcance del trabajo los contratos de concesión de obras y de servicios públicos, ni tampoco la fase de ejecución contractual. Los expedientes que han sido revisados y han formado parte de la muestra seleccionad</w:t>
      </w:r>
      <w:r w:rsidR="0041028D">
        <w:t>a</w:t>
      </w:r>
      <w:r>
        <w:t xml:space="preserve"> están referenciados en el Apéndice 7 del informe, e indicamos lo siguiente: </w:t>
      </w:r>
    </w:p>
    <w:p w14:paraId="655591A1" w14:textId="77777777" w:rsidR="005D3AC5" w:rsidRDefault="005D3AC5" w:rsidP="008C2B8E">
      <w:pPr>
        <w:pStyle w:val="texto"/>
        <w:numPr>
          <w:ilvl w:val="0"/>
          <w:numId w:val="6"/>
        </w:numPr>
        <w:tabs>
          <w:tab w:val="clear" w:pos="360"/>
          <w:tab w:val="num" w:pos="300"/>
          <w:tab w:val="left" w:pos="480"/>
          <w:tab w:val="num" w:pos="600"/>
        </w:tabs>
        <w:spacing w:before="120"/>
        <w:ind w:firstLine="289"/>
        <w:jc w:val="both"/>
      </w:pPr>
      <w:r>
        <w:t>En el contrato de obra se ha seleccionado una muestra de 2</w:t>
      </w:r>
      <w:r w:rsidR="007B6ADB">
        <w:t>3</w:t>
      </w:r>
      <w:r>
        <w:t xml:space="preserve"> contratos, de los que, en dos de ellos, existen dos lotes respectivamente. Por lo que a efectos de nuestra revisión hemos considerado una muestra de 25 contratos.</w:t>
      </w:r>
    </w:p>
    <w:p w14:paraId="1EC0BC29" w14:textId="77777777" w:rsidR="005D3AC5" w:rsidRDefault="005D3AC5" w:rsidP="008C2B8E">
      <w:pPr>
        <w:pStyle w:val="texto"/>
        <w:numPr>
          <w:ilvl w:val="0"/>
          <w:numId w:val="6"/>
        </w:numPr>
        <w:tabs>
          <w:tab w:val="clear" w:pos="360"/>
          <w:tab w:val="num" w:pos="300"/>
          <w:tab w:val="left" w:pos="480"/>
          <w:tab w:val="num" w:pos="600"/>
        </w:tabs>
        <w:spacing w:before="120"/>
        <w:ind w:firstLine="289"/>
        <w:jc w:val="both"/>
      </w:pPr>
      <w:r>
        <w:t>En el contrato de suministro, se ha seleccionado una muestra de 11 contratos, de los que, en cinco de ellos no hay lotes y en el resto de ellos, existen lotes. Por lo que a efectos de nuestra revisión hemos considerado una muestra de 31 contratos.</w:t>
      </w:r>
    </w:p>
    <w:p w14:paraId="62FF2F3C" w14:textId="77777777" w:rsidR="005D3AC5" w:rsidRDefault="005D3AC5" w:rsidP="008C2B8E">
      <w:pPr>
        <w:pStyle w:val="texto"/>
        <w:numPr>
          <w:ilvl w:val="0"/>
          <w:numId w:val="6"/>
        </w:numPr>
        <w:tabs>
          <w:tab w:val="clear" w:pos="360"/>
          <w:tab w:val="num" w:pos="300"/>
          <w:tab w:val="left" w:pos="480"/>
          <w:tab w:val="num" w:pos="600"/>
        </w:tabs>
        <w:spacing w:before="120"/>
        <w:ind w:firstLine="289"/>
        <w:jc w:val="both"/>
      </w:pPr>
      <w:r>
        <w:t xml:space="preserve">En el contrato de servicios, se ha seleccionado una muestra de 13 contratos, de los que, en siete de ellos no hay lotes y en el resto de ellos, existen lotes. Por lo que a efectos de nuestra revisión hemos considerado una muestra de 26 contratos. </w:t>
      </w:r>
    </w:p>
    <w:p w14:paraId="72C3EF6E" w14:textId="77777777" w:rsidR="005D3AC5" w:rsidRDefault="005D3AC5" w:rsidP="005D3AC5">
      <w:pPr>
        <w:pStyle w:val="texto"/>
        <w:spacing w:after="240"/>
        <w:jc w:val="both"/>
      </w:pPr>
      <w:r>
        <w:t xml:space="preserve">Los resultados se reflejan en los siguientes cuadros: </w:t>
      </w:r>
    </w:p>
    <w:tbl>
      <w:tblPr>
        <w:tblW w:w="8922" w:type="dxa"/>
        <w:jc w:val="center"/>
        <w:tblCellMar>
          <w:left w:w="70" w:type="dxa"/>
          <w:right w:w="70" w:type="dxa"/>
        </w:tblCellMar>
        <w:tblLook w:val="04A0" w:firstRow="1" w:lastRow="0" w:firstColumn="1" w:lastColumn="0" w:noHBand="0" w:noVBand="1"/>
      </w:tblPr>
      <w:tblGrid>
        <w:gridCol w:w="1559"/>
        <w:gridCol w:w="1985"/>
        <w:gridCol w:w="709"/>
        <w:gridCol w:w="1559"/>
        <w:gridCol w:w="850"/>
        <w:gridCol w:w="1659"/>
        <w:gridCol w:w="601"/>
      </w:tblGrid>
      <w:tr w:rsidR="004D49FB" w:rsidRPr="00191BF0" w14:paraId="7AFF3C65" w14:textId="77777777" w:rsidTr="00E04706">
        <w:trPr>
          <w:trHeight w:val="255"/>
          <w:jc w:val="center"/>
        </w:trPr>
        <w:tc>
          <w:tcPr>
            <w:tcW w:w="1559" w:type="dxa"/>
            <w:vMerge w:val="restart"/>
            <w:tcBorders>
              <w:top w:val="single" w:sz="4" w:space="0" w:color="auto"/>
              <w:left w:val="nil"/>
              <w:right w:val="single" w:sz="2" w:space="0" w:color="auto"/>
            </w:tcBorders>
            <w:shd w:val="clear" w:color="000000" w:fill="95B3D7"/>
            <w:noWrap/>
            <w:vAlign w:val="center"/>
            <w:hideMark/>
          </w:tcPr>
          <w:p w14:paraId="61C5389C" w14:textId="77777777" w:rsidR="004D49FB" w:rsidRPr="00191BF0" w:rsidRDefault="004D49FB" w:rsidP="003D0EF2">
            <w:pPr>
              <w:rPr>
                <w:rFonts w:ascii="Arial" w:hAnsi="Arial" w:cs="Arial"/>
                <w:sz w:val="18"/>
                <w:szCs w:val="18"/>
              </w:rPr>
            </w:pPr>
            <w:r w:rsidRPr="00424743">
              <w:rPr>
                <w:rFonts w:ascii="Arial" w:hAnsi="Arial" w:cs="Arial"/>
                <w:color w:val="000000"/>
                <w:sz w:val="18"/>
                <w:szCs w:val="18"/>
              </w:rPr>
              <w:t>Nº de licitadores</w:t>
            </w:r>
          </w:p>
        </w:tc>
        <w:tc>
          <w:tcPr>
            <w:tcW w:w="2694" w:type="dxa"/>
            <w:gridSpan w:val="2"/>
            <w:tcBorders>
              <w:top w:val="single" w:sz="4" w:space="0" w:color="auto"/>
              <w:left w:val="single" w:sz="2" w:space="0" w:color="auto"/>
              <w:bottom w:val="single" w:sz="2" w:space="0" w:color="auto"/>
              <w:right w:val="single" w:sz="2" w:space="0" w:color="auto"/>
            </w:tcBorders>
            <w:shd w:val="clear" w:color="000000" w:fill="95B3D7"/>
            <w:noWrap/>
            <w:vAlign w:val="center"/>
            <w:hideMark/>
          </w:tcPr>
          <w:p w14:paraId="66199701" w14:textId="77777777" w:rsidR="004D49FB" w:rsidRPr="00191BF0" w:rsidRDefault="004D49FB" w:rsidP="003D0EF2">
            <w:pPr>
              <w:jc w:val="center"/>
              <w:rPr>
                <w:rFonts w:ascii="Arial" w:hAnsi="Arial" w:cs="Arial"/>
                <w:sz w:val="18"/>
                <w:szCs w:val="18"/>
              </w:rPr>
            </w:pPr>
            <w:r>
              <w:rPr>
                <w:rFonts w:ascii="Arial" w:hAnsi="Arial" w:cs="Arial"/>
                <w:sz w:val="18"/>
                <w:szCs w:val="18"/>
              </w:rPr>
              <w:t>Obra</w:t>
            </w:r>
          </w:p>
        </w:tc>
        <w:tc>
          <w:tcPr>
            <w:tcW w:w="2409" w:type="dxa"/>
            <w:gridSpan w:val="2"/>
            <w:tcBorders>
              <w:top w:val="single" w:sz="4" w:space="0" w:color="auto"/>
              <w:left w:val="single" w:sz="2" w:space="0" w:color="auto"/>
              <w:bottom w:val="single" w:sz="2" w:space="0" w:color="auto"/>
              <w:right w:val="single" w:sz="2" w:space="0" w:color="auto"/>
            </w:tcBorders>
            <w:shd w:val="clear" w:color="000000" w:fill="95B3D7"/>
            <w:noWrap/>
            <w:vAlign w:val="center"/>
            <w:hideMark/>
          </w:tcPr>
          <w:p w14:paraId="7EC2F580" w14:textId="77777777" w:rsidR="004D49FB" w:rsidRPr="00191BF0" w:rsidRDefault="004D49FB" w:rsidP="003D0EF2">
            <w:pPr>
              <w:jc w:val="center"/>
              <w:rPr>
                <w:rFonts w:ascii="Arial" w:hAnsi="Arial" w:cs="Arial"/>
                <w:sz w:val="18"/>
                <w:szCs w:val="18"/>
              </w:rPr>
            </w:pPr>
            <w:r>
              <w:rPr>
                <w:rFonts w:ascii="Arial" w:hAnsi="Arial" w:cs="Arial"/>
                <w:sz w:val="18"/>
                <w:szCs w:val="18"/>
              </w:rPr>
              <w:t>Suministro</w:t>
            </w:r>
          </w:p>
        </w:tc>
        <w:tc>
          <w:tcPr>
            <w:tcW w:w="2260" w:type="dxa"/>
            <w:gridSpan w:val="2"/>
            <w:tcBorders>
              <w:top w:val="single" w:sz="2" w:space="0" w:color="auto"/>
              <w:left w:val="single" w:sz="2" w:space="0" w:color="auto"/>
              <w:bottom w:val="single" w:sz="2" w:space="0" w:color="auto"/>
            </w:tcBorders>
            <w:shd w:val="clear" w:color="000000" w:fill="95B3D7"/>
            <w:vAlign w:val="center"/>
          </w:tcPr>
          <w:p w14:paraId="18511E2C" w14:textId="77777777" w:rsidR="004D49FB" w:rsidRPr="00191BF0" w:rsidRDefault="004D49FB" w:rsidP="003D0EF2">
            <w:pPr>
              <w:jc w:val="center"/>
              <w:rPr>
                <w:rFonts w:ascii="Arial" w:hAnsi="Arial" w:cs="Arial"/>
                <w:sz w:val="18"/>
                <w:szCs w:val="18"/>
              </w:rPr>
            </w:pPr>
            <w:r>
              <w:rPr>
                <w:rFonts w:ascii="Arial" w:hAnsi="Arial" w:cs="Arial"/>
                <w:sz w:val="18"/>
                <w:szCs w:val="18"/>
              </w:rPr>
              <w:t>Servicio</w:t>
            </w:r>
          </w:p>
        </w:tc>
      </w:tr>
      <w:tr w:rsidR="004D49FB" w:rsidRPr="00424743" w14:paraId="7B459531" w14:textId="77777777" w:rsidTr="00E04706">
        <w:trPr>
          <w:trHeight w:val="255"/>
          <w:jc w:val="center"/>
        </w:trPr>
        <w:tc>
          <w:tcPr>
            <w:tcW w:w="1559" w:type="dxa"/>
            <w:vMerge/>
            <w:tcBorders>
              <w:left w:val="nil"/>
              <w:bottom w:val="single" w:sz="4" w:space="0" w:color="auto"/>
              <w:right w:val="single" w:sz="2" w:space="0" w:color="auto"/>
            </w:tcBorders>
            <w:shd w:val="clear" w:color="000000" w:fill="95B3D7"/>
            <w:noWrap/>
            <w:hideMark/>
          </w:tcPr>
          <w:p w14:paraId="2CBCFAA9" w14:textId="77777777" w:rsidR="004D49FB" w:rsidRPr="00424743" w:rsidRDefault="004D49FB" w:rsidP="003D0EF2">
            <w:pPr>
              <w:rPr>
                <w:rFonts w:ascii="Arial" w:hAnsi="Arial" w:cs="Arial"/>
                <w:color w:val="000000"/>
                <w:sz w:val="18"/>
                <w:szCs w:val="18"/>
              </w:rPr>
            </w:pPr>
          </w:p>
        </w:tc>
        <w:tc>
          <w:tcPr>
            <w:tcW w:w="1985" w:type="dxa"/>
            <w:tcBorders>
              <w:top w:val="single" w:sz="2" w:space="0" w:color="auto"/>
              <w:left w:val="single" w:sz="2" w:space="0" w:color="auto"/>
              <w:bottom w:val="single" w:sz="4" w:space="0" w:color="auto"/>
              <w:right w:val="single" w:sz="4" w:space="0" w:color="auto"/>
            </w:tcBorders>
            <w:shd w:val="clear" w:color="000000" w:fill="95B3D7"/>
            <w:noWrap/>
            <w:vAlign w:val="center"/>
            <w:hideMark/>
          </w:tcPr>
          <w:p w14:paraId="68E8E48F"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Nº de contratos</w:t>
            </w:r>
          </w:p>
        </w:tc>
        <w:tc>
          <w:tcPr>
            <w:tcW w:w="709" w:type="dxa"/>
            <w:tcBorders>
              <w:top w:val="single" w:sz="2" w:space="0" w:color="auto"/>
              <w:left w:val="single" w:sz="4" w:space="0" w:color="auto"/>
              <w:bottom w:val="single" w:sz="4" w:space="0" w:color="auto"/>
              <w:right w:val="single" w:sz="2" w:space="0" w:color="auto"/>
            </w:tcBorders>
            <w:shd w:val="clear" w:color="000000" w:fill="95B3D7"/>
            <w:noWrap/>
            <w:vAlign w:val="center"/>
            <w:hideMark/>
          </w:tcPr>
          <w:p w14:paraId="49952082"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w:t>
            </w:r>
          </w:p>
        </w:tc>
        <w:tc>
          <w:tcPr>
            <w:tcW w:w="1559" w:type="dxa"/>
            <w:tcBorders>
              <w:top w:val="single" w:sz="2" w:space="0" w:color="auto"/>
              <w:left w:val="single" w:sz="2" w:space="0" w:color="auto"/>
              <w:bottom w:val="single" w:sz="2" w:space="0" w:color="auto"/>
              <w:right w:val="single" w:sz="4" w:space="0" w:color="auto"/>
            </w:tcBorders>
            <w:shd w:val="clear" w:color="000000" w:fill="95B3D7"/>
            <w:vAlign w:val="center"/>
          </w:tcPr>
          <w:p w14:paraId="790CFDE7"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Nº de contratos</w:t>
            </w:r>
          </w:p>
        </w:tc>
        <w:tc>
          <w:tcPr>
            <w:tcW w:w="850" w:type="dxa"/>
            <w:tcBorders>
              <w:top w:val="single" w:sz="2" w:space="0" w:color="auto"/>
              <w:left w:val="single" w:sz="4" w:space="0" w:color="auto"/>
              <w:bottom w:val="single" w:sz="2" w:space="0" w:color="auto"/>
              <w:right w:val="single" w:sz="2" w:space="0" w:color="auto"/>
            </w:tcBorders>
            <w:shd w:val="clear" w:color="000000" w:fill="95B3D7"/>
            <w:vAlign w:val="center"/>
          </w:tcPr>
          <w:p w14:paraId="02758F97"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w:t>
            </w:r>
          </w:p>
        </w:tc>
        <w:tc>
          <w:tcPr>
            <w:tcW w:w="1659" w:type="dxa"/>
            <w:tcBorders>
              <w:top w:val="single" w:sz="2" w:space="0" w:color="auto"/>
              <w:left w:val="single" w:sz="2" w:space="0" w:color="auto"/>
              <w:bottom w:val="single" w:sz="4" w:space="0" w:color="auto"/>
              <w:right w:val="single" w:sz="4" w:space="0" w:color="auto"/>
            </w:tcBorders>
            <w:shd w:val="clear" w:color="000000" w:fill="95B3D7"/>
            <w:vAlign w:val="center"/>
          </w:tcPr>
          <w:p w14:paraId="73125351" w14:textId="77777777" w:rsidR="004D49FB" w:rsidRPr="00424743" w:rsidRDefault="004D49FB" w:rsidP="003D0EF2">
            <w:pPr>
              <w:jc w:val="center"/>
              <w:rPr>
                <w:rFonts w:ascii="Arial" w:hAnsi="Arial" w:cs="Arial"/>
                <w:color w:val="000000"/>
                <w:sz w:val="18"/>
                <w:szCs w:val="18"/>
              </w:rPr>
            </w:pPr>
            <w:r w:rsidRPr="00424743">
              <w:rPr>
                <w:rFonts w:ascii="Arial" w:hAnsi="Arial" w:cs="Arial"/>
                <w:color w:val="000000"/>
                <w:sz w:val="18"/>
                <w:szCs w:val="18"/>
              </w:rPr>
              <w:t>Nº de contratos</w:t>
            </w:r>
          </w:p>
        </w:tc>
        <w:tc>
          <w:tcPr>
            <w:tcW w:w="601" w:type="dxa"/>
            <w:tcBorders>
              <w:top w:val="single" w:sz="2" w:space="0" w:color="auto"/>
              <w:left w:val="single" w:sz="4" w:space="0" w:color="auto"/>
              <w:bottom w:val="single" w:sz="4" w:space="0" w:color="auto"/>
            </w:tcBorders>
            <w:shd w:val="clear" w:color="000000" w:fill="95B3D7"/>
            <w:vAlign w:val="center"/>
          </w:tcPr>
          <w:p w14:paraId="211344DD"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w:t>
            </w:r>
          </w:p>
        </w:tc>
      </w:tr>
      <w:tr w:rsidR="005D3AC5" w:rsidRPr="002A22CC" w14:paraId="562C566A" w14:textId="77777777" w:rsidTr="00E04706">
        <w:trPr>
          <w:trHeight w:val="198"/>
          <w:jc w:val="center"/>
        </w:trPr>
        <w:tc>
          <w:tcPr>
            <w:tcW w:w="1559" w:type="dxa"/>
            <w:tcBorders>
              <w:top w:val="single" w:sz="4" w:space="0" w:color="auto"/>
              <w:left w:val="nil"/>
              <w:bottom w:val="single" w:sz="2" w:space="0" w:color="auto"/>
              <w:right w:val="single" w:sz="2" w:space="0" w:color="auto"/>
            </w:tcBorders>
            <w:shd w:val="clear" w:color="auto" w:fill="auto"/>
            <w:noWrap/>
            <w:vAlign w:val="center"/>
          </w:tcPr>
          <w:p w14:paraId="377980DF" w14:textId="77777777" w:rsidR="005D3AC5" w:rsidRPr="00C67EED" w:rsidRDefault="005D3AC5" w:rsidP="003D0EF2">
            <w:pPr>
              <w:rPr>
                <w:rFonts w:ascii="Arial Narrow" w:hAnsi="Arial Narrow" w:cs="Calibri"/>
                <w:color w:val="000000"/>
                <w:sz w:val="20"/>
                <w:szCs w:val="20"/>
              </w:rPr>
            </w:pPr>
            <w:r w:rsidRPr="00C67EED">
              <w:rPr>
                <w:rFonts w:ascii="Arial Narrow" w:hAnsi="Arial Narrow" w:cs="Calibri"/>
                <w:color w:val="000000"/>
                <w:sz w:val="20"/>
                <w:szCs w:val="20"/>
              </w:rPr>
              <w:t>0</w:t>
            </w:r>
          </w:p>
        </w:tc>
        <w:tc>
          <w:tcPr>
            <w:tcW w:w="1985" w:type="dxa"/>
            <w:tcBorders>
              <w:top w:val="single" w:sz="4" w:space="0" w:color="auto"/>
              <w:left w:val="single" w:sz="2" w:space="0" w:color="auto"/>
              <w:bottom w:val="single" w:sz="2" w:space="0" w:color="auto"/>
              <w:right w:val="single" w:sz="2" w:space="0" w:color="auto"/>
            </w:tcBorders>
            <w:shd w:val="clear" w:color="auto" w:fill="auto"/>
            <w:noWrap/>
            <w:vAlign w:val="center"/>
          </w:tcPr>
          <w:p w14:paraId="4B51BF75" w14:textId="77777777" w:rsidR="005D3AC5" w:rsidRPr="00C67EED" w:rsidRDefault="005D3AC5" w:rsidP="003D0EF2">
            <w:pPr>
              <w:jc w:val="right"/>
              <w:rPr>
                <w:rFonts w:ascii="Arial Narrow" w:hAnsi="Arial Narrow" w:cs="Calibri"/>
                <w:color w:val="000000"/>
                <w:sz w:val="20"/>
                <w:szCs w:val="20"/>
              </w:rPr>
            </w:pPr>
            <w:r w:rsidRPr="00C67EED">
              <w:rPr>
                <w:rFonts w:ascii="Arial Narrow" w:hAnsi="Arial Narrow" w:cs="Calibri"/>
                <w:color w:val="000000"/>
                <w:sz w:val="20"/>
                <w:szCs w:val="20"/>
              </w:rPr>
              <w:t>-</w:t>
            </w:r>
          </w:p>
        </w:tc>
        <w:tc>
          <w:tcPr>
            <w:tcW w:w="709" w:type="dxa"/>
            <w:tcBorders>
              <w:top w:val="single" w:sz="4" w:space="0" w:color="auto"/>
              <w:left w:val="single" w:sz="2" w:space="0" w:color="auto"/>
              <w:bottom w:val="single" w:sz="2" w:space="0" w:color="auto"/>
              <w:right w:val="single" w:sz="2" w:space="0" w:color="auto"/>
            </w:tcBorders>
            <w:shd w:val="clear" w:color="auto" w:fill="auto"/>
            <w:noWrap/>
            <w:vAlign w:val="center"/>
          </w:tcPr>
          <w:p w14:paraId="1A2ABA2E" w14:textId="77777777" w:rsidR="005D3AC5" w:rsidRPr="00C67EED" w:rsidRDefault="005D3AC5" w:rsidP="003D0EF2">
            <w:pPr>
              <w:jc w:val="right"/>
              <w:rPr>
                <w:rFonts w:ascii="Arial Narrow" w:hAnsi="Arial Narrow" w:cs="Calibri"/>
                <w:color w:val="000000"/>
                <w:sz w:val="20"/>
                <w:szCs w:val="20"/>
              </w:rPr>
            </w:pPr>
            <w:r w:rsidRPr="00C67EED">
              <w:rPr>
                <w:rFonts w:ascii="Arial Narrow" w:hAnsi="Arial Narrow" w:cs="Calibri"/>
                <w:color w:val="000000"/>
                <w:sz w:val="20"/>
                <w:szCs w:val="20"/>
              </w:rPr>
              <w:t>-</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743545E8" w14:textId="77777777" w:rsidR="005D3AC5" w:rsidRPr="00C67EED" w:rsidRDefault="005D3AC5" w:rsidP="003D0EF2">
            <w:pPr>
              <w:jc w:val="right"/>
              <w:rPr>
                <w:rFonts w:ascii="Arial Narrow" w:hAnsi="Arial Narrow" w:cs="Calibri"/>
                <w:color w:val="000000"/>
                <w:sz w:val="20"/>
                <w:szCs w:val="20"/>
              </w:rPr>
            </w:pPr>
            <w:r w:rsidRPr="00C67EED">
              <w:rPr>
                <w:rFonts w:ascii="Arial Narrow" w:hAnsi="Arial Narrow" w:cs="Calibri"/>
                <w:color w:val="000000"/>
                <w:sz w:val="20"/>
                <w:szCs w:val="20"/>
              </w:rPr>
              <w:t>2</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3AC7D542" w14:textId="77777777" w:rsidR="005D3AC5" w:rsidRPr="00C67EED" w:rsidRDefault="005D3AC5" w:rsidP="00D45736">
            <w:pPr>
              <w:jc w:val="right"/>
              <w:rPr>
                <w:rFonts w:ascii="Arial Narrow" w:hAnsi="Arial Narrow" w:cs="Calibri"/>
                <w:color w:val="000000"/>
                <w:sz w:val="20"/>
                <w:szCs w:val="20"/>
              </w:rPr>
            </w:pPr>
            <w:r w:rsidRPr="00C67EED">
              <w:rPr>
                <w:rFonts w:ascii="Arial Narrow" w:hAnsi="Arial Narrow" w:cs="Calibri"/>
                <w:color w:val="000000"/>
                <w:sz w:val="20"/>
                <w:szCs w:val="20"/>
              </w:rPr>
              <w:t>6</w:t>
            </w:r>
          </w:p>
        </w:tc>
        <w:tc>
          <w:tcPr>
            <w:tcW w:w="1659" w:type="dxa"/>
            <w:tcBorders>
              <w:top w:val="single" w:sz="4" w:space="0" w:color="auto"/>
              <w:left w:val="single" w:sz="2" w:space="0" w:color="auto"/>
              <w:bottom w:val="single" w:sz="2" w:space="0" w:color="auto"/>
              <w:right w:val="single" w:sz="2" w:space="0" w:color="auto"/>
            </w:tcBorders>
            <w:shd w:val="clear" w:color="auto" w:fill="auto"/>
            <w:vAlign w:val="center"/>
          </w:tcPr>
          <w:p w14:paraId="1F4D281C" w14:textId="77777777" w:rsidR="005D3AC5" w:rsidRPr="00C67EED" w:rsidRDefault="005D3AC5" w:rsidP="003D0EF2">
            <w:pPr>
              <w:jc w:val="right"/>
              <w:rPr>
                <w:rFonts w:ascii="Arial Narrow" w:hAnsi="Arial Narrow" w:cs="Calibri"/>
                <w:color w:val="000000"/>
                <w:sz w:val="20"/>
                <w:szCs w:val="20"/>
              </w:rPr>
            </w:pPr>
            <w:r w:rsidRPr="00C67EED">
              <w:rPr>
                <w:rFonts w:ascii="Arial Narrow" w:hAnsi="Arial Narrow" w:cs="Calibri"/>
                <w:color w:val="000000"/>
                <w:sz w:val="20"/>
                <w:szCs w:val="20"/>
              </w:rPr>
              <w:t>-</w:t>
            </w:r>
          </w:p>
        </w:tc>
        <w:tc>
          <w:tcPr>
            <w:tcW w:w="601" w:type="dxa"/>
            <w:tcBorders>
              <w:top w:val="single" w:sz="4" w:space="0" w:color="auto"/>
              <w:left w:val="single" w:sz="2" w:space="0" w:color="auto"/>
              <w:bottom w:val="single" w:sz="2" w:space="0" w:color="auto"/>
            </w:tcBorders>
            <w:shd w:val="clear" w:color="auto" w:fill="auto"/>
            <w:vAlign w:val="center"/>
          </w:tcPr>
          <w:p w14:paraId="6E08798F" w14:textId="77777777" w:rsidR="005D3AC5" w:rsidRPr="00C67EED" w:rsidRDefault="005D3AC5" w:rsidP="003D0EF2">
            <w:pPr>
              <w:jc w:val="right"/>
              <w:rPr>
                <w:rFonts w:ascii="Arial Narrow" w:hAnsi="Arial Narrow" w:cs="Calibri"/>
                <w:color w:val="000000"/>
                <w:sz w:val="20"/>
                <w:szCs w:val="20"/>
              </w:rPr>
            </w:pPr>
            <w:r w:rsidRPr="00C67EED">
              <w:rPr>
                <w:rFonts w:ascii="Arial Narrow" w:hAnsi="Arial Narrow" w:cs="Calibri"/>
                <w:color w:val="000000"/>
                <w:sz w:val="20"/>
                <w:szCs w:val="20"/>
              </w:rPr>
              <w:t>-</w:t>
            </w:r>
          </w:p>
        </w:tc>
      </w:tr>
      <w:tr w:rsidR="005D3AC5" w:rsidRPr="002A22CC" w14:paraId="692A7B63" w14:textId="77777777" w:rsidTr="00C67EED">
        <w:trPr>
          <w:trHeight w:val="198"/>
          <w:jc w:val="center"/>
        </w:trPr>
        <w:tc>
          <w:tcPr>
            <w:tcW w:w="1559" w:type="dxa"/>
            <w:tcBorders>
              <w:top w:val="single" w:sz="2" w:space="0" w:color="auto"/>
              <w:left w:val="nil"/>
              <w:bottom w:val="single" w:sz="2" w:space="0" w:color="auto"/>
              <w:right w:val="single" w:sz="2" w:space="0" w:color="auto"/>
            </w:tcBorders>
            <w:shd w:val="clear" w:color="auto" w:fill="auto"/>
            <w:noWrap/>
            <w:vAlign w:val="center"/>
            <w:hideMark/>
          </w:tcPr>
          <w:p w14:paraId="7DFBF6E6" w14:textId="77777777" w:rsidR="005D3AC5" w:rsidRPr="00C67EED" w:rsidRDefault="005D3AC5" w:rsidP="003D0EF2">
            <w:pPr>
              <w:rPr>
                <w:rFonts w:ascii="Arial Narrow" w:hAnsi="Arial Narrow" w:cs="Calibri"/>
                <w:color w:val="000000"/>
                <w:sz w:val="20"/>
                <w:szCs w:val="20"/>
              </w:rPr>
            </w:pPr>
            <w:r w:rsidRPr="00C67EED">
              <w:rPr>
                <w:rFonts w:ascii="Arial Narrow" w:hAnsi="Arial Narrow" w:cs="Calibri"/>
                <w:color w:val="000000"/>
                <w:sz w:val="20"/>
                <w:szCs w:val="20"/>
              </w:rPr>
              <w:t>1</w:t>
            </w:r>
          </w:p>
        </w:tc>
        <w:tc>
          <w:tcPr>
            <w:tcW w:w="198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63BBFF4" w14:textId="77777777" w:rsidR="005D3AC5" w:rsidRPr="00C67EED" w:rsidRDefault="005D3AC5" w:rsidP="003D0EF2">
            <w:pPr>
              <w:jc w:val="right"/>
              <w:rPr>
                <w:rFonts w:ascii="Arial Narrow" w:hAnsi="Arial Narrow" w:cs="Calibri"/>
                <w:color w:val="000000"/>
                <w:sz w:val="20"/>
                <w:szCs w:val="20"/>
              </w:rPr>
            </w:pPr>
            <w:r w:rsidRPr="00C67EED">
              <w:rPr>
                <w:rFonts w:ascii="Arial Narrow" w:hAnsi="Arial Narrow" w:cs="Calibri"/>
                <w:color w:val="000000"/>
                <w:sz w:val="20"/>
                <w:szCs w:val="20"/>
              </w:rPr>
              <w:t>4</w:t>
            </w: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D3FCAC7" w14:textId="77777777" w:rsidR="005D3AC5" w:rsidRPr="00C67EED" w:rsidRDefault="005D3AC5" w:rsidP="00D45736">
            <w:pPr>
              <w:jc w:val="right"/>
              <w:rPr>
                <w:rFonts w:ascii="Arial Narrow" w:hAnsi="Arial Narrow" w:cs="Calibri"/>
                <w:color w:val="000000"/>
                <w:sz w:val="20"/>
                <w:szCs w:val="20"/>
              </w:rPr>
            </w:pPr>
            <w:r w:rsidRPr="00C67EED">
              <w:rPr>
                <w:rFonts w:ascii="Arial Narrow" w:hAnsi="Arial Narrow" w:cs="Calibri"/>
                <w:color w:val="000000"/>
                <w:sz w:val="20"/>
                <w:szCs w:val="20"/>
              </w:rPr>
              <w:t>16</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13533E04" w14:textId="77777777" w:rsidR="005D3AC5" w:rsidRPr="00C67EED" w:rsidRDefault="005D3AC5" w:rsidP="003D0EF2">
            <w:pPr>
              <w:jc w:val="right"/>
              <w:rPr>
                <w:rFonts w:ascii="Arial Narrow" w:hAnsi="Arial Narrow" w:cs="Calibri"/>
                <w:color w:val="000000"/>
                <w:sz w:val="20"/>
                <w:szCs w:val="20"/>
              </w:rPr>
            </w:pPr>
            <w:r w:rsidRPr="00C67EED">
              <w:rPr>
                <w:rFonts w:ascii="Arial Narrow" w:hAnsi="Arial Narrow" w:cs="Calibri"/>
                <w:color w:val="000000"/>
                <w:sz w:val="20"/>
                <w:szCs w:val="20"/>
              </w:rPr>
              <w:t>16</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7B7ECD88" w14:textId="77777777" w:rsidR="005D3AC5" w:rsidRPr="00C67EED" w:rsidRDefault="005D3AC5" w:rsidP="00D45736">
            <w:pPr>
              <w:jc w:val="right"/>
              <w:rPr>
                <w:rFonts w:ascii="Arial Narrow" w:hAnsi="Arial Narrow" w:cs="Calibri"/>
                <w:color w:val="000000"/>
                <w:sz w:val="20"/>
                <w:szCs w:val="20"/>
              </w:rPr>
            </w:pPr>
            <w:r w:rsidRPr="00C67EED">
              <w:rPr>
                <w:rFonts w:ascii="Arial Narrow" w:hAnsi="Arial Narrow" w:cs="Calibri"/>
                <w:color w:val="000000"/>
                <w:sz w:val="20"/>
                <w:szCs w:val="20"/>
              </w:rPr>
              <w:t>52</w:t>
            </w:r>
          </w:p>
        </w:tc>
        <w:tc>
          <w:tcPr>
            <w:tcW w:w="1659" w:type="dxa"/>
            <w:tcBorders>
              <w:top w:val="single" w:sz="2" w:space="0" w:color="auto"/>
              <w:left w:val="single" w:sz="2" w:space="0" w:color="auto"/>
              <w:bottom w:val="single" w:sz="2" w:space="0" w:color="auto"/>
              <w:right w:val="single" w:sz="2" w:space="0" w:color="auto"/>
            </w:tcBorders>
            <w:shd w:val="clear" w:color="auto" w:fill="auto"/>
            <w:vAlign w:val="center"/>
          </w:tcPr>
          <w:p w14:paraId="4A9FCF72" w14:textId="77777777" w:rsidR="005D3AC5" w:rsidRPr="00C67EED" w:rsidRDefault="005D3AC5" w:rsidP="003D0EF2">
            <w:pPr>
              <w:jc w:val="right"/>
              <w:rPr>
                <w:rFonts w:ascii="Arial Narrow" w:hAnsi="Arial Narrow" w:cs="Calibri"/>
                <w:color w:val="000000"/>
                <w:sz w:val="20"/>
                <w:szCs w:val="20"/>
              </w:rPr>
            </w:pPr>
            <w:r w:rsidRPr="00C67EED">
              <w:rPr>
                <w:rFonts w:ascii="Arial Narrow" w:hAnsi="Arial Narrow" w:cs="Calibri"/>
                <w:color w:val="000000"/>
                <w:sz w:val="20"/>
                <w:szCs w:val="20"/>
              </w:rPr>
              <w:t>13</w:t>
            </w:r>
          </w:p>
        </w:tc>
        <w:tc>
          <w:tcPr>
            <w:tcW w:w="601" w:type="dxa"/>
            <w:tcBorders>
              <w:top w:val="single" w:sz="2" w:space="0" w:color="auto"/>
              <w:left w:val="single" w:sz="2" w:space="0" w:color="auto"/>
              <w:bottom w:val="single" w:sz="2" w:space="0" w:color="auto"/>
            </w:tcBorders>
            <w:shd w:val="clear" w:color="auto" w:fill="auto"/>
            <w:vAlign w:val="center"/>
          </w:tcPr>
          <w:p w14:paraId="6FE617C3" w14:textId="77777777" w:rsidR="005D3AC5" w:rsidRPr="00C67EED" w:rsidRDefault="005D3AC5" w:rsidP="00D45736">
            <w:pPr>
              <w:jc w:val="right"/>
              <w:rPr>
                <w:rFonts w:ascii="Arial Narrow" w:hAnsi="Arial Narrow" w:cs="Calibri"/>
                <w:color w:val="000000"/>
                <w:sz w:val="20"/>
                <w:szCs w:val="20"/>
              </w:rPr>
            </w:pPr>
            <w:r w:rsidRPr="00C67EED">
              <w:rPr>
                <w:rFonts w:ascii="Arial Narrow" w:hAnsi="Arial Narrow" w:cs="Calibri"/>
                <w:color w:val="000000"/>
                <w:sz w:val="20"/>
                <w:szCs w:val="20"/>
              </w:rPr>
              <w:t>50</w:t>
            </w:r>
          </w:p>
        </w:tc>
      </w:tr>
      <w:tr w:rsidR="005D3AC5" w:rsidRPr="002A22CC" w14:paraId="124FED73" w14:textId="77777777" w:rsidTr="00C67EED">
        <w:trPr>
          <w:trHeight w:val="198"/>
          <w:jc w:val="center"/>
        </w:trPr>
        <w:tc>
          <w:tcPr>
            <w:tcW w:w="1559" w:type="dxa"/>
            <w:tcBorders>
              <w:top w:val="single" w:sz="2" w:space="0" w:color="auto"/>
              <w:left w:val="nil"/>
              <w:bottom w:val="single" w:sz="2" w:space="0" w:color="auto"/>
              <w:right w:val="single" w:sz="2" w:space="0" w:color="auto"/>
            </w:tcBorders>
            <w:shd w:val="clear" w:color="auto" w:fill="auto"/>
            <w:noWrap/>
            <w:vAlign w:val="center"/>
            <w:hideMark/>
          </w:tcPr>
          <w:p w14:paraId="1DCC865E" w14:textId="77777777" w:rsidR="005D3AC5" w:rsidRPr="00C67EED" w:rsidRDefault="005D3AC5" w:rsidP="003D0EF2">
            <w:pPr>
              <w:rPr>
                <w:rFonts w:ascii="Arial Narrow" w:hAnsi="Arial Narrow" w:cs="Calibri"/>
                <w:color w:val="000000"/>
                <w:sz w:val="20"/>
                <w:szCs w:val="20"/>
              </w:rPr>
            </w:pPr>
            <w:r w:rsidRPr="00C67EED">
              <w:rPr>
                <w:rFonts w:ascii="Arial Narrow" w:hAnsi="Arial Narrow" w:cs="Calibri"/>
                <w:color w:val="000000"/>
                <w:sz w:val="20"/>
                <w:szCs w:val="20"/>
              </w:rPr>
              <w:t>2</w:t>
            </w:r>
          </w:p>
        </w:tc>
        <w:tc>
          <w:tcPr>
            <w:tcW w:w="198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A4B9239" w14:textId="77777777" w:rsidR="005D3AC5" w:rsidRPr="00C67EED" w:rsidRDefault="005D3AC5" w:rsidP="003D0EF2">
            <w:pPr>
              <w:jc w:val="right"/>
              <w:rPr>
                <w:rFonts w:ascii="Arial Narrow" w:hAnsi="Arial Narrow" w:cs="Calibri"/>
                <w:color w:val="000000"/>
                <w:sz w:val="20"/>
                <w:szCs w:val="20"/>
              </w:rPr>
            </w:pPr>
            <w:r w:rsidRPr="00C67EED">
              <w:rPr>
                <w:rFonts w:ascii="Arial Narrow" w:hAnsi="Arial Narrow" w:cs="Calibri"/>
                <w:color w:val="000000"/>
                <w:sz w:val="20"/>
                <w:szCs w:val="20"/>
              </w:rPr>
              <w:t>5</w:t>
            </w: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03578E3" w14:textId="77777777" w:rsidR="005D3AC5" w:rsidRPr="00C67EED" w:rsidRDefault="005D3AC5" w:rsidP="00D45736">
            <w:pPr>
              <w:jc w:val="right"/>
              <w:rPr>
                <w:rFonts w:ascii="Arial Narrow" w:hAnsi="Arial Narrow" w:cs="Calibri"/>
                <w:color w:val="000000"/>
                <w:sz w:val="20"/>
                <w:szCs w:val="20"/>
              </w:rPr>
            </w:pPr>
            <w:r w:rsidRPr="00C67EED">
              <w:rPr>
                <w:rFonts w:ascii="Arial Narrow" w:hAnsi="Arial Narrow" w:cs="Calibri"/>
                <w:color w:val="000000"/>
                <w:sz w:val="20"/>
                <w:szCs w:val="20"/>
              </w:rPr>
              <w:t>20</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2E6B70B0" w14:textId="77777777" w:rsidR="005D3AC5" w:rsidRPr="00C67EED" w:rsidRDefault="005D3AC5" w:rsidP="003D0EF2">
            <w:pPr>
              <w:jc w:val="right"/>
              <w:rPr>
                <w:rFonts w:ascii="Arial Narrow" w:hAnsi="Arial Narrow" w:cs="Calibri"/>
                <w:color w:val="000000"/>
                <w:sz w:val="20"/>
                <w:szCs w:val="20"/>
              </w:rPr>
            </w:pPr>
            <w:r w:rsidRPr="00C67EED">
              <w:rPr>
                <w:rFonts w:ascii="Arial Narrow" w:hAnsi="Arial Narrow" w:cs="Calibri"/>
                <w:color w:val="000000"/>
                <w:sz w:val="20"/>
                <w:szCs w:val="20"/>
              </w:rPr>
              <w:t>10</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6ACEC9B4" w14:textId="77777777" w:rsidR="005D3AC5" w:rsidRPr="00C67EED" w:rsidRDefault="005D3AC5" w:rsidP="00D45736">
            <w:pPr>
              <w:jc w:val="right"/>
              <w:rPr>
                <w:rFonts w:ascii="Arial Narrow" w:hAnsi="Arial Narrow" w:cs="Calibri"/>
                <w:color w:val="000000"/>
                <w:sz w:val="20"/>
                <w:szCs w:val="20"/>
              </w:rPr>
            </w:pPr>
            <w:r w:rsidRPr="00C67EED">
              <w:rPr>
                <w:rFonts w:ascii="Arial Narrow" w:hAnsi="Arial Narrow" w:cs="Calibri"/>
                <w:color w:val="000000"/>
                <w:sz w:val="20"/>
                <w:szCs w:val="20"/>
              </w:rPr>
              <w:t>32</w:t>
            </w:r>
          </w:p>
        </w:tc>
        <w:tc>
          <w:tcPr>
            <w:tcW w:w="1659" w:type="dxa"/>
            <w:tcBorders>
              <w:top w:val="single" w:sz="2" w:space="0" w:color="auto"/>
              <w:left w:val="single" w:sz="2" w:space="0" w:color="auto"/>
              <w:bottom w:val="single" w:sz="2" w:space="0" w:color="auto"/>
              <w:right w:val="single" w:sz="2" w:space="0" w:color="auto"/>
            </w:tcBorders>
            <w:shd w:val="clear" w:color="auto" w:fill="auto"/>
            <w:vAlign w:val="center"/>
          </w:tcPr>
          <w:p w14:paraId="1A1D0052" w14:textId="77777777" w:rsidR="005D3AC5" w:rsidRPr="00C67EED" w:rsidRDefault="005D3AC5" w:rsidP="003D0EF2">
            <w:pPr>
              <w:jc w:val="right"/>
              <w:rPr>
                <w:rFonts w:ascii="Arial Narrow" w:hAnsi="Arial Narrow" w:cs="Calibri"/>
                <w:color w:val="000000"/>
                <w:sz w:val="20"/>
                <w:szCs w:val="20"/>
              </w:rPr>
            </w:pPr>
            <w:r w:rsidRPr="00C67EED">
              <w:rPr>
                <w:rFonts w:ascii="Arial Narrow" w:hAnsi="Arial Narrow" w:cs="Calibri"/>
                <w:color w:val="000000"/>
                <w:sz w:val="20"/>
                <w:szCs w:val="20"/>
              </w:rPr>
              <w:t>4</w:t>
            </w:r>
          </w:p>
        </w:tc>
        <w:tc>
          <w:tcPr>
            <w:tcW w:w="601" w:type="dxa"/>
            <w:tcBorders>
              <w:top w:val="single" w:sz="2" w:space="0" w:color="auto"/>
              <w:left w:val="single" w:sz="2" w:space="0" w:color="auto"/>
              <w:bottom w:val="single" w:sz="2" w:space="0" w:color="auto"/>
            </w:tcBorders>
            <w:shd w:val="clear" w:color="auto" w:fill="auto"/>
            <w:vAlign w:val="center"/>
          </w:tcPr>
          <w:p w14:paraId="65A1FC10" w14:textId="77777777" w:rsidR="005D3AC5" w:rsidRPr="00C67EED" w:rsidRDefault="005D3AC5" w:rsidP="00D45736">
            <w:pPr>
              <w:jc w:val="right"/>
              <w:rPr>
                <w:rFonts w:ascii="Arial Narrow" w:hAnsi="Arial Narrow" w:cs="Calibri"/>
                <w:color w:val="000000"/>
                <w:sz w:val="20"/>
                <w:szCs w:val="20"/>
              </w:rPr>
            </w:pPr>
            <w:r w:rsidRPr="00C67EED">
              <w:rPr>
                <w:rFonts w:ascii="Arial Narrow" w:hAnsi="Arial Narrow" w:cs="Calibri"/>
                <w:color w:val="000000"/>
                <w:sz w:val="20"/>
                <w:szCs w:val="20"/>
              </w:rPr>
              <w:t>15</w:t>
            </w:r>
          </w:p>
        </w:tc>
      </w:tr>
      <w:tr w:rsidR="005D3AC5" w:rsidRPr="002A22CC" w14:paraId="37C69747" w14:textId="77777777" w:rsidTr="00C67EED">
        <w:trPr>
          <w:trHeight w:val="198"/>
          <w:jc w:val="center"/>
        </w:trPr>
        <w:tc>
          <w:tcPr>
            <w:tcW w:w="1559" w:type="dxa"/>
            <w:tcBorders>
              <w:top w:val="single" w:sz="2" w:space="0" w:color="auto"/>
              <w:left w:val="nil"/>
              <w:bottom w:val="single" w:sz="2" w:space="0" w:color="auto"/>
              <w:right w:val="single" w:sz="2" w:space="0" w:color="auto"/>
            </w:tcBorders>
            <w:shd w:val="clear" w:color="auto" w:fill="auto"/>
            <w:noWrap/>
            <w:vAlign w:val="center"/>
            <w:hideMark/>
          </w:tcPr>
          <w:p w14:paraId="1F54FD04" w14:textId="77777777" w:rsidR="005D3AC5" w:rsidRPr="00C67EED" w:rsidRDefault="005D3AC5" w:rsidP="003D0EF2">
            <w:pPr>
              <w:rPr>
                <w:rFonts w:ascii="Arial Narrow" w:hAnsi="Arial Narrow" w:cs="Calibri"/>
                <w:color w:val="000000"/>
                <w:sz w:val="20"/>
                <w:szCs w:val="20"/>
              </w:rPr>
            </w:pPr>
            <w:r w:rsidRPr="00C67EED">
              <w:rPr>
                <w:rFonts w:ascii="Arial Narrow" w:hAnsi="Arial Narrow" w:cs="Calibri"/>
                <w:color w:val="000000"/>
                <w:sz w:val="20"/>
                <w:szCs w:val="20"/>
              </w:rPr>
              <w:t>3</w:t>
            </w:r>
          </w:p>
        </w:tc>
        <w:tc>
          <w:tcPr>
            <w:tcW w:w="198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A7B4AB0" w14:textId="77777777" w:rsidR="005D3AC5" w:rsidRPr="00C67EED" w:rsidRDefault="005D3AC5" w:rsidP="003D0EF2">
            <w:pPr>
              <w:jc w:val="right"/>
              <w:rPr>
                <w:rFonts w:ascii="Arial Narrow" w:hAnsi="Arial Narrow" w:cs="Calibri"/>
                <w:color w:val="000000"/>
                <w:sz w:val="20"/>
                <w:szCs w:val="20"/>
              </w:rPr>
            </w:pPr>
            <w:r w:rsidRPr="00C67EED">
              <w:rPr>
                <w:rFonts w:ascii="Arial Narrow" w:hAnsi="Arial Narrow" w:cs="Calibri"/>
                <w:color w:val="000000"/>
                <w:sz w:val="20"/>
                <w:szCs w:val="20"/>
              </w:rPr>
              <w:t>4</w:t>
            </w: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6ECF950" w14:textId="77777777" w:rsidR="005D3AC5" w:rsidRPr="00C67EED" w:rsidRDefault="005D3AC5" w:rsidP="00D45736">
            <w:pPr>
              <w:jc w:val="right"/>
              <w:rPr>
                <w:rFonts w:ascii="Arial Narrow" w:hAnsi="Arial Narrow" w:cs="Calibri"/>
                <w:color w:val="000000"/>
                <w:sz w:val="20"/>
                <w:szCs w:val="20"/>
              </w:rPr>
            </w:pPr>
            <w:r w:rsidRPr="00C67EED">
              <w:rPr>
                <w:rFonts w:ascii="Arial Narrow" w:hAnsi="Arial Narrow" w:cs="Calibri"/>
                <w:color w:val="000000"/>
                <w:sz w:val="20"/>
                <w:szCs w:val="20"/>
              </w:rPr>
              <w:t>16</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4C252E74" w14:textId="77777777" w:rsidR="005D3AC5" w:rsidRPr="00C67EED" w:rsidRDefault="005D3AC5" w:rsidP="003D0EF2">
            <w:pPr>
              <w:jc w:val="right"/>
              <w:rPr>
                <w:rFonts w:ascii="Arial Narrow" w:hAnsi="Arial Narrow" w:cs="Calibri"/>
                <w:color w:val="000000"/>
                <w:sz w:val="20"/>
                <w:szCs w:val="20"/>
              </w:rPr>
            </w:pPr>
            <w:r w:rsidRPr="00C67EED">
              <w:rPr>
                <w:rFonts w:ascii="Arial Narrow" w:hAnsi="Arial Narrow" w:cs="Calibri"/>
                <w:color w:val="000000"/>
                <w:sz w:val="20"/>
                <w:szCs w:val="20"/>
              </w:rPr>
              <w:t>3</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4974016A" w14:textId="77777777" w:rsidR="005D3AC5" w:rsidRPr="00C67EED" w:rsidRDefault="005D3AC5" w:rsidP="00D45736">
            <w:pPr>
              <w:jc w:val="right"/>
              <w:rPr>
                <w:rFonts w:ascii="Arial Narrow" w:hAnsi="Arial Narrow" w:cs="Calibri"/>
                <w:color w:val="000000"/>
                <w:sz w:val="20"/>
                <w:szCs w:val="20"/>
              </w:rPr>
            </w:pPr>
            <w:r w:rsidRPr="00C67EED">
              <w:rPr>
                <w:rFonts w:ascii="Arial Narrow" w:hAnsi="Arial Narrow" w:cs="Calibri"/>
                <w:color w:val="000000"/>
                <w:sz w:val="20"/>
                <w:szCs w:val="20"/>
              </w:rPr>
              <w:t>10</w:t>
            </w:r>
          </w:p>
        </w:tc>
        <w:tc>
          <w:tcPr>
            <w:tcW w:w="1659" w:type="dxa"/>
            <w:tcBorders>
              <w:top w:val="single" w:sz="2" w:space="0" w:color="auto"/>
              <w:left w:val="single" w:sz="2" w:space="0" w:color="auto"/>
              <w:bottom w:val="single" w:sz="2" w:space="0" w:color="auto"/>
              <w:right w:val="single" w:sz="2" w:space="0" w:color="auto"/>
            </w:tcBorders>
            <w:shd w:val="clear" w:color="auto" w:fill="auto"/>
            <w:vAlign w:val="center"/>
          </w:tcPr>
          <w:p w14:paraId="02672138" w14:textId="77777777" w:rsidR="005D3AC5" w:rsidRPr="00C67EED" w:rsidRDefault="005D3AC5" w:rsidP="003D0EF2">
            <w:pPr>
              <w:jc w:val="right"/>
              <w:rPr>
                <w:rFonts w:ascii="Arial Narrow" w:hAnsi="Arial Narrow" w:cs="Calibri"/>
                <w:color w:val="000000"/>
                <w:sz w:val="20"/>
                <w:szCs w:val="20"/>
              </w:rPr>
            </w:pPr>
            <w:r w:rsidRPr="00C67EED">
              <w:rPr>
                <w:rFonts w:ascii="Arial Narrow" w:hAnsi="Arial Narrow" w:cs="Calibri"/>
                <w:color w:val="000000"/>
                <w:sz w:val="20"/>
                <w:szCs w:val="20"/>
              </w:rPr>
              <w:t>6</w:t>
            </w:r>
          </w:p>
        </w:tc>
        <w:tc>
          <w:tcPr>
            <w:tcW w:w="601" w:type="dxa"/>
            <w:tcBorders>
              <w:top w:val="single" w:sz="2" w:space="0" w:color="auto"/>
              <w:left w:val="single" w:sz="2" w:space="0" w:color="auto"/>
              <w:bottom w:val="single" w:sz="2" w:space="0" w:color="auto"/>
            </w:tcBorders>
            <w:shd w:val="clear" w:color="auto" w:fill="auto"/>
            <w:vAlign w:val="center"/>
          </w:tcPr>
          <w:p w14:paraId="49720F6D" w14:textId="77777777" w:rsidR="005D3AC5" w:rsidRPr="00C67EED" w:rsidRDefault="005D3AC5" w:rsidP="00D45736">
            <w:pPr>
              <w:jc w:val="right"/>
              <w:rPr>
                <w:rFonts w:ascii="Arial Narrow" w:hAnsi="Arial Narrow" w:cs="Calibri"/>
                <w:color w:val="000000"/>
                <w:sz w:val="20"/>
                <w:szCs w:val="20"/>
              </w:rPr>
            </w:pPr>
            <w:r w:rsidRPr="00C67EED">
              <w:rPr>
                <w:rFonts w:ascii="Arial Narrow" w:hAnsi="Arial Narrow" w:cs="Calibri"/>
                <w:color w:val="000000"/>
                <w:sz w:val="20"/>
                <w:szCs w:val="20"/>
              </w:rPr>
              <w:t>23</w:t>
            </w:r>
          </w:p>
        </w:tc>
      </w:tr>
      <w:tr w:rsidR="005D3AC5" w:rsidRPr="002A22CC" w14:paraId="06F1BB1F" w14:textId="77777777" w:rsidTr="00C67EED">
        <w:trPr>
          <w:trHeight w:val="198"/>
          <w:jc w:val="center"/>
        </w:trPr>
        <w:tc>
          <w:tcPr>
            <w:tcW w:w="1559" w:type="dxa"/>
            <w:tcBorders>
              <w:top w:val="single" w:sz="2" w:space="0" w:color="auto"/>
              <w:left w:val="nil"/>
              <w:bottom w:val="single" w:sz="2" w:space="0" w:color="auto"/>
              <w:right w:val="single" w:sz="2" w:space="0" w:color="auto"/>
            </w:tcBorders>
            <w:shd w:val="clear" w:color="auto" w:fill="auto"/>
            <w:noWrap/>
            <w:vAlign w:val="center"/>
            <w:hideMark/>
          </w:tcPr>
          <w:p w14:paraId="58A63EA1" w14:textId="77777777" w:rsidR="005D3AC5" w:rsidRPr="00C67EED" w:rsidRDefault="005D3AC5" w:rsidP="003D0EF2">
            <w:pPr>
              <w:rPr>
                <w:rFonts w:ascii="Arial Narrow" w:hAnsi="Arial Narrow" w:cs="Calibri"/>
                <w:color w:val="000000"/>
                <w:sz w:val="20"/>
                <w:szCs w:val="20"/>
              </w:rPr>
            </w:pPr>
            <w:r w:rsidRPr="00C67EED">
              <w:rPr>
                <w:rFonts w:ascii="Arial Narrow" w:hAnsi="Arial Narrow" w:cs="Calibri"/>
                <w:color w:val="000000"/>
                <w:sz w:val="20"/>
                <w:szCs w:val="20"/>
              </w:rPr>
              <w:t>4</w:t>
            </w:r>
          </w:p>
        </w:tc>
        <w:tc>
          <w:tcPr>
            <w:tcW w:w="198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CBD9D65" w14:textId="77777777" w:rsidR="005D3AC5" w:rsidRPr="00C67EED" w:rsidRDefault="005D3AC5" w:rsidP="003D0EF2">
            <w:pPr>
              <w:jc w:val="right"/>
              <w:rPr>
                <w:rFonts w:ascii="Arial Narrow" w:hAnsi="Arial Narrow" w:cs="Calibri"/>
                <w:color w:val="000000"/>
                <w:sz w:val="20"/>
                <w:szCs w:val="20"/>
              </w:rPr>
            </w:pPr>
            <w:r w:rsidRPr="00C67EED">
              <w:rPr>
                <w:rFonts w:ascii="Arial Narrow" w:hAnsi="Arial Narrow" w:cs="Calibri"/>
                <w:color w:val="000000"/>
                <w:sz w:val="20"/>
                <w:szCs w:val="20"/>
              </w:rPr>
              <w:t>5</w:t>
            </w: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14C3603" w14:textId="77777777" w:rsidR="005D3AC5" w:rsidRPr="00C67EED" w:rsidRDefault="005D3AC5" w:rsidP="00D45736">
            <w:pPr>
              <w:jc w:val="right"/>
              <w:rPr>
                <w:rFonts w:ascii="Arial Narrow" w:hAnsi="Arial Narrow" w:cs="Calibri"/>
                <w:color w:val="000000"/>
                <w:sz w:val="20"/>
                <w:szCs w:val="20"/>
              </w:rPr>
            </w:pPr>
            <w:r w:rsidRPr="00C67EED">
              <w:rPr>
                <w:rFonts w:ascii="Arial Narrow" w:hAnsi="Arial Narrow" w:cs="Calibri"/>
                <w:color w:val="000000"/>
                <w:sz w:val="20"/>
                <w:szCs w:val="20"/>
              </w:rPr>
              <w:t>20</w:t>
            </w:r>
          </w:p>
        </w:tc>
        <w:tc>
          <w:tcPr>
            <w:tcW w:w="1559" w:type="dxa"/>
            <w:tcBorders>
              <w:top w:val="single" w:sz="2" w:space="0" w:color="auto"/>
              <w:left w:val="single" w:sz="2" w:space="0" w:color="auto"/>
              <w:bottom w:val="single" w:sz="2" w:space="0" w:color="auto"/>
              <w:right w:val="single" w:sz="2" w:space="0" w:color="auto"/>
            </w:tcBorders>
            <w:vAlign w:val="center"/>
          </w:tcPr>
          <w:p w14:paraId="33C0D08E" w14:textId="77777777" w:rsidR="005D3AC5" w:rsidRPr="00C67EED" w:rsidRDefault="005D3AC5" w:rsidP="003D0EF2">
            <w:pPr>
              <w:jc w:val="right"/>
              <w:rPr>
                <w:rFonts w:ascii="Arial Narrow" w:hAnsi="Arial Narrow" w:cs="Calibri"/>
                <w:color w:val="000000"/>
                <w:sz w:val="20"/>
                <w:szCs w:val="20"/>
              </w:rPr>
            </w:pPr>
            <w:r w:rsidRPr="00C67EED">
              <w:rPr>
                <w:rFonts w:ascii="Arial Narrow" w:hAnsi="Arial Narrow" w:cs="Calibri"/>
                <w:color w:val="000000"/>
                <w:sz w:val="20"/>
                <w:szCs w:val="20"/>
              </w:rPr>
              <w:t>-</w:t>
            </w:r>
          </w:p>
        </w:tc>
        <w:tc>
          <w:tcPr>
            <w:tcW w:w="850" w:type="dxa"/>
            <w:tcBorders>
              <w:top w:val="single" w:sz="2" w:space="0" w:color="auto"/>
              <w:left w:val="single" w:sz="2" w:space="0" w:color="auto"/>
              <w:bottom w:val="single" w:sz="2" w:space="0" w:color="auto"/>
              <w:right w:val="single" w:sz="2" w:space="0" w:color="auto"/>
            </w:tcBorders>
            <w:vAlign w:val="center"/>
          </w:tcPr>
          <w:p w14:paraId="070DABA9" w14:textId="77777777" w:rsidR="005D3AC5" w:rsidRPr="00C67EED" w:rsidRDefault="005D3AC5" w:rsidP="003D0EF2">
            <w:pPr>
              <w:jc w:val="right"/>
              <w:rPr>
                <w:rFonts w:ascii="Arial Narrow" w:hAnsi="Arial Narrow" w:cs="Calibri"/>
                <w:color w:val="000000"/>
                <w:sz w:val="20"/>
                <w:szCs w:val="20"/>
              </w:rPr>
            </w:pPr>
            <w:r w:rsidRPr="00C67EED">
              <w:rPr>
                <w:rFonts w:ascii="Arial Narrow" w:hAnsi="Arial Narrow" w:cs="Calibri"/>
                <w:color w:val="000000"/>
                <w:sz w:val="20"/>
                <w:szCs w:val="20"/>
              </w:rPr>
              <w:t>-</w:t>
            </w:r>
          </w:p>
        </w:tc>
        <w:tc>
          <w:tcPr>
            <w:tcW w:w="1659" w:type="dxa"/>
            <w:tcBorders>
              <w:top w:val="single" w:sz="2" w:space="0" w:color="auto"/>
              <w:left w:val="single" w:sz="2" w:space="0" w:color="auto"/>
              <w:bottom w:val="single" w:sz="2" w:space="0" w:color="auto"/>
              <w:right w:val="single" w:sz="2" w:space="0" w:color="auto"/>
            </w:tcBorders>
            <w:shd w:val="clear" w:color="auto" w:fill="auto"/>
            <w:vAlign w:val="center"/>
          </w:tcPr>
          <w:p w14:paraId="327F1E3B" w14:textId="77777777" w:rsidR="005D3AC5" w:rsidRPr="00C67EED" w:rsidRDefault="005D3AC5" w:rsidP="003D0EF2">
            <w:pPr>
              <w:jc w:val="right"/>
              <w:rPr>
                <w:rFonts w:ascii="Arial Narrow" w:hAnsi="Arial Narrow" w:cs="Calibri"/>
                <w:color w:val="000000"/>
                <w:sz w:val="20"/>
                <w:szCs w:val="20"/>
              </w:rPr>
            </w:pPr>
            <w:r w:rsidRPr="00C67EED">
              <w:rPr>
                <w:rFonts w:ascii="Arial Narrow" w:hAnsi="Arial Narrow" w:cs="Calibri"/>
                <w:color w:val="000000"/>
                <w:sz w:val="20"/>
                <w:szCs w:val="20"/>
              </w:rPr>
              <w:t>-</w:t>
            </w:r>
          </w:p>
        </w:tc>
        <w:tc>
          <w:tcPr>
            <w:tcW w:w="601" w:type="dxa"/>
            <w:tcBorders>
              <w:top w:val="single" w:sz="2" w:space="0" w:color="auto"/>
              <w:left w:val="single" w:sz="2" w:space="0" w:color="auto"/>
              <w:bottom w:val="single" w:sz="2" w:space="0" w:color="auto"/>
            </w:tcBorders>
            <w:shd w:val="clear" w:color="auto" w:fill="auto"/>
            <w:vAlign w:val="center"/>
          </w:tcPr>
          <w:p w14:paraId="51B77AE0" w14:textId="77777777" w:rsidR="005D3AC5" w:rsidRPr="00C67EED" w:rsidRDefault="005D3AC5" w:rsidP="003D0EF2">
            <w:pPr>
              <w:jc w:val="right"/>
              <w:rPr>
                <w:rFonts w:ascii="Arial Narrow" w:hAnsi="Arial Narrow" w:cs="Calibri"/>
                <w:color w:val="000000"/>
                <w:sz w:val="20"/>
                <w:szCs w:val="20"/>
              </w:rPr>
            </w:pPr>
            <w:r w:rsidRPr="00C67EED">
              <w:rPr>
                <w:rFonts w:ascii="Arial Narrow" w:hAnsi="Arial Narrow" w:cs="Calibri"/>
                <w:color w:val="000000"/>
                <w:sz w:val="20"/>
                <w:szCs w:val="20"/>
              </w:rPr>
              <w:t>-</w:t>
            </w:r>
          </w:p>
        </w:tc>
      </w:tr>
      <w:tr w:rsidR="005D3AC5" w:rsidRPr="002A22CC" w14:paraId="6C4D3056" w14:textId="77777777" w:rsidTr="00C67EED">
        <w:trPr>
          <w:trHeight w:val="198"/>
          <w:jc w:val="center"/>
        </w:trPr>
        <w:tc>
          <w:tcPr>
            <w:tcW w:w="1559" w:type="dxa"/>
            <w:tcBorders>
              <w:top w:val="single" w:sz="2" w:space="0" w:color="auto"/>
              <w:left w:val="nil"/>
              <w:bottom w:val="single" w:sz="2" w:space="0" w:color="auto"/>
              <w:right w:val="single" w:sz="2" w:space="0" w:color="auto"/>
            </w:tcBorders>
            <w:shd w:val="clear" w:color="auto" w:fill="auto"/>
            <w:noWrap/>
            <w:vAlign w:val="center"/>
            <w:hideMark/>
          </w:tcPr>
          <w:p w14:paraId="02A43C47" w14:textId="77777777" w:rsidR="005D3AC5" w:rsidRPr="00C67EED" w:rsidRDefault="005D3AC5" w:rsidP="003D0EF2">
            <w:pPr>
              <w:rPr>
                <w:rFonts w:ascii="Arial Narrow" w:hAnsi="Arial Narrow" w:cs="Calibri"/>
                <w:color w:val="000000"/>
                <w:sz w:val="20"/>
                <w:szCs w:val="20"/>
              </w:rPr>
            </w:pPr>
            <w:r w:rsidRPr="00C67EED">
              <w:rPr>
                <w:rFonts w:ascii="Arial Narrow" w:hAnsi="Arial Narrow" w:cs="Calibri"/>
                <w:color w:val="000000"/>
                <w:sz w:val="20"/>
                <w:szCs w:val="20"/>
              </w:rPr>
              <w:t>De 5 a 7</w:t>
            </w:r>
          </w:p>
        </w:tc>
        <w:tc>
          <w:tcPr>
            <w:tcW w:w="198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1A9231E" w14:textId="77777777" w:rsidR="005D3AC5" w:rsidRPr="00C67EED" w:rsidRDefault="005D3AC5" w:rsidP="003D0EF2">
            <w:pPr>
              <w:jc w:val="right"/>
              <w:rPr>
                <w:rFonts w:ascii="Arial Narrow" w:hAnsi="Arial Narrow" w:cs="Calibri"/>
                <w:color w:val="000000"/>
                <w:sz w:val="20"/>
                <w:szCs w:val="20"/>
              </w:rPr>
            </w:pPr>
            <w:r w:rsidRPr="00C67EED">
              <w:rPr>
                <w:rFonts w:ascii="Arial Narrow" w:hAnsi="Arial Narrow" w:cs="Calibri"/>
                <w:color w:val="000000"/>
                <w:sz w:val="20"/>
                <w:szCs w:val="20"/>
              </w:rPr>
              <w:t>7</w:t>
            </w: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0B52001" w14:textId="77777777" w:rsidR="005D3AC5" w:rsidRPr="00C67EED" w:rsidRDefault="005D3AC5" w:rsidP="00D45736">
            <w:pPr>
              <w:jc w:val="right"/>
              <w:rPr>
                <w:rFonts w:ascii="Arial Narrow" w:hAnsi="Arial Narrow" w:cs="Calibri"/>
                <w:color w:val="000000"/>
                <w:sz w:val="20"/>
                <w:szCs w:val="20"/>
              </w:rPr>
            </w:pPr>
            <w:r w:rsidRPr="00C67EED">
              <w:rPr>
                <w:rFonts w:ascii="Arial Narrow" w:hAnsi="Arial Narrow" w:cs="Calibri"/>
                <w:color w:val="000000"/>
                <w:sz w:val="20"/>
                <w:szCs w:val="20"/>
              </w:rPr>
              <w:t>28</w:t>
            </w:r>
          </w:p>
        </w:tc>
        <w:tc>
          <w:tcPr>
            <w:tcW w:w="1559" w:type="dxa"/>
            <w:tcBorders>
              <w:top w:val="single" w:sz="2" w:space="0" w:color="auto"/>
              <w:left w:val="single" w:sz="2" w:space="0" w:color="auto"/>
              <w:bottom w:val="single" w:sz="2" w:space="0" w:color="auto"/>
              <w:right w:val="single" w:sz="2" w:space="0" w:color="auto"/>
            </w:tcBorders>
            <w:vAlign w:val="center"/>
          </w:tcPr>
          <w:p w14:paraId="3F997259" w14:textId="77777777" w:rsidR="005D3AC5" w:rsidRPr="00C67EED" w:rsidRDefault="005D3AC5" w:rsidP="003D0EF2">
            <w:pPr>
              <w:jc w:val="right"/>
              <w:rPr>
                <w:rFonts w:ascii="Arial Narrow" w:hAnsi="Arial Narrow" w:cs="Calibri"/>
                <w:color w:val="000000"/>
                <w:sz w:val="20"/>
                <w:szCs w:val="20"/>
              </w:rPr>
            </w:pPr>
          </w:p>
        </w:tc>
        <w:tc>
          <w:tcPr>
            <w:tcW w:w="850" w:type="dxa"/>
            <w:tcBorders>
              <w:top w:val="single" w:sz="2" w:space="0" w:color="auto"/>
              <w:left w:val="single" w:sz="2" w:space="0" w:color="auto"/>
              <w:bottom w:val="single" w:sz="2" w:space="0" w:color="auto"/>
              <w:right w:val="single" w:sz="2" w:space="0" w:color="auto"/>
            </w:tcBorders>
            <w:vAlign w:val="center"/>
          </w:tcPr>
          <w:p w14:paraId="7CC48BB5" w14:textId="77777777" w:rsidR="005D3AC5" w:rsidRPr="00C67EED" w:rsidRDefault="005D3AC5" w:rsidP="003D0EF2">
            <w:pPr>
              <w:jc w:val="right"/>
              <w:rPr>
                <w:rFonts w:ascii="Arial Narrow" w:hAnsi="Arial Narrow" w:cs="Calibri"/>
                <w:color w:val="000000"/>
                <w:sz w:val="20"/>
                <w:szCs w:val="20"/>
              </w:rPr>
            </w:pPr>
          </w:p>
        </w:tc>
        <w:tc>
          <w:tcPr>
            <w:tcW w:w="1659" w:type="dxa"/>
            <w:tcBorders>
              <w:top w:val="single" w:sz="2" w:space="0" w:color="auto"/>
              <w:left w:val="single" w:sz="2" w:space="0" w:color="auto"/>
              <w:bottom w:val="single" w:sz="2" w:space="0" w:color="auto"/>
              <w:right w:val="single" w:sz="2" w:space="0" w:color="auto"/>
            </w:tcBorders>
            <w:shd w:val="clear" w:color="auto" w:fill="auto"/>
            <w:vAlign w:val="center"/>
          </w:tcPr>
          <w:p w14:paraId="1B30A015" w14:textId="77777777" w:rsidR="005D3AC5" w:rsidRPr="00C67EED" w:rsidRDefault="005D3AC5" w:rsidP="003D0EF2">
            <w:pPr>
              <w:jc w:val="right"/>
              <w:rPr>
                <w:rFonts w:ascii="Arial Narrow" w:hAnsi="Arial Narrow" w:cs="Calibri"/>
                <w:color w:val="000000"/>
                <w:sz w:val="20"/>
                <w:szCs w:val="20"/>
              </w:rPr>
            </w:pPr>
            <w:r w:rsidRPr="00C67EED">
              <w:rPr>
                <w:rFonts w:ascii="Arial Narrow" w:hAnsi="Arial Narrow" w:cs="Calibri"/>
                <w:color w:val="000000"/>
                <w:sz w:val="20"/>
                <w:szCs w:val="20"/>
              </w:rPr>
              <w:t>2</w:t>
            </w:r>
          </w:p>
        </w:tc>
        <w:tc>
          <w:tcPr>
            <w:tcW w:w="601" w:type="dxa"/>
            <w:tcBorders>
              <w:top w:val="single" w:sz="2" w:space="0" w:color="auto"/>
              <w:left w:val="single" w:sz="2" w:space="0" w:color="auto"/>
              <w:bottom w:val="single" w:sz="2" w:space="0" w:color="auto"/>
            </w:tcBorders>
            <w:shd w:val="clear" w:color="auto" w:fill="auto"/>
            <w:vAlign w:val="center"/>
          </w:tcPr>
          <w:p w14:paraId="337A0CE3" w14:textId="77777777" w:rsidR="005D3AC5" w:rsidRPr="00C67EED" w:rsidRDefault="005D3AC5" w:rsidP="00D45736">
            <w:pPr>
              <w:jc w:val="right"/>
              <w:rPr>
                <w:rFonts w:ascii="Arial Narrow" w:hAnsi="Arial Narrow" w:cs="Calibri"/>
                <w:color w:val="000000"/>
                <w:sz w:val="20"/>
                <w:szCs w:val="20"/>
              </w:rPr>
            </w:pPr>
            <w:r w:rsidRPr="00C67EED">
              <w:rPr>
                <w:rFonts w:ascii="Arial Narrow" w:hAnsi="Arial Narrow" w:cs="Calibri"/>
                <w:color w:val="000000"/>
                <w:sz w:val="20"/>
                <w:szCs w:val="20"/>
              </w:rPr>
              <w:t>8</w:t>
            </w:r>
          </w:p>
        </w:tc>
      </w:tr>
      <w:tr w:rsidR="005D3AC5" w:rsidRPr="006B3FE1" w14:paraId="3DBD9C86" w14:textId="77777777" w:rsidTr="00C67EED">
        <w:trPr>
          <w:trHeight w:val="198"/>
          <w:jc w:val="center"/>
        </w:trPr>
        <w:tc>
          <w:tcPr>
            <w:tcW w:w="1559" w:type="dxa"/>
            <w:tcBorders>
              <w:top w:val="single" w:sz="2" w:space="0" w:color="auto"/>
              <w:left w:val="nil"/>
              <w:bottom w:val="single" w:sz="4" w:space="0" w:color="auto"/>
              <w:right w:val="single" w:sz="2" w:space="0" w:color="auto"/>
            </w:tcBorders>
            <w:shd w:val="clear" w:color="auto" w:fill="auto"/>
            <w:noWrap/>
          </w:tcPr>
          <w:p w14:paraId="68444535" w14:textId="77777777" w:rsidR="005D3AC5" w:rsidRPr="00C67EED" w:rsidRDefault="005D3AC5" w:rsidP="003D0EF2">
            <w:pPr>
              <w:rPr>
                <w:rFonts w:ascii="Arial Narrow" w:hAnsi="Arial Narrow" w:cs="Calibri"/>
                <w:color w:val="000000"/>
                <w:sz w:val="20"/>
                <w:szCs w:val="20"/>
              </w:rPr>
            </w:pPr>
            <w:r w:rsidRPr="00C67EED">
              <w:rPr>
                <w:rFonts w:ascii="Arial Narrow" w:hAnsi="Arial Narrow" w:cs="Calibri"/>
                <w:color w:val="000000"/>
                <w:sz w:val="20"/>
                <w:szCs w:val="20"/>
              </w:rPr>
              <w:t>16</w:t>
            </w:r>
          </w:p>
        </w:tc>
        <w:tc>
          <w:tcPr>
            <w:tcW w:w="1985" w:type="dxa"/>
            <w:tcBorders>
              <w:top w:val="single" w:sz="2" w:space="0" w:color="auto"/>
              <w:left w:val="single" w:sz="2" w:space="0" w:color="auto"/>
              <w:bottom w:val="single" w:sz="4" w:space="0" w:color="auto"/>
              <w:right w:val="single" w:sz="2" w:space="0" w:color="auto"/>
            </w:tcBorders>
            <w:shd w:val="clear" w:color="auto" w:fill="auto"/>
            <w:noWrap/>
          </w:tcPr>
          <w:p w14:paraId="1E1FE6BC" w14:textId="77777777" w:rsidR="005D3AC5" w:rsidRPr="00C67EED" w:rsidRDefault="005D3AC5" w:rsidP="003D0EF2">
            <w:pPr>
              <w:jc w:val="right"/>
              <w:rPr>
                <w:rFonts w:ascii="Arial Narrow" w:hAnsi="Arial Narrow" w:cs="Calibri"/>
                <w:color w:val="000000"/>
                <w:sz w:val="20"/>
                <w:szCs w:val="20"/>
              </w:rPr>
            </w:pPr>
          </w:p>
        </w:tc>
        <w:tc>
          <w:tcPr>
            <w:tcW w:w="709" w:type="dxa"/>
            <w:tcBorders>
              <w:top w:val="single" w:sz="2" w:space="0" w:color="auto"/>
              <w:left w:val="single" w:sz="2" w:space="0" w:color="auto"/>
              <w:bottom w:val="single" w:sz="4" w:space="0" w:color="auto"/>
              <w:right w:val="single" w:sz="2" w:space="0" w:color="auto"/>
            </w:tcBorders>
            <w:shd w:val="clear" w:color="auto" w:fill="auto"/>
            <w:noWrap/>
          </w:tcPr>
          <w:p w14:paraId="48E38407" w14:textId="77777777" w:rsidR="005D3AC5" w:rsidRPr="00C67EED" w:rsidRDefault="005D3AC5" w:rsidP="003D0EF2">
            <w:pPr>
              <w:jc w:val="right"/>
              <w:rPr>
                <w:rFonts w:ascii="Arial Narrow" w:hAnsi="Arial Narrow" w:cs="Calibri"/>
                <w:color w:val="000000"/>
                <w:sz w:val="20"/>
                <w:szCs w:val="20"/>
              </w:rPr>
            </w:pPr>
          </w:p>
        </w:tc>
        <w:tc>
          <w:tcPr>
            <w:tcW w:w="1559" w:type="dxa"/>
            <w:tcBorders>
              <w:top w:val="single" w:sz="2" w:space="0" w:color="auto"/>
              <w:left w:val="single" w:sz="2" w:space="0" w:color="auto"/>
              <w:bottom w:val="single" w:sz="4" w:space="0" w:color="auto"/>
              <w:right w:val="single" w:sz="2" w:space="0" w:color="auto"/>
            </w:tcBorders>
          </w:tcPr>
          <w:p w14:paraId="5B4CD031" w14:textId="77777777" w:rsidR="005D3AC5" w:rsidRPr="00C67EED" w:rsidRDefault="005D3AC5" w:rsidP="003D0EF2">
            <w:pPr>
              <w:jc w:val="right"/>
              <w:rPr>
                <w:rFonts w:ascii="Arial Narrow" w:hAnsi="Arial Narrow" w:cs="Calibri"/>
                <w:color w:val="000000"/>
                <w:sz w:val="20"/>
                <w:szCs w:val="20"/>
              </w:rPr>
            </w:pPr>
          </w:p>
        </w:tc>
        <w:tc>
          <w:tcPr>
            <w:tcW w:w="850" w:type="dxa"/>
            <w:tcBorders>
              <w:top w:val="single" w:sz="2" w:space="0" w:color="auto"/>
              <w:left w:val="single" w:sz="2" w:space="0" w:color="auto"/>
              <w:bottom w:val="single" w:sz="4" w:space="0" w:color="auto"/>
              <w:right w:val="single" w:sz="2" w:space="0" w:color="auto"/>
            </w:tcBorders>
          </w:tcPr>
          <w:p w14:paraId="2CDBC4DD" w14:textId="77777777" w:rsidR="005D3AC5" w:rsidRPr="00C67EED" w:rsidRDefault="005D3AC5" w:rsidP="003D0EF2">
            <w:pPr>
              <w:jc w:val="right"/>
              <w:rPr>
                <w:rFonts w:ascii="Arial Narrow" w:hAnsi="Arial Narrow" w:cs="Calibri"/>
                <w:color w:val="000000"/>
                <w:sz w:val="20"/>
                <w:szCs w:val="20"/>
              </w:rPr>
            </w:pPr>
          </w:p>
        </w:tc>
        <w:tc>
          <w:tcPr>
            <w:tcW w:w="1659" w:type="dxa"/>
            <w:tcBorders>
              <w:top w:val="single" w:sz="2" w:space="0" w:color="auto"/>
              <w:left w:val="single" w:sz="2" w:space="0" w:color="auto"/>
              <w:bottom w:val="single" w:sz="4" w:space="0" w:color="auto"/>
              <w:right w:val="single" w:sz="2" w:space="0" w:color="auto"/>
            </w:tcBorders>
            <w:shd w:val="clear" w:color="auto" w:fill="auto"/>
          </w:tcPr>
          <w:p w14:paraId="061C1CB1" w14:textId="77777777" w:rsidR="005D3AC5" w:rsidRPr="00C67EED" w:rsidRDefault="005D3AC5" w:rsidP="003D0EF2">
            <w:pPr>
              <w:jc w:val="right"/>
              <w:rPr>
                <w:rFonts w:ascii="Arial Narrow" w:hAnsi="Arial Narrow" w:cs="Calibri"/>
                <w:color w:val="000000"/>
                <w:sz w:val="20"/>
                <w:szCs w:val="20"/>
              </w:rPr>
            </w:pPr>
            <w:r w:rsidRPr="00C67EED">
              <w:rPr>
                <w:rFonts w:ascii="Arial Narrow" w:hAnsi="Arial Narrow" w:cs="Calibri"/>
                <w:color w:val="000000"/>
                <w:sz w:val="20"/>
                <w:szCs w:val="20"/>
              </w:rPr>
              <w:t>1</w:t>
            </w:r>
          </w:p>
        </w:tc>
        <w:tc>
          <w:tcPr>
            <w:tcW w:w="601" w:type="dxa"/>
            <w:tcBorders>
              <w:top w:val="single" w:sz="2" w:space="0" w:color="auto"/>
              <w:left w:val="single" w:sz="2" w:space="0" w:color="auto"/>
              <w:bottom w:val="single" w:sz="4" w:space="0" w:color="auto"/>
            </w:tcBorders>
            <w:shd w:val="clear" w:color="auto" w:fill="auto"/>
          </w:tcPr>
          <w:p w14:paraId="7F8573EF" w14:textId="77777777" w:rsidR="005D3AC5" w:rsidRPr="00C67EED" w:rsidRDefault="005D3AC5" w:rsidP="00D45736">
            <w:pPr>
              <w:jc w:val="right"/>
              <w:rPr>
                <w:rFonts w:ascii="Arial Narrow" w:hAnsi="Arial Narrow" w:cs="Calibri"/>
                <w:color w:val="000000"/>
                <w:sz w:val="20"/>
                <w:szCs w:val="20"/>
              </w:rPr>
            </w:pPr>
            <w:r w:rsidRPr="00C67EED">
              <w:rPr>
                <w:rFonts w:ascii="Arial Narrow" w:hAnsi="Arial Narrow" w:cs="Calibri"/>
                <w:color w:val="000000"/>
                <w:sz w:val="20"/>
                <w:szCs w:val="20"/>
              </w:rPr>
              <w:t>4</w:t>
            </w:r>
          </w:p>
        </w:tc>
      </w:tr>
      <w:tr w:rsidR="005D3AC5" w:rsidRPr="00424743" w14:paraId="6ED1D1B1" w14:textId="77777777" w:rsidTr="00E04706">
        <w:trPr>
          <w:trHeight w:val="255"/>
          <w:jc w:val="center"/>
        </w:trPr>
        <w:tc>
          <w:tcPr>
            <w:tcW w:w="1559" w:type="dxa"/>
            <w:tcBorders>
              <w:top w:val="single" w:sz="4" w:space="0" w:color="auto"/>
              <w:left w:val="nil"/>
              <w:bottom w:val="single" w:sz="4" w:space="0" w:color="auto"/>
              <w:right w:val="single" w:sz="2" w:space="0" w:color="auto"/>
            </w:tcBorders>
            <w:shd w:val="clear" w:color="000000" w:fill="95B3D7"/>
            <w:noWrap/>
            <w:vAlign w:val="center"/>
            <w:hideMark/>
          </w:tcPr>
          <w:p w14:paraId="2E2A8E88" w14:textId="77777777" w:rsidR="005D3AC5" w:rsidRPr="00424743" w:rsidRDefault="005D3AC5" w:rsidP="003D0EF2">
            <w:pPr>
              <w:rPr>
                <w:rFonts w:ascii="Arial" w:hAnsi="Arial" w:cs="Arial"/>
                <w:color w:val="000000"/>
                <w:sz w:val="18"/>
                <w:szCs w:val="18"/>
              </w:rPr>
            </w:pPr>
            <w:r w:rsidRPr="00424743">
              <w:rPr>
                <w:rFonts w:ascii="Arial" w:hAnsi="Arial" w:cs="Arial"/>
                <w:color w:val="000000"/>
                <w:sz w:val="18"/>
                <w:szCs w:val="18"/>
              </w:rPr>
              <w:t xml:space="preserve">Total </w:t>
            </w:r>
          </w:p>
        </w:tc>
        <w:tc>
          <w:tcPr>
            <w:tcW w:w="1985" w:type="dxa"/>
            <w:tcBorders>
              <w:top w:val="single" w:sz="4" w:space="0" w:color="auto"/>
              <w:left w:val="single" w:sz="2" w:space="0" w:color="auto"/>
              <w:bottom w:val="single" w:sz="4" w:space="0" w:color="auto"/>
              <w:right w:val="single" w:sz="4" w:space="0" w:color="auto"/>
            </w:tcBorders>
            <w:shd w:val="clear" w:color="000000" w:fill="95B3D7"/>
            <w:noWrap/>
            <w:vAlign w:val="center"/>
            <w:hideMark/>
          </w:tcPr>
          <w:p w14:paraId="31AAC6AE" w14:textId="77777777" w:rsidR="005D3AC5" w:rsidRPr="00424743" w:rsidRDefault="005D3AC5" w:rsidP="003D0EF2">
            <w:pPr>
              <w:jc w:val="right"/>
              <w:rPr>
                <w:rFonts w:ascii="Arial" w:hAnsi="Arial" w:cs="Arial"/>
                <w:color w:val="000000"/>
                <w:sz w:val="18"/>
                <w:szCs w:val="18"/>
              </w:rPr>
            </w:pPr>
            <w:r w:rsidRPr="00424743">
              <w:rPr>
                <w:rFonts w:ascii="Arial" w:hAnsi="Arial" w:cs="Arial"/>
                <w:color w:val="000000"/>
                <w:sz w:val="18"/>
                <w:szCs w:val="18"/>
              </w:rPr>
              <w:t>25</w:t>
            </w:r>
          </w:p>
        </w:tc>
        <w:tc>
          <w:tcPr>
            <w:tcW w:w="709" w:type="dxa"/>
            <w:tcBorders>
              <w:top w:val="single" w:sz="4" w:space="0" w:color="auto"/>
              <w:left w:val="single" w:sz="4" w:space="0" w:color="auto"/>
              <w:bottom w:val="single" w:sz="4" w:space="0" w:color="auto"/>
              <w:right w:val="single" w:sz="2" w:space="0" w:color="auto"/>
            </w:tcBorders>
            <w:shd w:val="clear" w:color="000000" w:fill="95B3D7"/>
            <w:noWrap/>
            <w:vAlign w:val="center"/>
            <w:hideMark/>
          </w:tcPr>
          <w:p w14:paraId="7F94E1CA" w14:textId="77777777" w:rsidR="005D3AC5" w:rsidRPr="00424743" w:rsidRDefault="005D3AC5" w:rsidP="00D45736">
            <w:pPr>
              <w:jc w:val="right"/>
              <w:rPr>
                <w:rFonts w:ascii="Arial" w:hAnsi="Arial" w:cs="Arial"/>
                <w:color w:val="000000"/>
                <w:sz w:val="18"/>
                <w:szCs w:val="18"/>
              </w:rPr>
            </w:pPr>
            <w:r w:rsidRPr="00424743">
              <w:rPr>
                <w:rFonts w:ascii="Arial" w:hAnsi="Arial" w:cs="Arial"/>
                <w:color w:val="000000"/>
                <w:sz w:val="18"/>
                <w:szCs w:val="18"/>
              </w:rPr>
              <w:t>100</w:t>
            </w:r>
          </w:p>
        </w:tc>
        <w:tc>
          <w:tcPr>
            <w:tcW w:w="1559" w:type="dxa"/>
            <w:tcBorders>
              <w:top w:val="single" w:sz="4" w:space="0" w:color="auto"/>
              <w:left w:val="single" w:sz="2" w:space="0" w:color="auto"/>
              <w:bottom w:val="single" w:sz="2" w:space="0" w:color="auto"/>
              <w:right w:val="single" w:sz="4" w:space="0" w:color="auto"/>
            </w:tcBorders>
            <w:shd w:val="clear" w:color="000000" w:fill="95B3D7"/>
            <w:vAlign w:val="center"/>
          </w:tcPr>
          <w:p w14:paraId="0DA707C2" w14:textId="77777777" w:rsidR="005D3AC5" w:rsidRPr="00424743" w:rsidRDefault="005D3AC5" w:rsidP="003D0EF2">
            <w:pPr>
              <w:jc w:val="right"/>
              <w:rPr>
                <w:rFonts w:ascii="Arial" w:hAnsi="Arial" w:cs="Arial"/>
                <w:color w:val="000000"/>
                <w:sz w:val="18"/>
                <w:szCs w:val="18"/>
              </w:rPr>
            </w:pPr>
            <w:r>
              <w:rPr>
                <w:rFonts w:ascii="Arial" w:hAnsi="Arial" w:cs="Arial"/>
                <w:color w:val="000000"/>
                <w:sz w:val="18"/>
                <w:szCs w:val="18"/>
              </w:rPr>
              <w:t>31</w:t>
            </w:r>
          </w:p>
        </w:tc>
        <w:tc>
          <w:tcPr>
            <w:tcW w:w="850" w:type="dxa"/>
            <w:tcBorders>
              <w:top w:val="single" w:sz="4" w:space="0" w:color="auto"/>
              <w:left w:val="single" w:sz="4" w:space="0" w:color="auto"/>
              <w:bottom w:val="single" w:sz="2" w:space="0" w:color="auto"/>
              <w:right w:val="single" w:sz="2" w:space="0" w:color="auto"/>
            </w:tcBorders>
            <w:shd w:val="clear" w:color="000000" w:fill="95B3D7"/>
            <w:vAlign w:val="center"/>
          </w:tcPr>
          <w:p w14:paraId="5BE15D3D" w14:textId="77777777" w:rsidR="005D3AC5" w:rsidRPr="00424743" w:rsidRDefault="005D3AC5" w:rsidP="00D45736">
            <w:pPr>
              <w:jc w:val="right"/>
              <w:rPr>
                <w:rFonts w:ascii="Arial" w:hAnsi="Arial" w:cs="Arial"/>
                <w:color w:val="000000"/>
                <w:sz w:val="18"/>
                <w:szCs w:val="18"/>
              </w:rPr>
            </w:pPr>
            <w:r>
              <w:rPr>
                <w:rFonts w:ascii="Arial" w:hAnsi="Arial" w:cs="Arial"/>
                <w:color w:val="000000"/>
                <w:sz w:val="18"/>
                <w:szCs w:val="18"/>
              </w:rPr>
              <w:t>100</w:t>
            </w:r>
          </w:p>
        </w:tc>
        <w:tc>
          <w:tcPr>
            <w:tcW w:w="1659" w:type="dxa"/>
            <w:tcBorders>
              <w:top w:val="single" w:sz="4" w:space="0" w:color="auto"/>
              <w:left w:val="single" w:sz="2" w:space="0" w:color="auto"/>
              <w:bottom w:val="single" w:sz="2" w:space="0" w:color="auto"/>
              <w:right w:val="single" w:sz="4" w:space="0" w:color="auto"/>
            </w:tcBorders>
            <w:shd w:val="clear" w:color="000000" w:fill="95B3D7"/>
            <w:vAlign w:val="center"/>
          </w:tcPr>
          <w:p w14:paraId="6FC2DD1A" w14:textId="77777777" w:rsidR="005D3AC5" w:rsidRPr="00424743" w:rsidRDefault="005D3AC5" w:rsidP="003D0EF2">
            <w:pPr>
              <w:jc w:val="right"/>
              <w:rPr>
                <w:rFonts w:ascii="Arial" w:hAnsi="Arial" w:cs="Arial"/>
                <w:color w:val="000000"/>
                <w:sz w:val="18"/>
                <w:szCs w:val="18"/>
              </w:rPr>
            </w:pPr>
            <w:r>
              <w:rPr>
                <w:rFonts w:ascii="Arial" w:hAnsi="Arial" w:cs="Arial"/>
                <w:color w:val="000000"/>
                <w:sz w:val="18"/>
                <w:szCs w:val="18"/>
              </w:rPr>
              <w:t>26</w:t>
            </w:r>
          </w:p>
        </w:tc>
        <w:tc>
          <w:tcPr>
            <w:tcW w:w="601" w:type="dxa"/>
            <w:tcBorders>
              <w:top w:val="single" w:sz="4" w:space="0" w:color="auto"/>
              <w:left w:val="single" w:sz="4" w:space="0" w:color="auto"/>
              <w:bottom w:val="single" w:sz="2" w:space="0" w:color="auto"/>
              <w:right w:val="single" w:sz="4" w:space="0" w:color="auto"/>
            </w:tcBorders>
            <w:shd w:val="clear" w:color="000000" w:fill="95B3D7"/>
            <w:vAlign w:val="center"/>
          </w:tcPr>
          <w:p w14:paraId="21A91686" w14:textId="77777777" w:rsidR="005D3AC5" w:rsidRPr="00424743" w:rsidRDefault="005D3AC5" w:rsidP="00D45736">
            <w:pPr>
              <w:jc w:val="right"/>
              <w:rPr>
                <w:rFonts w:ascii="Arial" w:hAnsi="Arial" w:cs="Arial"/>
                <w:color w:val="000000"/>
                <w:sz w:val="18"/>
                <w:szCs w:val="18"/>
              </w:rPr>
            </w:pPr>
            <w:r>
              <w:rPr>
                <w:rFonts w:ascii="Arial" w:hAnsi="Arial" w:cs="Arial"/>
                <w:color w:val="000000"/>
                <w:sz w:val="18"/>
                <w:szCs w:val="18"/>
              </w:rPr>
              <w:t>100</w:t>
            </w:r>
          </w:p>
        </w:tc>
      </w:tr>
    </w:tbl>
    <w:p w14:paraId="02666A4A" w14:textId="77777777" w:rsidR="005D3AC5" w:rsidRDefault="005D3AC5" w:rsidP="005D3AC5">
      <w:pPr>
        <w:pStyle w:val="texto"/>
        <w:tabs>
          <w:tab w:val="left" w:pos="480"/>
          <w:tab w:val="num" w:pos="600"/>
        </w:tabs>
        <w:spacing w:before="120"/>
        <w:ind w:firstLine="0"/>
        <w:jc w:val="both"/>
      </w:pPr>
    </w:p>
    <w:tbl>
      <w:tblPr>
        <w:tblW w:w="8922" w:type="dxa"/>
        <w:jc w:val="center"/>
        <w:tblCellMar>
          <w:left w:w="70" w:type="dxa"/>
          <w:right w:w="70" w:type="dxa"/>
        </w:tblCellMar>
        <w:tblLook w:val="04A0" w:firstRow="1" w:lastRow="0" w:firstColumn="1" w:lastColumn="0" w:noHBand="0" w:noVBand="1"/>
      </w:tblPr>
      <w:tblGrid>
        <w:gridCol w:w="1985"/>
        <w:gridCol w:w="1559"/>
        <w:gridCol w:w="709"/>
        <w:gridCol w:w="1559"/>
        <w:gridCol w:w="850"/>
        <w:gridCol w:w="1659"/>
        <w:gridCol w:w="601"/>
      </w:tblGrid>
      <w:tr w:rsidR="004D49FB" w:rsidRPr="00191BF0" w14:paraId="0B047660" w14:textId="77777777" w:rsidTr="004D49FB">
        <w:trPr>
          <w:trHeight w:val="255"/>
          <w:jc w:val="center"/>
        </w:trPr>
        <w:tc>
          <w:tcPr>
            <w:tcW w:w="1985" w:type="dxa"/>
            <w:vMerge w:val="restart"/>
            <w:tcBorders>
              <w:top w:val="single" w:sz="4" w:space="0" w:color="auto"/>
              <w:left w:val="nil"/>
              <w:right w:val="single" w:sz="4" w:space="0" w:color="auto"/>
            </w:tcBorders>
            <w:shd w:val="clear" w:color="000000" w:fill="95B3D7"/>
            <w:noWrap/>
            <w:vAlign w:val="center"/>
            <w:hideMark/>
          </w:tcPr>
          <w:p w14:paraId="2E085D72" w14:textId="77777777" w:rsidR="004D49FB" w:rsidRPr="00191BF0" w:rsidRDefault="004D49FB" w:rsidP="003D0EF2">
            <w:pPr>
              <w:rPr>
                <w:rFonts w:ascii="Arial" w:hAnsi="Arial" w:cs="Arial"/>
                <w:sz w:val="18"/>
                <w:szCs w:val="18"/>
              </w:rPr>
            </w:pPr>
            <w:r>
              <w:rPr>
                <w:rFonts w:ascii="Arial" w:hAnsi="Arial" w:cs="Arial"/>
                <w:color w:val="000000"/>
                <w:sz w:val="18"/>
                <w:szCs w:val="18"/>
              </w:rPr>
              <w:t>Ponderación fórmulas objetivas</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11F5999D" w14:textId="77777777" w:rsidR="004D49FB" w:rsidRPr="00191BF0" w:rsidRDefault="004D49FB" w:rsidP="003D0EF2">
            <w:pPr>
              <w:jc w:val="center"/>
              <w:rPr>
                <w:rFonts w:ascii="Arial" w:hAnsi="Arial" w:cs="Arial"/>
                <w:sz w:val="18"/>
                <w:szCs w:val="18"/>
              </w:rPr>
            </w:pPr>
            <w:r>
              <w:rPr>
                <w:rFonts w:ascii="Arial" w:hAnsi="Arial" w:cs="Arial"/>
                <w:sz w:val="18"/>
                <w:szCs w:val="18"/>
              </w:rPr>
              <w:t>Obra</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1612D32F" w14:textId="77777777" w:rsidR="004D49FB" w:rsidRPr="00191BF0" w:rsidRDefault="004D49FB" w:rsidP="003D0EF2">
            <w:pPr>
              <w:jc w:val="center"/>
              <w:rPr>
                <w:rFonts w:ascii="Arial" w:hAnsi="Arial" w:cs="Arial"/>
                <w:sz w:val="18"/>
                <w:szCs w:val="18"/>
              </w:rPr>
            </w:pPr>
            <w:r>
              <w:rPr>
                <w:rFonts w:ascii="Arial" w:hAnsi="Arial" w:cs="Arial"/>
                <w:sz w:val="18"/>
                <w:szCs w:val="18"/>
              </w:rPr>
              <w:t>Suministro</w:t>
            </w:r>
          </w:p>
        </w:tc>
        <w:tc>
          <w:tcPr>
            <w:tcW w:w="2260" w:type="dxa"/>
            <w:gridSpan w:val="2"/>
            <w:tcBorders>
              <w:top w:val="single" w:sz="4" w:space="0" w:color="auto"/>
              <w:left w:val="single" w:sz="4" w:space="0" w:color="auto"/>
              <w:bottom w:val="single" w:sz="4" w:space="0" w:color="auto"/>
            </w:tcBorders>
            <w:shd w:val="clear" w:color="000000" w:fill="95B3D7"/>
            <w:vAlign w:val="center"/>
          </w:tcPr>
          <w:p w14:paraId="6B3C7FEC" w14:textId="77777777" w:rsidR="004D49FB" w:rsidRPr="00191BF0" w:rsidRDefault="004D49FB" w:rsidP="003D0EF2">
            <w:pPr>
              <w:jc w:val="center"/>
              <w:rPr>
                <w:rFonts w:ascii="Arial" w:hAnsi="Arial" w:cs="Arial"/>
                <w:sz w:val="18"/>
                <w:szCs w:val="18"/>
              </w:rPr>
            </w:pPr>
            <w:r>
              <w:rPr>
                <w:rFonts w:ascii="Arial" w:hAnsi="Arial" w:cs="Arial"/>
                <w:sz w:val="18"/>
                <w:szCs w:val="18"/>
              </w:rPr>
              <w:t>Servicio</w:t>
            </w:r>
          </w:p>
        </w:tc>
      </w:tr>
      <w:tr w:rsidR="004D49FB" w:rsidRPr="00424743" w14:paraId="3DAFFB15" w14:textId="77777777" w:rsidTr="004D49FB">
        <w:trPr>
          <w:trHeight w:val="255"/>
          <w:jc w:val="center"/>
        </w:trPr>
        <w:tc>
          <w:tcPr>
            <w:tcW w:w="1985" w:type="dxa"/>
            <w:vMerge/>
            <w:tcBorders>
              <w:left w:val="nil"/>
              <w:bottom w:val="single" w:sz="2" w:space="0" w:color="auto"/>
              <w:right w:val="single" w:sz="4" w:space="0" w:color="auto"/>
            </w:tcBorders>
            <w:shd w:val="clear" w:color="000000" w:fill="95B3D7"/>
            <w:noWrap/>
            <w:vAlign w:val="center"/>
            <w:hideMark/>
          </w:tcPr>
          <w:p w14:paraId="453DFB3F" w14:textId="77777777" w:rsidR="004D49FB" w:rsidRPr="00424743" w:rsidRDefault="004D49FB" w:rsidP="003D0EF2">
            <w:pPr>
              <w:rPr>
                <w:rFonts w:ascii="Arial" w:hAnsi="Arial" w:cs="Arial"/>
                <w:color w:val="000000"/>
                <w:sz w:val="18"/>
                <w:szCs w:val="18"/>
              </w:rPr>
            </w:pPr>
          </w:p>
        </w:tc>
        <w:tc>
          <w:tcPr>
            <w:tcW w:w="1559" w:type="dxa"/>
            <w:tcBorders>
              <w:top w:val="single" w:sz="4" w:space="0" w:color="auto"/>
              <w:left w:val="single" w:sz="4" w:space="0" w:color="auto"/>
              <w:bottom w:val="single" w:sz="2" w:space="0" w:color="auto"/>
              <w:right w:val="single" w:sz="4" w:space="0" w:color="auto"/>
            </w:tcBorders>
            <w:shd w:val="clear" w:color="000000" w:fill="95B3D7"/>
            <w:noWrap/>
            <w:vAlign w:val="center"/>
            <w:hideMark/>
          </w:tcPr>
          <w:p w14:paraId="75DC6677"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Nº de contratos</w:t>
            </w:r>
          </w:p>
        </w:tc>
        <w:tc>
          <w:tcPr>
            <w:tcW w:w="709" w:type="dxa"/>
            <w:tcBorders>
              <w:top w:val="single" w:sz="4" w:space="0" w:color="auto"/>
              <w:left w:val="single" w:sz="4" w:space="0" w:color="auto"/>
              <w:bottom w:val="single" w:sz="2" w:space="0" w:color="auto"/>
              <w:right w:val="single" w:sz="4" w:space="0" w:color="auto"/>
            </w:tcBorders>
            <w:shd w:val="clear" w:color="000000" w:fill="95B3D7"/>
            <w:noWrap/>
            <w:vAlign w:val="center"/>
            <w:hideMark/>
          </w:tcPr>
          <w:p w14:paraId="2353E77B"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w:t>
            </w:r>
          </w:p>
        </w:tc>
        <w:tc>
          <w:tcPr>
            <w:tcW w:w="1559" w:type="dxa"/>
            <w:tcBorders>
              <w:top w:val="single" w:sz="4" w:space="0" w:color="auto"/>
              <w:left w:val="single" w:sz="4" w:space="0" w:color="auto"/>
              <w:bottom w:val="single" w:sz="2" w:space="0" w:color="auto"/>
              <w:right w:val="single" w:sz="4" w:space="0" w:color="auto"/>
            </w:tcBorders>
            <w:shd w:val="clear" w:color="000000" w:fill="95B3D7"/>
            <w:vAlign w:val="center"/>
          </w:tcPr>
          <w:p w14:paraId="64E42416"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Nº de contratos</w:t>
            </w:r>
          </w:p>
        </w:tc>
        <w:tc>
          <w:tcPr>
            <w:tcW w:w="850" w:type="dxa"/>
            <w:tcBorders>
              <w:top w:val="single" w:sz="4" w:space="0" w:color="auto"/>
              <w:left w:val="single" w:sz="4" w:space="0" w:color="auto"/>
              <w:bottom w:val="single" w:sz="2" w:space="0" w:color="auto"/>
              <w:right w:val="single" w:sz="4" w:space="0" w:color="auto"/>
            </w:tcBorders>
            <w:shd w:val="clear" w:color="000000" w:fill="95B3D7"/>
            <w:vAlign w:val="center"/>
          </w:tcPr>
          <w:p w14:paraId="1F4947FF"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w:t>
            </w:r>
          </w:p>
        </w:tc>
        <w:tc>
          <w:tcPr>
            <w:tcW w:w="1659" w:type="dxa"/>
            <w:tcBorders>
              <w:top w:val="single" w:sz="4" w:space="0" w:color="auto"/>
              <w:left w:val="single" w:sz="4" w:space="0" w:color="auto"/>
              <w:bottom w:val="single" w:sz="2" w:space="0" w:color="auto"/>
              <w:right w:val="single" w:sz="4" w:space="0" w:color="auto"/>
            </w:tcBorders>
            <w:shd w:val="clear" w:color="000000" w:fill="95B3D7"/>
            <w:vAlign w:val="center"/>
          </w:tcPr>
          <w:p w14:paraId="595BB99B" w14:textId="77777777" w:rsidR="004D49FB" w:rsidRPr="00424743" w:rsidRDefault="004D49FB" w:rsidP="003D0EF2">
            <w:pPr>
              <w:jc w:val="center"/>
              <w:rPr>
                <w:rFonts w:ascii="Arial" w:hAnsi="Arial" w:cs="Arial"/>
                <w:color w:val="000000"/>
                <w:sz w:val="18"/>
                <w:szCs w:val="18"/>
              </w:rPr>
            </w:pPr>
            <w:r w:rsidRPr="00424743">
              <w:rPr>
                <w:rFonts w:ascii="Arial" w:hAnsi="Arial" w:cs="Arial"/>
                <w:color w:val="000000"/>
                <w:sz w:val="18"/>
                <w:szCs w:val="18"/>
              </w:rPr>
              <w:t>Nº de contratos</w:t>
            </w:r>
          </w:p>
        </w:tc>
        <w:tc>
          <w:tcPr>
            <w:tcW w:w="601" w:type="dxa"/>
            <w:tcBorders>
              <w:top w:val="single" w:sz="4" w:space="0" w:color="auto"/>
              <w:left w:val="single" w:sz="4" w:space="0" w:color="auto"/>
              <w:bottom w:val="single" w:sz="2" w:space="0" w:color="auto"/>
            </w:tcBorders>
            <w:shd w:val="clear" w:color="000000" w:fill="95B3D7"/>
            <w:vAlign w:val="center"/>
          </w:tcPr>
          <w:p w14:paraId="2EEC6373"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w:t>
            </w:r>
          </w:p>
        </w:tc>
      </w:tr>
      <w:tr w:rsidR="005D3AC5" w:rsidRPr="002A22CC" w14:paraId="6E3A799E" w14:textId="77777777" w:rsidTr="00C67EED">
        <w:trPr>
          <w:trHeight w:val="198"/>
          <w:jc w:val="center"/>
        </w:trPr>
        <w:tc>
          <w:tcPr>
            <w:tcW w:w="1985" w:type="dxa"/>
            <w:tcBorders>
              <w:top w:val="single" w:sz="2" w:space="0" w:color="auto"/>
              <w:bottom w:val="single" w:sz="2" w:space="0" w:color="auto"/>
              <w:right w:val="single" w:sz="2" w:space="0" w:color="auto"/>
            </w:tcBorders>
            <w:shd w:val="clear" w:color="auto" w:fill="auto"/>
            <w:noWrap/>
            <w:vAlign w:val="center"/>
          </w:tcPr>
          <w:p w14:paraId="23403956" w14:textId="77777777" w:rsidR="005D3AC5" w:rsidRPr="0044109D" w:rsidRDefault="005D3AC5" w:rsidP="003D0EF2">
            <w:pPr>
              <w:rPr>
                <w:rFonts w:ascii="Arial Narrow" w:hAnsi="Arial Narrow" w:cs="Calibri"/>
                <w:color w:val="000000"/>
                <w:sz w:val="20"/>
                <w:szCs w:val="20"/>
              </w:rPr>
            </w:pPr>
            <w:r w:rsidRPr="0044109D">
              <w:rPr>
                <w:rFonts w:ascii="Arial Narrow" w:hAnsi="Arial Narrow" w:cs="Calibri"/>
                <w:color w:val="000000"/>
                <w:sz w:val="20"/>
                <w:szCs w:val="20"/>
              </w:rPr>
              <w:t>30</w:t>
            </w:r>
          </w:p>
        </w:tc>
        <w:tc>
          <w:tcPr>
            <w:tcW w:w="155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1E45083" w14:textId="77777777" w:rsidR="005D3AC5" w:rsidRPr="0044109D" w:rsidRDefault="005D3AC5" w:rsidP="003D0EF2">
            <w:pPr>
              <w:jc w:val="right"/>
              <w:rPr>
                <w:rFonts w:ascii="Arial Narrow" w:hAnsi="Arial Narrow" w:cs="Calibri"/>
                <w:color w:val="000000"/>
                <w:sz w:val="20"/>
                <w:szCs w:val="20"/>
              </w:rPr>
            </w:pP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EF19B3D" w14:textId="77777777" w:rsidR="005D3AC5" w:rsidRPr="0044109D" w:rsidRDefault="005D3AC5" w:rsidP="003D0EF2">
            <w:pPr>
              <w:jc w:val="right"/>
              <w:rPr>
                <w:rFonts w:ascii="Arial Narrow" w:hAnsi="Arial Narrow" w:cs="Calibri"/>
                <w:color w:val="000000"/>
                <w:sz w:val="20"/>
                <w:szCs w:val="20"/>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75DD517E" w14:textId="77777777" w:rsidR="005D3AC5" w:rsidRPr="0044109D" w:rsidRDefault="005D3AC5" w:rsidP="003D0EF2">
            <w:pPr>
              <w:jc w:val="right"/>
              <w:rPr>
                <w:rFonts w:ascii="Arial Narrow" w:hAnsi="Arial Narrow" w:cs="Calibri"/>
                <w:color w:val="000000"/>
                <w:sz w:val="20"/>
                <w:szCs w:val="20"/>
              </w:rPr>
            </w:pP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468C42EA" w14:textId="77777777" w:rsidR="005D3AC5" w:rsidRPr="0044109D" w:rsidRDefault="005D3AC5" w:rsidP="003D0EF2">
            <w:pPr>
              <w:jc w:val="right"/>
              <w:rPr>
                <w:rFonts w:ascii="Arial Narrow" w:hAnsi="Arial Narrow" w:cs="Calibri"/>
                <w:color w:val="000000"/>
                <w:sz w:val="20"/>
                <w:szCs w:val="20"/>
              </w:rPr>
            </w:pPr>
          </w:p>
        </w:tc>
        <w:tc>
          <w:tcPr>
            <w:tcW w:w="1659" w:type="dxa"/>
            <w:tcBorders>
              <w:top w:val="single" w:sz="2" w:space="0" w:color="auto"/>
              <w:left w:val="single" w:sz="2" w:space="0" w:color="auto"/>
              <w:bottom w:val="single" w:sz="2" w:space="0" w:color="auto"/>
              <w:right w:val="single" w:sz="2" w:space="0" w:color="auto"/>
            </w:tcBorders>
            <w:shd w:val="clear" w:color="auto" w:fill="auto"/>
            <w:vAlign w:val="center"/>
          </w:tcPr>
          <w:p w14:paraId="0DEFD378" w14:textId="77777777" w:rsidR="005D3AC5" w:rsidRPr="0044109D" w:rsidRDefault="005D3AC5" w:rsidP="003D0EF2">
            <w:pPr>
              <w:jc w:val="right"/>
              <w:rPr>
                <w:rFonts w:ascii="Arial Narrow" w:hAnsi="Arial Narrow" w:cs="Calibri"/>
                <w:color w:val="000000"/>
                <w:sz w:val="20"/>
                <w:szCs w:val="20"/>
              </w:rPr>
            </w:pPr>
            <w:r w:rsidRPr="0044109D">
              <w:rPr>
                <w:rFonts w:ascii="Arial Narrow" w:hAnsi="Arial Narrow" w:cs="Calibri"/>
                <w:color w:val="000000"/>
                <w:sz w:val="20"/>
                <w:szCs w:val="20"/>
              </w:rPr>
              <w:t>3</w:t>
            </w:r>
          </w:p>
        </w:tc>
        <w:tc>
          <w:tcPr>
            <w:tcW w:w="601" w:type="dxa"/>
            <w:tcBorders>
              <w:top w:val="single" w:sz="2" w:space="0" w:color="auto"/>
              <w:left w:val="single" w:sz="2" w:space="0" w:color="auto"/>
              <w:bottom w:val="single" w:sz="2" w:space="0" w:color="auto"/>
            </w:tcBorders>
            <w:shd w:val="clear" w:color="auto" w:fill="auto"/>
            <w:vAlign w:val="center"/>
          </w:tcPr>
          <w:p w14:paraId="44904882" w14:textId="77777777" w:rsidR="005D3AC5" w:rsidRPr="0044109D" w:rsidRDefault="005D3AC5" w:rsidP="00D45736">
            <w:pPr>
              <w:jc w:val="right"/>
              <w:rPr>
                <w:rFonts w:ascii="Arial Narrow" w:hAnsi="Arial Narrow" w:cs="Calibri"/>
                <w:color w:val="000000"/>
                <w:sz w:val="20"/>
                <w:szCs w:val="20"/>
              </w:rPr>
            </w:pPr>
            <w:r w:rsidRPr="0044109D">
              <w:rPr>
                <w:rFonts w:ascii="Arial Narrow" w:hAnsi="Arial Narrow" w:cs="Calibri"/>
                <w:color w:val="000000"/>
                <w:sz w:val="20"/>
                <w:szCs w:val="20"/>
              </w:rPr>
              <w:t>12</w:t>
            </w:r>
          </w:p>
        </w:tc>
      </w:tr>
      <w:tr w:rsidR="005D3AC5" w:rsidRPr="002A22CC" w14:paraId="46DDC99E" w14:textId="77777777" w:rsidTr="00C67EED">
        <w:trPr>
          <w:trHeight w:val="198"/>
          <w:jc w:val="center"/>
        </w:trPr>
        <w:tc>
          <w:tcPr>
            <w:tcW w:w="1985" w:type="dxa"/>
            <w:tcBorders>
              <w:top w:val="single" w:sz="2" w:space="0" w:color="auto"/>
              <w:bottom w:val="single" w:sz="2" w:space="0" w:color="auto"/>
              <w:right w:val="single" w:sz="2" w:space="0" w:color="auto"/>
            </w:tcBorders>
            <w:shd w:val="clear" w:color="auto" w:fill="auto"/>
            <w:noWrap/>
            <w:vAlign w:val="center"/>
          </w:tcPr>
          <w:p w14:paraId="54588CCC" w14:textId="77777777" w:rsidR="005D3AC5" w:rsidRPr="0044109D" w:rsidRDefault="005D3AC5" w:rsidP="003D0EF2">
            <w:pPr>
              <w:rPr>
                <w:rFonts w:ascii="Arial Narrow" w:hAnsi="Arial Narrow" w:cs="Calibri"/>
                <w:color w:val="000000"/>
                <w:sz w:val="20"/>
                <w:szCs w:val="20"/>
              </w:rPr>
            </w:pPr>
            <w:r w:rsidRPr="0044109D">
              <w:rPr>
                <w:rFonts w:ascii="Arial Narrow" w:hAnsi="Arial Narrow" w:cs="Calibri"/>
                <w:color w:val="000000"/>
                <w:sz w:val="20"/>
                <w:szCs w:val="20"/>
              </w:rPr>
              <w:t>40</w:t>
            </w:r>
          </w:p>
        </w:tc>
        <w:tc>
          <w:tcPr>
            <w:tcW w:w="155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41E4540" w14:textId="77777777" w:rsidR="005D3AC5" w:rsidRPr="0044109D" w:rsidRDefault="005D3AC5" w:rsidP="003D0EF2">
            <w:pPr>
              <w:jc w:val="right"/>
              <w:rPr>
                <w:rFonts w:ascii="Arial Narrow" w:hAnsi="Arial Narrow" w:cs="Calibri"/>
                <w:color w:val="000000"/>
                <w:sz w:val="20"/>
                <w:szCs w:val="20"/>
              </w:rPr>
            </w:pP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8538B9A" w14:textId="77777777" w:rsidR="005D3AC5" w:rsidRPr="0044109D" w:rsidRDefault="005D3AC5" w:rsidP="003D0EF2">
            <w:pPr>
              <w:jc w:val="right"/>
              <w:rPr>
                <w:rFonts w:ascii="Arial Narrow" w:hAnsi="Arial Narrow" w:cs="Calibri"/>
                <w:color w:val="000000"/>
                <w:sz w:val="20"/>
                <w:szCs w:val="20"/>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381F8D9B" w14:textId="77777777" w:rsidR="005D3AC5" w:rsidRPr="0044109D" w:rsidRDefault="005D3AC5" w:rsidP="003D0EF2">
            <w:pPr>
              <w:jc w:val="right"/>
              <w:rPr>
                <w:rFonts w:ascii="Arial Narrow" w:hAnsi="Arial Narrow" w:cs="Calibri"/>
                <w:color w:val="000000"/>
                <w:sz w:val="20"/>
                <w:szCs w:val="20"/>
              </w:rPr>
            </w:pP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2D88341F" w14:textId="77777777" w:rsidR="005D3AC5" w:rsidRPr="0044109D" w:rsidRDefault="005D3AC5" w:rsidP="003D0EF2">
            <w:pPr>
              <w:jc w:val="right"/>
              <w:rPr>
                <w:rFonts w:ascii="Arial Narrow" w:hAnsi="Arial Narrow" w:cs="Calibri"/>
                <w:color w:val="000000"/>
                <w:sz w:val="20"/>
                <w:szCs w:val="20"/>
              </w:rPr>
            </w:pPr>
          </w:p>
        </w:tc>
        <w:tc>
          <w:tcPr>
            <w:tcW w:w="1659" w:type="dxa"/>
            <w:tcBorders>
              <w:top w:val="single" w:sz="2" w:space="0" w:color="auto"/>
              <w:left w:val="single" w:sz="2" w:space="0" w:color="auto"/>
              <w:bottom w:val="single" w:sz="2" w:space="0" w:color="auto"/>
              <w:right w:val="single" w:sz="2" w:space="0" w:color="auto"/>
            </w:tcBorders>
            <w:shd w:val="clear" w:color="auto" w:fill="auto"/>
            <w:vAlign w:val="center"/>
          </w:tcPr>
          <w:p w14:paraId="5D4467AB" w14:textId="77777777" w:rsidR="005D3AC5" w:rsidRPr="0044109D" w:rsidRDefault="005D3AC5" w:rsidP="003D0EF2">
            <w:pPr>
              <w:jc w:val="right"/>
              <w:rPr>
                <w:rFonts w:ascii="Arial Narrow" w:hAnsi="Arial Narrow" w:cs="Calibri"/>
                <w:color w:val="000000"/>
                <w:sz w:val="20"/>
                <w:szCs w:val="20"/>
              </w:rPr>
            </w:pPr>
            <w:r w:rsidRPr="0044109D">
              <w:rPr>
                <w:rFonts w:ascii="Arial Narrow" w:hAnsi="Arial Narrow" w:cs="Calibri"/>
                <w:color w:val="000000"/>
                <w:sz w:val="20"/>
                <w:szCs w:val="20"/>
              </w:rPr>
              <w:t>3</w:t>
            </w:r>
          </w:p>
        </w:tc>
        <w:tc>
          <w:tcPr>
            <w:tcW w:w="601" w:type="dxa"/>
            <w:tcBorders>
              <w:top w:val="single" w:sz="2" w:space="0" w:color="auto"/>
              <w:left w:val="single" w:sz="2" w:space="0" w:color="auto"/>
              <w:bottom w:val="single" w:sz="2" w:space="0" w:color="auto"/>
            </w:tcBorders>
            <w:shd w:val="clear" w:color="auto" w:fill="auto"/>
            <w:vAlign w:val="center"/>
          </w:tcPr>
          <w:p w14:paraId="244A063B" w14:textId="77777777" w:rsidR="005D3AC5" w:rsidRPr="0044109D" w:rsidRDefault="005D3AC5" w:rsidP="00D45736">
            <w:pPr>
              <w:jc w:val="right"/>
              <w:rPr>
                <w:rFonts w:ascii="Arial Narrow" w:hAnsi="Arial Narrow" w:cs="Calibri"/>
                <w:color w:val="000000"/>
                <w:sz w:val="20"/>
                <w:szCs w:val="20"/>
              </w:rPr>
            </w:pPr>
            <w:r w:rsidRPr="0044109D">
              <w:rPr>
                <w:rFonts w:ascii="Arial Narrow" w:hAnsi="Arial Narrow" w:cs="Calibri"/>
                <w:color w:val="000000"/>
                <w:sz w:val="20"/>
                <w:szCs w:val="20"/>
              </w:rPr>
              <w:t>12</w:t>
            </w:r>
          </w:p>
        </w:tc>
      </w:tr>
      <w:tr w:rsidR="005D3AC5" w:rsidRPr="002A22CC" w14:paraId="4C6DD3E0" w14:textId="77777777" w:rsidTr="00C67EED">
        <w:trPr>
          <w:trHeight w:val="198"/>
          <w:jc w:val="center"/>
        </w:trPr>
        <w:tc>
          <w:tcPr>
            <w:tcW w:w="1985" w:type="dxa"/>
            <w:tcBorders>
              <w:top w:val="single" w:sz="2" w:space="0" w:color="auto"/>
              <w:bottom w:val="single" w:sz="2" w:space="0" w:color="auto"/>
              <w:right w:val="single" w:sz="2" w:space="0" w:color="auto"/>
            </w:tcBorders>
            <w:shd w:val="clear" w:color="auto" w:fill="auto"/>
            <w:noWrap/>
            <w:vAlign w:val="center"/>
          </w:tcPr>
          <w:p w14:paraId="458C977A" w14:textId="77777777" w:rsidR="005D3AC5" w:rsidRPr="0044109D" w:rsidRDefault="005D3AC5" w:rsidP="003D0EF2">
            <w:pPr>
              <w:rPr>
                <w:rFonts w:ascii="Arial Narrow" w:hAnsi="Arial Narrow" w:cs="Calibri"/>
                <w:color w:val="000000"/>
                <w:sz w:val="20"/>
                <w:szCs w:val="20"/>
              </w:rPr>
            </w:pPr>
            <w:r w:rsidRPr="0044109D">
              <w:rPr>
                <w:rFonts w:ascii="Arial Narrow" w:hAnsi="Arial Narrow" w:cs="Calibri"/>
                <w:color w:val="000000"/>
                <w:sz w:val="20"/>
                <w:szCs w:val="20"/>
              </w:rPr>
              <w:t>50</w:t>
            </w:r>
          </w:p>
        </w:tc>
        <w:tc>
          <w:tcPr>
            <w:tcW w:w="155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D9BFE6F" w14:textId="77777777" w:rsidR="005D3AC5" w:rsidRPr="0044109D" w:rsidRDefault="005D3AC5" w:rsidP="003D0EF2">
            <w:pPr>
              <w:jc w:val="right"/>
              <w:rPr>
                <w:rFonts w:ascii="Arial Narrow" w:hAnsi="Arial Narrow" w:cs="Calibri"/>
                <w:color w:val="000000"/>
                <w:sz w:val="20"/>
                <w:szCs w:val="20"/>
              </w:rPr>
            </w:pPr>
            <w:r w:rsidRPr="0044109D">
              <w:rPr>
                <w:rFonts w:ascii="Arial Narrow" w:hAnsi="Arial Narrow" w:cs="Calibri"/>
                <w:color w:val="000000"/>
                <w:sz w:val="20"/>
                <w:szCs w:val="20"/>
              </w:rPr>
              <w:t>7</w:t>
            </w: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47CBD5F" w14:textId="77777777" w:rsidR="005D3AC5" w:rsidRPr="0044109D" w:rsidRDefault="005D3AC5" w:rsidP="00D45736">
            <w:pPr>
              <w:jc w:val="right"/>
              <w:rPr>
                <w:rFonts w:ascii="Arial Narrow" w:hAnsi="Arial Narrow" w:cs="Calibri"/>
                <w:color w:val="000000"/>
                <w:sz w:val="20"/>
                <w:szCs w:val="20"/>
              </w:rPr>
            </w:pPr>
            <w:r w:rsidRPr="0044109D">
              <w:rPr>
                <w:rFonts w:ascii="Arial Narrow" w:hAnsi="Arial Narrow" w:cs="Calibri"/>
                <w:color w:val="000000"/>
                <w:sz w:val="20"/>
                <w:szCs w:val="20"/>
              </w:rPr>
              <w:t>28</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60799F34" w14:textId="77777777" w:rsidR="005D3AC5" w:rsidRPr="0044109D" w:rsidRDefault="005D3AC5" w:rsidP="003D0EF2">
            <w:pPr>
              <w:jc w:val="right"/>
              <w:rPr>
                <w:rFonts w:ascii="Arial Narrow" w:hAnsi="Arial Narrow" w:cs="Calibri"/>
                <w:color w:val="000000"/>
                <w:sz w:val="20"/>
                <w:szCs w:val="20"/>
              </w:rPr>
            </w:pPr>
            <w:r w:rsidRPr="0044109D">
              <w:rPr>
                <w:rFonts w:ascii="Arial Narrow" w:hAnsi="Arial Narrow" w:cs="Calibri"/>
                <w:color w:val="000000"/>
                <w:sz w:val="20"/>
                <w:szCs w:val="20"/>
              </w:rPr>
              <w:t>1</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34DD88D9" w14:textId="77777777" w:rsidR="005D3AC5" w:rsidRPr="0044109D" w:rsidRDefault="005D3AC5" w:rsidP="00D45736">
            <w:pPr>
              <w:jc w:val="right"/>
              <w:rPr>
                <w:rFonts w:ascii="Arial Narrow" w:hAnsi="Arial Narrow" w:cs="Calibri"/>
                <w:color w:val="000000"/>
                <w:sz w:val="20"/>
                <w:szCs w:val="20"/>
              </w:rPr>
            </w:pPr>
            <w:r w:rsidRPr="0044109D">
              <w:rPr>
                <w:rFonts w:ascii="Arial Narrow" w:hAnsi="Arial Narrow" w:cs="Calibri"/>
                <w:color w:val="000000"/>
                <w:sz w:val="20"/>
                <w:szCs w:val="20"/>
              </w:rPr>
              <w:t>3</w:t>
            </w:r>
          </w:p>
        </w:tc>
        <w:tc>
          <w:tcPr>
            <w:tcW w:w="1659" w:type="dxa"/>
            <w:tcBorders>
              <w:top w:val="single" w:sz="2" w:space="0" w:color="auto"/>
              <w:left w:val="single" w:sz="2" w:space="0" w:color="auto"/>
              <w:bottom w:val="single" w:sz="2" w:space="0" w:color="auto"/>
              <w:right w:val="single" w:sz="2" w:space="0" w:color="auto"/>
            </w:tcBorders>
            <w:shd w:val="clear" w:color="auto" w:fill="auto"/>
            <w:vAlign w:val="center"/>
          </w:tcPr>
          <w:p w14:paraId="31D7C972" w14:textId="77777777" w:rsidR="005D3AC5" w:rsidRPr="0044109D" w:rsidRDefault="005D3AC5" w:rsidP="003D0EF2">
            <w:pPr>
              <w:jc w:val="right"/>
              <w:rPr>
                <w:rFonts w:ascii="Arial Narrow" w:hAnsi="Arial Narrow" w:cs="Calibri"/>
                <w:color w:val="000000"/>
                <w:sz w:val="20"/>
                <w:szCs w:val="20"/>
              </w:rPr>
            </w:pPr>
            <w:r w:rsidRPr="0044109D">
              <w:rPr>
                <w:rFonts w:ascii="Arial Narrow" w:hAnsi="Arial Narrow" w:cs="Calibri"/>
                <w:color w:val="000000"/>
                <w:sz w:val="20"/>
                <w:szCs w:val="20"/>
              </w:rPr>
              <w:t>3</w:t>
            </w:r>
          </w:p>
        </w:tc>
        <w:tc>
          <w:tcPr>
            <w:tcW w:w="601" w:type="dxa"/>
            <w:tcBorders>
              <w:top w:val="single" w:sz="2" w:space="0" w:color="auto"/>
              <w:left w:val="single" w:sz="2" w:space="0" w:color="auto"/>
              <w:bottom w:val="single" w:sz="2" w:space="0" w:color="auto"/>
            </w:tcBorders>
            <w:shd w:val="clear" w:color="auto" w:fill="auto"/>
            <w:vAlign w:val="center"/>
          </w:tcPr>
          <w:p w14:paraId="3E57E15F" w14:textId="77777777" w:rsidR="005D3AC5" w:rsidRPr="0044109D" w:rsidRDefault="005D3AC5" w:rsidP="00D45736">
            <w:pPr>
              <w:jc w:val="right"/>
              <w:rPr>
                <w:rFonts w:ascii="Arial Narrow" w:hAnsi="Arial Narrow" w:cs="Calibri"/>
                <w:color w:val="000000"/>
                <w:sz w:val="20"/>
                <w:szCs w:val="20"/>
              </w:rPr>
            </w:pPr>
            <w:r w:rsidRPr="0044109D">
              <w:rPr>
                <w:rFonts w:ascii="Arial Narrow" w:hAnsi="Arial Narrow" w:cs="Calibri"/>
                <w:color w:val="000000"/>
                <w:sz w:val="20"/>
                <w:szCs w:val="20"/>
              </w:rPr>
              <w:t>12</w:t>
            </w:r>
          </w:p>
        </w:tc>
      </w:tr>
      <w:tr w:rsidR="005D3AC5" w:rsidRPr="002A22CC" w14:paraId="228B5281" w14:textId="77777777" w:rsidTr="00C67EED">
        <w:trPr>
          <w:trHeight w:val="198"/>
          <w:jc w:val="center"/>
        </w:trPr>
        <w:tc>
          <w:tcPr>
            <w:tcW w:w="1985" w:type="dxa"/>
            <w:tcBorders>
              <w:top w:val="single" w:sz="2" w:space="0" w:color="auto"/>
              <w:bottom w:val="single" w:sz="2" w:space="0" w:color="auto"/>
              <w:right w:val="single" w:sz="2" w:space="0" w:color="auto"/>
            </w:tcBorders>
            <w:shd w:val="clear" w:color="auto" w:fill="auto"/>
            <w:noWrap/>
            <w:vAlign w:val="center"/>
          </w:tcPr>
          <w:p w14:paraId="2C661477" w14:textId="77777777" w:rsidR="005D3AC5" w:rsidRPr="0044109D" w:rsidRDefault="005D3AC5" w:rsidP="003D0EF2">
            <w:pPr>
              <w:rPr>
                <w:rFonts w:ascii="Arial Narrow" w:hAnsi="Arial Narrow" w:cs="Calibri"/>
                <w:color w:val="000000"/>
                <w:sz w:val="20"/>
                <w:szCs w:val="20"/>
              </w:rPr>
            </w:pPr>
            <w:r w:rsidRPr="0044109D">
              <w:rPr>
                <w:rFonts w:ascii="Arial Narrow" w:hAnsi="Arial Narrow" w:cs="Calibri"/>
                <w:color w:val="000000"/>
                <w:sz w:val="20"/>
                <w:szCs w:val="20"/>
              </w:rPr>
              <w:t>53</w:t>
            </w:r>
          </w:p>
        </w:tc>
        <w:tc>
          <w:tcPr>
            <w:tcW w:w="155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32BD5C5" w14:textId="77777777" w:rsidR="005D3AC5" w:rsidRPr="0044109D" w:rsidRDefault="005D3AC5" w:rsidP="003D0EF2">
            <w:pPr>
              <w:jc w:val="right"/>
              <w:rPr>
                <w:rFonts w:ascii="Arial Narrow" w:hAnsi="Arial Narrow" w:cs="Calibri"/>
                <w:color w:val="000000"/>
                <w:sz w:val="20"/>
                <w:szCs w:val="20"/>
              </w:rPr>
            </w:pP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3B4DDC8" w14:textId="77777777" w:rsidR="005D3AC5" w:rsidRPr="0044109D" w:rsidRDefault="005D3AC5" w:rsidP="003D0EF2">
            <w:pPr>
              <w:jc w:val="right"/>
              <w:rPr>
                <w:rFonts w:ascii="Arial Narrow" w:hAnsi="Arial Narrow" w:cs="Calibri"/>
                <w:color w:val="000000"/>
                <w:sz w:val="20"/>
                <w:szCs w:val="20"/>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6CACF4C1" w14:textId="77777777" w:rsidR="005D3AC5" w:rsidRPr="0044109D" w:rsidRDefault="005D3AC5" w:rsidP="003D0EF2">
            <w:pPr>
              <w:jc w:val="right"/>
              <w:rPr>
                <w:rFonts w:ascii="Arial Narrow" w:hAnsi="Arial Narrow" w:cs="Calibri"/>
                <w:color w:val="000000"/>
                <w:sz w:val="20"/>
                <w:szCs w:val="20"/>
              </w:rPr>
            </w:pPr>
            <w:r w:rsidRPr="0044109D">
              <w:rPr>
                <w:rFonts w:ascii="Arial Narrow" w:hAnsi="Arial Narrow" w:cs="Calibri"/>
                <w:color w:val="000000"/>
                <w:sz w:val="20"/>
                <w:szCs w:val="20"/>
              </w:rPr>
              <w:t>1</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42368BAC" w14:textId="77777777" w:rsidR="005D3AC5" w:rsidRPr="0044109D" w:rsidRDefault="005D3AC5" w:rsidP="00D45736">
            <w:pPr>
              <w:jc w:val="right"/>
              <w:rPr>
                <w:rFonts w:ascii="Arial Narrow" w:hAnsi="Arial Narrow" w:cs="Calibri"/>
                <w:color w:val="000000"/>
                <w:sz w:val="20"/>
                <w:szCs w:val="20"/>
              </w:rPr>
            </w:pPr>
            <w:r w:rsidRPr="0044109D">
              <w:rPr>
                <w:rFonts w:ascii="Arial Narrow" w:hAnsi="Arial Narrow" w:cs="Calibri"/>
                <w:color w:val="000000"/>
                <w:sz w:val="20"/>
                <w:szCs w:val="20"/>
              </w:rPr>
              <w:t>3</w:t>
            </w:r>
          </w:p>
        </w:tc>
        <w:tc>
          <w:tcPr>
            <w:tcW w:w="1659" w:type="dxa"/>
            <w:tcBorders>
              <w:top w:val="single" w:sz="2" w:space="0" w:color="auto"/>
              <w:left w:val="single" w:sz="2" w:space="0" w:color="auto"/>
              <w:bottom w:val="single" w:sz="2" w:space="0" w:color="auto"/>
              <w:right w:val="single" w:sz="2" w:space="0" w:color="auto"/>
            </w:tcBorders>
            <w:shd w:val="clear" w:color="auto" w:fill="auto"/>
            <w:vAlign w:val="center"/>
          </w:tcPr>
          <w:p w14:paraId="41990D31" w14:textId="77777777" w:rsidR="005D3AC5" w:rsidRPr="0044109D" w:rsidRDefault="005D3AC5" w:rsidP="003D0EF2">
            <w:pPr>
              <w:jc w:val="right"/>
              <w:rPr>
                <w:rFonts w:ascii="Arial Narrow" w:hAnsi="Arial Narrow" w:cs="Calibri"/>
                <w:color w:val="000000"/>
                <w:sz w:val="20"/>
                <w:szCs w:val="20"/>
              </w:rPr>
            </w:pPr>
          </w:p>
        </w:tc>
        <w:tc>
          <w:tcPr>
            <w:tcW w:w="601" w:type="dxa"/>
            <w:tcBorders>
              <w:top w:val="single" w:sz="2" w:space="0" w:color="auto"/>
              <w:left w:val="single" w:sz="2" w:space="0" w:color="auto"/>
              <w:bottom w:val="single" w:sz="2" w:space="0" w:color="auto"/>
            </w:tcBorders>
            <w:shd w:val="clear" w:color="auto" w:fill="auto"/>
            <w:vAlign w:val="center"/>
          </w:tcPr>
          <w:p w14:paraId="279BE41F" w14:textId="77777777" w:rsidR="005D3AC5" w:rsidRPr="0044109D" w:rsidRDefault="005D3AC5" w:rsidP="003D0EF2">
            <w:pPr>
              <w:jc w:val="right"/>
              <w:rPr>
                <w:rFonts w:ascii="Arial Narrow" w:hAnsi="Arial Narrow" w:cs="Calibri"/>
                <w:color w:val="000000"/>
                <w:sz w:val="20"/>
                <w:szCs w:val="20"/>
              </w:rPr>
            </w:pPr>
          </w:p>
        </w:tc>
      </w:tr>
      <w:tr w:rsidR="005D3AC5" w:rsidRPr="002A22CC" w14:paraId="003CD957" w14:textId="77777777" w:rsidTr="00C67EED">
        <w:trPr>
          <w:trHeight w:val="198"/>
          <w:jc w:val="center"/>
        </w:trPr>
        <w:tc>
          <w:tcPr>
            <w:tcW w:w="1985" w:type="dxa"/>
            <w:tcBorders>
              <w:top w:val="single" w:sz="2" w:space="0" w:color="auto"/>
              <w:bottom w:val="single" w:sz="2" w:space="0" w:color="auto"/>
              <w:right w:val="single" w:sz="2" w:space="0" w:color="auto"/>
            </w:tcBorders>
            <w:shd w:val="clear" w:color="auto" w:fill="auto"/>
            <w:noWrap/>
            <w:vAlign w:val="center"/>
          </w:tcPr>
          <w:p w14:paraId="55E8DF27" w14:textId="77777777" w:rsidR="005D3AC5" w:rsidRPr="0044109D" w:rsidRDefault="005D3AC5" w:rsidP="003D0EF2">
            <w:pPr>
              <w:rPr>
                <w:rFonts w:ascii="Arial Narrow" w:hAnsi="Arial Narrow" w:cs="Calibri"/>
                <w:color w:val="000000"/>
                <w:sz w:val="20"/>
                <w:szCs w:val="20"/>
              </w:rPr>
            </w:pPr>
            <w:r w:rsidRPr="0044109D">
              <w:rPr>
                <w:rFonts w:ascii="Arial Narrow" w:hAnsi="Arial Narrow" w:cs="Calibri"/>
                <w:color w:val="000000"/>
                <w:sz w:val="20"/>
                <w:szCs w:val="20"/>
              </w:rPr>
              <w:t>60</w:t>
            </w:r>
          </w:p>
        </w:tc>
        <w:tc>
          <w:tcPr>
            <w:tcW w:w="155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1C5AF29" w14:textId="77777777" w:rsidR="005D3AC5" w:rsidRPr="0044109D" w:rsidRDefault="005D3AC5" w:rsidP="003D0EF2">
            <w:pPr>
              <w:jc w:val="right"/>
              <w:rPr>
                <w:rFonts w:ascii="Arial Narrow" w:hAnsi="Arial Narrow" w:cs="Calibri"/>
                <w:color w:val="000000"/>
                <w:sz w:val="20"/>
                <w:szCs w:val="20"/>
              </w:rPr>
            </w:pPr>
            <w:r w:rsidRPr="0044109D">
              <w:rPr>
                <w:rFonts w:ascii="Arial Narrow" w:hAnsi="Arial Narrow" w:cs="Calibri"/>
                <w:color w:val="000000"/>
                <w:sz w:val="20"/>
                <w:szCs w:val="20"/>
              </w:rPr>
              <w:t>6</w:t>
            </w: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7DDA97C" w14:textId="77777777" w:rsidR="005D3AC5" w:rsidRPr="0044109D" w:rsidRDefault="005D3AC5" w:rsidP="00D45736">
            <w:pPr>
              <w:jc w:val="right"/>
              <w:rPr>
                <w:rFonts w:ascii="Arial Narrow" w:hAnsi="Arial Narrow" w:cs="Calibri"/>
                <w:color w:val="000000"/>
                <w:sz w:val="20"/>
                <w:szCs w:val="20"/>
              </w:rPr>
            </w:pPr>
            <w:r w:rsidRPr="0044109D">
              <w:rPr>
                <w:rFonts w:ascii="Arial Narrow" w:hAnsi="Arial Narrow" w:cs="Calibri"/>
                <w:color w:val="000000"/>
                <w:sz w:val="20"/>
                <w:szCs w:val="20"/>
              </w:rPr>
              <w:t>24</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0DBBE1FA" w14:textId="77777777" w:rsidR="005D3AC5" w:rsidRPr="0044109D" w:rsidRDefault="005D3AC5" w:rsidP="003D0EF2">
            <w:pPr>
              <w:jc w:val="right"/>
              <w:rPr>
                <w:rFonts w:ascii="Arial Narrow" w:hAnsi="Arial Narrow" w:cs="Calibri"/>
                <w:color w:val="000000"/>
                <w:sz w:val="20"/>
                <w:szCs w:val="20"/>
              </w:rPr>
            </w:pP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7BD8E4E5" w14:textId="77777777" w:rsidR="005D3AC5" w:rsidRPr="0044109D" w:rsidRDefault="005D3AC5" w:rsidP="003D0EF2">
            <w:pPr>
              <w:jc w:val="right"/>
              <w:rPr>
                <w:rFonts w:ascii="Arial Narrow" w:hAnsi="Arial Narrow" w:cs="Calibri"/>
                <w:color w:val="000000"/>
                <w:sz w:val="20"/>
                <w:szCs w:val="20"/>
              </w:rPr>
            </w:pPr>
          </w:p>
        </w:tc>
        <w:tc>
          <w:tcPr>
            <w:tcW w:w="1659" w:type="dxa"/>
            <w:tcBorders>
              <w:top w:val="single" w:sz="2" w:space="0" w:color="auto"/>
              <w:left w:val="single" w:sz="2" w:space="0" w:color="auto"/>
              <w:bottom w:val="single" w:sz="2" w:space="0" w:color="auto"/>
              <w:right w:val="single" w:sz="2" w:space="0" w:color="auto"/>
            </w:tcBorders>
            <w:shd w:val="clear" w:color="auto" w:fill="auto"/>
            <w:vAlign w:val="center"/>
          </w:tcPr>
          <w:p w14:paraId="4AD2246B" w14:textId="77777777" w:rsidR="005D3AC5" w:rsidRPr="0044109D" w:rsidRDefault="005D3AC5" w:rsidP="003D0EF2">
            <w:pPr>
              <w:jc w:val="right"/>
              <w:rPr>
                <w:rFonts w:ascii="Arial Narrow" w:hAnsi="Arial Narrow" w:cs="Calibri"/>
                <w:color w:val="000000"/>
                <w:sz w:val="20"/>
                <w:szCs w:val="20"/>
              </w:rPr>
            </w:pPr>
          </w:p>
        </w:tc>
        <w:tc>
          <w:tcPr>
            <w:tcW w:w="601" w:type="dxa"/>
            <w:tcBorders>
              <w:top w:val="single" w:sz="2" w:space="0" w:color="auto"/>
              <w:left w:val="single" w:sz="2" w:space="0" w:color="auto"/>
              <w:bottom w:val="single" w:sz="2" w:space="0" w:color="auto"/>
            </w:tcBorders>
            <w:shd w:val="clear" w:color="auto" w:fill="auto"/>
            <w:vAlign w:val="center"/>
          </w:tcPr>
          <w:p w14:paraId="7ACC0731" w14:textId="77777777" w:rsidR="005D3AC5" w:rsidRPr="0044109D" w:rsidRDefault="005D3AC5" w:rsidP="003D0EF2">
            <w:pPr>
              <w:jc w:val="right"/>
              <w:rPr>
                <w:rFonts w:ascii="Arial Narrow" w:hAnsi="Arial Narrow" w:cs="Calibri"/>
                <w:color w:val="000000"/>
                <w:sz w:val="20"/>
                <w:szCs w:val="20"/>
              </w:rPr>
            </w:pPr>
          </w:p>
        </w:tc>
      </w:tr>
      <w:tr w:rsidR="005D3AC5" w:rsidRPr="002A22CC" w14:paraId="087F85E9" w14:textId="77777777" w:rsidTr="00C67EED">
        <w:trPr>
          <w:trHeight w:val="198"/>
          <w:jc w:val="center"/>
        </w:trPr>
        <w:tc>
          <w:tcPr>
            <w:tcW w:w="1985" w:type="dxa"/>
            <w:tcBorders>
              <w:top w:val="single" w:sz="2" w:space="0" w:color="auto"/>
              <w:bottom w:val="single" w:sz="2" w:space="0" w:color="auto"/>
              <w:right w:val="single" w:sz="2" w:space="0" w:color="auto"/>
            </w:tcBorders>
            <w:shd w:val="clear" w:color="auto" w:fill="auto"/>
            <w:noWrap/>
            <w:vAlign w:val="center"/>
          </w:tcPr>
          <w:p w14:paraId="396A9FDE" w14:textId="77777777" w:rsidR="005D3AC5" w:rsidRPr="0044109D" w:rsidRDefault="005D3AC5" w:rsidP="003D0EF2">
            <w:pPr>
              <w:rPr>
                <w:rFonts w:ascii="Arial Narrow" w:hAnsi="Arial Narrow" w:cs="Calibri"/>
                <w:color w:val="000000"/>
                <w:sz w:val="20"/>
                <w:szCs w:val="20"/>
              </w:rPr>
            </w:pPr>
            <w:r w:rsidRPr="0044109D">
              <w:rPr>
                <w:rFonts w:ascii="Arial Narrow" w:hAnsi="Arial Narrow" w:cs="Calibri"/>
                <w:color w:val="000000"/>
                <w:sz w:val="20"/>
                <w:szCs w:val="20"/>
              </w:rPr>
              <w:t>70</w:t>
            </w:r>
          </w:p>
        </w:tc>
        <w:tc>
          <w:tcPr>
            <w:tcW w:w="155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A83E982" w14:textId="77777777" w:rsidR="005D3AC5" w:rsidRPr="0044109D" w:rsidRDefault="005D3AC5" w:rsidP="003D0EF2">
            <w:pPr>
              <w:jc w:val="right"/>
              <w:rPr>
                <w:rFonts w:ascii="Arial Narrow" w:hAnsi="Arial Narrow" w:cs="Calibri"/>
                <w:color w:val="000000"/>
                <w:sz w:val="20"/>
                <w:szCs w:val="20"/>
              </w:rPr>
            </w:pPr>
            <w:r w:rsidRPr="0044109D">
              <w:rPr>
                <w:rFonts w:ascii="Arial Narrow" w:hAnsi="Arial Narrow" w:cs="Calibri"/>
                <w:color w:val="000000"/>
                <w:sz w:val="20"/>
                <w:szCs w:val="20"/>
              </w:rPr>
              <w:t>4</w:t>
            </w: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1A1EAA1" w14:textId="77777777" w:rsidR="005D3AC5" w:rsidRPr="0044109D" w:rsidRDefault="005D3AC5" w:rsidP="00D45736">
            <w:pPr>
              <w:jc w:val="right"/>
              <w:rPr>
                <w:rFonts w:ascii="Arial Narrow" w:hAnsi="Arial Narrow" w:cs="Calibri"/>
                <w:color w:val="000000"/>
                <w:sz w:val="20"/>
                <w:szCs w:val="20"/>
              </w:rPr>
            </w:pPr>
            <w:r w:rsidRPr="0044109D">
              <w:rPr>
                <w:rFonts w:ascii="Arial Narrow" w:hAnsi="Arial Narrow" w:cs="Calibri"/>
                <w:color w:val="000000"/>
                <w:sz w:val="20"/>
                <w:szCs w:val="20"/>
              </w:rPr>
              <w:t>16</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7BB30A7C" w14:textId="77777777" w:rsidR="005D3AC5" w:rsidRPr="0044109D" w:rsidRDefault="005D3AC5" w:rsidP="003D0EF2">
            <w:pPr>
              <w:jc w:val="right"/>
              <w:rPr>
                <w:rFonts w:ascii="Arial Narrow" w:hAnsi="Arial Narrow" w:cs="Calibri"/>
                <w:color w:val="000000"/>
                <w:sz w:val="20"/>
                <w:szCs w:val="20"/>
              </w:rPr>
            </w:pP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1EA63BBF" w14:textId="77777777" w:rsidR="005D3AC5" w:rsidRPr="0044109D" w:rsidRDefault="005D3AC5" w:rsidP="003D0EF2">
            <w:pPr>
              <w:jc w:val="right"/>
              <w:rPr>
                <w:rFonts w:ascii="Arial Narrow" w:hAnsi="Arial Narrow" w:cs="Calibri"/>
                <w:color w:val="000000"/>
                <w:sz w:val="20"/>
                <w:szCs w:val="20"/>
              </w:rPr>
            </w:pPr>
          </w:p>
        </w:tc>
        <w:tc>
          <w:tcPr>
            <w:tcW w:w="1659" w:type="dxa"/>
            <w:tcBorders>
              <w:top w:val="single" w:sz="2" w:space="0" w:color="auto"/>
              <w:left w:val="single" w:sz="2" w:space="0" w:color="auto"/>
              <w:bottom w:val="single" w:sz="2" w:space="0" w:color="auto"/>
              <w:right w:val="single" w:sz="2" w:space="0" w:color="auto"/>
            </w:tcBorders>
            <w:shd w:val="clear" w:color="auto" w:fill="auto"/>
            <w:vAlign w:val="center"/>
          </w:tcPr>
          <w:p w14:paraId="6A4EDC3C" w14:textId="77777777" w:rsidR="005D3AC5" w:rsidRPr="0044109D" w:rsidRDefault="005D3AC5" w:rsidP="003D0EF2">
            <w:pPr>
              <w:jc w:val="right"/>
              <w:rPr>
                <w:rFonts w:ascii="Arial Narrow" w:hAnsi="Arial Narrow" w:cs="Calibri"/>
                <w:color w:val="000000"/>
                <w:sz w:val="20"/>
                <w:szCs w:val="20"/>
              </w:rPr>
            </w:pPr>
          </w:p>
        </w:tc>
        <w:tc>
          <w:tcPr>
            <w:tcW w:w="601" w:type="dxa"/>
            <w:tcBorders>
              <w:top w:val="single" w:sz="2" w:space="0" w:color="auto"/>
              <w:left w:val="single" w:sz="2" w:space="0" w:color="auto"/>
              <w:bottom w:val="single" w:sz="2" w:space="0" w:color="auto"/>
            </w:tcBorders>
            <w:shd w:val="clear" w:color="auto" w:fill="auto"/>
            <w:vAlign w:val="center"/>
          </w:tcPr>
          <w:p w14:paraId="6E63DF6F" w14:textId="77777777" w:rsidR="005D3AC5" w:rsidRPr="0044109D" w:rsidRDefault="005D3AC5" w:rsidP="003D0EF2">
            <w:pPr>
              <w:jc w:val="right"/>
              <w:rPr>
                <w:rFonts w:ascii="Arial Narrow" w:hAnsi="Arial Narrow" w:cs="Calibri"/>
                <w:color w:val="000000"/>
                <w:sz w:val="20"/>
                <w:szCs w:val="20"/>
              </w:rPr>
            </w:pPr>
          </w:p>
        </w:tc>
      </w:tr>
      <w:tr w:rsidR="005D3AC5" w:rsidRPr="002A22CC" w14:paraId="077604B7" w14:textId="77777777" w:rsidTr="00C67EED">
        <w:trPr>
          <w:trHeight w:val="198"/>
          <w:jc w:val="center"/>
        </w:trPr>
        <w:tc>
          <w:tcPr>
            <w:tcW w:w="1985" w:type="dxa"/>
            <w:tcBorders>
              <w:top w:val="single" w:sz="2" w:space="0" w:color="auto"/>
              <w:bottom w:val="single" w:sz="2" w:space="0" w:color="auto"/>
              <w:right w:val="single" w:sz="2" w:space="0" w:color="auto"/>
            </w:tcBorders>
            <w:shd w:val="clear" w:color="auto" w:fill="auto"/>
            <w:noWrap/>
            <w:vAlign w:val="center"/>
          </w:tcPr>
          <w:p w14:paraId="1F40F45E" w14:textId="77777777" w:rsidR="005D3AC5" w:rsidRPr="0044109D" w:rsidRDefault="005D3AC5" w:rsidP="003D0EF2">
            <w:pPr>
              <w:rPr>
                <w:rFonts w:ascii="Arial Narrow" w:hAnsi="Arial Narrow" w:cs="Calibri"/>
                <w:color w:val="000000"/>
                <w:sz w:val="20"/>
                <w:szCs w:val="20"/>
              </w:rPr>
            </w:pPr>
            <w:r w:rsidRPr="0044109D">
              <w:rPr>
                <w:rFonts w:ascii="Arial Narrow" w:hAnsi="Arial Narrow" w:cs="Calibri"/>
                <w:color w:val="000000"/>
                <w:sz w:val="20"/>
                <w:szCs w:val="20"/>
              </w:rPr>
              <w:t>75</w:t>
            </w:r>
          </w:p>
        </w:tc>
        <w:tc>
          <w:tcPr>
            <w:tcW w:w="155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9EB80E2" w14:textId="77777777" w:rsidR="005D3AC5" w:rsidRPr="0044109D" w:rsidRDefault="005D3AC5" w:rsidP="003D0EF2">
            <w:pPr>
              <w:jc w:val="right"/>
              <w:rPr>
                <w:rFonts w:ascii="Arial Narrow" w:hAnsi="Arial Narrow" w:cs="Calibri"/>
                <w:color w:val="000000"/>
                <w:sz w:val="20"/>
                <w:szCs w:val="20"/>
              </w:rPr>
            </w:pP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ABC238F" w14:textId="77777777" w:rsidR="005D3AC5" w:rsidRPr="0044109D" w:rsidRDefault="005D3AC5" w:rsidP="003D0EF2">
            <w:pPr>
              <w:jc w:val="right"/>
              <w:rPr>
                <w:rFonts w:ascii="Arial Narrow" w:hAnsi="Arial Narrow" w:cs="Calibri"/>
                <w:color w:val="000000"/>
                <w:sz w:val="20"/>
                <w:szCs w:val="20"/>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1EAD0D67" w14:textId="77777777" w:rsidR="005D3AC5" w:rsidRPr="0044109D" w:rsidRDefault="005D3AC5" w:rsidP="003D0EF2">
            <w:pPr>
              <w:jc w:val="right"/>
              <w:rPr>
                <w:rFonts w:ascii="Arial Narrow" w:hAnsi="Arial Narrow" w:cs="Calibri"/>
                <w:color w:val="000000"/>
                <w:sz w:val="20"/>
                <w:szCs w:val="20"/>
              </w:rPr>
            </w:pPr>
            <w:r w:rsidRPr="0044109D">
              <w:rPr>
                <w:rFonts w:ascii="Arial Narrow" w:hAnsi="Arial Narrow" w:cs="Calibri"/>
                <w:color w:val="000000"/>
                <w:sz w:val="20"/>
                <w:szCs w:val="20"/>
              </w:rPr>
              <w:t>1</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6FE7E3FC" w14:textId="77777777" w:rsidR="005D3AC5" w:rsidRPr="0044109D" w:rsidRDefault="005D3AC5" w:rsidP="00D45736">
            <w:pPr>
              <w:jc w:val="right"/>
              <w:rPr>
                <w:rFonts w:ascii="Arial Narrow" w:hAnsi="Arial Narrow" w:cs="Calibri"/>
                <w:color w:val="000000"/>
                <w:sz w:val="20"/>
                <w:szCs w:val="20"/>
              </w:rPr>
            </w:pPr>
            <w:r w:rsidRPr="0044109D">
              <w:rPr>
                <w:rFonts w:ascii="Arial Narrow" w:hAnsi="Arial Narrow" w:cs="Calibri"/>
                <w:color w:val="000000"/>
                <w:sz w:val="20"/>
                <w:szCs w:val="20"/>
              </w:rPr>
              <w:t>3</w:t>
            </w:r>
          </w:p>
        </w:tc>
        <w:tc>
          <w:tcPr>
            <w:tcW w:w="1659" w:type="dxa"/>
            <w:tcBorders>
              <w:top w:val="single" w:sz="2" w:space="0" w:color="auto"/>
              <w:left w:val="single" w:sz="2" w:space="0" w:color="auto"/>
              <w:bottom w:val="single" w:sz="2" w:space="0" w:color="auto"/>
              <w:right w:val="single" w:sz="2" w:space="0" w:color="auto"/>
            </w:tcBorders>
            <w:shd w:val="clear" w:color="auto" w:fill="auto"/>
            <w:vAlign w:val="center"/>
          </w:tcPr>
          <w:p w14:paraId="2E2223E6" w14:textId="77777777" w:rsidR="005D3AC5" w:rsidRPr="0044109D" w:rsidRDefault="005D3AC5" w:rsidP="003D0EF2">
            <w:pPr>
              <w:jc w:val="right"/>
              <w:rPr>
                <w:rFonts w:ascii="Arial Narrow" w:hAnsi="Arial Narrow" w:cs="Calibri"/>
                <w:color w:val="000000"/>
                <w:sz w:val="20"/>
                <w:szCs w:val="20"/>
              </w:rPr>
            </w:pPr>
          </w:p>
        </w:tc>
        <w:tc>
          <w:tcPr>
            <w:tcW w:w="601" w:type="dxa"/>
            <w:tcBorders>
              <w:top w:val="single" w:sz="2" w:space="0" w:color="auto"/>
              <w:left w:val="single" w:sz="2" w:space="0" w:color="auto"/>
              <w:bottom w:val="single" w:sz="2" w:space="0" w:color="auto"/>
            </w:tcBorders>
            <w:shd w:val="clear" w:color="auto" w:fill="auto"/>
            <w:vAlign w:val="center"/>
          </w:tcPr>
          <w:p w14:paraId="6EC7F103" w14:textId="77777777" w:rsidR="005D3AC5" w:rsidRPr="0044109D" w:rsidRDefault="005D3AC5" w:rsidP="003D0EF2">
            <w:pPr>
              <w:jc w:val="right"/>
              <w:rPr>
                <w:rFonts w:ascii="Arial Narrow" w:hAnsi="Arial Narrow" w:cs="Calibri"/>
                <w:color w:val="000000"/>
                <w:sz w:val="20"/>
                <w:szCs w:val="20"/>
              </w:rPr>
            </w:pPr>
          </w:p>
        </w:tc>
      </w:tr>
      <w:tr w:rsidR="005D3AC5" w:rsidRPr="002A22CC" w14:paraId="0061F568" w14:textId="77777777" w:rsidTr="00C67EED">
        <w:trPr>
          <w:trHeight w:val="198"/>
          <w:jc w:val="center"/>
        </w:trPr>
        <w:tc>
          <w:tcPr>
            <w:tcW w:w="1985" w:type="dxa"/>
            <w:tcBorders>
              <w:top w:val="single" w:sz="2" w:space="0" w:color="auto"/>
              <w:bottom w:val="single" w:sz="2" w:space="0" w:color="auto"/>
              <w:right w:val="single" w:sz="2" w:space="0" w:color="auto"/>
            </w:tcBorders>
            <w:shd w:val="clear" w:color="auto" w:fill="auto"/>
            <w:noWrap/>
            <w:vAlign w:val="center"/>
          </w:tcPr>
          <w:p w14:paraId="559FA770" w14:textId="77777777" w:rsidR="005D3AC5" w:rsidRPr="0044109D" w:rsidRDefault="005D3AC5" w:rsidP="003D0EF2">
            <w:pPr>
              <w:rPr>
                <w:rFonts w:ascii="Arial Narrow" w:hAnsi="Arial Narrow" w:cs="Calibri"/>
                <w:color w:val="000000"/>
                <w:sz w:val="20"/>
                <w:szCs w:val="20"/>
              </w:rPr>
            </w:pPr>
            <w:r w:rsidRPr="0044109D">
              <w:rPr>
                <w:rFonts w:ascii="Arial Narrow" w:hAnsi="Arial Narrow" w:cs="Calibri"/>
                <w:color w:val="000000"/>
                <w:sz w:val="20"/>
                <w:szCs w:val="20"/>
              </w:rPr>
              <w:t>76</w:t>
            </w:r>
          </w:p>
        </w:tc>
        <w:tc>
          <w:tcPr>
            <w:tcW w:w="155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8E74E0D" w14:textId="77777777" w:rsidR="005D3AC5" w:rsidRPr="0044109D" w:rsidRDefault="005D3AC5" w:rsidP="003D0EF2">
            <w:pPr>
              <w:jc w:val="right"/>
              <w:rPr>
                <w:rFonts w:ascii="Arial Narrow" w:hAnsi="Arial Narrow" w:cs="Calibri"/>
                <w:color w:val="000000"/>
                <w:sz w:val="20"/>
                <w:szCs w:val="20"/>
              </w:rPr>
            </w:pP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CAA24D0" w14:textId="77777777" w:rsidR="005D3AC5" w:rsidRPr="0044109D" w:rsidRDefault="005D3AC5" w:rsidP="003D0EF2">
            <w:pPr>
              <w:jc w:val="right"/>
              <w:rPr>
                <w:rFonts w:ascii="Arial Narrow" w:hAnsi="Arial Narrow" w:cs="Calibri"/>
                <w:color w:val="000000"/>
                <w:sz w:val="20"/>
                <w:szCs w:val="20"/>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7652FC1A" w14:textId="77777777" w:rsidR="005D3AC5" w:rsidRPr="0044109D" w:rsidRDefault="005D3AC5" w:rsidP="003D0EF2">
            <w:pPr>
              <w:jc w:val="right"/>
              <w:rPr>
                <w:rFonts w:ascii="Arial Narrow" w:hAnsi="Arial Narrow" w:cs="Calibri"/>
                <w:color w:val="000000"/>
                <w:sz w:val="20"/>
                <w:szCs w:val="20"/>
              </w:rPr>
            </w:pP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689E68A7" w14:textId="77777777" w:rsidR="005D3AC5" w:rsidRPr="0044109D" w:rsidRDefault="005D3AC5" w:rsidP="003D0EF2">
            <w:pPr>
              <w:jc w:val="right"/>
              <w:rPr>
                <w:rFonts w:ascii="Arial Narrow" w:hAnsi="Arial Narrow" w:cs="Calibri"/>
                <w:color w:val="000000"/>
                <w:sz w:val="20"/>
                <w:szCs w:val="20"/>
              </w:rPr>
            </w:pPr>
          </w:p>
        </w:tc>
        <w:tc>
          <w:tcPr>
            <w:tcW w:w="1659" w:type="dxa"/>
            <w:tcBorders>
              <w:top w:val="single" w:sz="2" w:space="0" w:color="auto"/>
              <w:left w:val="single" w:sz="2" w:space="0" w:color="auto"/>
              <w:bottom w:val="single" w:sz="2" w:space="0" w:color="auto"/>
              <w:right w:val="single" w:sz="2" w:space="0" w:color="auto"/>
            </w:tcBorders>
            <w:shd w:val="clear" w:color="auto" w:fill="auto"/>
            <w:vAlign w:val="center"/>
          </w:tcPr>
          <w:p w14:paraId="2021CE93" w14:textId="77777777" w:rsidR="005D3AC5" w:rsidRPr="0044109D" w:rsidRDefault="005D3AC5" w:rsidP="003D0EF2">
            <w:pPr>
              <w:jc w:val="right"/>
              <w:rPr>
                <w:rFonts w:ascii="Arial Narrow" w:hAnsi="Arial Narrow" w:cs="Calibri"/>
                <w:color w:val="000000"/>
                <w:sz w:val="20"/>
                <w:szCs w:val="20"/>
              </w:rPr>
            </w:pPr>
            <w:r w:rsidRPr="0044109D">
              <w:rPr>
                <w:rFonts w:ascii="Arial Narrow" w:hAnsi="Arial Narrow" w:cs="Calibri"/>
                <w:color w:val="000000"/>
                <w:sz w:val="20"/>
                <w:szCs w:val="20"/>
              </w:rPr>
              <w:t>2</w:t>
            </w:r>
          </w:p>
        </w:tc>
        <w:tc>
          <w:tcPr>
            <w:tcW w:w="601" w:type="dxa"/>
            <w:tcBorders>
              <w:top w:val="single" w:sz="2" w:space="0" w:color="auto"/>
              <w:left w:val="single" w:sz="2" w:space="0" w:color="auto"/>
              <w:bottom w:val="single" w:sz="2" w:space="0" w:color="auto"/>
            </w:tcBorders>
            <w:shd w:val="clear" w:color="auto" w:fill="auto"/>
            <w:vAlign w:val="center"/>
          </w:tcPr>
          <w:p w14:paraId="4BFE9333" w14:textId="77777777" w:rsidR="005D3AC5" w:rsidRPr="0044109D" w:rsidRDefault="005D3AC5" w:rsidP="00D45736">
            <w:pPr>
              <w:jc w:val="right"/>
              <w:rPr>
                <w:rFonts w:ascii="Arial Narrow" w:hAnsi="Arial Narrow" w:cs="Calibri"/>
                <w:color w:val="000000"/>
                <w:sz w:val="20"/>
                <w:szCs w:val="20"/>
              </w:rPr>
            </w:pPr>
            <w:r w:rsidRPr="0044109D">
              <w:rPr>
                <w:rFonts w:ascii="Arial Narrow" w:hAnsi="Arial Narrow" w:cs="Calibri"/>
                <w:color w:val="000000"/>
                <w:sz w:val="20"/>
                <w:szCs w:val="20"/>
              </w:rPr>
              <w:t>8</w:t>
            </w:r>
          </w:p>
        </w:tc>
      </w:tr>
      <w:tr w:rsidR="005D3AC5" w:rsidRPr="002A22CC" w14:paraId="0F2B9B51" w14:textId="77777777" w:rsidTr="00C67EED">
        <w:trPr>
          <w:trHeight w:val="198"/>
          <w:jc w:val="center"/>
        </w:trPr>
        <w:tc>
          <w:tcPr>
            <w:tcW w:w="1985" w:type="dxa"/>
            <w:tcBorders>
              <w:top w:val="single" w:sz="2" w:space="0" w:color="auto"/>
              <w:bottom w:val="single" w:sz="2" w:space="0" w:color="auto"/>
              <w:right w:val="single" w:sz="2" w:space="0" w:color="auto"/>
            </w:tcBorders>
            <w:shd w:val="clear" w:color="auto" w:fill="auto"/>
            <w:noWrap/>
            <w:vAlign w:val="center"/>
          </w:tcPr>
          <w:p w14:paraId="49103D25" w14:textId="77777777" w:rsidR="005D3AC5" w:rsidRPr="0044109D" w:rsidRDefault="005D3AC5" w:rsidP="003D0EF2">
            <w:pPr>
              <w:rPr>
                <w:rFonts w:ascii="Arial Narrow" w:hAnsi="Arial Narrow" w:cs="Calibri"/>
                <w:color w:val="000000"/>
                <w:sz w:val="20"/>
                <w:szCs w:val="20"/>
              </w:rPr>
            </w:pPr>
            <w:r w:rsidRPr="0044109D">
              <w:rPr>
                <w:rFonts w:ascii="Arial Narrow" w:hAnsi="Arial Narrow" w:cs="Calibri"/>
                <w:color w:val="000000"/>
                <w:sz w:val="20"/>
                <w:szCs w:val="20"/>
              </w:rPr>
              <w:t>80</w:t>
            </w:r>
          </w:p>
        </w:tc>
        <w:tc>
          <w:tcPr>
            <w:tcW w:w="155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F068E49" w14:textId="77777777" w:rsidR="005D3AC5" w:rsidRPr="0044109D" w:rsidRDefault="005D3AC5" w:rsidP="003D0EF2">
            <w:pPr>
              <w:jc w:val="right"/>
              <w:rPr>
                <w:rFonts w:ascii="Arial Narrow" w:hAnsi="Arial Narrow" w:cs="Calibri"/>
                <w:color w:val="000000"/>
                <w:sz w:val="20"/>
                <w:szCs w:val="20"/>
              </w:rPr>
            </w:pPr>
            <w:r w:rsidRPr="0044109D">
              <w:rPr>
                <w:rFonts w:ascii="Arial Narrow" w:hAnsi="Arial Narrow" w:cs="Calibri"/>
                <w:color w:val="000000"/>
                <w:sz w:val="20"/>
                <w:szCs w:val="20"/>
              </w:rPr>
              <w:t>1</w:t>
            </w: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98D4038" w14:textId="77777777" w:rsidR="005D3AC5" w:rsidRPr="0044109D" w:rsidRDefault="005D3AC5" w:rsidP="00D45736">
            <w:pPr>
              <w:jc w:val="right"/>
              <w:rPr>
                <w:rFonts w:ascii="Arial Narrow" w:hAnsi="Arial Narrow" w:cs="Calibri"/>
                <w:color w:val="000000"/>
                <w:sz w:val="20"/>
                <w:szCs w:val="20"/>
              </w:rPr>
            </w:pPr>
            <w:r w:rsidRPr="0044109D">
              <w:rPr>
                <w:rFonts w:ascii="Arial Narrow" w:hAnsi="Arial Narrow" w:cs="Calibri"/>
                <w:color w:val="000000"/>
                <w:sz w:val="20"/>
                <w:szCs w:val="20"/>
              </w:rPr>
              <w:t>4</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0AE55294" w14:textId="77777777" w:rsidR="005D3AC5" w:rsidRPr="0044109D" w:rsidRDefault="005D3AC5" w:rsidP="003D0EF2">
            <w:pPr>
              <w:jc w:val="right"/>
              <w:rPr>
                <w:rFonts w:ascii="Arial Narrow" w:hAnsi="Arial Narrow" w:cs="Calibri"/>
                <w:color w:val="000000"/>
                <w:sz w:val="20"/>
                <w:szCs w:val="20"/>
              </w:rPr>
            </w:pP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1A9DAE04" w14:textId="77777777" w:rsidR="005D3AC5" w:rsidRPr="0044109D" w:rsidRDefault="005D3AC5" w:rsidP="003D0EF2">
            <w:pPr>
              <w:jc w:val="right"/>
              <w:rPr>
                <w:rFonts w:ascii="Arial Narrow" w:hAnsi="Arial Narrow" w:cs="Calibri"/>
                <w:color w:val="000000"/>
                <w:sz w:val="20"/>
                <w:szCs w:val="20"/>
              </w:rPr>
            </w:pPr>
          </w:p>
        </w:tc>
        <w:tc>
          <w:tcPr>
            <w:tcW w:w="1659" w:type="dxa"/>
            <w:tcBorders>
              <w:top w:val="single" w:sz="2" w:space="0" w:color="auto"/>
              <w:left w:val="single" w:sz="2" w:space="0" w:color="auto"/>
              <w:bottom w:val="single" w:sz="2" w:space="0" w:color="auto"/>
              <w:right w:val="single" w:sz="2" w:space="0" w:color="auto"/>
            </w:tcBorders>
            <w:shd w:val="clear" w:color="auto" w:fill="auto"/>
            <w:vAlign w:val="center"/>
          </w:tcPr>
          <w:p w14:paraId="2E299669" w14:textId="77777777" w:rsidR="005D3AC5" w:rsidRPr="0044109D" w:rsidRDefault="005D3AC5" w:rsidP="003D0EF2">
            <w:pPr>
              <w:jc w:val="right"/>
              <w:rPr>
                <w:rFonts w:ascii="Arial Narrow" w:hAnsi="Arial Narrow" w:cs="Calibri"/>
                <w:color w:val="000000"/>
                <w:sz w:val="20"/>
                <w:szCs w:val="20"/>
              </w:rPr>
            </w:pPr>
          </w:p>
        </w:tc>
        <w:tc>
          <w:tcPr>
            <w:tcW w:w="601" w:type="dxa"/>
            <w:tcBorders>
              <w:top w:val="single" w:sz="2" w:space="0" w:color="auto"/>
              <w:left w:val="single" w:sz="2" w:space="0" w:color="auto"/>
              <w:bottom w:val="single" w:sz="2" w:space="0" w:color="auto"/>
            </w:tcBorders>
            <w:shd w:val="clear" w:color="auto" w:fill="auto"/>
            <w:vAlign w:val="center"/>
          </w:tcPr>
          <w:p w14:paraId="0C7C1483" w14:textId="77777777" w:rsidR="005D3AC5" w:rsidRPr="0044109D" w:rsidRDefault="005D3AC5" w:rsidP="003D0EF2">
            <w:pPr>
              <w:jc w:val="right"/>
              <w:rPr>
                <w:rFonts w:ascii="Arial Narrow" w:hAnsi="Arial Narrow" w:cs="Calibri"/>
                <w:color w:val="000000"/>
                <w:sz w:val="20"/>
                <w:szCs w:val="20"/>
              </w:rPr>
            </w:pPr>
          </w:p>
        </w:tc>
      </w:tr>
      <w:tr w:rsidR="005D3AC5" w:rsidRPr="002A22CC" w14:paraId="62684E0C" w14:textId="77777777" w:rsidTr="00C67EED">
        <w:trPr>
          <w:trHeight w:val="198"/>
          <w:jc w:val="center"/>
        </w:trPr>
        <w:tc>
          <w:tcPr>
            <w:tcW w:w="1985" w:type="dxa"/>
            <w:tcBorders>
              <w:top w:val="single" w:sz="2" w:space="0" w:color="auto"/>
              <w:bottom w:val="single" w:sz="2" w:space="0" w:color="auto"/>
              <w:right w:val="single" w:sz="2" w:space="0" w:color="auto"/>
            </w:tcBorders>
            <w:shd w:val="clear" w:color="auto" w:fill="auto"/>
            <w:noWrap/>
            <w:vAlign w:val="center"/>
          </w:tcPr>
          <w:p w14:paraId="16F22EF8" w14:textId="77777777" w:rsidR="005D3AC5" w:rsidRPr="0044109D" w:rsidRDefault="005D3AC5" w:rsidP="003D0EF2">
            <w:pPr>
              <w:rPr>
                <w:rFonts w:ascii="Arial Narrow" w:hAnsi="Arial Narrow" w:cs="Calibri"/>
                <w:color w:val="000000"/>
                <w:sz w:val="20"/>
                <w:szCs w:val="20"/>
              </w:rPr>
            </w:pPr>
            <w:r w:rsidRPr="0044109D">
              <w:rPr>
                <w:rFonts w:ascii="Arial Narrow" w:hAnsi="Arial Narrow" w:cs="Calibri"/>
                <w:color w:val="000000"/>
                <w:sz w:val="20"/>
                <w:szCs w:val="20"/>
              </w:rPr>
              <w:t>85</w:t>
            </w:r>
          </w:p>
        </w:tc>
        <w:tc>
          <w:tcPr>
            <w:tcW w:w="155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400B0F1" w14:textId="77777777" w:rsidR="005D3AC5" w:rsidRPr="0044109D" w:rsidRDefault="005D3AC5" w:rsidP="003D0EF2">
            <w:pPr>
              <w:jc w:val="right"/>
              <w:rPr>
                <w:rFonts w:ascii="Arial Narrow" w:hAnsi="Arial Narrow" w:cs="Calibri"/>
                <w:color w:val="000000"/>
                <w:sz w:val="20"/>
                <w:szCs w:val="20"/>
              </w:rPr>
            </w:pP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990E705" w14:textId="77777777" w:rsidR="005D3AC5" w:rsidRPr="0044109D" w:rsidRDefault="005D3AC5" w:rsidP="003D0EF2">
            <w:pPr>
              <w:jc w:val="right"/>
              <w:rPr>
                <w:rFonts w:ascii="Arial Narrow" w:hAnsi="Arial Narrow" w:cs="Calibri"/>
                <w:color w:val="000000"/>
                <w:sz w:val="20"/>
                <w:szCs w:val="20"/>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16FB59A6" w14:textId="77777777" w:rsidR="005D3AC5" w:rsidRPr="0044109D" w:rsidRDefault="005D3AC5" w:rsidP="003D0EF2">
            <w:pPr>
              <w:jc w:val="right"/>
              <w:rPr>
                <w:rFonts w:ascii="Arial Narrow" w:hAnsi="Arial Narrow" w:cs="Calibri"/>
                <w:color w:val="000000"/>
                <w:sz w:val="20"/>
                <w:szCs w:val="20"/>
              </w:rPr>
            </w:pP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43AAFCF0" w14:textId="77777777" w:rsidR="005D3AC5" w:rsidRPr="0044109D" w:rsidRDefault="005D3AC5" w:rsidP="003D0EF2">
            <w:pPr>
              <w:jc w:val="right"/>
              <w:rPr>
                <w:rFonts w:ascii="Arial Narrow" w:hAnsi="Arial Narrow" w:cs="Calibri"/>
                <w:color w:val="000000"/>
                <w:sz w:val="20"/>
                <w:szCs w:val="20"/>
              </w:rPr>
            </w:pPr>
          </w:p>
        </w:tc>
        <w:tc>
          <w:tcPr>
            <w:tcW w:w="1659" w:type="dxa"/>
            <w:tcBorders>
              <w:top w:val="single" w:sz="2" w:space="0" w:color="auto"/>
              <w:left w:val="single" w:sz="2" w:space="0" w:color="auto"/>
              <w:bottom w:val="single" w:sz="2" w:space="0" w:color="auto"/>
              <w:right w:val="single" w:sz="2" w:space="0" w:color="auto"/>
            </w:tcBorders>
            <w:shd w:val="clear" w:color="auto" w:fill="auto"/>
            <w:vAlign w:val="center"/>
          </w:tcPr>
          <w:p w14:paraId="11B64F8B" w14:textId="77777777" w:rsidR="005D3AC5" w:rsidRPr="0044109D" w:rsidRDefault="005D3AC5" w:rsidP="003D0EF2">
            <w:pPr>
              <w:jc w:val="right"/>
              <w:rPr>
                <w:rFonts w:ascii="Arial Narrow" w:hAnsi="Arial Narrow" w:cs="Calibri"/>
                <w:color w:val="000000"/>
                <w:sz w:val="20"/>
                <w:szCs w:val="20"/>
              </w:rPr>
            </w:pPr>
          </w:p>
        </w:tc>
        <w:tc>
          <w:tcPr>
            <w:tcW w:w="601" w:type="dxa"/>
            <w:tcBorders>
              <w:top w:val="single" w:sz="2" w:space="0" w:color="auto"/>
              <w:left w:val="single" w:sz="2" w:space="0" w:color="auto"/>
              <w:bottom w:val="single" w:sz="2" w:space="0" w:color="auto"/>
            </w:tcBorders>
            <w:shd w:val="clear" w:color="auto" w:fill="auto"/>
            <w:vAlign w:val="center"/>
          </w:tcPr>
          <w:p w14:paraId="1A163E7F" w14:textId="77777777" w:rsidR="005D3AC5" w:rsidRPr="0044109D" w:rsidRDefault="005D3AC5" w:rsidP="003D0EF2">
            <w:pPr>
              <w:jc w:val="right"/>
              <w:rPr>
                <w:rFonts w:ascii="Arial Narrow" w:hAnsi="Arial Narrow" w:cs="Calibri"/>
                <w:color w:val="000000"/>
                <w:sz w:val="20"/>
                <w:szCs w:val="20"/>
              </w:rPr>
            </w:pPr>
          </w:p>
        </w:tc>
      </w:tr>
      <w:tr w:rsidR="005D3AC5" w:rsidRPr="002A22CC" w14:paraId="67CD628C" w14:textId="77777777" w:rsidTr="00C67EED">
        <w:trPr>
          <w:trHeight w:val="198"/>
          <w:jc w:val="center"/>
        </w:trPr>
        <w:tc>
          <w:tcPr>
            <w:tcW w:w="1985" w:type="dxa"/>
            <w:tcBorders>
              <w:top w:val="single" w:sz="2" w:space="0" w:color="auto"/>
              <w:bottom w:val="single" w:sz="2" w:space="0" w:color="auto"/>
              <w:right w:val="single" w:sz="2" w:space="0" w:color="auto"/>
            </w:tcBorders>
            <w:shd w:val="clear" w:color="auto" w:fill="auto"/>
            <w:noWrap/>
            <w:vAlign w:val="center"/>
          </w:tcPr>
          <w:p w14:paraId="5687203D" w14:textId="77777777" w:rsidR="005D3AC5" w:rsidRPr="0044109D" w:rsidRDefault="005D3AC5" w:rsidP="003D0EF2">
            <w:pPr>
              <w:rPr>
                <w:rFonts w:ascii="Arial Narrow" w:hAnsi="Arial Narrow" w:cs="Calibri"/>
                <w:color w:val="000000"/>
                <w:sz w:val="20"/>
                <w:szCs w:val="20"/>
              </w:rPr>
            </w:pPr>
            <w:r w:rsidRPr="0044109D">
              <w:rPr>
                <w:rFonts w:ascii="Arial Narrow" w:hAnsi="Arial Narrow" w:cs="Calibri"/>
                <w:color w:val="000000"/>
                <w:sz w:val="20"/>
                <w:szCs w:val="20"/>
              </w:rPr>
              <w:t>86</w:t>
            </w:r>
          </w:p>
        </w:tc>
        <w:tc>
          <w:tcPr>
            <w:tcW w:w="155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8ECA3FF" w14:textId="77777777" w:rsidR="005D3AC5" w:rsidRPr="0044109D" w:rsidRDefault="005D3AC5" w:rsidP="003D0EF2">
            <w:pPr>
              <w:jc w:val="right"/>
              <w:rPr>
                <w:rFonts w:ascii="Arial Narrow" w:hAnsi="Arial Narrow" w:cs="Calibri"/>
                <w:color w:val="000000"/>
                <w:sz w:val="20"/>
                <w:szCs w:val="20"/>
              </w:rPr>
            </w:pP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95C2D53" w14:textId="77777777" w:rsidR="005D3AC5" w:rsidRPr="0044109D" w:rsidRDefault="005D3AC5" w:rsidP="003D0EF2">
            <w:pPr>
              <w:jc w:val="right"/>
              <w:rPr>
                <w:rFonts w:ascii="Arial Narrow" w:hAnsi="Arial Narrow" w:cs="Calibri"/>
                <w:color w:val="000000"/>
                <w:sz w:val="20"/>
                <w:szCs w:val="20"/>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7043B220" w14:textId="77777777" w:rsidR="005D3AC5" w:rsidRPr="0044109D" w:rsidRDefault="005D3AC5" w:rsidP="003D0EF2">
            <w:pPr>
              <w:jc w:val="right"/>
              <w:rPr>
                <w:rFonts w:ascii="Arial Narrow" w:hAnsi="Arial Narrow" w:cs="Calibri"/>
                <w:color w:val="000000"/>
                <w:sz w:val="20"/>
                <w:szCs w:val="20"/>
              </w:rPr>
            </w:pP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701561D2" w14:textId="77777777" w:rsidR="005D3AC5" w:rsidRPr="0044109D" w:rsidRDefault="005D3AC5" w:rsidP="003D0EF2">
            <w:pPr>
              <w:jc w:val="right"/>
              <w:rPr>
                <w:rFonts w:ascii="Arial Narrow" w:hAnsi="Arial Narrow" w:cs="Calibri"/>
                <w:color w:val="000000"/>
                <w:sz w:val="20"/>
                <w:szCs w:val="20"/>
              </w:rPr>
            </w:pPr>
          </w:p>
        </w:tc>
        <w:tc>
          <w:tcPr>
            <w:tcW w:w="1659" w:type="dxa"/>
            <w:tcBorders>
              <w:top w:val="single" w:sz="2" w:space="0" w:color="auto"/>
              <w:left w:val="single" w:sz="2" w:space="0" w:color="auto"/>
              <w:bottom w:val="single" w:sz="2" w:space="0" w:color="auto"/>
              <w:right w:val="single" w:sz="2" w:space="0" w:color="auto"/>
            </w:tcBorders>
            <w:shd w:val="clear" w:color="auto" w:fill="auto"/>
            <w:vAlign w:val="center"/>
          </w:tcPr>
          <w:p w14:paraId="7F569A37" w14:textId="77777777" w:rsidR="005D3AC5" w:rsidRPr="0044109D" w:rsidRDefault="005D3AC5" w:rsidP="003D0EF2">
            <w:pPr>
              <w:jc w:val="right"/>
              <w:rPr>
                <w:rFonts w:ascii="Arial Narrow" w:hAnsi="Arial Narrow" w:cs="Calibri"/>
                <w:color w:val="000000"/>
                <w:sz w:val="20"/>
                <w:szCs w:val="20"/>
              </w:rPr>
            </w:pPr>
            <w:r w:rsidRPr="0044109D">
              <w:rPr>
                <w:rFonts w:ascii="Arial Narrow" w:hAnsi="Arial Narrow" w:cs="Calibri"/>
                <w:color w:val="000000"/>
                <w:sz w:val="20"/>
                <w:szCs w:val="20"/>
              </w:rPr>
              <w:t>2</w:t>
            </w:r>
          </w:p>
        </w:tc>
        <w:tc>
          <w:tcPr>
            <w:tcW w:w="601" w:type="dxa"/>
            <w:tcBorders>
              <w:top w:val="single" w:sz="2" w:space="0" w:color="auto"/>
              <w:left w:val="single" w:sz="2" w:space="0" w:color="auto"/>
              <w:bottom w:val="single" w:sz="2" w:space="0" w:color="auto"/>
            </w:tcBorders>
            <w:shd w:val="clear" w:color="auto" w:fill="auto"/>
            <w:vAlign w:val="center"/>
          </w:tcPr>
          <w:p w14:paraId="38672398" w14:textId="77777777" w:rsidR="005D3AC5" w:rsidRPr="0044109D" w:rsidRDefault="005D3AC5" w:rsidP="00D45736">
            <w:pPr>
              <w:jc w:val="right"/>
              <w:rPr>
                <w:rFonts w:ascii="Arial Narrow" w:hAnsi="Arial Narrow" w:cs="Calibri"/>
                <w:color w:val="000000"/>
                <w:sz w:val="20"/>
                <w:szCs w:val="20"/>
              </w:rPr>
            </w:pPr>
            <w:r w:rsidRPr="0044109D">
              <w:rPr>
                <w:rFonts w:ascii="Arial Narrow" w:hAnsi="Arial Narrow" w:cs="Calibri"/>
                <w:color w:val="000000"/>
                <w:sz w:val="20"/>
                <w:szCs w:val="20"/>
              </w:rPr>
              <w:t>8</w:t>
            </w:r>
          </w:p>
        </w:tc>
      </w:tr>
      <w:tr w:rsidR="005D3AC5" w:rsidRPr="002A22CC" w14:paraId="3980798E" w14:textId="77777777" w:rsidTr="00C67EED">
        <w:trPr>
          <w:trHeight w:val="198"/>
          <w:jc w:val="center"/>
        </w:trPr>
        <w:tc>
          <w:tcPr>
            <w:tcW w:w="1985" w:type="dxa"/>
            <w:tcBorders>
              <w:top w:val="single" w:sz="2" w:space="0" w:color="auto"/>
              <w:bottom w:val="single" w:sz="2" w:space="0" w:color="auto"/>
              <w:right w:val="single" w:sz="2" w:space="0" w:color="auto"/>
            </w:tcBorders>
            <w:shd w:val="clear" w:color="auto" w:fill="auto"/>
            <w:noWrap/>
            <w:vAlign w:val="center"/>
          </w:tcPr>
          <w:p w14:paraId="4D4A7704" w14:textId="77777777" w:rsidR="005D3AC5" w:rsidRPr="0044109D" w:rsidRDefault="005D3AC5" w:rsidP="003D0EF2">
            <w:pPr>
              <w:rPr>
                <w:rFonts w:ascii="Arial Narrow" w:hAnsi="Arial Narrow" w:cs="Calibri"/>
                <w:color w:val="000000"/>
                <w:sz w:val="20"/>
                <w:szCs w:val="20"/>
              </w:rPr>
            </w:pPr>
            <w:r w:rsidRPr="0044109D">
              <w:rPr>
                <w:rFonts w:ascii="Arial Narrow" w:hAnsi="Arial Narrow" w:cs="Calibri"/>
                <w:color w:val="000000"/>
                <w:sz w:val="20"/>
                <w:szCs w:val="20"/>
              </w:rPr>
              <w:t>89</w:t>
            </w:r>
          </w:p>
        </w:tc>
        <w:tc>
          <w:tcPr>
            <w:tcW w:w="155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CC4AC58" w14:textId="77777777" w:rsidR="005D3AC5" w:rsidRPr="0044109D" w:rsidRDefault="005D3AC5" w:rsidP="003D0EF2">
            <w:pPr>
              <w:jc w:val="right"/>
              <w:rPr>
                <w:rFonts w:ascii="Arial Narrow" w:hAnsi="Arial Narrow" w:cs="Calibri"/>
                <w:color w:val="000000"/>
                <w:sz w:val="20"/>
                <w:szCs w:val="20"/>
              </w:rPr>
            </w:pP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0148847" w14:textId="77777777" w:rsidR="005D3AC5" w:rsidRPr="0044109D" w:rsidRDefault="005D3AC5" w:rsidP="003D0EF2">
            <w:pPr>
              <w:jc w:val="right"/>
              <w:rPr>
                <w:rFonts w:ascii="Arial Narrow" w:hAnsi="Arial Narrow" w:cs="Calibri"/>
                <w:color w:val="000000"/>
                <w:sz w:val="20"/>
                <w:szCs w:val="20"/>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0EBD039B" w14:textId="77777777" w:rsidR="005D3AC5" w:rsidRPr="0044109D" w:rsidRDefault="005D3AC5" w:rsidP="003D0EF2">
            <w:pPr>
              <w:jc w:val="right"/>
              <w:rPr>
                <w:rFonts w:ascii="Arial Narrow" w:hAnsi="Arial Narrow" w:cs="Calibri"/>
                <w:color w:val="000000"/>
                <w:sz w:val="20"/>
                <w:szCs w:val="20"/>
              </w:rPr>
            </w:pP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044015CC" w14:textId="77777777" w:rsidR="005D3AC5" w:rsidRPr="0044109D" w:rsidRDefault="005D3AC5" w:rsidP="003D0EF2">
            <w:pPr>
              <w:jc w:val="right"/>
              <w:rPr>
                <w:rFonts w:ascii="Arial Narrow" w:hAnsi="Arial Narrow" w:cs="Calibri"/>
                <w:color w:val="000000"/>
                <w:sz w:val="20"/>
                <w:szCs w:val="20"/>
              </w:rPr>
            </w:pPr>
          </w:p>
        </w:tc>
        <w:tc>
          <w:tcPr>
            <w:tcW w:w="1659" w:type="dxa"/>
            <w:tcBorders>
              <w:top w:val="single" w:sz="2" w:space="0" w:color="auto"/>
              <w:left w:val="single" w:sz="2" w:space="0" w:color="auto"/>
              <w:bottom w:val="single" w:sz="2" w:space="0" w:color="auto"/>
              <w:right w:val="single" w:sz="2" w:space="0" w:color="auto"/>
            </w:tcBorders>
            <w:shd w:val="clear" w:color="auto" w:fill="auto"/>
            <w:vAlign w:val="center"/>
          </w:tcPr>
          <w:p w14:paraId="2990E756" w14:textId="77777777" w:rsidR="005D3AC5" w:rsidRPr="0044109D" w:rsidRDefault="005D3AC5" w:rsidP="003D0EF2">
            <w:pPr>
              <w:jc w:val="right"/>
              <w:rPr>
                <w:rFonts w:ascii="Arial Narrow" w:hAnsi="Arial Narrow" w:cs="Calibri"/>
                <w:color w:val="000000"/>
                <w:sz w:val="20"/>
                <w:szCs w:val="20"/>
              </w:rPr>
            </w:pPr>
            <w:r w:rsidRPr="0044109D">
              <w:rPr>
                <w:rFonts w:ascii="Arial Narrow" w:hAnsi="Arial Narrow" w:cs="Calibri"/>
                <w:color w:val="000000"/>
                <w:sz w:val="20"/>
                <w:szCs w:val="20"/>
              </w:rPr>
              <w:t>2</w:t>
            </w:r>
          </w:p>
        </w:tc>
        <w:tc>
          <w:tcPr>
            <w:tcW w:w="601" w:type="dxa"/>
            <w:tcBorders>
              <w:top w:val="single" w:sz="2" w:space="0" w:color="auto"/>
              <w:left w:val="single" w:sz="2" w:space="0" w:color="auto"/>
              <w:bottom w:val="single" w:sz="2" w:space="0" w:color="auto"/>
            </w:tcBorders>
            <w:shd w:val="clear" w:color="auto" w:fill="auto"/>
            <w:vAlign w:val="center"/>
          </w:tcPr>
          <w:p w14:paraId="370798DF" w14:textId="77777777" w:rsidR="005D3AC5" w:rsidRPr="0044109D" w:rsidRDefault="005D3AC5" w:rsidP="00D45736">
            <w:pPr>
              <w:jc w:val="right"/>
              <w:rPr>
                <w:rFonts w:ascii="Arial Narrow" w:hAnsi="Arial Narrow" w:cs="Calibri"/>
                <w:color w:val="000000"/>
                <w:sz w:val="20"/>
                <w:szCs w:val="20"/>
              </w:rPr>
            </w:pPr>
            <w:r w:rsidRPr="0044109D">
              <w:rPr>
                <w:rFonts w:ascii="Arial Narrow" w:hAnsi="Arial Narrow" w:cs="Calibri"/>
                <w:color w:val="000000"/>
                <w:sz w:val="20"/>
                <w:szCs w:val="20"/>
              </w:rPr>
              <w:t>8</w:t>
            </w:r>
          </w:p>
        </w:tc>
      </w:tr>
      <w:tr w:rsidR="005D3AC5" w:rsidRPr="002A22CC" w14:paraId="1F03BA6C" w14:textId="77777777" w:rsidTr="00C67EED">
        <w:trPr>
          <w:trHeight w:val="198"/>
          <w:jc w:val="center"/>
        </w:trPr>
        <w:tc>
          <w:tcPr>
            <w:tcW w:w="1985" w:type="dxa"/>
            <w:tcBorders>
              <w:top w:val="single" w:sz="2" w:space="0" w:color="auto"/>
              <w:bottom w:val="single" w:sz="2" w:space="0" w:color="auto"/>
              <w:right w:val="single" w:sz="2" w:space="0" w:color="auto"/>
            </w:tcBorders>
            <w:shd w:val="clear" w:color="auto" w:fill="auto"/>
            <w:noWrap/>
            <w:vAlign w:val="center"/>
          </w:tcPr>
          <w:p w14:paraId="10C40E90" w14:textId="77777777" w:rsidR="005D3AC5" w:rsidRPr="0044109D" w:rsidRDefault="005D3AC5" w:rsidP="003D0EF2">
            <w:pPr>
              <w:rPr>
                <w:rFonts w:ascii="Arial Narrow" w:hAnsi="Arial Narrow" w:cs="Calibri"/>
                <w:color w:val="000000"/>
                <w:sz w:val="20"/>
                <w:szCs w:val="20"/>
              </w:rPr>
            </w:pPr>
            <w:r w:rsidRPr="0044109D">
              <w:rPr>
                <w:rFonts w:ascii="Arial Narrow" w:hAnsi="Arial Narrow" w:cs="Calibri"/>
                <w:color w:val="000000"/>
                <w:sz w:val="20"/>
                <w:szCs w:val="20"/>
              </w:rPr>
              <w:t>90</w:t>
            </w:r>
          </w:p>
        </w:tc>
        <w:tc>
          <w:tcPr>
            <w:tcW w:w="155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C6F52D9" w14:textId="77777777" w:rsidR="005D3AC5" w:rsidRPr="0044109D" w:rsidRDefault="005D3AC5" w:rsidP="003D0EF2">
            <w:pPr>
              <w:jc w:val="right"/>
              <w:rPr>
                <w:rFonts w:ascii="Arial Narrow" w:hAnsi="Arial Narrow" w:cs="Calibri"/>
                <w:color w:val="000000"/>
                <w:sz w:val="20"/>
                <w:szCs w:val="20"/>
              </w:rPr>
            </w:pP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5CA32EF" w14:textId="77777777" w:rsidR="005D3AC5" w:rsidRPr="0044109D" w:rsidRDefault="005D3AC5" w:rsidP="003D0EF2">
            <w:pPr>
              <w:jc w:val="right"/>
              <w:rPr>
                <w:rFonts w:ascii="Arial Narrow" w:hAnsi="Arial Narrow" w:cs="Calibri"/>
                <w:color w:val="000000"/>
                <w:sz w:val="20"/>
                <w:szCs w:val="20"/>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1910EE71" w14:textId="77777777" w:rsidR="005D3AC5" w:rsidRPr="0044109D" w:rsidRDefault="005D3AC5" w:rsidP="003D0EF2">
            <w:pPr>
              <w:jc w:val="right"/>
              <w:rPr>
                <w:rFonts w:ascii="Arial Narrow" w:hAnsi="Arial Narrow" w:cs="Calibri"/>
                <w:color w:val="000000"/>
                <w:sz w:val="20"/>
                <w:szCs w:val="20"/>
              </w:rPr>
            </w:pPr>
            <w:r w:rsidRPr="0044109D">
              <w:rPr>
                <w:rFonts w:ascii="Arial Narrow" w:hAnsi="Arial Narrow" w:cs="Calibri"/>
                <w:color w:val="000000"/>
                <w:sz w:val="20"/>
                <w:szCs w:val="20"/>
              </w:rPr>
              <w:t>2</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399822F1" w14:textId="77777777" w:rsidR="005D3AC5" w:rsidRPr="0044109D" w:rsidRDefault="005D3AC5" w:rsidP="00D45736">
            <w:pPr>
              <w:jc w:val="right"/>
              <w:rPr>
                <w:rFonts w:ascii="Arial Narrow" w:hAnsi="Arial Narrow" w:cs="Calibri"/>
                <w:color w:val="000000"/>
                <w:sz w:val="20"/>
                <w:szCs w:val="20"/>
              </w:rPr>
            </w:pPr>
            <w:r w:rsidRPr="0044109D">
              <w:rPr>
                <w:rFonts w:ascii="Arial Narrow" w:hAnsi="Arial Narrow" w:cs="Calibri"/>
                <w:color w:val="000000"/>
                <w:sz w:val="20"/>
                <w:szCs w:val="20"/>
              </w:rPr>
              <w:t>6</w:t>
            </w:r>
          </w:p>
        </w:tc>
        <w:tc>
          <w:tcPr>
            <w:tcW w:w="1659" w:type="dxa"/>
            <w:tcBorders>
              <w:top w:val="single" w:sz="2" w:space="0" w:color="auto"/>
              <w:left w:val="single" w:sz="2" w:space="0" w:color="auto"/>
              <w:bottom w:val="single" w:sz="2" w:space="0" w:color="auto"/>
              <w:right w:val="single" w:sz="2" w:space="0" w:color="auto"/>
            </w:tcBorders>
            <w:shd w:val="clear" w:color="auto" w:fill="auto"/>
            <w:vAlign w:val="center"/>
          </w:tcPr>
          <w:p w14:paraId="1C8152BE" w14:textId="77777777" w:rsidR="005D3AC5" w:rsidRPr="0044109D" w:rsidRDefault="005D3AC5" w:rsidP="003D0EF2">
            <w:pPr>
              <w:jc w:val="right"/>
              <w:rPr>
                <w:rFonts w:ascii="Arial Narrow" w:hAnsi="Arial Narrow" w:cs="Calibri"/>
                <w:color w:val="000000"/>
                <w:sz w:val="20"/>
                <w:szCs w:val="20"/>
              </w:rPr>
            </w:pPr>
            <w:r w:rsidRPr="0044109D">
              <w:rPr>
                <w:rFonts w:ascii="Arial Narrow" w:hAnsi="Arial Narrow" w:cs="Calibri"/>
                <w:color w:val="000000"/>
                <w:sz w:val="20"/>
                <w:szCs w:val="20"/>
              </w:rPr>
              <w:t>1</w:t>
            </w:r>
          </w:p>
        </w:tc>
        <w:tc>
          <w:tcPr>
            <w:tcW w:w="601" w:type="dxa"/>
            <w:tcBorders>
              <w:top w:val="single" w:sz="2" w:space="0" w:color="auto"/>
              <w:left w:val="single" w:sz="2" w:space="0" w:color="auto"/>
              <w:bottom w:val="single" w:sz="2" w:space="0" w:color="auto"/>
            </w:tcBorders>
            <w:shd w:val="clear" w:color="auto" w:fill="auto"/>
            <w:vAlign w:val="center"/>
          </w:tcPr>
          <w:p w14:paraId="284FF8AD" w14:textId="77777777" w:rsidR="005D3AC5" w:rsidRPr="0044109D" w:rsidRDefault="005D3AC5" w:rsidP="00D45736">
            <w:pPr>
              <w:jc w:val="right"/>
              <w:rPr>
                <w:rFonts w:ascii="Arial Narrow" w:hAnsi="Arial Narrow" w:cs="Calibri"/>
                <w:color w:val="000000"/>
                <w:sz w:val="20"/>
                <w:szCs w:val="20"/>
              </w:rPr>
            </w:pPr>
            <w:r w:rsidRPr="0044109D">
              <w:rPr>
                <w:rFonts w:ascii="Arial Narrow" w:hAnsi="Arial Narrow" w:cs="Calibri"/>
                <w:color w:val="000000"/>
                <w:sz w:val="20"/>
                <w:szCs w:val="20"/>
              </w:rPr>
              <w:t>4</w:t>
            </w:r>
          </w:p>
        </w:tc>
      </w:tr>
      <w:tr w:rsidR="005D3AC5" w:rsidRPr="002A22CC" w14:paraId="27521DDF" w14:textId="77777777" w:rsidTr="00C67EED">
        <w:trPr>
          <w:trHeight w:val="198"/>
          <w:jc w:val="center"/>
        </w:trPr>
        <w:tc>
          <w:tcPr>
            <w:tcW w:w="1985" w:type="dxa"/>
            <w:tcBorders>
              <w:top w:val="single" w:sz="2" w:space="0" w:color="auto"/>
              <w:bottom w:val="single" w:sz="4" w:space="0" w:color="auto"/>
              <w:right w:val="single" w:sz="2" w:space="0" w:color="auto"/>
            </w:tcBorders>
            <w:shd w:val="clear" w:color="auto" w:fill="auto"/>
            <w:noWrap/>
            <w:vAlign w:val="center"/>
          </w:tcPr>
          <w:p w14:paraId="6D139633" w14:textId="77777777" w:rsidR="005D3AC5" w:rsidRPr="0044109D" w:rsidRDefault="005D3AC5" w:rsidP="003D0EF2">
            <w:pPr>
              <w:rPr>
                <w:rFonts w:ascii="Arial Narrow" w:hAnsi="Arial Narrow" w:cs="Calibri"/>
                <w:color w:val="000000"/>
                <w:sz w:val="20"/>
                <w:szCs w:val="20"/>
              </w:rPr>
            </w:pPr>
            <w:r w:rsidRPr="0044109D">
              <w:rPr>
                <w:rFonts w:ascii="Arial Narrow" w:hAnsi="Arial Narrow" w:cs="Calibri"/>
                <w:color w:val="000000"/>
                <w:sz w:val="20"/>
                <w:szCs w:val="20"/>
              </w:rPr>
              <w:t>100</w:t>
            </w:r>
          </w:p>
        </w:tc>
        <w:tc>
          <w:tcPr>
            <w:tcW w:w="1559" w:type="dxa"/>
            <w:tcBorders>
              <w:top w:val="single" w:sz="2" w:space="0" w:color="auto"/>
              <w:left w:val="single" w:sz="2" w:space="0" w:color="auto"/>
              <w:bottom w:val="single" w:sz="4" w:space="0" w:color="auto"/>
              <w:right w:val="single" w:sz="2" w:space="0" w:color="auto"/>
            </w:tcBorders>
            <w:shd w:val="clear" w:color="auto" w:fill="auto"/>
            <w:noWrap/>
            <w:vAlign w:val="center"/>
          </w:tcPr>
          <w:p w14:paraId="237621FC" w14:textId="77777777" w:rsidR="005D3AC5" w:rsidRPr="0044109D" w:rsidRDefault="005D3AC5" w:rsidP="003D0EF2">
            <w:pPr>
              <w:jc w:val="right"/>
              <w:rPr>
                <w:rFonts w:ascii="Arial Narrow" w:hAnsi="Arial Narrow" w:cs="Calibri"/>
                <w:color w:val="000000"/>
                <w:sz w:val="20"/>
                <w:szCs w:val="20"/>
              </w:rPr>
            </w:pPr>
            <w:r w:rsidRPr="0044109D">
              <w:rPr>
                <w:rFonts w:ascii="Arial Narrow" w:hAnsi="Arial Narrow" w:cs="Calibri"/>
                <w:color w:val="000000"/>
                <w:sz w:val="20"/>
                <w:szCs w:val="20"/>
              </w:rPr>
              <w:t>7</w:t>
            </w:r>
          </w:p>
        </w:tc>
        <w:tc>
          <w:tcPr>
            <w:tcW w:w="709" w:type="dxa"/>
            <w:tcBorders>
              <w:top w:val="single" w:sz="2" w:space="0" w:color="auto"/>
              <w:left w:val="single" w:sz="2" w:space="0" w:color="auto"/>
              <w:bottom w:val="single" w:sz="4" w:space="0" w:color="auto"/>
              <w:right w:val="single" w:sz="2" w:space="0" w:color="auto"/>
            </w:tcBorders>
            <w:shd w:val="clear" w:color="auto" w:fill="auto"/>
            <w:noWrap/>
            <w:vAlign w:val="center"/>
          </w:tcPr>
          <w:p w14:paraId="060272FA" w14:textId="77777777" w:rsidR="005D3AC5" w:rsidRPr="0044109D" w:rsidRDefault="005D3AC5" w:rsidP="00D45736">
            <w:pPr>
              <w:jc w:val="right"/>
              <w:rPr>
                <w:rFonts w:ascii="Arial Narrow" w:hAnsi="Arial Narrow" w:cs="Calibri"/>
                <w:color w:val="000000"/>
                <w:sz w:val="20"/>
                <w:szCs w:val="20"/>
              </w:rPr>
            </w:pPr>
            <w:r w:rsidRPr="0044109D">
              <w:rPr>
                <w:rFonts w:ascii="Arial Narrow" w:hAnsi="Arial Narrow" w:cs="Calibri"/>
                <w:color w:val="000000"/>
                <w:sz w:val="20"/>
                <w:szCs w:val="20"/>
              </w:rPr>
              <w:t>28</w:t>
            </w:r>
          </w:p>
        </w:tc>
        <w:tc>
          <w:tcPr>
            <w:tcW w:w="1559" w:type="dxa"/>
            <w:tcBorders>
              <w:top w:val="single" w:sz="2" w:space="0" w:color="auto"/>
              <w:left w:val="single" w:sz="2" w:space="0" w:color="auto"/>
              <w:bottom w:val="single" w:sz="4" w:space="0" w:color="auto"/>
              <w:right w:val="single" w:sz="2" w:space="0" w:color="auto"/>
            </w:tcBorders>
            <w:shd w:val="clear" w:color="auto" w:fill="auto"/>
            <w:vAlign w:val="center"/>
          </w:tcPr>
          <w:p w14:paraId="27019DAA" w14:textId="77777777" w:rsidR="005D3AC5" w:rsidRPr="0044109D" w:rsidRDefault="005D3AC5" w:rsidP="003D0EF2">
            <w:pPr>
              <w:jc w:val="right"/>
              <w:rPr>
                <w:rFonts w:ascii="Arial Narrow" w:hAnsi="Arial Narrow" w:cs="Calibri"/>
                <w:color w:val="000000"/>
                <w:sz w:val="20"/>
                <w:szCs w:val="20"/>
              </w:rPr>
            </w:pPr>
            <w:r w:rsidRPr="0044109D">
              <w:rPr>
                <w:rFonts w:ascii="Arial Narrow" w:hAnsi="Arial Narrow" w:cs="Calibri"/>
                <w:color w:val="000000"/>
                <w:sz w:val="20"/>
                <w:szCs w:val="20"/>
              </w:rPr>
              <w:t>25</w:t>
            </w:r>
          </w:p>
        </w:tc>
        <w:tc>
          <w:tcPr>
            <w:tcW w:w="850" w:type="dxa"/>
            <w:tcBorders>
              <w:top w:val="single" w:sz="2" w:space="0" w:color="auto"/>
              <w:left w:val="single" w:sz="2" w:space="0" w:color="auto"/>
              <w:bottom w:val="single" w:sz="4" w:space="0" w:color="auto"/>
              <w:right w:val="single" w:sz="2" w:space="0" w:color="auto"/>
            </w:tcBorders>
            <w:shd w:val="clear" w:color="auto" w:fill="auto"/>
            <w:vAlign w:val="center"/>
          </w:tcPr>
          <w:p w14:paraId="040A491F" w14:textId="77777777" w:rsidR="005D3AC5" w:rsidRPr="0044109D" w:rsidRDefault="005D3AC5" w:rsidP="00D45736">
            <w:pPr>
              <w:jc w:val="right"/>
              <w:rPr>
                <w:rFonts w:ascii="Arial Narrow" w:hAnsi="Arial Narrow" w:cs="Calibri"/>
                <w:color w:val="000000"/>
                <w:sz w:val="20"/>
                <w:szCs w:val="20"/>
              </w:rPr>
            </w:pPr>
            <w:r w:rsidRPr="0044109D">
              <w:rPr>
                <w:rFonts w:ascii="Arial Narrow" w:hAnsi="Arial Narrow" w:cs="Calibri"/>
                <w:color w:val="000000"/>
                <w:sz w:val="20"/>
                <w:szCs w:val="20"/>
              </w:rPr>
              <w:t>81</w:t>
            </w:r>
          </w:p>
        </w:tc>
        <w:tc>
          <w:tcPr>
            <w:tcW w:w="1659" w:type="dxa"/>
            <w:tcBorders>
              <w:top w:val="single" w:sz="2" w:space="0" w:color="auto"/>
              <w:left w:val="single" w:sz="2" w:space="0" w:color="auto"/>
              <w:bottom w:val="single" w:sz="4" w:space="0" w:color="auto"/>
              <w:right w:val="single" w:sz="2" w:space="0" w:color="auto"/>
            </w:tcBorders>
            <w:shd w:val="clear" w:color="auto" w:fill="auto"/>
            <w:vAlign w:val="center"/>
          </w:tcPr>
          <w:p w14:paraId="19A3CCE2" w14:textId="77777777" w:rsidR="005D3AC5" w:rsidRPr="0044109D" w:rsidRDefault="005D3AC5" w:rsidP="003D0EF2">
            <w:pPr>
              <w:jc w:val="right"/>
              <w:rPr>
                <w:rFonts w:ascii="Arial Narrow" w:hAnsi="Arial Narrow" w:cs="Calibri"/>
                <w:color w:val="000000"/>
                <w:sz w:val="20"/>
                <w:szCs w:val="20"/>
              </w:rPr>
            </w:pPr>
            <w:r w:rsidRPr="0044109D">
              <w:rPr>
                <w:rFonts w:ascii="Arial Narrow" w:hAnsi="Arial Narrow" w:cs="Calibri"/>
                <w:color w:val="000000"/>
                <w:sz w:val="20"/>
                <w:szCs w:val="20"/>
              </w:rPr>
              <w:t>10</w:t>
            </w:r>
          </w:p>
        </w:tc>
        <w:tc>
          <w:tcPr>
            <w:tcW w:w="601" w:type="dxa"/>
            <w:tcBorders>
              <w:top w:val="single" w:sz="2" w:space="0" w:color="auto"/>
              <w:left w:val="single" w:sz="2" w:space="0" w:color="auto"/>
              <w:bottom w:val="single" w:sz="4" w:space="0" w:color="auto"/>
            </w:tcBorders>
            <w:shd w:val="clear" w:color="auto" w:fill="auto"/>
            <w:vAlign w:val="center"/>
          </w:tcPr>
          <w:p w14:paraId="3BF7AA6E" w14:textId="77777777" w:rsidR="005D3AC5" w:rsidRPr="0044109D" w:rsidRDefault="005D3AC5" w:rsidP="00D45736">
            <w:pPr>
              <w:jc w:val="right"/>
              <w:rPr>
                <w:rFonts w:ascii="Arial Narrow" w:hAnsi="Arial Narrow" w:cs="Calibri"/>
                <w:color w:val="000000"/>
                <w:sz w:val="20"/>
                <w:szCs w:val="20"/>
              </w:rPr>
            </w:pPr>
            <w:r w:rsidRPr="0044109D">
              <w:rPr>
                <w:rFonts w:ascii="Arial Narrow" w:hAnsi="Arial Narrow" w:cs="Calibri"/>
                <w:color w:val="000000"/>
                <w:sz w:val="20"/>
                <w:szCs w:val="20"/>
              </w:rPr>
              <w:t>38</w:t>
            </w:r>
          </w:p>
        </w:tc>
      </w:tr>
      <w:tr w:rsidR="005D3AC5" w:rsidRPr="00424743" w14:paraId="6EC2A7AA" w14:textId="77777777" w:rsidTr="00C67EED">
        <w:trPr>
          <w:trHeight w:val="255"/>
          <w:jc w:val="center"/>
        </w:trPr>
        <w:tc>
          <w:tcPr>
            <w:tcW w:w="1985" w:type="dxa"/>
            <w:tcBorders>
              <w:top w:val="single" w:sz="4" w:space="0" w:color="auto"/>
              <w:bottom w:val="single" w:sz="4" w:space="0" w:color="auto"/>
              <w:right w:val="single" w:sz="4" w:space="0" w:color="auto"/>
            </w:tcBorders>
            <w:shd w:val="clear" w:color="000000" w:fill="95B3D7"/>
            <w:noWrap/>
            <w:vAlign w:val="center"/>
            <w:hideMark/>
          </w:tcPr>
          <w:p w14:paraId="1450BAAC" w14:textId="77777777" w:rsidR="005D3AC5" w:rsidRPr="00424743" w:rsidRDefault="005D3AC5" w:rsidP="003D0EF2">
            <w:pPr>
              <w:rPr>
                <w:rFonts w:ascii="Arial" w:hAnsi="Arial" w:cs="Arial"/>
                <w:color w:val="000000"/>
                <w:sz w:val="18"/>
                <w:szCs w:val="18"/>
              </w:rPr>
            </w:pPr>
            <w:r w:rsidRPr="00424743">
              <w:rPr>
                <w:rFonts w:ascii="Arial" w:hAnsi="Arial" w:cs="Arial"/>
                <w:color w:val="000000"/>
                <w:sz w:val="18"/>
                <w:szCs w:val="18"/>
              </w:rPr>
              <w:t xml:space="preserve">Total </w:t>
            </w:r>
          </w:p>
        </w:tc>
        <w:tc>
          <w:tcPr>
            <w:tcW w:w="1559"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781616F9" w14:textId="77777777" w:rsidR="005D3AC5" w:rsidRPr="00424743" w:rsidRDefault="005D3AC5" w:rsidP="003D0EF2">
            <w:pPr>
              <w:jc w:val="right"/>
              <w:rPr>
                <w:rFonts w:ascii="Arial" w:hAnsi="Arial" w:cs="Arial"/>
                <w:color w:val="000000"/>
                <w:sz w:val="18"/>
                <w:szCs w:val="18"/>
              </w:rPr>
            </w:pPr>
            <w:r w:rsidRPr="00424743">
              <w:rPr>
                <w:rFonts w:ascii="Arial" w:hAnsi="Arial" w:cs="Arial"/>
                <w:color w:val="000000"/>
                <w:sz w:val="18"/>
                <w:szCs w:val="18"/>
              </w:rPr>
              <w:t>25</w:t>
            </w:r>
          </w:p>
        </w:tc>
        <w:tc>
          <w:tcPr>
            <w:tcW w:w="709"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027C3B08" w14:textId="77777777" w:rsidR="005D3AC5" w:rsidRPr="00424743" w:rsidRDefault="005D3AC5" w:rsidP="00D45736">
            <w:pPr>
              <w:jc w:val="right"/>
              <w:rPr>
                <w:rFonts w:ascii="Arial" w:hAnsi="Arial" w:cs="Arial"/>
                <w:color w:val="000000"/>
                <w:sz w:val="18"/>
                <w:szCs w:val="18"/>
              </w:rPr>
            </w:pPr>
            <w:r w:rsidRPr="00424743">
              <w:rPr>
                <w:rFonts w:ascii="Arial" w:hAnsi="Arial" w:cs="Arial"/>
                <w:color w:val="000000"/>
                <w:sz w:val="18"/>
                <w:szCs w:val="18"/>
              </w:rPr>
              <w:t>100</w:t>
            </w:r>
          </w:p>
        </w:tc>
        <w:tc>
          <w:tcPr>
            <w:tcW w:w="1559" w:type="dxa"/>
            <w:tcBorders>
              <w:top w:val="single" w:sz="4" w:space="0" w:color="auto"/>
              <w:left w:val="single" w:sz="4" w:space="0" w:color="auto"/>
              <w:bottom w:val="single" w:sz="4" w:space="0" w:color="auto"/>
              <w:right w:val="single" w:sz="4" w:space="0" w:color="auto"/>
            </w:tcBorders>
            <w:shd w:val="clear" w:color="000000" w:fill="95B3D7"/>
            <w:vAlign w:val="center"/>
          </w:tcPr>
          <w:p w14:paraId="72F15D06" w14:textId="77777777" w:rsidR="005D3AC5" w:rsidRPr="00424743" w:rsidRDefault="005D3AC5" w:rsidP="003D0EF2">
            <w:pPr>
              <w:jc w:val="right"/>
              <w:rPr>
                <w:rFonts w:ascii="Arial" w:hAnsi="Arial" w:cs="Arial"/>
                <w:color w:val="000000"/>
                <w:sz w:val="18"/>
                <w:szCs w:val="18"/>
              </w:rPr>
            </w:pPr>
            <w:r>
              <w:rPr>
                <w:rFonts w:ascii="Arial" w:hAnsi="Arial" w:cs="Arial"/>
                <w:color w:val="000000"/>
                <w:sz w:val="18"/>
                <w:szCs w:val="18"/>
              </w:rPr>
              <w:t>31</w:t>
            </w:r>
          </w:p>
        </w:tc>
        <w:tc>
          <w:tcPr>
            <w:tcW w:w="850" w:type="dxa"/>
            <w:tcBorders>
              <w:top w:val="single" w:sz="4" w:space="0" w:color="auto"/>
              <w:left w:val="single" w:sz="4" w:space="0" w:color="auto"/>
              <w:bottom w:val="single" w:sz="4" w:space="0" w:color="auto"/>
              <w:right w:val="single" w:sz="4" w:space="0" w:color="auto"/>
            </w:tcBorders>
            <w:shd w:val="clear" w:color="000000" w:fill="95B3D7"/>
            <w:vAlign w:val="center"/>
          </w:tcPr>
          <w:p w14:paraId="308A9516" w14:textId="77777777" w:rsidR="005D3AC5" w:rsidRPr="00424743" w:rsidRDefault="005D3AC5" w:rsidP="00D45736">
            <w:pPr>
              <w:jc w:val="right"/>
              <w:rPr>
                <w:rFonts w:ascii="Arial" w:hAnsi="Arial" w:cs="Arial"/>
                <w:color w:val="000000"/>
                <w:sz w:val="18"/>
                <w:szCs w:val="18"/>
              </w:rPr>
            </w:pPr>
            <w:r>
              <w:rPr>
                <w:rFonts w:ascii="Arial" w:hAnsi="Arial" w:cs="Arial"/>
                <w:color w:val="000000"/>
                <w:sz w:val="18"/>
                <w:szCs w:val="18"/>
              </w:rPr>
              <w:t>100</w:t>
            </w:r>
          </w:p>
        </w:tc>
        <w:tc>
          <w:tcPr>
            <w:tcW w:w="1659" w:type="dxa"/>
            <w:tcBorders>
              <w:top w:val="single" w:sz="4" w:space="0" w:color="auto"/>
              <w:left w:val="single" w:sz="4" w:space="0" w:color="auto"/>
              <w:bottom w:val="single" w:sz="4" w:space="0" w:color="auto"/>
              <w:right w:val="single" w:sz="4" w:space="0" w:color="auto"/>
            </w:tcBorders>
            <w:shd w:val="clear" w:color="000000" w:fill="95B3D7"/>
            <w:vAlign w:val="center"/>
          </w:tcPr>
          <w:p w14:paraId="4F8638BE" w14:textId="77777777" w:rsidR="005D3AC5" w:rsidRPr="00424743" w:rsidRDefault="005D3AC5" w:rsidP="003D0EF2">
            <w:pPr>
              <w:jc w:val="right"/>
              <w:rPr>
                <w:rFonts w:ascii="Arial" w:hAnsi="Arial" w:cs="Arial"/>
                <w:color w:val="000000"/>
                <w:sz w:val="18"/>
                <w:szCs w:val="18"/>
              </w:rPr>
            </w:pPr>
            <w:r>
              <w:rPr>
                <w:rFonts w:ascii="Arial" w:hAnsi="Arial" w:cs="Arial"/>
                <w:color w:val="000000"/>
                <w:sz w:val="18"/>
                <w:szCs w:val="18"/>
              </w:rPr>
              <w:t>26</w:t>
            </w:r>
          </w:p>
        </w:tc>
        <w:tc>
          <w:tcPr>
            <w:tcW w:w="601" w:type="dxa"/>
            <w:tcBorders>
              <w:top w:val="single" w:sz="4" w:space="0" w:color="auto"/>
              <w:left w:val="single" w:sz="4" w:space="0" w:color="auto"/>
              <w:bottom w:val="single" w:sz="4" w:space="0" w:color="auto"/>
            </w:tcBorders>
            <w:shd w:val="clear" w:color="000000" w:fill="95B3D7"/>
            <w:vAlign w:val="center"/>
          </w:tcPr>
          <w:p w14:paraId="6B3BC35D" w14:textId="77777777" w:rsidR="005D3AC5" w:rsidRPr="00424743" w:rsidRDefault="005D3AC5" w:rsidP="00D45736">
            <w:pPr>
              <w:jc w:val="right"/>
              <w:rPr>
                <w:rFonts w:ascii="Arial" w:hAnsi="Arial" w:cs="Arial"/>
                <w:color w:val="000000"/>
                <w:sz w:val="18"/>
                <w:szCs w:val="18"/>
              </w:rPr>
            </w:pPr>
            <w:r>
              <w:rPr>
                <w:rFonts w:ascii="Arial" w:hAnsi="Arial" w:cs="Arial"/>
                <w:color w:val="000000"/>
                <w:sz w:val="18"/>
                <w:szCs w:val="18"/>
              </w:rPr>
              <w:t>100</w:t>
            </w:r>
          </w:p>
        </w:tc>
      </w:tr>
    </w:tbl>
    <w:p w14:paraId="3CA71FB7" w14:textId="77777777" w:rsidR="00830D6B" w:rsidRDefault="00830D6B" w:rsidP="005D3AC5">
      <w:pPr>
        <w:pStyle w:val="texto"/>
        <w:tabs>
          <w:tab w:val="left" w:pos="480"/>
          <w:tab w:val="num" w:pos="600"/>
        </w:tabs>
        <w:spacing w:before="120"/>
        <w:ind w:firstLine="0"/>
        <w:jc w:val="both"/>
      </w:pPr>
    </w:p>
    <w:p w14:paraId="72788C2A" w14:textId="77777777" w:rsidR="005D3AC5" w:rsidRDefault="005D3AC5" w:rsidP="005D3AC5">
      <w:pPr>
        <w:pStyle w:val="texto"/>
        <w:tabs>
          <w:tab w:val="left" w:pos="480"/>
          <w:tab w:val="num" w:pos="600"/>
        </w:tabs>
        <w:spacing w:before="120"/>
        <w:ind w:firstLine="0"/>
        <w:jc w:val="both"/>
      </w:pPr>
    </w:p>
    <w:tbl>
      <w:tblPr>
        <w:tblW w:w="9064" w:type="dxa"/>
        <w:jc w:val="center"/>
        <w:tblCellMar>
          <w:left w:w="70" w:type="dxa"/>
          <w:right w:w="70" w:type="dxa"/>
        </w:tblCellMar>
        <w:tblLook w:val="04A0" w:firstRow="1" w:lastRow="0" w:firstColumn="1" w:lastColumn="0" w:noHBand="0" w:noVBand="1"/>
      </w:tblPr>
      <w:tblGrid>
        <w:gridCol w:w="2268"/>
        <w:gridCol w:w="1418"/>
        <w:gridCol w:w="850"/>
        <w:gridCol w:w="1701"/>
        <w:gridCol w:w="709"/>
        <w:gridCol w:w="1517"/>
        <w:gridCol w:w="601"/>
      </w:tblGrid>
      <w:tr w:rsidR="004D49FB" w:rsidRPr="00191BF0" w14:paraId="3DD99720" w14:textId="77777777" w:rsidTr="00D45736">
        <w:trPr>
          <w:trHeight w:val="255"/>
          <w:jc w:val="center"/>
        </w:trPr>
        <w:tc>
          <w:tcPr>
            <w:tcW w:w="2268" w:type="dxa"/>
            <w:vMerge w:val="restart"/>
            <w:tcBorders>
              <w:top w:val="single" w:sz="4" w:space="0" w:color="auto"/>
              <w:left w:val="nil"/>
              <w:right w:val="single" w:sz="2" w:space="0" w:color="auto"/>
            </w:tcBorders>
            <w:shd w:val="clear" w:color="000000" w:fill="95B3D7"/>
            <w:noWrap/>
            <w:vAlign w:val="center"/>
            <w:hideMark/>
          </w:tcPr>
          <w:p w14:paraId="15A61B8D" w14:textId="77777777" w:rsidR="004D49FB" w:rsidRDefault="004D49FB" w:rsidP="003D0EF2">
            <w:pPr>
              <w:rPr>
                <w:rFonts w:ascii="Arial" w:hAnsi="Arial" w:cs="Arial"/>
                <w:color w:val="000000"/>
                <w:sz w:val="18"/>
                <w:szCs w:val="18"/>
              </w:rPr>
            </w:pPr>
            <w:r>
              <w:rPr>
                <w:rFonts w:ascii="Arial" w:hAnsi="Arial" w:cs="Arial"/>
                <w:color w:val="000000"/>
                <w:sz w:val="18"/>
                <w:szCs w:val="18"/>
              </w:rPr>
              <w:t xml:space="preserve">Fórmula lineal y </w:t>
            </w:r>
          </w:p>
          <w:p w14:paraId="207BA01B" w14:textId="77777777" w:rsidR="004D49FB" w:rsidRPr="00191BF0" w:rsidRDefault="004D49FB" w:rsidP="003D0EF2">
            <w:pPr>
              <w:rPr>
                <w:rFonts w:ascii="Arial" w:hAnsi="Arial" w:cs="Arial"/>
                <w:sz w:val="18"/>
                <w:szCs w:val="18"/>
              </w:rPr>
            </w:pPr>
            <w:r>
              <w:rPr>
                <w:rFonts w:ascii="Arial" w:hAnsi="Arial" w:cs="Arial"/>
                <w:color w:val="000000"/>
                <w:sz w:val="18"/>
                <w:szCs w:val="18"/>
              </w:rPr>
              <w:t>proporcional</w:t>
            </w:r>
          </w:p>
        </w:tc>
        <w:tc>
          <w:tcPr>
            <w:tcW w:w="2268" w:type="dxa"/>
            <w:gridSpan w:val="2"/>
            <w:tcBorders>
              <w:top w:val="single" w:sz="4" w:space="0" w:color="auto"/>
              <w:left w:val="single" w:sz="2" w:space="0" w:color="auto"/>
              <w:bottom w:val="single" w:sz="4" w:space="0" w:color="auto"/>
              <w:right w:val="single" w:sz="2" w:space="0" w:color="auto"/>
            </w:tcBorders>
            <w:shd w:val="clear" w:color="000000" w:fill="95B3D7"/>
            <w:noWrap/>
            <w:vAlign w:val="center"/>
            <w:hideMark/>
          </w:tcPr>
          <w:p w14:paraId="41B9E1E8" w14:textId="77777777" w:rsidR="004D49FB" w:rsidRPr="00191BF0" w:rsidRDefault="004D49FB" w:rsidP="003D0EF2">
            <w:pPr>
              <w:jc w:val="center"/>
              <w:rPr>
                <w:rFonts w:ascii="Arial" w:hAnsi="Arial" w:cs="Arial"/>
                <w:sz w:val="18"/>
                <w:szCs w:val="18"/>
              </w:rPr>
            </w:pPr>
            <w:r>
              <w:rPr>
                <w:rFonts w:ascii="Arial" w:hAnsi="Arial" w:cs="Arial"/>
                <w:sz w:val="18"/>
                <w:szCs w:val="18"/>
              </w:rPr>
              <w:t>Obra</w:t>
            </w:r>
          </w:p>
        </w:tc>
        <w:tc>
          <w:tcPr>
            <w:tcW w:w="2410" w:type="dxa"/>
            <w:gridSpan w:val="2"/>
            <w:tcBorders>
              <w:top w:val="single" w:sz="4" w:space="0" w:color="auto"/>
              <w:left w:val="single" w:sz="2" w:space="0" w:color="auto"/>
              <w:bottom w:val="single" w:sz="4" w:space="0" w:color="auto"/>
              <w:right w:val="single" w:sz="2" w:space="0" w:color="auto"/>
            </w:tcBorders>
            <w:shd w:val="clear" w:color="000000" w:fill="95B3D7"/>
            <w:noWrap/>
            <w:vAlign w:val="center"/>
            <w:hideMark/>
          </w:tcPr>
          <w:p w14:paraId="131C60AB" w14:textId="77777777" w:rsidR="004D49FB" w:rsidRPr="00191BF0" w:rsidRDefault="004D49FB" w:rsidP="003D0EF2">
            <w:pPr>
              <w:jc w:val="center"/>
              <w:rPr>
                <w:rFonts w:ascii="Arial" w:hAnsi="Arial" w:cs="Arial"/>
                <w:sz w:val="18"/>
                <w:szCs w:val="18"/>
              </w:rPr>
            </w:pPr>
            <w:r>
              <w:rPr>
                <w:rFonts w:ascii="Arial" w:hAnsi="Arial" w:cs="Arial"/>
                <w:sz w:val="18"/>
                <w:szCs w:val="18"/>
              </w:rPr>
              <w:t>Suministro</w:t>
            </w:r>
          </w:p>
        </w:tc>
        <w:tc>
          <w:tcPr>
            <w:tcW w:w="2118" w:type="dxa"/>
            <w:gridSpan w:val="2"/>
            <w:tcBorders>
              <w:top w:val="single" w:sz="2" w:space="0" w:color="auto"/>
              <w:left w:val="single" w:sz="2" w:space="0" w:color="auto"/>
              <w:bottom w:val="single" w:sz="4" w:space="0" w:color="auto"/>
            </w:tcBorders>
            <w:shd w:val="clear" w:color="000000" w:fill="95B3D7"/>
            <w:vAlign w:val="center"/>
          </w:tcPr>
          <w:p w14:paraId="42B53C5D" w14:textId="77777777" w:rsidR="004D49FB" w:rsidRPr="00191BF0" w:rsidRDefault="004D49FB" w:rsidP="003D0EF2">
            <w:pPr>
              <w:jc w:val="center"/>
              <w:rPr>
                <w:rFonts w:ascii="Arial" w:hAnsi="Arial" w:cs="Arial"/>
                <w:sz w:val="18"/>
                <w:szCs w:val="18"/>
              </w:rPr>
            </w:pPr>
            <w:r>
              <w:rPr>
                <w:rFonts w:ascii="Arial" w:hAnsi="Arial" w:cs="Arial"/>
                <w:sz w:val="18"/>
                <w:szCs w:val="18"/>
              </w:rPr>
              <w:t>Servicio</w:t>
            </w:r>
          </w:p>
        </w:tc>
      </w:tr>
      <w:tr w:rsidR="004D49FB" w:rsidRPr="00424743" w14:paraId="3602D202" w14:textId="77777777" w:rsidTr="00D45736">
        <w:trPr>
          <w:trHeight w:val="255"/>
          <w:jc w:val="center"/>
        </w:trPr>
        <w:tc>
          <w:tcPr>
            <w:tcW w:w="2268" w:type="dxa"/>
            <w:vMerge/>
            <w:tcBorders>
              <w:left w:val="nil"/>
              <w:bottom w:val="single" w:sz="4" w:space="0" w:color="auto"/>
              <w:right w:val="single" w:sz="2" w:space="0" w:color="auto"/>
            </w:tcBorders>
            <w:shd w:val="clear" w:color="000000" w:fill="95B3D7"/>
            <w:noWrap/>
            <w:vAlign w:val="center"/>
            <w:hideMark/>
          </w:tcPr>
          <w:p w14:paraId="5F876A35" w14:textId="77777777" w:rsidR="004D49FB" w:rsidRPr="00424743" w:rsidRDefault="004D49FB" w:rsidP="003D0EF2">
            <w:pPr>
              <w:rPr>
                <w:rFonts w:ascii="Arial" w:hAnsi="Arial" w:cs="Arial"/>
                <w:color w:val="000000"/>
                <w:sz w:val="18"/>
                <w:szCs w:val="18"/>
              </w:rPr>
            </w:pPr>
          </w:p>
        </w:tc>
        <w:tc>
          <w:tcPr>
            <w:tcW w:w="1418" w:type="dxa"/>
            <w:tcBorders>
              <w:top w:val="single" w:sz="4" w:space="0" w:color="auto"/>
              <w:left w:val="single" w:sz="2" w:space="0" w:color="auto"/>
              <w:bottom w:val="single" w:sz="4" w:space="0" w:color="auto"/>
              <w:right w:val="single" w:sz="4" w:space="0" w:color="auto"/>
            </w:tcBorders>
            <w:shd w:val="clear" w:color="000000" w:fill="95B3D7"/>
            <w:noWrap/>
            <w:vAlign w:val="center"/>
            <w:hideMark/>
          </w:tcPr>
          <w:p w14:paraId="69026D4F"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Nº de contratos</w:t>
            </w:r>
          </w:p>
        </w:tc>
        <w:tc>
          <w:tcPr>
            <w:tcW w:w="850" w:type="dxa"/>
            <w:tcBorders>
              <w:top w:val="single" w:sz="4" w:space="0" w:color="auto"/>
              <w:left w:val="single" w:sz="4" w:space="0" w:color="auto"/>
              <w:bottom w:val="single" w:sz="4" w:space="0" w:color="auto"/>
              <w:right w:val="single" w:sz="2" w:space="0" w:color="auto"/>
            </w:tcBorders>
            <w:shd w:val="clear" w:color="000000" w:fill="95B3D7"/>
            <w:noWrap/>
            <w:vAlign w:val="center"/>
            <w:hideMark/>
          </w:tcPr>
          <w:p w14:paraId="1D286BC8"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w:t>
            </w:r>
          </w:p>
        </w:tc>
        <w:tc>
          <w:tcPr>
            <w:tcW w:w="1701" w:type="dxa"/>
            <w:tcBorders>
              <w:top w:val="single" w:sz="4" w:space="0" w:color="auto"/>
              <w:left w:val="single" w:sz="2" w:space="0" w:color="auto"/>
              <w:bottom w:val="single" w:sz="4" w:space="0" w:color="auto"/>
              <w:right w:val="single" w:sz="4" w:space="0" w:color="auto"/>
            </w:tcBorders>
            <w:shd w:val="clear" w:color="000000" w:fill="95B3D7"/>
            <w:vAlign w:val="center"/>
          </w:tcPr>
          <w:p w14:paraId="32BBA9B4"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Nº de contratos</w:t>
            </w:r>
          </w:p>
        </w:tc>
        <w:tc>
          <w:tcPr>
            <w:tcW w:w="709" w:type="dxa"/>
            <w:tcBorders>
              <w:top w:val="single" w:sz="4" w:space="0" w:color="auto"/>
              <w:left w:val="single" w:sz="4" w:space="0" w:color="auto"/>
              <w:bottom w:val="single" w:sz="4" w:space="0" w:color="auto"/>
              <w:right w:val="single" w:sz="2" w:space="0" w:color="auto"/>
            </w:tcBorders>
            <w:shd w:val="clear" w:color="000000" w:fill="95B3D7"/>
            <w:vAlign w:val="center"/>
          </w:tcPr>
          <w:p w14:paraId="646A3442"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w:t>
            </w:r>
          </w:p>
        </w:tc>
        <w:tc>
          <w:tcPr>
            <w:tcW w:w="1517" w:type="dxa"/>
            <w:tcBorders>
              <w:top w:val="single" w:sz="4" w:space="0" w:color="auto"/>
              <w:left w:val="single" w:sz="2" w:space="0" w:color="auto"/>
              <w:bottom w:val="single" w:sz="4" w:space="0" w:color="auto"/>
              <w:right w:val="single" w:sz="2" w:space="0" w:color="auto"/>
            </w:tcBorders>
            <w:shd w:val="clear" w:color="000000" w:fill="95B3D7"/>
            <w:vAlign w:val="center"/>
          </w:tcPr>
          <w:p w14:paraId="5963A7F5" w14:textId="77777777" w:rsidR="004D49FB" w:rsidRPr="00424743" w:rsidRDefault="004D49FB" w:rsidP="003D0EF2">
            <w:pPr>
              <w:jc w:val="center"/>
              <w:rPr>
                <w:rFonts w:ascii="Arial" w:hAnsi="Arial" w:cs="Arial"/>
                <w:color w:val="000000"/>
                <w:sz w:val="18"/>
                <w:szCs w:val="18"/>
              </w:rPr>
            </w:pPr>
            <w:r w:rsidRPr="00424743">
              <w:rPr>
                <w:rFonts w:ascii="Arial" w:hAnsi="Arial" w:cs="Arial"/>
                <w:color w:val="000000"/>
                <w:sz w:val="18"/>
                <w:szCs w:val="18"/>
              </w:rPr>
              <w:t>Nº de contratos</w:t>
            </w:r>
          </w:p>
        </w:tc>
        <w:tc>
          <w:tcPr>
            <w:tcW w:w="601" w:type="dxa"/>
            <w:tcBorders>
              <w:top w:val="single" w:sz="4" w:space="0" w:color="auto"/>
              <w:left w:val="single" w:sz="2" w:space="0" w:color="auto"/>
              <w:bottom w:val="single" w:sz="4" w:space="0" w:color="auto"/>
            </w:tcBorders>
            <w:shd w:val="clear" w:color="000000" w:fill="95B3D7"/>
            <w:vAlign w:val="center"/>
          </w:tcPr>
          <w:p w14:paraId="5F2F55FE"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w:t>
            </w:r>
          </w:p>
        </w:tc>
      </w:tr>
      <w:tr w:rsidR="005D3AC5" w:rsidRPr="002A22CC" w14:paraId="22A48F11" w14:textId="77777777" w:rsidTr="00D45736">
        <w:trPr>
          <w:trHeight w:val="198"/>
          <w:jc w:val="center"/>
        </w:trPr>
        <w:tc>
          <w:tcPr>
            <w:tcW w:w="2268" w:type="dxa"/>
            <w:tcBorders>
              <w:top w:val="single" w:sz="4" w:space="0" w:color="auto"/>
              <w:left w:val="nil"/>
              <w:bottom w:val="single" w:sz="2" w:space="0" w:color="auto"/>
              <w:right w:val="single" w:sz="2" w:space="0" w:color="auto"/>
            </w:tcBorders>
            <w:shd w:val="clear" w:color="auto" w:fill="auto"/>
            <w:noWrap/>
            <w:vAlign w:val="center"/>
          </w:tcPr>
          <w:p w14:paraId="253F5D50" w14:textId="77777777" w:rsidR="005D3AC5" w:rsidRPr="00B41847" w:rsidRDefault="005D3AC5" w:rsidP="003D0EF2">
            <w:pPr>
              <w:rPr>
                <w:rFonts w:ascii="Arial Narrow" w:hAnsi="Arial Narrow" w:cs="Calibri"/>
                <w:sz w:val="20"/>
                <w:szCs w:val="20"/>
              </w:rPr>
            </w:pPr>
            <w:r w:rsidRPr="00B41847">
              <w:rPr>
                <w:rFonts w:ascii="Arial Narrow" w:hAnsi="Arial Narrow" w:cs="Calibri"/>
                <w:sz w:val="20"/>
                <w:szCs w:val="20"/>
              </w:rPr>
              <w:t>Proporcional</w:t>
            </w:r>
          </w:p>
        </w:tc>
        <w:tc>
          <w:tcPr>
            <w:tcW w:w="1418" w:type="dxa"/>
            <w:tcBorders>
              <w:top w:val="single" w:sz="4" w:space="0" w:color="auto"/>
              <w:left w:val="single" w:sz="2" w:space="0" w:color="auto"/>
              <w:bottom w:val="single" w:sz="2" w:space="0" w:color="auto"/>
              <w:right w:val="single" w:sz="4" w:space="0" w:color="auto"/>
            </w:tcBorders>
            <w:shd w:val="clear" w:color="auto" w:fill="auto"/>
            <w:noWrap/>
            <w:vAlign w:val="center"/>
          </w:tcPr>
          <w:p w14:paraId="0AEB7D97" w14:textId="77777777" w:rsidR="005D3AC5" w:rsidRPr="002A22CC" w:rsidRDefault="005D3AC5" w:rsidP="003D0EF2">
            <w:pPr>
              <w:jc w:val="right"/>
              <w:rPr>
                <w:rFonts w:ascii="Arial Narrow" w:hAnsi="Arial Narrow" w:cs="Calibri"/>
                <w:color w:val="000000"/>
                <w:sz w:val="18"/>
                <w:szCs w:val="18"/>
              </w:rPr>
            </w:pPr>
            <w:r w:rsidRPr="002A22CC">
              <w:rPr>
                <w:rFonts w:ascii="Arial Narrow" w:hAnsi="Arial Narrow" w:cs="Calibri"/>
                <w:color w:val="000000"/>
                <w:sz w:val="18"/>
                <w:szCs w:val="18"/>
              </w:rPr>
              <w:t>22</w:t>
            </w:r>
          </w:p>
        </w:tc>
        <w:tc>
          <w:tcPr>
            <w:tcW w:w="850" w:type="dxa"/>
            <w:tcBorders>
              <w:top w:val="single" w:sz="4" w:space="0" w:color="auto"/>
              <w:left w:val="single" w:sz="4" w:space="0" w:color="auto"/>
              <w:bottom w:val="single" w:sz="2" w:space="0" w:color="auto"/>
              <w:right w:val="single" w:sz="2" w:space="0" w:color="auto"/>
            </w:tcBorders>
            <w:shd w:val="clear" w:color="auto" w:fill="auto"/>
            <w:noWrap/>
            <w:vAlign w:val="center"/>
          </w:tcPr>
          <w:p w14:paraId="073DADD3" w14:textId="77777777" w:rsidR="005D3AC5" w:rsidRPr="002A22CC" w:rsidRDefault="005D3AC5" w:rsidP="003D0EF2">
            <w:pPr>
              <w:jc w:val="right"/>
              <w:rPr>
                <w:rFonts w:ascii="Arial Narrow" w:hAnsi="Arial Narrow" w:cs="Calibri"/>
                <w:color w:val="000000"/>
                <w:sz w:val="18"/>
                <w:szCs w:val="18"/>
              </w:rPr>
            </w:pPr>
            <w:r w:rsidRPr="002A22CC">
              <w:rPr>
                <w:rFonts w:ascii="Arial Narrow" w:hAnsi="Arial Narrow" w:cs="Calibri"/>
                <w:color w:val="000000"/>
                <w:sz w:val="18"/>
                <w:szCs w:val="18"/>
              </w:rPr>
              <w:t>88%</w:t>
            </w:r>
          </w:p>
        </w:tc>
        <w:tc>
          <w:tcPr>
            <w:tcW w:w="1701" w:type="dxa"/>
            <w:tcBorders>
              <w:top w:val="single" w:sz="4" w:space="0" w:color="auto"/>
              <w:left w:val="single" w:sz="2" w:space="0" w:color="auto"/>
              <w:bottom w:val="single" w:sz="2" w:space="0" w:color="auto"/>
              <w:right w:val="single" w:sz="4" w:space="0" w:color="auto"/>
            </w:tcBorders>
            <w:shd w:val="clear" w:color="auto" w:fill="auto"/>
            <w:vAlign w:val="center"/>
          </w:tcPr>
          <w:p w14:paraId="64423252" w14:textId="77777777" w:rsidR="005D3AC5" w:rsidRPr="00B41847" w:rsidRDefault="005D3AC5" w:rsidP="003D0EF2">
            <w:pPr>
              <w:jc w:val="right"/>
              <w:rPr>
                <w:rFonts w:ascii="Arial Narrow" w:hAnsi="Arial Narrow" w:cs="Calibri"/>
                <w:sz w:val="20"/>
                <w:szCs w:val="20"/>
              </w:rPr>
            </w:pPr>
            <w:r w:rsidRPr="00B41847">
              <w:rPr>
                <w:rFonts w:ascii="Arial Narrow" w:hAnsi="Arial Narrow" w:cs="Calibri"/>
                <w:sz w:val="20"/>
                <w:szCs w:val="20"/>
              </w:rPr>
              <w:t>28</w:t>
            </w:r>
          </w:p>
        </w:tc>
        <w:tc>
          <w:tcPr>
            <w:tcW w:w="709" w:type="dxa"/>
            <w:tcBorders>
              <w:top w:val="single" w:sz="4" w:space="0" w:color="auto"/>
              <w:left w:val="single" w:sz="4" w:space="0" w:color="auto"/>
              <w:bottom w:val="single" w:sz="2" w:space="0" w:color="auto"/>
              <w:right w:val="single" w:sz="2" w:space="0" w:color="auto"/>
            </w:tcBorders>
            <w:shd w:val="clear" w:color="auto" w:fill="auto"/>
            <w:vAlign w:val="center"/>
          </w:tcPr>
          <w:p w14:paraId="5A91563E" w14:textId="77777777" w:rsidR="005D3AC5" w:rsidRPr="00B41847" w:rsidRDefault="005D3AC5" w:rsidP="003D0EF2">
            <w:pPr>
              <w:jc w:val="right"/>
              <w:rPr>
                <w:rFonts w:ascii="Arial Narrow" w:hAnsi="Arial Narrow" w:cs="Calibri"/>
                <w:sz w:val="20"/>
                <w:szCs w:val="20"/>
              </w:rPr>
            </w:pPr>
            <w:r w:rsidRPr="00B41847">
              <w:rPr>
                <w:rFonts w:ascii="Arial Narrow" w:hAnsi="Arial Narrow" w:cs="Calibri"/>
                <w:sz w:val="20"/>
                <w:szCs w:val="20"/>
              </w:rPr>
              <w:t>90%</w:t>
            </w:r>
          </w:p>
        </w:tc>
        <w:tc>
          <w:tcPr>
            <w:tcW w:w="1517" w:type="dxa"/>
            <w:tcBorders>
              <w:top w:val="single" w:sz="4" w:space="0" w:color="auto"/>
              <w:left w:val="single" w:sz="2" w:space="0" w:color="auto"/>
              <w:bottom w:val="single" w:sz="2" w:space="0" w:color="auto"/>
              <w:right w:val="single" w:sz="2" w:space="0" w:color="auto"/>
            </w:tcBorders>
            <w:shd w:val="clear" w:color="auto" w:fill="auto"/>
            <w:vAlign w:val="center"/>
          </w:tcPr>
          <w:p w14:paraId="14A67C4A" w14:textId="77777777" w:rsidR="005D3AC5" w:rsidRPr="00A00086" w:rsidRDefault="005D3AC5" w:rsidP="003D0EF2">
            <w:pPr>
              <w:jc w:val="right"/>
              <w:rPr>
                <w:rFonts w:ascii="Arial Narrow" w:hAnsi="Arial Narrow" w:cs="Calibri"/>
                <w:sz w:val="20"/>
                <w:szCs w:val="20"/>
              </w:rPr>
            </w:pPr>
            <w:r w:rsidRPr="00A00086">
              <w:rPr>
                <w:rFonts w:ascii="Arial Narrow" w:hAnsi="Arial Narrow" w:cs="Calibri"/>
                <w:sz w:val="20"/>
                <w:szCs w:val="20"/>
              </w:rPr>
              <w:t>23</w:t>
            </w:r>
          </w:p>
        </w:tc>
        <w:tc>
          <w:tcPr>
            <w:tcW w:w="601" w:type="dxa"/>
            <w:tcBorders>
              <w:top w:val="single" w:sz="4" w:space="0" w:color="auto"/>
              <w:left w:val="single" w:sz="2" w:space="0" w:color="auto"/>
              <w:bottom w:val="single" w:sz="2" w:space="0" w:color="auto"/>
            </w:tcBorders>
            <w:shd w:val="clear" w:color="auto" w:fill="auto"/>
            <w:vAlign w:val="center"/>
          </w:tcPr>
          <w:p w14:paraId="51FAEEB6" w14:textId="77777777" w:rsidR="005D3AC5" w:rsidRPr="00A00086" w:rsidRDefault="005D3AC5" w:rsidP="00E570F4">
            <w:pPr>
              <w:jc w:val="right"/>
              <w:rPr>
                <w:rFonts w:ascii="Arial Narrow" w:hAnsi="Arial Narrow" w:cs="Calibri"/>
                <w:sz w:val="20"/>
                <w:szCs w:val="20"/>
              </w:rPr>
            </w:pPr>
            <w:r w:rsidRPr="00A00086">
              <w:rPr>
                <w:rFonts w:ascii="Arial Narrow" w:hAnsi="Arial Narrow" w:cs="Calibri"/>
                <w:sz w:val="20"/>
                <w:szCs w:val="20"/>
              </w:rPr>
              <w:t>88</w:t>
            </w:r>
          </w:p>
        </w:tc>
      </w:tr>
      <w:tr w:rsidR="005D3AC5" w:rsidRPr="002A22CC" w14:paraId="1370F034" w14:textId="77777777" w:rsidTr="00D45736">
        <w:trPr>
          <w:trHeight w:val="198"/>
          <w:jc w:val="center"/>
        </w:trPr>
        <w:tc>
          <w:tcPr>
            <w:tcW w:w="2268" w:type="dxa"/>
            <w:tcBorders>
              <w:top w:val="single" w:sz="2" w:space="0" w:color="auto"/>
              <w:left w:val="nil"/>
              <w:bottom w:val="single" w:sz="2" w:space="0" w:color="auto"/>
              <w:right w:val="single" w:sz="2" w:space="0" w:color="auto"/>
            </w:tcBorders>
            <w:shd w:val="clear" w:color="auto" w:fill="auto"/>
            <w:noWrap/>
            <w:vAlign w:val="center"/>
          </w:tcPr>
          <w:p w14:paraId="1E113593" w14:textId="77777777" w:rsidR="005D3AC5" w:rsidRPr="00B41847" w:rsidRDefault="005D3AC5" w:rsidP="003D0EF2">
            <w:pPr>
              <w:rPr>
                <w:rFonts w:ascii="Arial Narrow" w:hAnsi="Arial Narrow" w:cs="Calibri"/>
                <w:sz w:val="20"/>
                <w:szCs w:val="20"/>
              </w:rPr>
            </w:pPr>
            <w:r w:rsidRPr="00B41847">
              <w:rPr>
                <w:rFonts w:ascii="Arial Narrow" w:hAnsi="Arial Narrow" w:cs="Calibri"/>
                <w:sz w:val="20"/>
                <w:szCs w:val="20"/>
              </w:rPr>
              <w:t>No proporcional</w:t>
            </w:r>
          </w:p>
        </w:tc>
        <w:tc>
          <w:tcPr>
            <w:tcW w:w="1418" w:type="dxa"/>
            <w:tcBorders>
              <w:top w:val="single" w:sz="2" w:space="0" w:color="auto"/>
              <w:left w:val="single" w:sz="2" w:space="0" w:color="auto"/>
              <w:bottom w:val="single" w:sz="2" w:space="0" w:color="auto"/>
              <w:right w:val="single" w:sz="4" w:space="0" w:color="auto"/>
            </w:tcBorders>
            <w:shd w:val="clear" w:color="auto" w:fill="auto"/>
            <w:noWrap/>
            <w:vAlign w:val="center"/>
          </w:tcPr>
          <w:p w14:paraId="15411D4D" w14:textId="77777777" w:rsidR="005D3AC5" w:rsidRPr="002A22CC" w:rsidRDefault="005D3AC5" w:rsidP="003D0EF2">
            <w:pPr>
              <w:jc w:val="right"/>
              <w:rPr>
                <w:rFonts w:ascii="Arial Narrow" w:hAnsi="Arial Narrow" w:cs="Calibri"/>
                <w:color w:val="000000"/>
                <w:sz w:val="18"/>
                <w:szCs w:val="18"/>
              </w:rPr>
            </w:pPr>
            <w:r w:rsidRPr="002A22CC">
              <w:rPr>
                <w:rFonts w:ascii="Arial Narrow" w:hAnsi="Arial Narrow" w:cs="Calibri"/>
                <w:color w:val="000000"/>
                <w:sz w:val="18"/>
                <w:szCs w:val="18"/>
              </w:rPr>
              <w:t>3</w:t>
            </w:r>
          </w:p>
        </w:tc>
        <w:tc>
          <w:tcPr>
            <w:tcW w:w="850" w:type="dxa"/>
            <w:tcBorders>
              <w:top w:val="single" w:sz="2" w:space="0" w:color="auto"/>
              <w:left w:val="single" w:sz="4" w:space="0" w:color="auto"/>
              <w:bottom w:val="single" w:sz="2" w:space="0" w:color="auto"/>
              <w:right w:val="single" w:sz="2" w:space="0" w:color="auto"/>
            </w:tcBorders>
            <w:shd w:val="clear" w:color="auto" w:fill="auto"/>
            <w:noWrap/>
            <w:vAlign w:val="center"/>
          </w:tcPr>
          <w:p w14:paraId="7E0DBEBA" w14:textId="77777777" w:rsidR="005D3AC5" w:rsidRPr="002A22CC" w:rsidRDefault="005D3AC5" w:rsidP="003D0EF2">
            <w:pPr>
              <w:jc w:val="right"/>
              <w:rPr>
                <w:rFonts w:ascii="Arial Narrow" w:hAnsi="Arial Narrow" w:cs="Calibri"/>
                <w:color w:val="000000"/>
                <w:sz w:val="18"/>
                <w:szCs w:val="18"/>
              </w:rPr>
            </w:pPr>
            <w:r w:rsidRPr="002A22CC">
              <w:rPr>
                <w:rFonts w:ascii="Arial Narrow" w:hAnsi="Arial Narrow" w:cs="Calibri"/>
                <w:color w:val="000000"/>
                <w:sz w:val="18"/>
                <w:szCs w:val="18"/>
              </w:rPr>
              <w:t>12%</w:t>
            </w:r>
          </w:p>
        </w:tc>
        <w:tc>
          <w:tcPr>
            <w:tcW w:w="1701" w:type="dxa"/>
            <w:tcBorders>
              <w:top w:val="single" w:sz="2" w:space="0" w:color="auto"/>
              <w:left w:val="single" w:sz="2" w:space="0" w:color="auto"/>
              <w:bottom w:val="single" w:sz="2" w:space="0" w:color="auto"/>
              <w:right w:val="single" w:sz="4" w:space="0" w:color="auto"/>
            </w:tcBorders>
            <w:shd w:val="clear" w:color="auto" w:fill="auto"/>
            <w:vAlign w:val="center"/>
          </w:tcPr>
          <w:p w14:paraId="705AE8C4" w14:textId="77777777" w:rsidR="005D3AC5" w:rsidRPr="00B41847" w:rsidRDefault="005D3AC5" w:rsidP="003D0EF2">
            <w:pPr>
              <w:jc w:val="right"/>
              <w:rPr>
                <w:rFonts w:ascii="Arial Narrow" w:hAnsi="Arial Narrow" w:cs="Calibri"/>
                <w:sz w:val="20"/>
                <w:szCs w:val="20"/>
              </w:rPr>
            </w:pPr>
            <w:r w:rsidRPr="00B41847">
              <w:rPr>
                <w:rFonts w:ascii="Arial Narrow" w:hAnsi="Arial Narrow" w:cs="Calibri"/>
                <w:sz w:val="20"/>
                <w:szCs w:val="20"/>
              </w:rPr>
              <w:t>2</w:t>
            </w:r>
          </w:p>
        </w:tc>
        <w:tc>
          <w:tcPr>
            <w:tcW w:w="709" w:type="dxa"/>
            <w:tcBorders>
              <w:top w:val="single" w:sz="2" w:space="0" w:color="auto"/>
              <w:left w:val="single" w:sz="4" w:space="0" w:color="auto"/>
              <w:bottom w:val="single" w:sz="2" w:space="0" w:color="auto"/>
              <w:right w:val="single" w:sz="2" w:space="0" w:color="auto"/>
            </w:tcBorders>
            <w:shd w:val="clear" w:color="auto" w:fill="auto"/>
            <w:vAlign w:val="center"/>
          </w:tcPr>
          <w:p w14:paraId="6AA0A980" w14:textId="77777777" w:rsidR="005D3AC5" w:rsidRPr="00B41847" w:rsidRDefault="005D3AC5" w:rsidP="003D0EF2">
            <w:pPr>
              <w:jc w:val="right"/>
              <w:rPr>
                <w:rFonts w:ascii="Arial Narrow" w:hAnsi="Arial Narrow" w:cs="Calibri"/>
                <w:sz w:val="20"/>
                <w:szCs w:val="20"/>
              </w:rPr>
            </w:pPr>
            <w:r w:rsidRPr="00B41847">
              <w:rPr>
                <w:rFonts w:ascii="Arial Narrow" w:hAnsi="Arial Narrow" w:cs="Calibri"/>
                <w:sz w:val="20"/>
                <w:szCs w:val="20"/>
              </w:rPr>
              <w:t>7%</w:t>
            </w:r>
          </w:p>
        </w:tc>
        <w:tc>
          <w:tcPr>
            <w:tcW w:w="1517" w:type="dxa"/>
            <w:tcBorders>
              <w:top w:val="single" w:sz="2" w:space="0" w:color="auto"/>
              <w:left w:val="single" w:sz="2" w:space="0" w:color="auto"/>
              <w:bottom w:val="single" w:sz="2" w:space="0" w:color="auto"/>
              <w:right w:val="single" w:sz="2" w:space="0" w:color="auto"/>
            </w:tcBorders>
            <w:shd w:val="clear" w:color="auto" w:fill="auto"/>
            <w:vAlign w:val="center"/>
          </w:tcPr>
          <w:p w14:paraId="30938EE8" w14:textId="77777777" w:rsidR="005D3AC5" w:rsidRPr="00A00086" w:rsidRDefault="005D3AC5" w:rsidP="003D0EF2">
            <w:pPr>
              <w:jc w:val="right"/>
              <w:rPr>
                <w:rFonts w:ascii="Arial Narrow" w:hAnsi="Arial Narrow" w:cs="Calibri"/>
                <w:sz w:val="20"/>
                <w:szCs w:val="20"/>
              </w:rPr>
            </w:pPr>
            <w:r w:rsidRPr="00A00086">
              <w:rPr>
                <w:rFonts w:ascii="Arial Narrow" w:hAnsi="Arial Narrow" w:cs="Calibri"/>
                <w:sz w:val="20"/>
                <w:szCs w:val="20"/>
              </w:rPr>
              <w:t>3</w:t>
            </w:r>
          </w:p>
        </w:tc>
        <w:tc>
          <w:tcPr>
            <w:tcW w:w="601" w:type="dxa"/>
            <w:tcBorders>
              <w:top w:val="single" w:sz="2" w:space="0" w:color="auto"/>
              <w:left w:val="single" w:sz="2" w:space="0" w:color="auto"/>
              <w:bottom w:val="single" w:sz="2" w:space="0" w:color="auto"/>
            </w:tcBorders>
            <w:shd w:val="clear" w:color="auto" w:fill="auto"/>
            <w:vAlign w:val="center"/>
          </w:tcPr>
          <w:p w14:paraId="27DE3A57" w14:textId="77777777" w:rsidR="005D3AC5" w:rsidRPr="00A00086" w:rsidRDefault="005D3AC5" w:rsidP="00E570F4">
            <w:pPr>
              <w:jc w:val="right"/>
              <w:rPr>
                <w:rFonts w:ascii="Arial Narrow" w:hAnsi="Arial Narrow" w:cs="Calibri"/>
                <w:sz w:val="20"/>
                <w:szCs w:val="20"/>
              </w:rPr>
            </w:pPr>
            <w:r w:rsidRPr="00A00086">
              <w:rPr>
                <w:rFonts w:ascii="Arial Narrow" w:hAnsi="Arial Narrow" w:cs="Calibri"/>
                <w:sz w:val="20"/>
                <w:szCs w:val="20"/>
              </w:rPr>
              <w:t>12</w:t>
            </w:r>
          </w:p>
        </w:tc>
      </w:tr>
      <w:tr w:rsidR="005D3AC5" w:rsidRPr="002A22CC" w14:paraId="38CEBE2E" w14:textId="77777777" w:rsidTr="00D45736">
        <w:trPr>
          <w:trHeight w:val="198"/>
          <w:jc w:val="center"/>
        </w:trPr>
        <w:tc>
          <w:tcPr>
            <w:tcW w:w="2268" w:type="dxa"/>
            <w:tcBorders>
              <w:top w:val="single" w:sz="2" w:space="0" w:color="auto"/>
              <w:left w:val="nil"/>
              <w:bottom w:val="single" w:sz="4" w:space="0" w:color="auto"/>
              <w:right w:val="single" w:sz="2" w:space="0" w:color="auto"/>
            </w:tcBorders>
            <w:shd w:val="clear" w:color="auto" w:fill="auto"/>
            <w:noWrap/>
            <w:vAlign w:val="center"/>
          </w:tcPr>
          <w:p w14:paraId="6EBBB123" w14:textId="77777777" w:rsidR="005D3AC5" w:rsidRPr="00B41847" w:rsidRDefault="005D3AC5" w:rsidP="003D0EF2">
            <w:pPr>
              <w:rPr>
                <w:rFonts w:ascii="Arial Narrow" w:hAnsi="Arial Narrow" w:cs="Calibri"/>
                <w:sz w:val="20"/>
                <w:szCs w:val="20"/>
              </w:rPr>
            </w:pPr>
            <w:r w:rsidRPr="00B41847">
              <w:rPr>
                <w:rFonts w:ascii="Arial Narrow" w:hAnsi="Arial Narrow" w:cs="Calibri"/>
                <w:sz w:val="20"/>
                <w:szCs w:val="20"/>
              </w:rPr>
              <w:t>No existe fórmula económica</w:t>
            </w:r>
          </w:p>
        </w:tc>
        <w:tc>
          <w:tcPr>
            <w:tcW w:w="1418" w:type="dxa"/>
            <w:tcBorders>
              <w:top w:val="single" w:sz="2" w:space="0" w:color="auto"/>
              <w:left w:val="single" w:sz="2" w:space="0" w:color="auto"/>
              <w:bottom w:val="single" w:sz="4" w:space="0" w:color="auto"/>
              <w:right w:val="single" w:sz="4" w:space="0" w:color="auto"/>
            </w:tcBorders>
            <w:shd w:val="clear" w:color="auto" w:fill="auto"/>
            <w:noWrap/>
            <w:vAlign w:val="center"/>
          </w:tcPr>
          <w:p w14:paraId="31877909" w14:textId="77777777" w:rsidR="005D3AC5" w:rsidRPr="002A22CC" w:rsidRDefault="005D3AC5" w:rsidP="003D0EF2">
            <w:pPr>
              <w:jc w:val="right"/>
              <w:rPr>
                <w:rFonts w:ascii="Arial Narrow" w:hAnsi="Arial Narrow" w:cs="Calibri"/>
                <w:color w:val="000000"/>
                <w:sz w:val="18"/>
                <w:szCs w:val="18"/>
              </w:rPr>
            </w:pPr>
          </w:p>
        </w:tc>
        <w:tc>
          <w:tcPr>
            <w:tcW w:w="850" w:type="dxa"/>
            <w:tcBorders>
              <w:top w:val="single" w:sz="2" w:space="0" w:color="auto"/>
              <w:left w:val="single" w:sz="4" w:space="0" w:color="auto"/>
              <w:bottom w:val="single" w:sz="4" w:space="0" w:color="auto"/>
              <w:right w:val="single" w:sz="2" w:space="0" w:color="auto"/>
            </w:tcBorders>
            <w:shd w:val="clear" w:color="auto" w:fill="auto"/>
            <w:noWrap/>
            <w:vAlign w:val="center"/>
          </w:tcPr>
          <w:p w14:paraId="353B28B5" w14:textId="77777777" w:rsidR="005D3AC5" w:rsidRPr="002A22CC" w:rsidRDefault="005D3AC5" w:rsidP="003D0EF2">
            <w:pPr>
              <w:jc w:val="right"/>
              <w:rPr>
                <w:rFonts w:ascii="Arial Narrow" w:hAnsi="Arial Narrow" w:cs="Calibri"/>
                <w:color w:val="000000"/>
                <w:sz w:val="18"/>
                <w:szCs w:val="18"/>
              </w:rPr>
            </w:pPr>
          </w:p>
        </w:tc>
        <w:tc>
          <w:tcPr>
            <w:tcW w:w="1701" w:type="dxa"/>
            <w:tcBorders>
              <w:top w:val="single" w:sz="2" w:space="0" w:color="auto"/>
              <w:left w:val="single" w:sz="2" w:space="0" w:color="auto"/>
              <w:bottom w:val="single" w:sz="4" w:space="0" w:color="auto"/>
              <w:right w:val="single" w:sz="4" w:space="0" w:color="auto"/>
            </w:tcBorders>
            <w:shd w:val="clear" w:color="auto" w:fill="auto"/>
            <w:vAlign w:val="center"/>
          </w:tcPr>
          <w:p w14:paraId="39958ACF" w14:textId="77777777" w:rsidR="005D3AC5" w:rsidRPr="00B41847" w:rsidRDefault="005D3AC5" w:rsidP="003D0EF2">
            <w:pPr>
              <w:jc w:val="right"/>
              <w:rPr>
                <w:rFonts w:ascii="Arial Narrow" w:hAnsi="Arial Narrow" w:cs="Calibri"/>
                <w:sz w:val="20"/>
                <w:szCs w:val="20"/>
              </w:rPr>
            </w:pPr>
            <w:r w:rsidRPr="00B41847">
              <w:rPr>
                <w:rFonts w:ascii="Arial Narrow" w:hAnsi="Arial Narrow" w:cs="Calibri"/>
                <w:sz w:val="20"/>
                <w:szCs w:val="20"/>
              </w:rPr>
              <w:t>1</w:t>
            </w:r>
          </w:p>
        </w:tc>
        <w:tc>
          <w:tcPr>
            <w:tcW w:w="709" w:type="dxa"/>
            <w:tcBorders>
              <w:top w:val="single" w:sz="2" w:space="0" w:color="auto"/>
              <w:left w:val="single" w:sz="4" w:space="0" w:color="auto"/>
              <w:bottom w:val="single" w:sz="4" w:space="0" w:color="auto"/>
              <w:right w:val="single" w:sz="2" w:space="0" w:color="auto"/>
            </w:tcBorders>
            <w:shd w:val="clear" w:color="auto" w:fill="auto"/>
            <w:vAlign w:val="center"/>
          </w:tcPr>
          <w:p w14:paraId="38FB05FC" w14:textId="77777777" w:rsidR="005D3AC5" w:rsidRPr="00B41847" w:rsidRDefault="005D3AC5" w:rsidP="003D0EF2">
            <w:pPr>
              <w:jc w:val="right"/>
              <w:rPr>
                <w:rFonts w:ascii="Arial Narrow" w:hAnsi="Arial Narrow" w:cs="Calibri"/>
                <w:sz w:val="20"/>
                <w:szCs w:val="20"/>
              </w:rPr>
            </w:pPr>
            <w:r w:rsidRPr="00B41847">
              <w:rPr>
                <w:rFonts w:ascii="Arial Narrow" w:hAnsi="Arial Narrow" w:cs="Calibri"/>
                <w:sz w:val="20"/>
                <w:szCs w:val="20"/>
              </w:rPr>
              <w:t>3%</w:t>
            </w:r>
          </w:p>
        </w:tc>
        <w:tc>
          <w:tcPr>
            <w:tcW w:w="1517" w:type="dxa"/>
            <w:tcBorders>
              <w:top w:val="single" w:sz="2" w:space="0" w:color="auto"/>
              <w:left w:val="single" w:sz="2" w:space="0" w:color="auto"/>
              <w:bottom w:val="single" w:sz="4" w:space="0" w:color="auto"/>
              <w:right w:val="single" w:sz="2" w:space="0" w:color="auto"/>
            </w:tcBorders>
            <w:shd w:val="clear" w:color="auto" w:fill="auto"/>
            <w:vAlign w:val="center"/>
          </w:tcPr>
          <w:p w14:paraId="112165C6" w14:textId="77777777" w:rsidR="005D3AC5" w:rsidRPr="006B3FE1" w:rsidRDefault="005D3AC5" w:rsidP="003D0EF2">
            <w:pPr>
              <w:jc w:val="right"/>
              <w:rPr>
                <w:rFonts w:ascii="Arial Narrow" w:hAnsi="Arial Narrow" w:cs="Calibri"/>
                <w:color w:val="000000"/>
                <w:sz w:val="18"/>
                <w:szCs w:val="18"/>
              </w:rPr>
            </w:pPr>
          </w:p>
        </w:tc>
        <w:tc>
          <w:tcPr>
            <w:tcW w:w="601" w:type="dxa"/>
            <w:tcBorders>
              <w:top w:val="single" w:sz="2" w:space="0" w:color="auto"/>
              <w:left w:val="single" w:sz="2" w:space="0" w:color="auto"/>
              <w:bottom w:val="single" w:sz="4" w:space="0" w:color="auto"/>
            </w:tcBorders>
            <w:shd w:val="clear" w:color="auto" w:fill="auto"/>
            <w:vAlign w:val="center"/>
          </w:tcPr>
          <w:p w14:paraId="494A0C82" w14:textId="77777777" w:rsidR="005D3AC5" w:rsidRPr="006B3FE1" w:rsidRDefault="005D3AC5" w:rsidP="003D0EF2">
            <w:pPr>
              <w:jc w:val="right"/>
              <w:rPr>
                <w:rFonts w:ascii="Arial Narrow" w:hAnsi="Arial Narrow" w:cs="Calibri"/>
                <w:color w:val="000000"/>
                <w:sz w:val="18"/>
                <w:szCs w:val="18"/>
              </w:rPr>
            </w:pPr>
          </w:p>
        </w:tc>
      </w:tr>
      <w:tr w:rsidR="005D3AC5" w:rsidRPr="00424743" w14:paraId="411EF8A0" w14:textId="77777777" w:rsidTr="00D45736">
        <w:trPr>
          <w:trHeight w:val="255"/>
          <w:jc w:val="center"/>
        </w:trPr>
        <w:tc>
          <w:tcPr>
            <w:tcW w:w="2268" w:type="dxa"/>
            <w:tcBorders>
              <w:top w:val="single" w:sz="4" w:space="0" w:color="auto"/>
              <w:left w:val="nil"/>
              <w:bottom w:val="single" w:sz="4" w:space="0" w:color="auto"/>
              <w:right w:val="single" w:sz="2" w:space="0" w:color="auto"/>
            </w:tcBorders>
            <w:shd w:val="clear" w:color="000000" w:fill="95B3D7"/>
            <w:noWrap/>
            <w:vAlign w:val="center"/>
            <w:hideMark/>
          </w:tcPr>
          <w:p w14:paraId="6E62B437" w14:textId="77777777" w:rsidR="005D3AC5" w:rsidRPr="00424743" w:rsidRDefault="005D3AC5" w:rsidP="003D0EF2">
            <w:pPr>
              <w:rPr>
                <w:rFonts w:ascii="Arial" w:hAnsi="Arial" w:cs="Arial"/>
                <w:color w:val="000000"/>
                <w:sz w:val="18"/>
                <w:szCs w:val="18"/>
              </w:rPr>
            </w:pPr>
            <w:r w:rsidRPr="00424743">
              <w:rPr>
                <w:rFonts w:ascii="Arial" w:hAnsi="Arial" w:cs="Arial"/>
                <w:color w:val="000000"/>
                <w:sz w:val="18"/>
                <w:szCs w:val="18"/>
              </w:rPr>
              <w:t xml:space="preserve">Total </w:t>
            </w:r>
          </w:p>
        </w:tc>
        <w:tc>
          <w:tcPr>
            <w:tcW w:w="1418" w:type="dxa"/>
            <w:tcBorders>
              <w:top w:val="single" w:sz="4" w:space="0" w:color="auto"/>
              <w:left w:val="single" w:sz="2" w:space="0" w:color="auto"/>
              <w:bottom w:val="single" w:sz="4" w:space="0" w:color="auto"/>
              <w:right w:val="single" w:sz="4" w:space="0" w:color="auto"/>
            </w:tcBorders>
            <w:shd w:val="clear" w:color="000000" w:fill="95B3D7"/>
            <w:noWrap/>
            <w:vAlign w:val="center"/>
            <w:hideMark/>
          </w:tcPr>
          <w:p w14:paraId="5BA88316" w14:textId="77777777" w:rsidR="005D3AC5" w:rsidRPr="00424743" w:rsidRDefault="005D3AC5" w:rsidP="003D0EF2">
            <w:pPr>
              <w:jc w:val="right"/>
              <w:rPr>
                <w:rFonts w:ascii="Arial" w:hAnsi="Arial" w:cs="Arial"/>
                <w:color w:val="000000"/>
                <w:sz w:val="18"/>
                <w:szCs w:val="18"/>
              </w:rPr>
            </w:pPr>
            <w:r w:rsidRPr="00424743">
              <w:rPr>
                <w:rFonts w:ascii="Arial" w:hAnsi="Arial" w:cs="Arial"/>
                <w:color w:val="000000"/>
                <w:sz w:val="18"/>
                <w:szCs w:val="18"/>
              </w:rPr>
              <w:t>25</w:t>
            </w:r>
          </w:p>
        </w:tc>
        <w:tc>
          <w:tcPr>
            <w:tcW w:w="850" w:type="dxa"/>
            <w:tcBorders>
              <w:top w:val="single" w:sz="4" w:space="0" w:color="auto"/>
              <w:left w:val="single" w:sz="4" w:space="0" w:color="auto"/>
              <w:bottom w:val="single" w:sz="4" w:space="0" w:color="auto"/>
              <w:right w:val="single" w:sz="2" w:space="0" w:color="auto"/>
            </w:tcBorders>
            <w:shd w:val="clear" w:color="000000" w:fill="95B3D7"/>
            <w:noWrap/>
            <w:vAlign w:val="center"/>
            <w:hideMark/>
          </w:tcPr>
          <w:p w14:paraId="6AB9CC6A" w14:textId="77777777" w:rsidR="005D3AC5" w:rsidRPr="00424743" w:rsidRDefault="005D3AC5" w:rsidP="003D0EF2">
            <w:pPr>
              <w:jc w:val="right"/>
              <w:rPr>
                <w:rFonts w:ascii="Arial" w:hAnsi="Arial" w:cs="Arial"/>
                <w:color w:val="000000"/>
                <w:sz w:val="18"/>
                <w:szCs w:val="18"/>
              </w:rPr>
            </w:pPr>
            <w:r w:rsidRPr="00424743">
              <w:rPr>
                <w:rFonts w:ascii="Arial" w:hAnsi="Arial" w:cs="Arial"/>
                <w:color w:val="000000"/>
                <w:sz w:val="18"/>
                <w:szCs w:val="18"/>
              </w:rPr>
              <w:t>100%</w:t>
            </w:r>
          </w:p>
        </w:tc>
        <w:tc>
          <w:tcPr>
            <w:tcW w:w="1701" w:type="dxa"/>
            <w:tcBorders>
              <w:top w:val="single" w:sz="4" w:space="0" w:color="auto"/>
              <w:left w:val="single" w:sz="2" w:space="0" w:color="auto"/>
              <w:bottom w:val="single" w:sz="4" w:space="0" w:color="auto"/>
              <w:right w:val="single" w:sz="4" w:space="0" w:color="auto"/>
            </w:tcBorders>
            <w:shd w:val="clear" w:color="000000" w:fill="95B3D7"/>
            <w:vAlign w:val="center"/>
          </w:tcPr>
          <w:p w14:paraId="74E3EE26" w14:textId="77777777" w:rsidR="005D3AC5" w:rsidRPr="00424743" w:rsidRDefault="005D3AC5" w:rsidP="003D0EF2">
            <w:pPr>
              <w:jc w:val="right"/>
              <w:rPr>
                <w:rFonts w:ascii="Arial" w:hAnsi="Arial" w:cs="Arial"/>
                <w:color w:val="000000"/>
                <w:sz w:val="18"/>
                <w:szCs w:val="18"/>
              </w:rPr>
            </w:pPr>
            <w:r>
              <w:rPr>
                <w:rFonts w:ascii="Arial" w:hAnsi="Arial" w:cs="Arial"/>
                <w:color w:val="000000"/>
                <w:sz w:val="18"/>
                <w:szCs w:val="18"/>
              </w:rPr>
              <w:t>31</w:t>
            </w:r>
          </w:p>
        </w:tc>
        <w:tc>
          <w:tcPr>
            <w:tcW w:w="709" w:type="dxa"/>
            <w:tcBorders>
              <w:top w:val="single" w:sz="4" w:space="0" w:color="auto"/>
              <w:left w:val="single" w:sz="4" w:space="0" w:color="auto"/>
              <w:bottom w:val="single" w:sz="4" w:space="0" w:color="auto"/>
              <w:right w:val="single" w:sz="2" w:space="0" w:color="auto"/>
            </w:tcBorders>
            <w:shd w:val="clear" w:color="000000" w:fill="95B3D7"/>
            <w:vAlign w:val="center"/>
          </w:tcPr>
          <w:p w14:paraId="67341A5E" w14:textId="77777777" w:rsidR="005D3AC5" w:rsidRPr="00424743" w:rsidRDefault="005D3AC5" w:rsidP="003D0EF2">
            <w:pPr>
              <w:jc w:val="right"/>
              <w:rPr>
                <w:rFonts w:ascii="Arial" w:hAnsi="Arial" w:cs="Arial"/>
                <w:color w:val="000000"/>
                <w:sz w:val="18"/>
                <w:szCs w:val="18"/>
              </w:rPr>
            </w:pPr>
            <w:r>
              <w:rPr>
                <w:rFonts w:ascii="Arial" w:hAnsi="Arial" w:cs="Arial"/>
                <w:color w:val="000000"/>
                <w:sz w:val="18"/>
                <w:szCs w:val="18"/>
              </w:rPr>
              <w:t>100%</w:t>
            </w:r>
          </w:p>
        </w:tc>
        <w:tc>
          <w:tcPr>
            <w:tcW w:w="1517" w:type="dxa"/>
            <w:tcBorders>
              <w:top w:val="single" w:sz="4" w:space="0" w:color="auto"/>
              <w:left w:val="single" w:sz="2" w:space="0" w:color="auto"/>
              <w:bottom w:val="single" w:sz="2" w:space="0" w:color="auto"/>
              <w:right w:val="single" w:sz="2" w:space="0" w:color="auto"/>
            </w:tcBorders>
            <w:shd w:val="clear" w:color="000000" w:fill="95B3D7"/>
            <w:vAlign w:val="center"/>
          </w:tcPr>
          <w:p w14:paraId="54E47E02" w14:textId="77777777" w:rsidR="005D3AC5" w:rsidRPr="00424743" w:rsidRDefault="005D3AC5" w:rsidP="003D0EF2">
            <w:pPr>
              <w:jc w:val="right"/>
              <w:rPr>
                <w:rFonts w:ascii="Arial" w:hAnsi="Arial" w:cs="Arial"/>
                <w:color w:val="000000"/>
                <w:sz w:val="18"/>
                <w:szCs w:val="18"/>
              </w:rPr>
            </w:pPr>
            <w:r>
              <w:rPr>
                <w:rFonts w:ascii="Arial" w:hAnsi="Arial" w:cs="Arial"/>
                <w:color w:val="000000"/>
                <w:sz w:val="18"/>
                <w:szCs w:val="18"/>
              </w:rPr>
              <w:t>26</w:t>
            </w:r>
          </w:p>
        </w:tc>
        <w:tc>
          <w:tcPr>
            <w:tcW w:w="601" w:type="dxa"/>
            <w:tcBorders>
              <w:top w:val="single" w:sz="4" w:space="0" w:color="auto"/>
              <w:left w:val="single" w:sz="2" w:space="0" w:color="auto"/>
              <w:bottom w:val="single" w:sz="4" w:space="0" w:color="auto"/>
            </w:tcBorders>
            <w:shd w:val="clear" w:color="000000" w:fill="95B3D7"/>
            <w:vAlign w:val="center"/>
          </w:tcPr>
          <w:p w14:paraId="5CC30836" w14:textId="77777777" w:rsidR="005D3AC5" w:rsidRPr="00424743" w:rsidRDefault="005D3AC5" w:rsidP="00E570F4">
            <w:pPr>
              <w:jc w:val="right"/>
              <w:rPr>
                <w:rFonts w:ascii="Arial" w:hAnsi="Arial" w:cs="Arial"/>
                <w:color w:val="000000"/>
                <w:sz w:val="18"/>
                <w:szCs w:val="18"/>
              </w:rPr>
            </w:pPr>
            <w:r>
              <w:rPr>
                <w:rFonts w:ascii="Arial" w:hAnsi="Arial" w:cs="Arial"/>
                <w:color w:val="000000"/>
                <w:sz w:val="18"/>
                <w:szCs w:val="18"/>
              </w:rPr>
              <w:t>100</w:t>
            </w:r>
          </w:p>
        </w:tc>
      </w:tr>
    </w:tbl>
    <w:p w14:paraId="5C34F960" w14:textId="77777777" w:rsidR="005D3AC5" w:rsidRDefault="005D3AC5" w:rsidP="005D3AC5">
      <w:pPr>
        <w:pStyle w:val="texto"/>
        <w:tabs>
          <w:tab w:val="left" w:pos="480"/>
          <w:tab w:val="num" w:pos="600"/>
        </w:tabs>
        <w:spacing w:before="120"/>
        <w:ind w:firstLine="0"/>
        <w:jc w:val="both"/>
      </w:pPr>
    </w:p>
    <w:tbl>
      <w:tblPr>
        <w:tblW w:w="8922" w:type="dxa"/>
        <w:jc w:val="center"/>
        <w:tblCellMar>
          <w:left w:w="70" w:type="dxa"/>
          <w:right w:w="70" w:type="dxa"/>
        </w:tblCellMar>
        <w:tblLook w:val="04A0" w:firstRow="1" w:lastRow="0" w:firstColumn="1" w:lastColumn="0" w:noHBand="0" w:noVBand="1"/>
      </w:tblPr>
      <w:tblGrid>
        <w:gridCol w:w="2835"/>
        <w:gridCol w:w="1418"/>
        <w:gridCol w:w="601"/>
        <w:gridCol w:w="1381"/>
        <w:gridCol w:w="601"/>
        <w:gridCol w:w="1485"/>
        <w:gridCol w:w="601"/>
      </w:tblGrid>
      <w:tr w:rsidR="004D49FB" w:rsidRPr="00191BF0" w14:paraId="500694ED" w14:textId="77777777" w:rsidTr="004D49FB">
        <w:trPr>
          <w:trHeight w:val="255"/>
          <w:jc w:val="center"/>
        </w:trPr>
        <w:tc>
          <w:tcPr>
            <w:tcW w:w="2835" w:type="dxa"/>
            <w:vMerge w:val="restart"/>
            <w:tcBorders>
              <w:top w:val="single" w:sz="4" w:space="0" w:color="auto"/>
              <w:left w:val="nil"/>
              <w:right w:val="single" w:sz="2" w:space="0" w:color="auto"/>
            </w:tcBorders>
            <w:shd w:val="clear" w:color="000000" w:fill="95B3D7"/>
            <w:noWrap/>
            <w:vAlign w:val="center"/>
            <w:hideMark/>
          </w:tcPr>
          <w:p w14:paraId="774FBD40" w14:textId="77777777" w:rsidR="004D49FB" w:rsidRPr="00191BF0" w:rsidRDefault="004D49FB" w:rsidP="003D0EF2">
            <w:pPr>
              <w:rPr>
                <w:rFonts w:ascii="Arial" w:hAnsi="Arial" w:cs="Arial"/>
                <w:sz w:val="18"/>
                <w:szCs w:val="18"/>
              </w:rPr>
            </w:pPr>
            <w:r>
              <w:rPr>
                <w:rFonts w:ascii="Arial" w:hAnsi="Arial" w:cs="Arial"/>
                <w:color w:val="000000"/>
                <w:sz w:val="18"/>
                <w:szCs w:val="18"/>
              </w:rPr>
              <w:t>Motivación valoración técnica</w:t>
            </w:r>
          </w:p>
        </w:tc>
        <w:tc>
          <w:tcPr>
            <w:tcW w:w="2019" w:type="dxa"/>
            <w:gridSpan w:val="2"/>
            <w:tcBorders>
              <w:top w:val="single" w:sz="4" w:space="0" w:color="auto"/>
              <w:left w:val="single" w:sz="2" w:space="0" w:color="auto"/>
              <w:bottom w:val="single" w:sz="4" w:space="0" w:color="auto"/>
              <w:right w:val="single" w:sz="2" w:space="0" w:color="auto"/>
            </w:tcBorders>
            <w:shd w:val="clear" w:color="000000" w:fill="95B3D7"/>
            <w:noWrap/>
            <w:vAlign w:val="center"/>
            <w:hideMark/>
          </w:tcPr>
          <w:p w14:paraId="491C373C" w14:textId="77777777" w:rsidR="004D49FB" w:rsidRPr="00191BF0" w:rsidRDefault="004D49FB" w:rsidP="003D0EF2">
            <w:pPr>
              <w:jc w:val="center"/>
              <w:rPr>
                <w:rFonts w:ascii="Arial" w:hAnsi="Arial" w:cs="Arial"/>
                <w:sz w:val="18"/>
                <w:szCs w:val="18"/>
              </w:rPr>
            </w:pPr>
            <w:r>
              <w:rPr>
                <w:rFonts w:ascii="Arial" w:hAnsi="Arial" w:cs="Arial"/>
                <w:sz w:val="18"/>
                <w:szCs w:val="18"/>
              </w:rPr>
              <w:t>Obra</w:t>
            </w:r>
          </w:p>
        </w:tc>
        <w:tc>
          <w:tcPr>
            <w:tcW w:w="1982" w:type="dxa"/>
            <w:gridSpan w:val="2"/>
            <w:tcBorders>
              <w:top w:val="single" w:sz="4" w:space="0" w:color="auto"/>
              <w:left w:val="single" w:sz="2" w:space="0" w:color="auto"/>
              <w:bottom w:val="single" w:sz="4" w:space="0" w:color="auto"/>
              <w:right w:val="single" w:sz="2" w:space="0" w:color="auto"/>
            </w:tcBorders>
            <w:shd w:val="clear" w:color="000000" w:fill="95B3D7"/>
            <w:noWrap/>
            <w:vAlign w:val="center"/>
            <w:hideMark/>
          </w:tcPr>
          <w:p w14:paraId="5A7FE3B8" w14:textId="77777777" w:rsidR="004D49FB" w:rsidRPr="00191BF0" w:rsidRDefault="004D49FB" w:rsidP="003D0EF2">
            <w:pPr>
              <w:jc w:val="center"/>
              <w:rPr>
                <w:rFonts w:ascii="Arial" w:hAnsi="Arial" w:cs="Arial"/>
                <w:sz w:val="18"/>
                <w:szCs w:val="18"/>
              </w:rPr>
            </w:pPr>
            <w:r>
              <w:rPr>
                <w:rFonts w:ascii="Arial" w:hAnsi="Arial" w:cs="Arial"/>
                <w:sz w:val="18"/>
                <w:szCs w:val="18"/>
              </w:rPr>
              <w:t>Suministro</w:t>
            </w:r>
          </w:p>
        </w:tc>
        <w:tc>
          <w:tcPr>
            <w:tcW w:w="2086" w:type="dxa"/>
            <w:gridSpan w:val="2"/>
            <w:tcBorders>
              <w:top w:val="single" w:sz="4" w:space="0" w:color="auto"/>
              <w:left w:val="single" w:sz="2" w:space="0" w:color="auto"/>
              <w:bottom w:val="single" w:sz="4" w:space="0" w:color="auto"/>
            </w:tcBorders>
            <w:shd w:val="clear" w:color="000000" w:fill="95B3D7"/>
            <w:vAlign w:val="center"/>
          </w:tcPr>
          <w:p w14:paraId="774FEB66" w14:textId="77777777" w:rsidR="004D49FB" w:rsidRPr="00191BF0" w:rsidRDefault="004D49FB" w:rsidP="003D0EF2">
            <w:pPr>
              <w:jc w:val="center"/>
              <w:rPr>
                <w:rFonts w:ascii="Arial" w:hAnsi="Arial" w:cs="Arial"/>
                <w:sz w:val="18"/>
                <w:szCs w:val="18"/>
              </w:rPr>
            </w:pPr>
            <w:r>
              <w:rPr>
                <w:rFonts w:ascii="Arial" w:hAnsi="Arial" w:cs="Arial"/>
                <w:sz w:val="18"/>
                <w:szCs w:val="18"/>
              </w:rPr>
              <w:t>Servicio</w:t>
            </w:r>
          </w:p>
        </w:tc>
      </w:tr>
      <w:tr w:rsidR="004D49FB" w:rsidRPr="00424743" w14:paraId="212CFB6C" w14:textId="77777777" w:rsidTr="004D49FB">
        <w:trPr>
          <w:trHeight w:val="255"/>
          <w:jc w:val="center"/>
        </w:trPr>
        <w:tc>
          <w:tcPr>
            <w:tcW w:w="2835" w:type="dxa"/>
            <w:vMerge/>
            <w:tcBorders>
              <w:left w:val="nil"/>
              <w:bottom w:val="single" w:sz="4" w:space="0" w:color="auto"/>
              <w:right w:val="single" w:sz="2" w:space="0" w:color="auto"/>
            </w:tcBorders>
            <w:shd w:val="clear" w:color="000000" w:fill="95B3D7"/>
            <w:noWrap/>
            <w:vAlign w:val="center"/>
            <w:hideMark/>
          </w:tcPr>
          <w:p w14:paraId="278C1F17" w14:textId="77777777" w:rsidR="004D49FB" w:rsidRPr="00424743" w:rsidRDefault="004D49FB" w:rsidP="003D0EF2">
            <w:pPr>
              <w:rPr>
                <w:rFonts w:ascii="Arial" w:hAnsi="Arial" w:cs="Arial"/>
                <w:color w:val="000000"/>
                <w:sz w:val="18"/>
                <w:szCs w:val="18"/>
              </w:rPr>
            </w:pPr>
          </w:p>
        </w:tc>
        <w:tc>
          <w:tcPr>
            <w:tcW w:w="1418" w:type="dxa"/>
            <w:tcBorders>
              <w:top w:val="single" w:sz="4" w:space="0" w:color="auto"/>
              <w:left w:val="single" w:sz="2" w:space="0" w:color="auto"/>
              <w:bottom w:val="single" w:sz="4" w:space="0" w:color="auto"/>
              <w:right w:val="single" w:sz="2" w:space="0" w:color="auto"/>
            </w:tcBorders>
            <w:shd w:val="clear" w:color="000000" w:fill="95B3D7"/>
            <w:noWrap/>
            <w:vAlign w:val="center"/>
            <w:hideMark/>
          </w:tcPr>
          <w:p w14:paraId="45918AC6"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Nº de contratos</w:t>
            </w:r>
          </w:p>
        </w:tc>
        <w:tc>
          <w:tcPr>
            <w:tcW w:w="601" w:type="dxa"/>
            <w:tcBorders>
              <w:top w:val="single" w:sz="4" w:space="0" w:color="auto"/>
              <w:left w:val="single" w:sz="2" w:space="0" w:color="auto"/>
              <w:bottom w:val="single" w:sz="4" w:space="0" w:color="auto"/>
              <w:right w:val="single" w:sz="2" w:space="0" w:color="auto"/>
            </w:tcBorders>
            <w:shd w:val="clear" w:color="000000" w:fill="95B3D7"/>
            <w:noWrap/>
            <w:vAlign w:val="center"/>
            <w:hideMark/>
          </w:tcPr>
          <w:p w14:paraId="7B85AA76"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w:t>
            </w:r>
          </w:p>
        </w:tc>
        <w:tc>
          <w:tcPr>
            <w:tcW w:w="1381" w:type="dxa"/>
            <w:tcBorders>
              <w:top w:val="single" w:sz="4" w:space="0" w:color="auto"/>
              <w:left w:val="single" w:sz="2" w:space="0" w:color="auto"/>
              <w:bottom w:val="single" w:sz="4" w:space="0" w:color="auto"/>
              <w:right w:val="single" w:sz="2" w:space="0" w:color="auto"/>
            </w:tcBorders>
            <w:shd w:val="clear" w:color="000000" w:fill="95B3D7"/>
            <w:vAlign w:val="center"/>
          </w:tcPr>
          <w:p w14:paraId="51E97D95"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Nº de contratos</w:t>
            </w:r>
          </w:p>
        </w:tc>
        <w:tc>
          <w:tcPr>
            <w:tcW w:w="601" w:type="dxa"/>
            <w:tcBorders>
              <w:top w:val="single" w:sz="4" w:space="0" w:color="auto"/>
              <w:left w:val="single" w:sz="2" w:space="0" w:color="auto"/>
              <w:bottom w:val="single" w:sz="4" w:space="0" w:color="auto"/>
              <w:right w:val="single" w:sz="2" w:space="0" w:color="auto"/>
            </w:tcBorders>
            <w:shd w:val="clear" w:color="000000" w:fill="95B3D7"/>
            <w:vAlign w:val="center"/>
          </w:tcPr>
          <w:p w14:paraId="05839BC4"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w:t>
            </w:r>
          </w:p>
        </w:tc>
        <w:tc>
          <w:tcPr>
            <w:tcW w:w="1485" w:type="dxa"/>
            <w:tcBorders>
              <w:top w:val="single" w:sz="4" w:space="0" w:color="auto"/>
              <w:left w:val="single" w:sz="2" w:space="0" w:color="auto"/>
              <w:bottom w:val="single" w:sz="4" w:space="0" w:color="auto"/>
              <w:right w:val="single" w:sz="2" w:space="0" w:color="auto"/>
            </w:tcBorders>
            <w:shd w:val="clear" w:color="000000" w:fill="95B3D7"/>
            <w:vAlign w:val="center"/>
          </w:tcPr>
          <w:p w14:paraId="24FB717E" w14:textId="77777777" w:rsidR="004D49FB" w:rsidRPr="00424743" w:rsidRDefault="004D49FB" w:rsidP="003D0EF2">
            <w:pPr>
              <w:jc w:val="center"/>
              <w:rPr>
                <w:rFonts w:ascii="Arial" w:hAnsi="Arial" w:cs="Arial"/>
                <w:color w:val="000000"/>
                <w:sz w:val="18"/>
                <w:szCs w:val="18"/>
              </w:rPr>
            </w:pPr>
            <w:r w:rsidRPr="00424743">
              <w:rPr>
                <w:rFonts w:ascii="Arial" w:hAnsi="Arial" w:cs="Arial"/>
                <w:color w:val="000000"/>
                <w:sz w:val="18"/>
                <w:szCs w:val="18"/>
              </w:rPr>
              <w:t>Nº de contratos</w:t>
            </w:r>
          </w:p>
        </w:tc>
        <w:tc>
          <w:tcPr>
            <w:tcW w:w="601" w:type="dxa"/>
            <w:tcBorders>
              <w:top w:val="single" w:sz="4" w:space="0" w:color="auto"/>
              <w:left w:val="single" w:sz="2" w:space="0" w:color="auto"/>
              <w:bottom w:val="single" w:sz="4" w:space="0" w:color="auto"/>
            </w:tcBorders>
            <w:shd w:val="clear" w:color="000000" w:fill="95B3D7"/>
            <w:vAlign w:val="center"/>
          </w:tcPr>
          <w:p w14:paraId="5D3DA698"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w:t>
            </w:r>
          </w:p>
        </w:tc>
      </w:tr>
      <w:tr w:rsidR="005D3AC5" w:rsidRPr="002A22CC" w14:paraId="5618E180" w14:textId="77777777" w:rsidTr="00D45736">
        <w:trPr>
          <w:trHeight w:val="198"/>
          <w:jc w:val="center"/>
        </w:trPr>
        <w:tc>
          <w:tcPr>
            <w:tcW w:w="2835" w:type="dxa"/>
            <w:tcBorders>
              <w:top w:val="nil"/>
              <w:left w:val="nil"/>
              <w:bottom w:val="single" w:sz="2" w:space="0" w:color="auto"/>
              <w:right w:val="single" w:sz="2" w:space="0" w:color="auto"/>
            </w:tcBorders>
            <w:shd w:val="clear" w:color="auto" w:fill="auto"/>
            <w:noWrap/>
            <w:vAlign w:val="center"/>
          </w:tcPr>
          <w:p w14:paraId="55B62EC8" w14:textId="77777777" w:rsidR="005D3AC5" w:rsidRPr="002A22CC" w:rsidRDefault="005D3AC5" w:rsidP="003D0EF2">
            <w:pPr>
              <w:rPr>
                <w:rFonts w:ascii="Arial Narrow" w:hAnsi="Arial Narrow" w:cs="Calibri"/>
                <w:color w:val="000000"/>
                <w:sz w:val="18"/>
                <w:szCs w:val="18"/>
              </w:rPr>
            </w:pPr>
            <w:r w:rsidRPr="002A22CC">
              <w:rPr>
                <w:rFonts w:ascii="Arial Narrow" w:hAnsi="Arial Narrow" w:cs="Calibri"/>
                <w:color w:val="000000"/>
                <w:sz w:val="18"/>
                <w:szCs w:val="18"/>
              </w:rPr>
              <w:t>No suficientemente motivado</w:t>
            </w:r>
          </w:p>
        </w:tc>
        <w:tc>
          <w:tcPr>
            <w:tcW w:w="1418" w:type="dxa"/>
            <w:tcBorders>
              <w:top w:val="single" w:sz="4" w:space="0" w:color="auto"/>
              <w:left w:val="single" w:sz="2" w:space="0" w:color="auto"/>
              <w:bottom w:val="single" w:sz="2" w:space="0" w:color="auto"/>
              <w:right w:val="single" w:sz="2" w:space="0" w:color="auto"/>
            </w:tcBorders>
            <w:shd w:val="clear" w:color="auto" w:fill="auto"/>
            <w:noWrap/>
            <w:vAlign w:val="center"/>
          </w:tcPr>
          <w:p w14:paraId="492D929C" w14:textId="77777777" w:rsidR="005D3AC5" w:rsidRPr="002A22CC" w:rsidRDefault="005D3AC5" w:rsidP="003D0EF2">
            <w:pPr>
              <w:jc w:val="right"/>
              <w:rPr>
                <w:rFonts w:ascii="Arial Narrow" w:hAnsi="Arial Narrow" w:cs="Calibri"/>
                <w:color w:val="000000"/>
                <w:sz w:val="18"/>
                <w:szCs w:val="18"/>
              </w:rPr>
            </w:pPr>
            <w:r w:rsidRPr="002A22CC">
              <w:rPr>
                <w:rFonts w:ascii="Arial Narrow" w:hAnsi="Arial Narrow" w:cs="Calibri"/>
                <w:color w:val="000000"/>
                <w:sz w:val="18"/>
                <w:szCs w:val="18"/>
              </w:rPr>
              <w:t>11</w:t>
            </w:r>
          </w:p>
        </w:tc>
        <w:tc>
          <w:tcPr>
            <w:tcW w:w="601" w:type="dxa"/>
            <w:tcBorders>
              <w:top w:val="single" w:sz="4" w:space="0" w:color="auto"/>
              <w:left w:val="single" w:sz="2" w:space="0" w:color="auto"/>
              <w:bottom w:val="single" w:sz="2" w:space="0" w:color="auto"/>
              <w:right w:val="single" w:sz="2" w:space="0" w:color="auto"/>
            </w:tcBorders>
            <w:shd w:val="clear" w:color="auto" w:fill="auto"/>
            <w:noWrap/>
            <w:vAlign w:val="center"/>
          </w:tcPr>
          <w:p w14:paraId="745E5059" w14:textId="77777777" w:rsidR="005D3AC5" w:rsidRPr="002A22CC" w:rsidRDefault="005D3AC5" w:rsidP="004D49FB">
            <w:pPr>
              <w:jc w:val="right"/>
              <w:rPr>
                <w:rFonts w:ascii="Arial Narrow" w:hAnsi="Arial Narrow" w:cs="Calibri"/>
                <w:color w:val="000000"/>
                <w:sz w:val="18"/>
                <w:szCs w:val="18"/>
              </w:rPr>
            </w:pPr>
            <w:r w:rsidRPr="002A22CC">
              <w:rPr>
                <w:rFonts w:ascii="Arial Narrow" w:hAnsi="Arial Narrow" w:cs="Calibri"/>
                <w:color w:val="000000"/>
                <w:sz w:val="18"/>
                <w:szCs w:val="18"/>
              </w:rPr>
              <w:t>44</w:t>
            </w:r>
          </w:p>
        </w:tc>
        <w:tc>
          <w:tcPr>
            <w:tcW w:w="1381" w:type="dxa"/>
            <w:tcBorders>
              <w:top w:val="single" w:sz="4" w:space="0" w:color="auto"/>
              <w:left w:val="single" w:sz="2" w:space="0" w:color="auto"/>
              <w:bottom w:val="single" w:sz="2" w:space="0" w:color="auto"/>
              <w:right w:val="single" w:sz="2" w:space="0" w:color="auto"/>
            </w:tcBorders>
            <w:shd w:val="clear" w:color="auto" w:fill="auto"/>
            <w:vAlign w:val="center"/>
          </w:tcPr>
          <w:p w14:paraId="613D52D4" w14:textId="77777777" w:rsidR="005D3AC5" w:rsidRPr="0041028D" w:rsidRDefault="005D3AC5" w:rsidP="003D0EF2">
            <w:pPr>
              <w:jc w:val="right"/>
              <w:rPr>
                <w:rFonts w:ascii="Arial Narrow" w:hAnsi="Arial Narrow" w:cs="Calibri"/>
                <w:sz w:val="18"/>
                <w:szCs w:val="18"/>
              </w:rPr>
            </w:pPr>
          </w:p>
        </w:tc>
        <w:tc>
          <w:tcPr>
            <w:tcW w:w="601" w:type="dxa"/>
            <w:tcBorders>
              <w:top w:val="single" w:sz="4" w:space="0" w:color="auto"/>
              <w:left w:val="single" w:sz="2" w:space="0" w:color="auto"/>
              <w:bottom w:val="single" w:sz="2" w:space="0" w:color="auto"/>
              <w:right w:val="single" w:sz="2" w:space="0" w:color="auto"/>
            </w:tcBorders>
            <w:shd w:val="clear" w:color="auto" w:fill="auto"/>
            <w:vAlign w:val="center"/>
          </w:tcPr>
          <w:p w14:paraId="089F6975" w14:textId="77777777" w:rsidR="005D3AC5" w:rsidRPr="0041028D" w:rsidRDefault="005D3AC5" w:rsidP="003D0EF2">
            <w:pPr>
              <w:jc w:val="right"/>
              <w:rPr>
                <w:rFonts w:ascii="Arial Narrow" w:hAnsi="Arial Narrow" w:cs="Calibri"/>
                <w:sz w:val="18"/>
                <w:szCs w:val="18"/>
              </w:rPr>
            </w:pPr>
          </w:p>
        </w:tc>
        <w:tc>
          <w:tcPr>
            <w:tcW w:w="1485" w:type="dxa"/>
            <w:tcBorders>
              <w:top w:val="single" w:sz="4" w:space="0" w:color="auto"/>
              <w:left w:val="single" w:sz="2" w:space="0" w:color="auto"/>
              <w:bottom w:val="single" w:sz="2" w:space="0" w:color="auto"/>
              <w:right w:val="single" w:sz="2" w:space="0" w:color="auto"/>
            </w:tcBorders>
            <w:shd w:val="clear" w:color="auto" w:fill="auto"/>
            <w:vAlign w:val="center"/>
          </w:tcPr>
          <w:p w14:paraId="669D6A32" w14:textId="77777777" w:rsidR="005D3AC5" w:rsidRPr="0041028D" w:rsidRDefault="005D3AC5" w:rsidP="003D0EF2">
            <w:pPr>
              <w:jc w:val="right"/>
              <w:rPr>
                <w:rFonts w:ascii="Arial Narrow" w:hAnsi="Arial Narrow" w:cs="Calibri"/>
                <w:color w:val="000000"/>
                <w:sz w:val="18"/>
                <w:szCs w:val="18"/>
              </w:rPr>
            </w:pPr>
            <w:r w:rsidRPr="0041028D">
              <w:rPr>
                <w:rFonts w:ascii="Arial Narrow" w:hAnsi="Arial Narrow" w:cs="Calibri"/>
                <w:color w:val="000000"/>
                <w:sz w:val="18"/>
                <w:szCs w:val="18"/>
              </w:rPr>
              <w:t>6</w:t>
            </w:r>
          </w:p>
        </w:tc>
        <w:tc>
          <w:tcPr>
            <w:tcW w:w="601" w:type="dxa"/>
            <w:tcBorders>
              <w:top w:val="single" w:sz="4" w:space="0" w:color="auto"/>
              <w:left w:val="single" w:sz="2" w:space="0" w:color="auto"/>
              <w:bottom w:val="single" w:sz="2" w:space="0" w:color="auto"/>
            </w:tcBorders>
            <w:shd w:val="clear" w:color="auto" w:fill="auto"/>
            <w:vAlign w:val="center"/>
          </w:tcPr>
          <w:p w14:paraId="3FFFDEF3" w14:textId="77777777" w:rsidR="005D3AC5" w:rsidRPr="0041028D" w:rsidRDefault="005D3AC5" w:rsidP="004D49FB">
            <w:pPr>
              <w:jc w:val="right"/>
              <w:rPr>
                <w:rFonts w:ascii="Arial Narrow" w:hAnsi="Arial Narrow" w:cs="Calibri"/>
                <w:color w:val="000000"/>
                <w:sz w:val="18"/>
                <w:szCs w:val="18"/>
              </w:rPr>
            </w:pPr>
            <w:r w:rsidRPr="0041028D">
              <w:rPr>
                <w:rFonts w:ascii="Arial Narrow" w:hAnsi="Arial Narrow" w:cs="Calibri"/>
                <w:color w:val="000000"/>
                <w:sz w:val="18"/>
                <w:szCs w:val="18"/>
              </w:rPr>
              <w:t>23</w:t>
            </w:r>
          </w:p>
        </w:tc>
      </w:tr>
      <w:tr w:rsidR="005D3AC5" w:rsidRPr="002A22CC" w14:paraId="2DF2168B" w14:textId="77777777" w:rsidTr="00C67EED">
        <w:trPr>
          <w:trHeight w:val="198"/>
          <w:jc w:val="center"/>
        </w:trPr>
        <w:tc>
          <w:tcPr>
            <w:tcW w:w="2835" w:type="dxa"/>
            <w:tcBorders>
              <w:top w:val="single" w:sz="2" w:space="0" w:color="auto"/>
              <w:left w:val="nil"/>
              <w:bottom w:val="single" w:sz="2" w:space="0" w:color="auto"/>
              <w:right w:val="single" w:sz="2" w:space="0" w:color="auto"/>
            </w:tcBorders>
            <w:shd w:val="clear" w:color="auto" w:fill="auto"/>
            <w:noWrap/>
            <w:vAlign w:val="center"/>
          </w:tcPr>
          <w:p w14:paraId="138FC172" w14:textId="77777777" w:rsidR="005D3AC5" w:rsidRPr="002A22CC" w:rsidRDefault="005D3AC5" w:rsidP="003D0EF2">
            <w:pPr>
              <w:rPr>
                <w:rFonts w:ascii="Arial Narrow" w:hAnsi="Arial Narrow" w:cs="Calibri"/>
                <w:color w:val="000000"/>
                <w:sz w:val="18"/>
                <w:szCs w:val="18"/>
              </w:rPr>
            </w:pPr>
            <w:r w:rsidRPr="002A22CC">
              <w:rPr>
                <w:rFonts w:ascii="Arial Narrow" w:hAnsi="Arial Narrow" w:cs="Calibri"/>
                <w:color w:val="000000"/>
                <w:sz w:val="18"/>
                <w:szCs w:val="18"/>
              </w:rPr>
              <w:t>Motivado</w:t>
            </w:r>
          </w:p>
        </w:tc>
        <w:tc>
          <w:tcPr>
            <w:tcW w:w="1418"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CFCF301" w14:textId="77777777" w:rsidR="005D3AC5" w:rsidRPr="002A22CC" w:rsidRDefault="005D3AC5" w:rsidP="003D0EF2">
            <w:pPr>
              <w:jc w:val="right"/>
              <w:rPr>
                <w:rFonts w:ascii="Arial Narrow" w:hAnsi="Arial Narrow" w:cs="Calibri"/>
                <w:color w:val="000000"/>
                <w:sz w:val="18"/>
                <w:szCs w:val="18"/>
              </w:rPr>
            </w:pPr>
            <w:r w:rsidRPr="002A22CC">
              <w:rPr>
                <w:rFonts w:ascii="Arial Narrow" w:hAnsi="Arial Narrow" w:cs="Calibri"/>
                <w:color w:val="000000"/>
                <w:sz w:val="18"/>
                <w:szCs w:val="18"/>
              </w:rPr>
              <w:t>4</w:t>
            </w:r>
          </w:p>
        </w:tc>
        <w:tc>
          <w:tcPr>
            <w:tcW w:w="601"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F0336DE" w14:textId="77777777" w:rsidR="005D3AC5" w:rsidRPr="002A22CC" w:rsidRDefault="005D3AC5" w:rsidP="004D49FB">
            <w:pPr>
              <w:jc w:val="right"/>
              <w:rPr>
                <w:rFonts w:ascii="Arial Narrow" w:hAnsi="Arial Narrow" w:cs="Calibri"/>
                <w:color w:val="000000"/>
                <w:sz w:val="18"/>
                <w:szCs w:val="18"/>
              </w:rPr>
            </w:pPr>
            <w:r w:rsidRPr="002A22CC">
              <w:rPr>
                <w:rFonts w:ascii="Arial Narrow" w:hAnsi="Arial Narrow" w:cs="Calibri"/>
                <w:color w:val="000000"/>
                <w:sz w:val="18"/>
                <w:szCs w:val="18"/>
              </w:rPr>
              <w:t>16</w:t>
            </w:r>
          </w:p>
        </w:tc>
        <w:tc>
          <w:tcPr>
            <w:tcW w:w="1381" w:type="dxa"/>
            <w:tcBorders>
              <w:top w:val="single" w:sz="2" w:space="0" w:color="auto"/>
              <w:left w:val="single" w:sz="2" w:space="0" w:color="auto"/>
              <w:bottom w:val="single" w:sz="2" w:space="0" w:color="auto"/>
              <w:right w:val="single" w:sz="2" w:space="0" w:color="auto"/>
            </w:tcBorders>
            <w:shd w:val="clear" w:color="auto" w:fill="auto"/>
            <w:vAlign w:val="center"/>
          </w:tcPr>
          <w:p w14:paraId="195CC3C2" w14:textId="77777777" w:rsidR="005D3AC5" w:rsidRPr="0041028D" w:rsidRDefault="005D3AC5" w:rsidP="003D0EF2">
            <w:pPr>
              <w:jc w:val="right"/>
              <w:rPr>
                <w:rFonts w:ascii="Arial Narrow" w:hAnsi="Arial Narrow" w:cs="Calibri"/>
                <w:sz w:val="18"/>
                <w:szCs w:val="18"/>
              </w:rPr>
            </w:pPr>
            <w:r w:rsidRPr="0041028D">
              <w:rPr>
                <w:rFonts w:ascii="Arial Narrow" w:hAnsi="Arial Narrow" w:cs="Calibri"/>
                <w:sz w:val="18"/>
                <w:szCs w:val="18"/>
              </w:rPr>
              <w:t>2</w:t>
            </w:r>
          </w:p>
        </w:tc>
        <w:tc>
          <w:tcPr>
            <w:tcW w:w="601" w:type="dxa"/>
            <w:tcBorders>
              <w:top w:val="single" w:sz="2" w:space="0" w:color="auto"/>
              <w:left w:val="single" w:sz="2" w:space="0" w:color="auto"/>
              <w:bottom w:val="single" w:sz="2" w:space="0" w:color="auto"/>
              <w:right w:val="single" w:sz="2" w:space="0" w:color="auto"/>
            </w:tcBorders>
            <w:shd w:val="clear" w:color="auto" w:fill="auto"/>
            <w:vAlign w:val="center"/>
          </w:tcPr>
          <w:p w14:paraId="16CEAC8A" w14:textId="77777777" w:rsidR="005D3AC5" w:rsidRPr="0041028D" w:rsidRDefault="005D3AC5" w:rsidP="004D49FB">
            <w:pPr>
              <w:jc w:val="right"/>
              <w:rPr>
                <w:rFonts w:ascii="Arial Narrow" w:hAnsi="Arial Narrow" w:cs="Calibri"/>
                <w:sz w:val="18"/>
                <w:szCs w:val="18"/>
              </w:rPr>
            </w:pPr>
            <w:r w:rsidRPr="0041028D">
              <w:rPr>
                <w:rFonts w:ascii="Arial Narrow" w:hAnsi="Arial Narrow" w:cs="Calibri"/>
                <w:sz w:val="18"/>
                <w:szCs w:val="18"/>
              </w:rPr>
              <w:t>6</w:t>
            </w:r>
          </w:p>
        </w:tc>
        <w:tc>
          <w:tcPr>
            <w:tcW w:w="1485" w:type="dxa"/>
            <w:tcBorders>
              <w:top w:val="single" w:sz="2" w:space="0" w:color="auto"/>
              <w:left w:val="single" w:sz="2" w:space="0" w:color="auto"/>
              <w:bottom w:val="single" w:sz="2" w:space="0" w:color="auto"/>
              <w:right w:val="single" w:sz="2" w:space="0" w:color="auto"/>
            </w:tcBorders>
            <w:shd w:val="clear" w:color="auto" w:fill="auto"/>
            <w:vAlign w:val="center"/>
          </w:tcPr>
          <w:p w14:paraId="11BDF36A" w14:textId="77777777" w:rsidR="005D3AC5" w:rsidRPr="0041028D" w:rsidRDefault="005D3AC5" w:rsidP="003D0EF2">
            <w:pPr>
              <w:jc w:val="right"/>
              <w:rPr>
                <w:rFonts w:ascii="Arial Narrow" w:hAnsi="Arial Narrow" w:cs="Calibri"/>
                <w:color w:val="000000"/>
                <w:sz w:val="18"/>
                <w:szCs w:val="18"/>
              </w:rPr>
            </w:pPr>
            <w:r w:rsidRPr="0041028D">
              <w:rPr>
                <w:rFonts w:ascii="Arial Narrow" w:hAnsi="Arial Narrow" w:cs="Calibri"/>
                <w:color w:val="000000"/>
                <w:sz w:val="18"/>
                <w:szCs w:val="18"/>
              </w:rPr>
              <w:t>1</w:t>
            </w:r>
          </w:p>
        </w:tc>
        <w:tc>
          <w:tcPr>
            <w:tcW w:w="601" w:type="dxa"/>
            <w:tcBorders>
              <w:top w:val="single" w:sz="2" w:space="0" w:color="auto"/>
              <w:left w:val="single" w:sz="2" w:space="0" w:color="auto"/>
              <w:bottom w:val="single" w:sz="2" w:space="0" w:color="auto"/>
            </w:tcBorders>
            <w:shd w:val="clear" w:color="auto" w:fill="auto"/>
            <w:vAlign w:val="center"/>
          </w:tcPr>
          <w:p w14:paraId="3F2FF5B6" w14:textId="77777777" w:rsidR="005D3AC5" w:rsidRPr="0041028D" w:rsidRDefault="005D3AC5" w:rsidP="004D49FB">
            <w:pPr>
              <w:jc w:val="right"/>
              <w:rPr>
                <w:rFonts w:ascii="Arial Narrow" w:hAnsi="Arial Narrow" w:cs="Calibri"/>
                <w:color w:val="000000"/>
                <w:sz w:val="18"/>
                <w:szCs w:val="18"/>
              </w:rPr>
            </w:pPr>
            <w:r w:rsidRPr="0041028D">
              <w:rPr>
                <w:rFonts w:ascii="Arial Narrow" w:hAnsi="Arial Narrow" w:cs="Calibri"/>
                <w:color w:val="000000"/>
                <w:sz w:val="18"/>
                <w:szCs w:val="18"/>
              </w:rPr>
              <w:t>4</w:t>
            </w:r>
          </w:p>
        </w:tc>
      </w:tr>
      <w:tr w:rsidR="005D3AC5" w:rsidRPr="002A22CC" w14:paraId="04DC879D" w14:textId="77777777" w:rsidTr="00C67EED">
        <w:trPr>
          <w:trHeight w:val="198"/>
          <w:jc w:val="center"/>
        </w:trPr>
        <w:tc>
          <w:tcPr>
            <w:tcW w:w="2835" w:type="dxa"/>
            <w:tcBorders>
              <w:top w:val="single" w:sz="2" w:space="0" w:color="auto"/>
              <w:left w:val="nil"/>
              <w:bottom w:val="single" w:sz="4" w:space="0" w:color="auto"/>
              <w:right w:val="single" w:sz="2" w:space="0" w:color="auto"/>
            </w:tcBorders>
            <w:shd w:val="clear" w:color="auto" w:fill="auto"/>
            <w:noWrap/>
            <w:vAlign w:val="center"/>
          </w:tcPr>
          <w:p w14:paraId="3B579AA7" w14:textId="77777777" w:rsidR="005D3AC5" w:rsidRPr="002A22CC" w:rsidRDefault="005D3AC5" w:rsidP="003D0EF2">
            <w:pPr>
              <w:rPr>
                <w:rFonts w:ascii="Arial Narrow" w:hAnsi="Arial Narrow" w:cs="Calibri"/>
                <w:color w:val="000000"/>
                <w:sz w:val="18"/>
                <w:szCs w:val="18"/>
              </w:rPr>
            </w:pPr>
            <w:r w:rsidRPr="002A22CC">
              <w:rPr>
                <w:rFonts w:ascii="Arial Narrow" w:hAnsi="Arial Narrow" w:cs="Calibri"/>
                <w:color w:val="000000"/>
                <w:sz w:val="18"/>
                <w:szCs w:val="18"/>
              </w:rPr>
              <w:t xml:space="preserve">No </w:t>
            </w:r>
            <w:r>
              <w:rPr>
                <w:rFonts w:ascii="Arial Narrow" w:hAnsi="Arial Narrow" w:cs="Calibri"/>
                <w:color w:val="000000"/>
                <w:sz w:val="18"/>
                <w:szCs w:val="18"/>
              </w:rPr>
              <w:t>se aplica por haber un único licitador</w:t>
            </w:r>
          </w:p>
        </w:tc>
        <w:tc>
          <w:tcPr>
            <w:tcW w:w="1418" w:type="dxa"/>
            <w:tcBorders>
              <w:top w:val="single" w:sz="2" w:space="0" w:color="auto"/>
              <w:left w:val="single" w:sz="2" w:space="0" w:color="auto"/>
              <w:bottom w:val="single" w:sz="4" w:space="0" w:color="auto"/>
              <w:right w:val="single" w:sz="2" w:space="0" w:color="auto"/>
            </w:tcBorders>
            <w:shd w:val="clear" w:color="auto" w:fill="auto"/>
            <w:noWrap/>
            <w:vAlign w:val="center"/>
          </w:tcPr>
          <w:p w14:paraId="2AD4CF70" w14:textId="77777777" w:rsidR="005D3AC5" w:rsidRPr="002A22CC" w:rsidRDefault="005D3AC5" w:rsidP="003D0EF2">
            <w:pPr>
              <w:jc w:val="right"/>
              <w:rPr>
                <w:rFonts w:ascii="Arial Narrow" w:hAnsi="Arial Narrow" w:cs="Calibri"/>
                <w:color w:val="000000"/>
                <w:sz w:val="18"/>
                <w:szCs w:val="18"/>
              </w:rPr>
            </w:pPr>
            <w:r w:rsidRPr="002A22CC">
              <w:rPr>
                <w:rFonts w:ascii="Arial Narrow" w:hAnsi="Arial Narrow" w:cs="Calibri"/>
                <w:color w:val="000000"/>
                <w:sz w:val="18"/>
                <w:szCs w:val="18"/>
              </w:rPr>
              <w:t>10</w:t>
            </w:r>
          </w:p>
        </w:tc>
        <w:tc>
          <w:tcPr>
            <w:tcW w:w="601" w:type="dxa"/>
            <w:tcBorders>
              <w:top w:val="single" w:sz="2" w:space="0" w:color="auto"/>
              <w:left w:val="single" w:sz="2" w:space="0" w:color="auto"/>
              <w:bottom w:val="single" w:sz="4" w:space="0" w:color="auto"/>
              <w:right w:val="single" w:sz="2" w:space="0" w:color="auto"/>
            </w:tcBorders>
            <w:shd w:val="clear" w:color="auto" w:fill="auto"/>
            <w:noWrap/>
            <w:vAlign w:val="center"/>
          </w:tcPr>
          <w:p w14:paraId="4126BC33" w14:textId="77777777" w:rsidR="005D3AC5" w:rsidRPr="002A22CC" w:rsidRDefault="005D3AC5" w:rsidP="004D49FB">
            <w:pPr>
              <w:jc w:val="right"/>
              <w:rPr>
                <w:rFonts w:ascii="Arial Narrow" w:hAnsi="Arial Narrow" w:cs="Calibri"/>
                <w:color w:val="000000"/>
                <w:sz w:val="18"/>
                <w:szCs w:val="18"/>
              </w:rPr>
            </w:pPr>
            <w:r w:rsidRPr="002A22CC">
              <w:rPr>
                <w:rFonts w:ascii="Arial Narrow" w:hAnsi="Arial Narrow" w:cs="Calibri"/>
                <w:color w:val="000000"/>
                <w:sz w:val="18"/>
                <w:szCs w:val="18"/>
              </w:rPr>
              <w:t>40</w:t>
            </w:r>
          </w:p>
        </w:tc>
        <w:tc>
          <w:tcPr>
            <w:tcW w:w="1381" w:type="dxa"/>
            <w:tcBorders>
              <w:top w:val="single" w:sz="2" w:space="0" w:color="auto"/>
              <w:left w:val="single" w:sz="2" w:space="0" w:color="auto"/>
              <w:bottom w:val="single" w:sz="4" w:space="0" w:color="auto"/>
              <w:right w:val="single" w:sz="2" w:space="0" w:color="auto"/>
            </w:tcBorders>
            <w:shd w:val="clear" w:color="auto" w:fill="auto"/>
            <w:vAlign w:val="center"/>
          </w:tcPr>
          <w:p w14:paraId="060ED96E" w14:textId="77777777" w:rsidR="005D3AC5" w:rsidRPr="0041028D" w:rsidRDefault="005D3AC5" w:rsidP="003D0EF2">
            <w:pPr>
              <w:jc w:val="right"/>
              <w:rPr>
                <w:rFonts w:ascii="Arial Narrow" w:hAnsi="Arial Narrow" w:cs="Calibri"/>
                <w:sz w:val="18"/>
                <w:szCs w:val="18"/>
              </w:rPr>
            </w:pPr>
            <w:r w:rsidRPr="0041028D">
              <w:rPr>
                <w:rFonts w:ascii="Arial Narrow" w:hAnsi="Arial Narrow" w:cs="Calibri"/>
                <w:sz w:val="18"/>
                <w:szCs w:val="18"/>
              </w:rPr>
              <w:t>18</w:t>
            </w:r>
          </w:p>
        </w:tc>
        <w:tc>
          <w:tcPr>
            <w:tcW w:w="601" w:type="dxa"/>
            <w:tcBorders>
              <w:top w:val="single" w:sz="2" w:space="0" w:color="auto"/>
              <w:left w:val="single" w:sz="2" w:space="0" w:color="auto"/>
              <w:bottom w:val="single" w:sz="4" w:space="0" w:color="auto"/>
              <w:right w:val="single" w:sz="2" w:space="0" w:color="auto"/>
            </w:tcBorders>
            <w:shd w:val="clear" w:color="auto" w:fill="auto"/>
            <w:vAlign w:val="center"/>
          </w:tcPr>
          <w:p w14:paraId="02B80FD4" w14:textId="77777777" w:rsidR="005D3AC5" w:rsidRPr="0041028D" w:rsidRDefault="005D3AC5" w:rsidP="004D49FB">
            <w:pPr>
              <w:jc w:val="right"/>
              <w:rPr>
                <w:rFonts w:ascii="Arial Narrow" w:hAnsi="Arial Narrow" w:cs="Calibri"/>
                <w:sz w:val="18"/>
                <w:szCs w:val="18"/>
              </w:rPr>
            </w:pPr>
            <w:r w:rsidRPr="0041028D">
              <w:rPr>
                <w:rFonts w:ascii="Arial Narrow" w:hAnsi="Arial Narrow" w:cs="Calibri"/>
                <w:sz w:val="18"/>
                <w:szCs w:val="18"/>
              </w:rPr>
              <w:t>58</w:t>
            </w:r>
          </w:p>
        </w:tc>
        <w:tc>
          <w:tcPr>
            <w:tcW w:w="1485" w:type="dxa"/>
            <w:tcBorders>
              <w:top w:val="single" w:sz="2" w:space="0" w:color="auto"/>
              <w:left w:val="single" w:sz="2" w:space="0" w:color="auto"/>
              <w:bottom w:val="single" w:sz="4" w:space="0" w:color="auto"/>
              <w:right w:val="single" w:sz="2" w:space="0" w:color="auto"/>
            </w:tcBorders>
            <w:shd w:val="clear" w:color="auto" w:fill="auto"/>
            <w:vAlign w:val="center"/>
          </w:tcPr>
          <w:p w14:paraId="6A43FAB3" w14:textId="77777777" w:rsidR="005D3AC5" w:rsidRPr="0041028D" w:rsidRDefault="005D3AC5" w:rsidP="003D0EF2">
            <w:pPr>
              <w:jc w:val="right"/>
              <w:rPr>
                <w:rFonts w:ascii="Arial Narrow" w:hAnsi="Arial Narrow" w:cs="Calibri"/>
                <w:color w:val="000000"/>
                <w:sz w:val="18"/>
                <w:szCs w:val="18"/>
              </w:rPr>
            </w:pPr>
            <w:r w:rsidRPr="0041028D">
              <w:rPr>
                <w:rFonts w:ascii="Arial Narrow" w:hAnsi="Arial Narrow" w:cs="Calibri"/>
                <w:color w:val="000000"/>
                <w:sz w:val="18"/>
                <w:szCs w:val="18"/>
              </w:rPr>
              <w:t>19</w:t>
            </w:r>
          </w:p>
        </w:tc>
        <w:tc>
          <w:tcPr>
            <w:tcW w:w="601" w:type="dxa"/>
            <w:tcBorders>
              <w:top w:val="single" w:sz="2" w:space="0" w:color="auto"/>
              <w:left w:val="single" w:sz="2" w:space="0" w:color="auto"/>
              <w:bottom w:val="single" w:sz="4" w:space="0" w:color="auto"/>
            </w:tcBorders>
            <w:shd w:val="clear" w:color="auto" w:fill="auto"/>
            <w:vAlign w:val="center"/>
          </w:tcPr>
          <w:p w14:paraId="4CF59832" w14:textId="77777777" w:rsidR="005D3AC5" w:rsidRPr="0041028D" w:rsidRDefault="005D3AC5" w:rsidP="004D49FB">
            <w:pPr>
              <w:jc w:val="right"/>
              <w:rPr>
                <w:rFonts w:ascii="Arial Narrow" w:hAnsi="Arial Narrow" w:cs="Calibri"/>
                <w:color w:val="000000"/>
                <w:sz w:val="18"/>
                <w:szCs w:val="18"/>
              </w:rPr>
            </w:pPr>
            <w:r w:rsidRPr="0041028D">
              <w:rPr>
                <w:rFonts w:ascii="Arial Narrow" w:hAnsi="Arial Narrow" w:cs="Calibri"/>
                <w:color w:val="000000"/>
                <w:sz w:val="18"/>
                <w:szCs w:val="18"/>
              </w:rPr>
              <w:t>73</w:t>
            </w:r>
          </w:p>
        </w:tc>
      </w:tr>
      <w:tr w:rsidR="005D3AC5" w:rsidRPr="002A22CC" w14:paraId="1CF6A3B3" w14:textId="77777777" w:rsidTr="00D45736">
        <w:trPr>
          <w:trHeight w:val="198"/>
          <w:jc w:val="center"/>
        </w:trPr>
        <w:tc>
          <w:tcPr>
            <w:tcW w:w="2835" w:type="dxa"/>
            <w:tcBorders>
              <w:top w:val="single" w:sz="4" w:space="0" w:color="auto"/>
              <w:left w:val="nil"/>
              <w:bottom w:val="single" w:sz="2" w:space="0" w:color="auto"/>
              <w:right w:val="single" w:sz="2" w:space="0" w:color="auto"/>
            </w:tcBorders>
            <w:shd w:val="clear" w:color="auto" w:fill="auto"/>
            <w:noWrap/>
            <w:vAlign w:val="center"/>
          </w:tcPr>
          <w:p w14:paraId="1B4B5686" w14:textId="77777777" w:rsidR="005D3AC5" w:rsidRPr="0041028D" w:rsidRDefault="005D3AC5" w:rsidP="003D0EF2">
            <w:pPr>
              <w:rPr>
                <w:rFonts w:ascii="Arial Narrow" w:hAnsi="Arial Narrow" w:cs="Calibri"/>
                <w:color w:val="000000"/>
                <w:sz w:val="18"/>
                <w:szCs w:val="18"/>
              </w:rPr>
            </w:pPr>
            <w:r w:rsidRPr="0041028D">
              <w:rPr>
                <w:rFonts w:ascii="Arial Narrow" w:hAnsi="Arial Narrow" w:cs="Calibri"/>
                <w:color w:val="000000"/>
                <w:sz w:val="18"/>
                <w:szCs w:val="18"/>
              </w:rPr>
              <w:t>Se aplican fórmulas objetivas</w:t>
            </w:r>
          </w:p>
        </w:tc>
        <w:tc>
          <w:tcPr>
            <w:tcW w:w="1418" w:type="dxa"/>
            <w:tcBorders>
              <w:top w:val="single" w:sz="4" w:space="0" w:color="auto"/>
              <w:left w:val="single" w:sz="2" w:space="0" w:color="auto"/>
              <w:bottom w:val="single" w:sz="2" w:space="0" w:color="auto"/>
              <w:right w:val="single" w:sz="2" w:space="0" w:color="auto"/>
            </w:tcBorders>
            <w:shd w:val="clear" w:color="auto" w:fill="auto"/>
            <w:noWrap/>
            <w:vAlign w:val="center"/>
          </w:tcPr>
          <w:p w14:paraId="344306E8" w14:textId="77777777" w:rsidR="005D3AC5" w:rsidRPr="002A22CC" w:rsidRDefault="005D3AC5" w:rsidP="003D0EF2">
            <w:pPr>
              <w:jc w:val="right"/>
              <w:rPr>
                <w:rFonts w:ascii="Arial Narrow" w:hAnsi="Arial Narrow" w:cs="Calibri"/>
                <w:color w:val="000000"/>
                <w:sz w:val="18"/>
                <w:szCs w:val="18"/>
              </w:rPr>
            </w:pPr>
          </w:p>
        </w:tc>
        <w:tc>
          <w:tcPr>
            <w:tcW w:w="601" w:type="dxa"/>
            <w:tcBorders>
              <w:top w:val="single" w:sz="4" w:space="0" w:color="auto"/>
              <w:left w:val="single" w:sz="2" w:space="0" w:color="auto"/>
              <w:bottom w:val="single" w:sz="2" w:space="0" w:color="auto"/>
              <w:right w:val="single" w:sz="2" w:space="0" w:color="auto"/>
            </w:tcBorders>
            <w:shd w:val="clear" w:color="auto" w:fill="auto"/>
            <w:noWrap/>
            <w:vAlign w:val="center"/>
          </w:tcPr>
          <w:p w14:paraId="0A6CBCEA" w14:textId="77777777" w:rsidR="005D3AC5" w:rsidRPr="002A22CC" w:rsidRDefault="005D3AC5" w:rsidP="003D0EF2">
            <w:pPr>
              <w:jc w:val="right"/>
              <w:rPr>
                <w:rFonts w:ascii="Arial Narrow" w:hAnsi="Arial Narrow" w:cs="Calibri"/>
                <w:color w:val="000000"/>
                <w:sz w:val="18"/>
                <w:szCs w:val="18"/>
              </w:rPr>
            </w:pPr>
          </w:p>
        </w:tc>
        <w:tc>
          <w:tcPr>
            <w:tcW w:w="1381" w:type="dxa"/>
            <w:tcBorders>
              <w:top w:val="single" w:sz="4" w:space="0" w:color="auto"/>
              <w:left w:val="single" w:sz="2" w:space="0" w:color="auto"/>
              <w:bottom w:val="single" w:sz="2" w:space="0" w:color="auto"/>
              <w:right w:val="single" w:sz="2" w:space="0" w:color="auto"/>
            </w:tcBorders>
            <w:shd w:val="clear" w:color="auto" w:fill="auto"/>
            <w:vAlign w:val="center"/>
          </w:tcPr>
          <w:p w14:paraId="08980D31" w14:textId="77777777" w:rsidR="005D3AC5" w:rsidRPr="0041028D" w:rsidRDefault="005D3AC5" w:rsidP="003D0EF2">
            <w:pPr>
              <w:jc w:val="right"/>
              <w:rPr>
                <w:rFonts w:ascii="Arial Narrow" w:hAnsi="Arial Narrow" w:cs="Calibri"/>
                <w:sz w:val="18"/>
                <w:szCs w:val="18"/>
              </w:rPr>
            </w:pPr>
            <w:r w:rsidRPr="0041028D">
              <w:rPr>
                <w:rFonts w:ascii="Arial Narrow" w:hAnsi="Arial Narrow" w:cs="Calibri"/>
                <w:sz w:val="18"/>
                <w:szCs w:val="18"/>
              </w:rPr>
              <w:t>9</w:t>
            </w:r>
          </w:p>
        </w:tc>
        <w:tc>
          <w:tcPr>
            <w:tcW w:w="601" w:type="dxa"/>
            <w:tcBorders>
              <w:top w:val="single" w:sz="4" w:space="0" w:color="auto"/>
              <w:left w:val="single" w:sz="2" w:space="0" w:color="auto"/>
              <w:bottom w:val="single" w:sz="2" w:space="0" w:color="auto"/>
              <w:right w:val="single" w:sz="2" w:space="0" w:color="auto"/>
            </w:tcBorders>
            <w:shd w:val="clear" w:color="auto" w:fill="auto"/>
            <w:vAlign w:val="center"/>
          </w:tcPr>
          <w:p w14:paraId="4C3EBC69" w14:textId="77777777" w:rsidR="005D3AC5" w:rsidRPr="0041028D" w:rsidRDefault="005D3AC5" w:rsidP="004D49FB">
            <w:pPr>
              <w:jc w:val="right"/>
              <w:rPr>
                <w:rFonts w:ascii="Arial Narrow" w:hAnsi="Arial Narrow" w:cs="Calibri"/>
                <w:sz w:val="18"/>
                <w:szCs w:val="18"/>
              </w:rPr>
            </w:pPr>
            <w:r w:rsidRPr="0041028D">
              <w:rPr>
                <w:rFonts w:ascii="Arial Narrow" w:hAnsi="Arial Narrow" w:cs="Calibri"/>
                <w:sz w:val="18"/>
                <w:szCs w:val="18"/>
              </w:rPr>
              <w:t>29</w:t>
            </w:r>
          </w:p>
        </w:tc>
        <w:tc>
          <w:tcPr>
            <w:tcW w:w="1485" w:type="dxa"/>
            <w:tcBorders>
              <w:top w:val="single" w:sz="4" w:space="0" w:color="auto"/>
              <w:left w:val="single" w:sz="2" w:space="0" w:color="auto"/>
              <w:bottom w:val="single" w:sz="2" w:space="0" w:color="auto"/>
              <w:right w:val="single" w:sz="2" w:space="0" w:color="auto"/>
            </w:tcBorders>
            <w:shd w:val="clear" w:color="auto" w:fill="auto"/>
            <w:vAlign w:val="center"/>
          </w:tcPr>
          <w:p w14:paraId="1DCED70C" w14:textId="77777777" w:rsidR="005D3AC5" w:rsidRPr="0041028D" w:rsidRDefault="005D3AC5" w:rsidP="003D0EF2">
            <w:pPr>
              <w:jc w:val="right"/>
              <w:rPr>
                <w:rFonts w:ascii="Arial Narrow" w:hAnsi="Arial Narrow" w:cs="Calibri"/>
                <w:color w:val="000000"/>
                <w:sz w:val="18"/>
                <w:szCs w:val="18"/>
              </w:rPr>
            </w:pPr>
          </w:p>
        </w:tc>
        <w:tc>
          <w:tcPr>
            <w:tcW w:w="601" w:type="dxa"/>
            <w:tcBorders>
              <w:top w:val="single" w:sz="4" w:space="0" w:color="auto"/>
              <w:left w:val="single" w:sz="2" w:space="0" w:color="auto"/>
              <w:bottom w:val="single" w:sz="2" w:space="0" w:color="auto"/>
            </w:tcBorders>
            <w:shd w:val="clear" w:color="auto" w:fill="auto"/>
            <w:vAlign w:val="center"/>
          </w:tcPr>
          <w:p w14:paraId="231CA51A" w14:textId="77777777" w:rsidR="005D3AC5" w:rsidRPr="0041028D" w:rsidRDefault="005D3AC5" w:rsidP="003D0EF2">
            <w:pPr>
              <w:jc w:val="right"/>
              <w:rPr>
                <w:rFonts w:ascii="Arial Narrow" w:hAnsi="Arial Narrow" w:cs="Calibri"/>
                <w:color w:val="000000"/>
                <w:sz w:val="18"/>
                <w:szCs w:val="18"/>
              </w:rPr>
            </w:pPr>
          </w:p>
        </w:tc>
      </w:tr>
      <w:tr w:rsidR="005D3AC5" w:rsidRPr="002A22CC" w14:paraId="6D576C4C" w14:textId="77777777" w:rsidTr="00D45736">
        <w:trPr>
          <w:trHeight w:val="198"/>
          <w:jc w:val="center"/>
        </w:trPr>
        <w:tc>
          <w:tcPr>
            <w:tcW w:w="2835" w:type="dxa"/>
            <w:tcBorders>
              <w:top w:val="single" w:sz="2" w:space="0" w:color="auto"/>
              <w:left w:val="nil"/>
              <w:bottom w:val="single" w:sz="4" w:space="0" w:color="auto"/>
              <w:right w:val="single" w:sz="2" w:space="0" w:color="auto"/>
            </w:tcBorders>
            <w:shd w:val="clear" w:color="auto" w:fill="auto"/>
            <w:noWrap/>
            <w:vAlign w:val="center"/>
          </w:tcPr>
          <w:p w14:paraId="3CF2C7EB" w14:textId="77777777" w:rsidR="005D3AC5" w:rsidRPr="0041028D" w:rsidRDefault="005D3AC5" w:rsidP="003D0EF2">
            <w:pPr>
              <w:rPr>
                <w:rFonts w:ascii="Arial Narrow" w:hAnsi="Arial Narrow" w:cs="Calibri"/>
                <w:color w:val="000000"/>
                <w:sz w:val="18"/>
                <w:szCs w:val="18"/>
              </w:rPr>
            </w:pPr>
            <w:r w:rsidRPr="0041028D">
              <w:rPr>
                <w:rFonts w:ascii="Arial Narrow" w:hAnsi="Arial Narrow" w:cs="Calibri"/>
                <w:color w:val="000000"/>
                <w:sz w:val="18"/>
                <w:szCs w:val="18"/>
              </w:rPr>
              <w:t>Desierto</w:t>
            </w:r>
          </w:p>
        </w:tc>
        <w:tc>
          <w:tcPr>
            <w:tcW w:w="1418" w:type="dxa"/>
            <w:tcBorders>
              <w:top w:val="single" w:sz="2" w:space="0" w:color="auto"/>
              <w:left w:val="single" w:sz="2" w:space="0" w:color="auto"/>
              <w:bottom w:val="single" w:sz="4" w:space="0" w:color="auto"/>
              <w:right w:val="single" w:sz="2" w:space="0" w:color="auto"/>
            </w:tcBorders>
            <w:shd w:val="clear" w:color="auto" w:fill="auto"/>
            <w:noWrap/>
            <w:vAlign w:val="center"/>
          </w:tcPr>
          <w:p w14:paraId="48EC5D8F" w14:textId="77777777" w:rsidR="005D3AC5" w:rsidRPr="002A22CC" w:rsidRDefault="005D3AC5" w:rsidP="003D0EF2">
            <w:pPr>
              <w:jc w:val="right"/>
              <w:rPr>
                <w:rFonts w:ascii="Arial Narrow" w:hAnsi="Arial Narrow" w:cs="Calibri"/>
                <w:color w:val="000000"/>
                <w:sz w:val="18"/>
                <w:szCs w:val="18"/>
              </w:rPr>
            </w:pPr>
          </w:p>
        </w:tc>
        <w:tc>
          <w:tcPr>
            <w:tcW w:w="601" w:type="dxa"/>
            <w:tcBorders>
              <w:top w:val="single" w:sz="2" w:space="0" w:color="auto"/>
              <w:left w:val="single" w:sz="2" w:space="0" w:color="auto"/>
              <w:bottom w:val="single" w:sz="4" w:space="0" w:color="auto"/>
              <w:right w:val="single" w:sz="2" w:space="0" w:color="auto"/>
            </w:tcBorders>
            <w:shd w:val="clear" w:color="auto" w:fill="auto"/>
            <w:noWrap/>
            <w:vAlign w:val="center"/>
          </w:tcPr>
          <w:p w14:paraId="2ECE12F6" w14:textId="77777777" w:rsidR="005D3AC5" w:rsidRPr="002A22CC" w:rsidRDefault="005D3AC5" w:rsidP="003D0EF2">
            <w:pPr>
              <w:jc w:val="right"/>
              <w:rPr>
                <w:rFonts w:ascii="Arial Narrow" w:hAnsi="Arial Narrow" w:cs="Calibri"/>
                <w:color w:val="000000"/>
                <w:sz w:val="18"/>
                <w:szCs w:val="18"/>
              </w:rPr>
            </w:pPr>
          </w:p>
        </w:tc>
        <w:tc>
          <w:tcPr>
            <w:tcW w:w="1381" w:type="dxa"/>
            <w:tcBorders>
              <w:top w:val="single" w:sz="2" w:space="0" w:color="auto"/>
              <w:left w:val="single" w:sz="2" w:space="0" w:color="auto"/>
              <w:bottom w:val="single" w:sz="4" w:space="0" w:color="auto"/>
              <w:right w:val="single" w:sz="2" w:space="0" w:color="auto"/>
            </w:tcBorders>
            <w:shd w:val="clear" w:color="auto" w:fill="auto"/>
            <w:vAlign w:val="center"/>
          </w:tcPr>
          <w:p w14:paraId="32BA434E" w14:textId="77777777" w:rsidR="005D3AC5" w:rsidRPr="0041028D" w:rsidRDefault="005D3AC5" w:rsidP="003D0EF2">
            <w:pPr>
              <w:jc w:val="right"/>
              <w:rPr>
                <w:rFonts w:ascii="Arial Narrow" w:hAnsi="Arial Narrow" w:cs="Calibri"/>
                <w:sz w:val="18"/>
                <w:szCs w:val="18"/>
              </w:rPr>
            </w:pPr>
            <w:r w:rsidRPr="0041028D">
              <w:rPr>
                <w:rFonts w:ascii="Arial Narrow" w:hAnsi="Arial Narrow" w:cs="Calibri"/>
                <w:sz w:val="18"/>
                <w:szCs w:val="18"/>
              </w:rPr>
              <w:t>2</w:t>
            </w:r>
          </w:p>
        </w:tc>
        <w:tc>
          <w:tcPr>
            <w:tcW w:w="601" w:type="dxa"/>
            <w:tcBorders>
              <w:top w:val="single" w:sz="2" w:space="0" w:color="auto"/>
              <w:left w:val="single" w:sz="2" w:space="0" w:color="auto"/>
              <w:bottom w:val="single" w:sz="4" w:space="0" w:color="auto"/>
              <w:right w:val="single" w:sz="2" w:space="0" w:color="auto"/>
            </w:tcBorders>
            <w:shd w:val="clear" w:color="auto" w:fill="auto"/>
            <w:vAlign w:val="center"/>
          </w:tcPr>
          <w:p w14:paraId="2EB4DC4E" w14:textId="77777777" w:rsidR="005D3AC5" w:rsidRPr="0041028D" w:rsidRDefault="005D3AC5" w:rsidP="004D49FB">
            <w:pPr>
              <w:jc w:val="right"/>
              <w:rPr>
                <w:rFonts w:ascii="Arial Narrow" w:hAnsi="Arial Narrow" w:cs="Calibri"/>
                <w:sz w:val="18"/>
                <w:szCs w:val="18"/>
              </w:rPr>
            </w:pPr>
            <w:r w:rsidRPr="0041028D">
              <w:rPr>
                <w:rFonts w:ascii="Arial Narrow" w:hAnsi="Arial Narrow" w:cs="Calibri"/>
                <w:sz w:val="18"/>
                <w:szCs w:val="18"/>
              </w:rPr>
              <w:t>6</w:t>
            </w:r>
          </w:p>
        </w:tc>
        <w:tc>
          <w:tcPr>
            <w:tcW w:w="1485" w:type="dxa"/>
            <w:tcBorders>
              <w:top w:val="single" w:sz="2" w:space="0" w:color="auto"/>
              <w:left w:val="single" w:sz="2" w:space="0" w:color="auto"/>
              <w:bottom w:val="single" w:sz="4" w:space="0" w:color="auto"/>
              <w:right w:val="single" w:sz="2" w:space="0" w:color="auto"/>
            </w:tcBorders>
            <w:shd w:val="clear" w:color="auto" w:fill="auto"/>
            <w:vAlign w:val="center"/>
          </w:tcPr>
          <w:p w14:paraId="6B74756C" w14:textId="77777777" w:rsidR="005D3AC5" w:rsidRPr="0041028D" w:rsidRDefault="005D3AC5" w:rsidP="003D0EF2">
            <w:pPr>
              <w:jc w:val="right"/>
              <w:rPr>
                <w:rFonts w:ascii="Arial Narrow" w:hAnsi="Arial Narrow" w:cs="Calibri"/>
                <w:color w:val="000000"/>
                <w:sz w:val="18"/>
                <w:szCs w:val="18"/>
              </w:rPr>
            </w:pPr>
          </w:p>
        </w:tc>
        <w:tc>
          <w:tcPr>
            <w:tcW w:w="601" w:type="dxa"/>
            <w:tcBorders>
              <w:top w:val="single" w:sz="2" w:space="0" w:color="auto"/>
              <w:left w:val="single" w:sz="2" w:space="0" w:color="auto"/>
              <w:bottom w:val="single" w:sz="4" w:space="0" w:color="auto"/>
            </w:tcBorders>
            <w:shd w:val="clear" w:color="auto" w:fill="auto"/>
            <w:vAlign w:val="center"/>
          </w:tcPr>
          <w:p w14:paraId="6DC9AF4F" w14:textId="77777777" w:rsidR="005D3AC5" w:rsidRPr="0041028D" w:rsidRDefault="005D3AC5" w:rsidP="003D0EF2">
            <w:pPr>
              <w:jc w:val="right"/>
              <w:rPr>
                <w:rFonts w:ascii="Arial Narrow" w:hAnsi="Arial Narrow" w:cs="Calibri"/>
                <w:color w:val="000000"/>
                <w:sz w:val="18"/>
                <w:szCs w:val="18"/>
              </w:rPr>
            </w:pPr>
          </w:p>
        </w:tc>
      </w:tr>
      <w:tr w:rsidR="005D3AC5" w:rsidRPr="00424743" w14:paraId="0F6F8451" w14:textId="77777777" w:rsidTr="00C67EED">
        <w:trPr>
          <w:trHeight w:val="255"/>
          <w:jc w:val="center"/>
        </w:trPr>
        <w:tc>
          <w:tcPr>
            <w:tcW w:w="2835" w:type="dxa"/>
            <w:tcBorders>
              <w:top w:val="single" w:sz="4" w:space="0" w:color="auto"/>
              <w:left w:val="nil"/>
              <w:bottom w:val="single" w:sz="4" w:space="0" w:color="auto"/>
              <w:right w:val="single" w:sz="2" w:space="0" w:color="auto"/>
            </w:tcBorders>
            <w:shd w:val="clear" w:color="000000" w:fill="95B3D7"/>
            <w:noWrap/>
            <w:vAlign w:val="center"/>
            <w:hideMark/>
          </w:tcPr>
          <w:p w14:paraId="4DE29087" w14:textId="77777777" w:rsidR="005D3AC5" w:rsidRPr="00424743" w:rsidRDefault="005D3AC5" w:rsidP="003D0EF2">
            <w:pPr>
              <w:rPr>
                <w:rFonts w:ascii="Arial" w:hAnsi="Arial" w:cs="Arial"/>
                <w:color w:val="000000"/>
                <w:sz w:val="18"/>
                <w:szCs w:val="18"/>
              </w:rPr>
            </w:pPr>
            <w:r w:rsidRPr="00424743">
              <w:rPr>
                <w:rFonts w:ascii="Arial" w:hAnsi="Arial" w:cs="Arial"/>
                <w:color w:val="000000"/>
                <w:sz w:val="18"/>
                <w:szCs w:val="18"/>
              </w:rPr>
              <w:t xml:space="preserve">Total </w:t>
            </w:r>
          </w:p>
        </w:tc>
        <w:tc>
          <w:tcPr>
            <w:tcW w:w="1418" w:type="dxa"/>
            <w:tcBorders>
              <w:top w:val="single" w:sz="4" w:space="0" w:color="auto"/>
              <w:left w:val="single" w:sz="2" w:space="0" w:color="auto"/>
              <w:bottom w:val="single" w:sz="4" w:space="0" w:color="auto"/>
              <w:right w:val="single" w:sz="2" w:space="0" w:color="auto"/>
            </w:tcBorders>
            <w:shd w:val="clear" w:color="000000" w:fill="95B3D7"/>
            <w:noWrap/>
            <w:vAlign w:val="center"/>
            <w:hideMark/>
          </w:tcPr>
          <w:p w14:paraId="07CF5AB2" w14:textId="77777777" w:rsidR="005D3AC5" w:rsidRPr="00424743" w:rsidRDefault="005D3AC5" w:rsidP="003D0EF2">
            <w:pPr>
              <w:jc w:val="right"/>
              <w:rPr>
                <w:rFonts w:ascii="Arial" w:hAnsi="Arial" w:cs="Arial"/>
                <w:color w:val="000000"/>
                <w:sz w:val="18"/>
                <w:szCs w:val="18"/>
              </w:rPr>
            </w:pPr>
            <w:r w:rsidRPr="00424743">
              <w:rPr>
                <w:rFonts w:ascii="Arial" w:hAnsi="Arial" w:cs="Arial"/>
                <w:color w:val="000000"/>
                <w:sz w:val="18"/>
                <w:szCs w:val="18"/>
              </w:rPr>
              <w:t>25</w:t>
            </w:r>
          </w:p>
        </w:tc>
        <w:tc>
          <w:tcPr>
            <w:tcW w:w="601" w:type="dxa"/>
            <w:tcBorders>
              <w:top w:val="single" w:sz="4" w:space="0" w:color="auto"/>
              <w:left w:val="single" w:sz="2" w:space="0" w:color="auto"/>
              <w:bottom w:val="single" w:sz="4" w:space="0" w:color="auto"/>
              <w:right w:val="single" w:sz="2" w:space="0" w:color="auto"/>
            </w:tcBorders>
            <w:shd w:val="clear" w:color="000000" w:fill="95B3D7"/>
            <w:noWrap/>
            <w:vAlign w:val="center"/>
            <w:hideMark/>
          </w:tcPr>
          <w:p w14:paraId="38D7155D" w14:textId="77777777" w:rsidR="005D3AC5" w:rsidRPr="00424743" w:rsidRDefault="005D3AC5" w:rsidP="004D49FB">
            <w:pPr>
              <w:jc w:val="right"/>
              <w:rPr>
                <w:rFonts w:ascii="Arial" w:hAnsi="Arial" w:cs="Arial"/>
                <w:color w:val="000000"/>
                <w:sz w:val="18"/>
                <w:szCs w:val="18"/>
              </w:rPr>
            </w:pPr>
            <w:r w:rsidRPr="00424743">
              <w:rPr>
                <w:rFonts w:ascii="Arial" w:hAnsi="Arial" w:cs="Arial"/>
                <w:color w:val="000000"/>
                <w:sz w:val="18"/>
                <w:szCs w:val="18"/>
              </w:rPr>
              <w:t>100</w:t>
            </w:r>
          </w:p>
        </w:tc>
        <w:tc>
          <w:tcPr>
            <w:tcW w:w="1381" w:type="dxa"/>
            <w:tcBorders>
              <w:top w:val="single" w:sz="4" w:space="0" w:color="auto"/>
              <w:left w:val="single" w:sz="2" w:space="0" w:color="auto"/>
              <w:bottom w:val="single" w:sz="4" w:space="0" w:color="auto"/>
              <w:right w:val="single" w:sz="2" w:space="0" w:color="auto"/>
            </w:tcBorders>
            <w:shd w:val="clear" w:color="000000" w:fill="95B3D7"/>
            <w:vAlign w:val="center"/>
          </w:tcPr>
          <w:p w14:paraId="2E5B5B31" w14:textId="77777777" w:rsidR="005D3AC5" w:rsidRPr="00424743" w:rsidRDefault="005D3AC5" w:rsidP="003D0EF2">
            <w:pPr>
              <w:jc w:val="right"/>
              <w:rPr>
                <w:rFonts w:ascii="Arial" w:hAnsi="Arial" w:cs="Arial"/>
                <w:color w:val="000000"/>
                <w:sz w:val="18"/>
                <w:szCs w:val="18"/>
              </w:rPr>
            </w:pPr>
            <w:r>
              <w:rPr>
                <w:rFonts w:ascii="Arial" w:hAnsi="Arial" w:cs="Arial"/>
                <w:color w:val="000000"/>
                <w:sz w:val="18"/>
                <w:szCs w:val="18"/>
              </w:rPr>
              <w:t>31</w:t>
            </w:r>
          </w:p>
        </w:tc>
        <w:tc>
          <w:tcPr>
            <w:tcW w:w="601" w:type="dxa"/>
            <w:tcBorders>
              <w:top w:val="single" w:sz="4" w:space="0" w:color="auto"/>
              <w:left w:val="single" w:sz="2" w:space="0" w:color="auto"/>
              <w:bottom w:val="single" w:sz="4" w:space="0" w:color="auto"/>
              <w:right w:val="single" w:sz="2" w:space="0" w:color="auto"/>
            </w:tcBorders>
            <w:shd w:val="clear" w:color="000000" w:fill="95B3D7"/>
            <w:vAlign w:val="center"/>
          </w:tcPr>
          <w:p w14:paraId="01C62871" w14:textId="77777777" w:rsidR="005D3AC5" w:rsidRPr="00424743" w:rsidRDefault="005D3AC5" w:rsidP="004D49FB">
            <w:pPr>
              <w:jc w:val="right"/>
              <w:rPr>
                <w:rFonts w:ascii="Arial" w:hAnsi="Arial" w:cs="Arial"/>
                <w:color w:val="000000"/>
                <w:sz w:val="18"/>
                <w:szCs w:val="18"/>
              </w:rPr>
            </w:pPr>
            <w:r>
              <w:rPr>
                <w:rFonts w:ascii="Arial" w:hAnsi="Arial" w:cs="Arial"/>
                <w:color w:val="000000"/>
                <w:sz w:val="18"/>
                <w:szCs w:val="18"/>
              </w:rPr>
              <w:t>100</w:t>
            </w:r>
          </w:p>
        </w:tc>
        <w:tc>
          <w:tcPr>
            <w:tcW w:w="1485" w:type="dxa"/>
            <w:tcBorders>
              <w:top w:val="single" w:sz="4" w:space="0" w:color="auto"/>
              <w:left w:val="single" w:sz="2" w:space="0" w:color="auto"/>
              <w:bottom w:val="single" w:sz="4" w:space="0" w:color="auto"/>
              <w:right w:val="single" w:sz="2" w:space="0" w:color="auto"/>
            </w:tcBorders>
            <w:shd w:val="clear" w:color="000000" w:fill="95B3D7"/>
            <w:vAlign w:val="center"/>
          </w:tcPr>
          <w:p w14:paraId="2A0A2F06" w14:textId="77777777" w:rsidR="005D3AC5" w:rsidRPr="00424743" w:rsidRDefault="005D3AC5" w:rsidP="003D0EF2">
            <w:pPr>
              <w:jc w:val="right"/>
              <w:rPr>
                <w:rFonts w:ascii="Arial" w:hAnsi="Arial" w:cs="Arial"/>
                <w:color w:val="000000"/>
                <w:sz w:val="18"/>
                <w:szCs w:val="18"/>
              </w:rPr>
            </w:pPr>
            <w:r>
              <w:rPr>
                <w:rFonts w:ascii="Arial" w:hAnsi="Arial" w:cs="Arial"/>
                <w:color w:val="000000"/>
                <w:sz w:val="18"/>
                <w:szCs w:val="18"/>
              </w:rPr>
              <w:t>26</w:t>
            </w:r>
          </w:p>
        </w:tc>
        <w:tc>
          <w:tcPr>
            <w:tcW w:w="601" w:type="dxa"/>
            <w:tcBorders>
              <w:top w:val="single" w:sz="4" w:space="0" w:color="auto"/>
              <w:left w:val="single" w:sz="2" w:space="0" w:color="auto"/>
              <w:bottom w:val="single" w:sz="4" w:space="0" w:color="auto"/>
            </w:tcBorders>
            <w:shd w:val="clear" w:color="000000" w:fill="95B3D7"/>
            <w:vAlign w:val="center"/>
          </w:tcPr>
          <w:p w14:paraId="63BAC6F5" w14:textId="77777777" w:rsidR="005D3AC5" w:rsidRPr="00424743" w:rsidRDefault="005D3AC5" w:rsidP="004D49FB">
            <w:pPr>
              <w:jc w:val="right"/>
              <w:rPr>
                <w:rFonts w:ascii="Arial" w:hAnsi="Arial" w:cs="Arial"/>
                <w:color w:val="000000"/>
                <w:sz w:val="18"/>
                <w:szCs w:val="18"/>
              </w:rPr>
            </w:pPr>
            <w:r>
              <w:rPr>
                <w:rFonts w:ascii="Arial" w:hAnsi="Arial" w:cs="Arial"/>
                <w:color w:val="000000"/>
                <w:sz w:val="18"/>
                <w:szCs w:val="18"/>
              </w:rPr>
              <w:t>100</w:t>
            </w:r>
          </w:p>
        </w:tc>
      </w:tr>
    </w:tbl>
    <w:p w14:paraId="4433CCB3" w14:textId="77777777" w:rsidR="005D3AC5" w:rsidRDefault="005D3AC5" w:rsidP="005D3AC5">
      <w:pPr>
        <w:pStyle w:val="texto"/>
        <w:tabs>
          <w:tab w:val="left" w:pos="480"/>
          <w:tab w:val="num" w:pos="600"/>
        </w:tabs>
        <w:spacing w:before="120"/>
        <w:ind w:firstLine="0"/>
        <w:jc w:val="both"/>
      </w:pPr>
    </w:p>
    <w:tbl>
      <w:tblPr>
        <w:tblW w:w="9064" w:type="dxa"/>
        <w:jc w:val="center"/>
        <w:tblCellMar>
          <w:left w:w="70" w:type="dxa"/>
          <w:right w:w="70" w:type="dxa"/>
        </w:tblCellMar>
        <w:tblLook w:val="04A0" w:firstRow="1" w:lastRow="0" w:firstColumn="1" w:lastColumn="0" w:noHBand="0" w:noVBand="1"/>
      </w:tblPr>
      <w:tblGrid>
        <w:gridCol w:w="2835"/>
        <w:gridCol w:w="1560"/>
        <w:gridCol w:w="601"/>
        <w:gridCol w:w="1381"/>
        <w:gridCol w:w="601"/>
        <w:gridCol w:w="1485"/>
        <w:gridCol w:w="601"/>
      </w:tblGrid>
      <w:tr w:rsidR="004D49FB" w:rsidRPr="00191BF0" w14:paraId="71B297F9" w14:textId="77777777" w:rsidTr="004D49FB">
        <w:trPr>
          <w:trHeight w:val="255"/>
          <w:jc w:val="center"/>
        </w:trPr>
        <w:tc>
          <w:tcPr>
            <w:tcW w:w="2835" w:type="dxa"/>
            <w:vMerge w:val="restart"/>
            <w:tcBorders>
              <w:top w:val="single" w:sz="4" w:space="0" w:color="auto"/>
              <w:left w:val="nil"/>
              <w:right w:val="single" w:sz="4" w:space="0" w:color="auto"/>
            </w:tcBorders>
            <w:shd w:val="clear" w:color="000000" w:fill="95B3D7"/>
            <w:noWrap/>
            <w:vAlign w:val="center"/>
            <w:hideMark/>
          </w:tcPr>
          <w:p w14:paraId="1240CE7D" w14:textId="77777777" w:rsidR="004D49FB" w:rsidRDefault="004D49FB" w:rsidP="003D0EF2">
            <w:pPr>
              <w:rPr>
                <w:rFonts w:ascii="Arial" w:hAnsi="Arial" w:cs="Arial"/>
                <w:color w:val="000000"/>
                <w:sz w:val="18"/>
                <w:szCs w:val="18"/>
              </w:rPr>
            </w:pPr>
            <w:r>
              <w:rPr>
                <w:rFonts w:ascii="Arial" w:hAnsi="Arial" w:cs="Arial"/>
                <w:color w:val="000000"/>
                <w:sz w:val="18"/>
                <w:szCs w:val="18"/>
              </w:rPr>
              <w:t xml:space="preserve">Criterio determinante en </w:t>
            </w:r>
          </w:p>
          <w:p w14:paraId="5B3E549F" w14:textId="77777777" w:rsidR="004D49FB" w:rsidRPr="00191BF0" w:rsidRDefault="004D49FB" w:rsidP="003D0EF2">
            <w:pPr>
              <w:rPr>
                <w:rFonts w:ascii="Arial" w:hAnsi="Arial" w:cs="Arial"/>
                <w:sz w:val="18"/>
                <w:szCs w:val="18"/>
              </w:rPr>
            </w:pPr>
            <w:r>
              <w:rPr>
                <w:rFonts w:ascii="Arial" w:hAnsi="Arial" w:cs="Arial"/>
                <w:color w:val="000000"/>
                <w:sz w:val="18"/>
                <w:szCs w:val="18"/>
              </w:rPr>
              <w:t>la adjudicación</w:t>
            </w:r>
          </w:p>
        </w:tc>
        <w:tc>
          <w:tcPr>
            <w:tcW w:w="2161" w:type="dxa"/>
            <w:gridSpan w:val="2"/>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01412EFB" w14:textId="77777777" w:rsidR="004D49FB" w:rsidRPr="00191BF0" w:rsidRDefault="004D49FB" w:rsidP="003D0EF2">
            <w:pPr>
              <w:jc w:val="center"/>
              <w:rPr>
                <w:rFonts w:ascii="Arial" w:hAnsi="Arial" w:cs="Arial"/>
                <w:sz w:val="18"/>
                <w:szCs w:val="18"/>
              </w:rPr>
            </w:pPr>
            <w:r>
              <w:rPr>
                <w:rFonts w:ascii="Arial" w:hAnsi="Arial" w:cs="Arial"/>
                <w:sz w:val="18"/>
                <w:szCs w:val="18"/>
              </w:rPr>
              <w:t>Obra</w:t>
            </w:r>
          </w:p>
        </w:tc>
        <w:tc>
          <w:tcPr>
            <w:tcW w:w="1982" w:type="dxa"/>
            <w:gridSpan w:val="2"/>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3CB41725" w14:textId="77777777" w:rsidR="004D49FB" w:rsidRPr="00191BF0" w:rsidRDefault="004D49FB" w:rsidP="003D0EF2">
            <w:pPr>
              <w:jc w:val="center"/>
              <w:rPr>
                <w:rFonts w:ascii="Arial" w:hAnsi="Arial" w:cs="Arial"/>
                <w:sz w:val="18"/>
                <w:szCs w:val="18"/>
              </w:rPr>
            </w:pPr>
            <w:r>
              <w:rPr>
                <w:rFonts w:ascii="Arial" w:hAnsi="Arial" w:cs="Arial"/>
                <w:sz w:val="18"/>
                <w:szCs w:val="18"/>
              </w:rPr>
              <w:t>Suministro</w:t>
            </w:r>
          </w:p>
        </w:tc>
        <w:tc>
          <w:tcPr>
            <w:tcW w:w="2086" w:type="dxa"/>
            <w:gridSpan w:val="2"/>
            <w:tcBorders>
              <w:top w:val="single" w:sz="4" w:space="0" w:color="auto"/>
              <w:left w:val="single" w:sz="4" w:space="0" w:color="auto"/>
              <w:bottom w:val="single" w:sz="4" w:space="0" w:color="auto"/>
            </w:tcBorders>
            <w:shd w:val="clear" w:color="000000" w:fill="95B3D7"/>
            <w:vAlign w:val="center"/>
          </w:tcPr>
          <w:p w14:paraId="63E8B69D" w14:textId="77777777" w:rsidR="004D49FB" w:rsidRPr="00191BF0" w:rsidRDefault="004D49FB" w:rsidP="003D0EF2">
            <w:pPr>
              <w:jc w:val="center"/>
              <w:rPr>
                <w:rFonts w:ascii="Arial" w:hAnsi="Arial" w:cs="Arial"/>
                <w:sz w:val="18"/>
                <w:szCs w:val="18"/>
              </w:rPr>
            </w:pPr>
            <w:r>
              <w:rPr>
                <w:rFonts w:ascii="Arial" w:hAnsi="Arial" w:cs="Arial"/>
                <w:sz w:val="18"/>
                <w:szCs w:val="18"/>
              </w:rPr>
              <w:t>Servicio</w:t>
            </w:r>
          </w:p>
        </w:tc>
      </w:tr>
      <w:tr w:rsidR="004D49FB" w:rsidRPr="00424743" w14:paraId="6B455418" w14:textId="77777777" w:rsidTr="004D49FB">
        <w:trPr>
          <w:trHeight w:val="255"/>
          <w:jc w:val="center"/>
        </w:trPr>
        <w:tc>
          <w:tcPr>
            <w:tcW w:w="2835" w:type="dxa"/>
            <w:vMerge/>
            <w:tcBorders>
              <w:left w:val="nil"/>
              <w:bottom w:val="single" w:sz="4" w:space="0" w:color="auto"/>
              <w:right w:val="single" w:sz="4" w:space="0" w:color="auto"/>
            </w:tcBorders>
            <w:shd w:val="clear" w:color="000000" w:fill="95B3D7"/>
            <w:noWrap/>
            <w:vAlign w:val="center"/>
          </w:tcPr>
          <w:p w14:paraId="6B7D1DB8" w14:textId="77777777" w:rsidR="004D49FB" w:rsidRPr="00424743" w:rsidRDefault="004D49FB" w:rsidP="003D0EF2">
            <w:pPr>
              <w:rPr>
                <w:rFonts w:ascii="Arial" w:hAnsi="Arial" w:cs="Arial"/>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39EA1C32"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Nº de contratos</w:t>
            </w:r>
          </w:p>
        </w:tc>
        <w:tc>
          <w:tcPr>
            <w:tcW w:w="601"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654889D8"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w:t>
            </w:r>
          </w:p>
        </w:tc>
        <w:tc>
          <w:tcPr>
            <w:tcW w:w="1381" w:type="dxa"/>
            <w:tcBorders>
              <w:top w:val="single" w:sz="4" w:space="0" w:color="auto"/>
              <w:left w:val="single" w:sz="4" w:space="0" w:color="auto"/>
              <w:bottom w:val="single" w:sz="4" w:space="0" w:color="auto"/>
              <w:right w:val="single" w:sz="4" w:space="0" w:color="auto"/>
            </w:tcBorders>
            <w:shd w:val="clear" w:color="000000" w:fill="95B3D7"/>
            <w:vAlign w:val="center"/>
          </w:tcPr>
          <w:p w14:paraId="2ADD21F3"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Nº de contratos</w:t>
            </w:r>
          </w:p>
        </w:tc>
        <w:tc>
          <w:tcPr>
            <w:tcW w:w="601" w:type="dxa"/>
            <w:tcBorders>
              <w:top w:val="single" w:sz="4" w:space="0" w:color="auto"/>
              <w:left w:val="single" w:sz="4" w:space="0" w:color="auto"/>
              <w:bottom w:val="single" w:sz="4" w:space="0" w:color="auto"/>
              <w:right w:val="single" w:sz="4" w:space="0" w:color="auto"/>
            </w:tcBorders>
            <w:shd w:val="clear" w:color="000000" w:fill="95B3D7"/>
            <w:vAlign w:val="center"/>
          </w:tcPr>
          <w:p w14:paraId="006C3223"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w:t>
            </w:r>
          </w:p>
        </w:tc>
        <w:tc>
          <w:tcPr>
            <w:tcW w:w="1485" w:type="dxa"/>
            <w:tcBorders>
              <w:top w:val="single" w:sz="4" w:space="0" w:color="auto"/>
              <w:left w:val="single" w:sz="4" w:space="0" w:color="auto"/>
              <w:bottom w:val="single" w:sz="4" w:space="0" w:color="auto"/>
              <w:right w:val="single" w:sz="4" w:space="0" w:color="auto"/>
            </w:tcBorders>
            <w:shd w:val="clear" w:color="000000" w:fill="95B3D7"/>
            <w:vAlign w:val="center"/>
          </w:tcPr>
          <w:p w14:paraId="51CC076F" w14:textId="77777777" w:rsidR="004D49FB" w:rsidRPr="00424743" w:rsidRDefault="004D49FB" w:rsidP="003D0EF2">
            <w:pPr>
              <w:jc w:val="center"/>
              <w:rPr>
                <w:rFonts w:ascii="Arial" w:hAnsi="Arial" w:cs="Arial"/>
                <w:color w:val="000000"/>
                <w:sz w:val="18"/>
                <w:szCs w:val="18"/>
              </w:rPr>
            </w:pPr>
            <w:r w:rsidRPr="00424743">
              <w:rPr>
                <w:rFonts w:ascii="Arial" w:hAnsi="Arial" w:cs="Arial"/>
                <w:color w:val="000000"/>
                <w:sz w:val="18"/>
                <w:szCs w:val="18"/>
              </w:rPr>
              <w:t>Nº de contratos</w:t>
            </w:r>
          </w:p>
        </w:tc>
        <w:tc>
          <w:tcPr>
            <w:tcW w:w="601" w:type="dxa"/>
            <w:tcBorders>
              <w:top w:val="single" w:sz="4" w:space="0" w:color="auto"/>
              <w:left w:val="single" w:sz="4" w:space="0" w:color="auto"/>
              <w:bottom w:val="single" w:sz="4" w:space="0" w:color="auto"/>
            </w:tcBorders>
            <w:shd w:val="clear" w:color="000000" w:fill="95B3D7"/>
            <w:vAlign w:val="center"/>
          </w:tcPr>
          <w:p w14:paraId="1B46194D"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w:t>
            </w:r>
          </w:p>
        </w:tc>
      </w:tr>
      <w:tr w:rsidR="005D3AC5" w:rsidRPr="002A22CC" w14:paraId="7AF9E8D1" w14:textId="77777777" w:rsidTr="00D45736">
        <w:trPr>
          <w:trHeight w:val="198"/>
          <w:jc w:val="center"/>
        </w:trPr>
        <w:tc>
          <w:tcPr>
            <w:tcW w:w="2835" w:type="dxa"/>
            <w:tcBorders>
              <w:top w:val="nil"/>
              <w:left w:val="nil"/>
              <w:bottom w:val="single" w:sz="2" w:space="0" w:color="auto"/>
              <w:right w:val="single" w:sz="4" w:space="0" w:color="auto"/>
            </w:tcBorders>
            <w:shd w:val="clear" w:color="auto" w:fill="auto"/>
            <w:noWrap/>
            <w:vAlign w:val="center"/>
          </w:tcPr>
          <w:p w14:paraId="5DB8149A" w14:textId="77777777" w:rsidR="005D3AC5" w:rsidRPr="002A22CC" w:rsidRDefault="005D3AC5" w:rsidP="003D0EF2">
            <w:pPr>
              <w:rPr>
                <w:rFonts w:ascii="Arial Narrow" w:hAnsi="Arial Narrow" w:cs="Calibri"/>
                <w:color w:val="000000"/>
                <w:sz w:val="18"/>
                <w:szCs w:val="18"/>
              </w:rPr>
            </w:pPr>
            <w:r>
              <w:rPr>
                <w:rFonts w:ascii="Arial Narrow" w:hAnsi="Arial Narrow" w:cs="Calibri"/>
                <w:color w:val="000000"/>
                <w:sz w:val="18"/>
                <w:szCs w:val="18"/>
              </w:rPr>
              <w:t>Oferta técnica</w:t>
            </w:r>
          </w:p>
        </w:tc>
        <w:tc>
          <w:tcPr>
            <w:tcW w:w="1560" w:type="dxa"/>
            <w:tcBorders>
              <w:top w:val="single" w:sz="4" w:space="0" w:color="auto"/>
              <w:left w:val="single" w:sz="4" w:space="0" w:color="auto"/>
              <w:bottom w:val="single" w:sz="2" w:space="0" w:color="auto"/>
              <w:right w:val="single" w:sz="4" w:space="0" w:color="auto"/>
            </w:tcBorders>
            <w:shd w:val="clear" w:color="auto" w:fill="auto"/>
            <w:noWrap/>
            <w:vAlign w:val="center"/>
          </w:tcPr>
          <w:p w14:paraId="79FB49C2" w14:textId="77777777" w:rsidR="005D3AC5" w:rsidRPr="002A22CC" w:rsidRDefault="005D3AC5" w:rsidP="003D0EF2">
            <w:pPr>
              <w:jc w:val="right"/>
              <w:rPr>
                <w:rFonts w:ascii="Arial Narrow" w:hAnsi="Arial Narrow" w:cs="Calibri"/>
                <w:color w:val="000000"/>
                <w:sz w:val="18"/>
                <w:szCs w:val="18"/>
              </w:rPr>
            </w:pPr>
            <w:r>
              <w:rPr>
                <w:rFonts w:ascii="Arial Narrow" w:hAnsi="Arial Narrow" w:cs="Calibri"/>
                <w:color w:val="000000"/>
                <w:sz w:val="18"/>
                <w:szCs w:val="18"/>
              </w:rPr>
              <w:t>12</w:t>
            </w:r>
          </w:p>
        </w:tc>
        <w:tc>
          <w:tcPr>
            <w:tcW w:w="601" w:type="dxa"/>
            <w:tcBorders>
              <w:top w:val="single" w:sz="4" w:space="0" w:color="auto"/>
              <w:left w:val="single" w:sz="4" w:space="0" w:color="auto"/>
              <w:bottom w:val="single" w:sz="2" w:space="0" w:color="auto"/>
              <w:right w:val="single" w:sz="4" w:space="0" w:color="auto"/>
            </w:tcBorders>
            <w:shd w:val="clear" w:color="auto" w:fill="auto"/>
            <w:noWrap/>
            <w:vAlign w:val="center"/>
          </w:tcPr>
          <w:p w14:paraId="3849944F" w14:textId="77777777" w:rsidR="005D3AC5" w:rsidRPr="002A22CC" w:rsidRDefault="005D3AC5" w:rsidP="004D49FB">
            <w:pPr>
              <w:jc w:val="right"/>
              <w:rPr>
                <w:rFonts w:ascii="Arial Narrow" w:hAnsi="Arial Narrow" w:cs="Calibri"/>
                <w:color w:val="000000"/>
                <w:sz w:val="18"/>
                <w:szCs w:val="18"/>
              </w:rPr>
            </w:pPr>
            <w:r>
              <w:rPr>
                <w:rFonts w:ascii="Arial Narrow" w:hAnsi="Arial Narrow" w:cs="Calibri"/>
                <w:color w:val="000000"/>
                <w:sz w:val="18"/>
                <w:szCs w:val="18"/>
              </w:rPr>
              <w:t>48</w:t>
            </w:r>
          </w:p>
        </w:tc>
        <w:tc>
          <w:tcPr>
            <w:tcW w:w="1381" w:type="dxa"/>
            <w:tcBorders>
              <w:top w:val="single" w:sz="4" w:space="0" w:color="auto"/>
              <w:left w:val="nil"/>
              <w:bottom w:val="single" w:sz="2" w:space="0" w:color="auto"/>
              <w:right w:val="single" w:sz="4" w:space="0" w:color="auto"/>
            </w:tcBorders>
            <w:shd w:val="clear" w:color="auto" w:fill="auto"/>
            <w:vAlign w:val="center"/>
          </w:tcPr>
          <w:p w14:paraId="79CB65D9" w14:textId="77777777" w:rsidR="005D3AC5" w:rsidRPr="00F769E2" w:rsidRDefault="005D3AC5" w:rsidP="003D0EF2">
            <w:pPr>
              <w:jc w:val="right"/>
              <w:rPr>
                <w:rFonts w:ascii="Arial Narrow" w:hAnsi="Arial Narrow" w:cs="Calibri"/>
                <w:color w:val="000000"/>
                <w:sz w:val="18"/>
                <w:szCs w:val="18"/>
              </w:rPr>
            </w:pPr>
            <w:r w:rsidRPr="00F769E2">
              <w:rPr>
                <w:rFonts w:ascii="Arial Narrow" w:hAnsi="Arial Narrow" w:cs="Calibri"/>
                <w:color w:val="000000"/>
                <w:sz w:val="18"/>
                <w:szCs w:val="18"/>
              </w:rPr>
              <w:t>7</w:t>
            </w:r>
          </w:p>
        </w:tc>
        <w:tc>
          <w:tcPr>
            <w:tcW w:w="601" w:type="dxa"/>
            <w:tcBorders>
              <w:top w:val="single" w:sz="4" w:space="0" w:color="auto"/>
              <w:left w:val="single" w:sz="4" w:space="0" w:color="auto"/>
              <w:bottom w:val="single" w:sz="2" w:space="0" w:color="auto"/>
              <w:right w:val="single" w:sz="4" w:space="0" w:color="auto"/>
            </w:tcBorders>
            <w:shd w:val="clear" w:color="auto" w:fill="auto"/>
            <w:vAlign w:val="center"/>
          </w:tcPr>
          <w:p w14:paraId="0B0F3D28" w14:textId="77777777" w:rsidR="005D3AC5" w:rsidRPr="00F769E2" w:rsidRDefault="005D3AC5" w:rsidP="004D49FB">
            <w:pPr>
              <w:jc w:val="right"/>
              <w:rPr>
                <w:rFonts w:ascii="Arial Narrow" w:hAnsi="Arial Narrow" w:cs="Calibri"/>
                <w:color w:val="000000"/>
                <w:sz w:val="18"/>
                <w:szCs w:val="18"/>
              </w:rPr>
            </w:pPr>
            <w:r w:rsidRPr="00F769E2">
              <w:rPr>
                <w:rFonts w:ascii="Arial Narrow" w:hAnsi="Arial Narrow" w:cs="Calibri"/>
                <w:color w:val="000000"/>
                <w:sz w:val="18"/>
                <w:szCs w:val="18"/>
              </w:rPr>
              <w:t>23</w:t>
            </w:r>
          </w:p>
        </w:tc>
        <w:tc>
          <w:tcPr>
            <w:tcW w:w="1485" w:type="dxa"/>
            <w:tcBorders>
              <w:top w:val="single" w:sz="4" w:space="0" w:color="auto"/>
              <w:left w:val="single" w:sz="4" w:space="0" w:color="auto"/>
              <w:bottom w:val="single" w:sz="2" w:space="0" w:color="auto"/>
              <w:right w:val="single" w:sz="4" w:space="0" w:color="auto"/>
            </w:tcBorders>
            <w:shd w:val="clear" w:color="auto" w:fill="auto"/>
            <w:vAlign w:val="center"/>
          </w:tcPr>
          <w:p w14:paraId="62A9DCCE" w14:textId="77777777" w:rsidR="005D3AC5" w:rsidRPr="00F769E2" w:rsidRDefault="005D3AC5" w:rsidP="003D0EF2">
            <w:pPr>
              <w:jc w:val="right"/>
              <w:rPr>
                <w:rFonts w:ascii="Arial Narrow" w:hAnsi="Arial Narrow" w:cs="Calibri"/>
                <w:color w:val="000000"/>
                <w:sz w:val="18"/>
                <w:szCs w:val="18"/>
              </w:rPr>
            </w:pPr>
            <w:r w:rsidRPr="00F769E2">
              <w:rPr>
                <w:rFonts w:ascii="Arial Narrow" w:hAnsi="Arial Narrow" w:cs="Calibri"/>
                <w:color w:val="000000"/>
                <w:sz w:val="18"/>
                <w:szCs w:val="18"/>
              </w:rPr>
              <w:t>6</w:t>
            </w:r>
          </w:p>
        </w:tc>
        <w:tc>
          <w:tcPr>
            <w:tcW w:w="601" w:type="dxa"/>
            <w:tcBorders>
              <w:top w:val="single" w:sz="4" w:space="0" w:color="auto"/>
              <w:left w:val="single" w:sz="4" w:space="0" w:color="auto"/>
              <w:bottom w:val="single" w:sz="2" w:space="0" w:color="auto"/>
            </w:tcBorders>
            <w:shd w:val="clear" w:color="auto" w:fill="auto"/>
            <w:vAlign w:val="center"/>
          </w:tcPr>
          <w:p w14:paraId="2988AA4C" w14:textId="77777777" w:rsidR="005D3AC5" w:rsidRPr="00F769E2" w:rsidRDefault="005D3AC5" w:rsidP="004D49FB">
            <w:pPr>
              <w:jc w:val="right"/>
              <w:rPr>
                <w:rFonts w:ascii="Arial Narrow" w:hAnsi="Arial Narrow" w:cs="Calibri"/>
                <w:color w:val="000000"/>
                <w:sz w:val="18"/>
                <w:szCs w:val="18"/>
              </w:rPr>
            </w:pPr>
            <w:r w:rsidRPr="00F769E2">
              <w:rPr>
                <w:rFonts w:ascii="Arial Narrow" w:hAnsi="Arial Narrow" w:cs="Calibri"/>
                <w:color w:val="000000"/>
                <w:sz w:val="18"/>
                <w:szCs w:val="18"/>
              </w:rPr>
              <w:t>23</w:t>
            </w:r>
          </w:p>
        </w:tc>
      </w:tr>
      <w:tr w:rsidR="005D3AC5" w:rsidRPr="002A22CC" w14:paraId="33315CF5" w14:textId="77777777" w:rsidTr="00C67EED">
        <w:trPr>
          <w:trHeight w:val="198"/>
          <w:jc w:val="center"/>
        </w:trPr>
        <w:tc>
          <w:tcPr>
            <w:tcW w:w="2835" w:type="dxa"/>
            <w:tcBorders>
              <w:top w:val="single" w:sz="2" w:space="0" w:color="auto"/>
              <w:left w:val="nil"/>
              <w:bottom w:val="single" w:sz="2" w:space="0" w:color="auto"/>
              <w:right w:val="single" w:sz="4" w:space="0" w:color="auto"/>
            </w:tcBorders>
            <w:shd w:val="clear" w:color="auto" w:fill="auto"/>
            <w:noWrap/>
            <w:vAlign w:val="center"/>
          </w:tcPr>
          <w:p w14:paraId="60659781" w14:textId="77777777" w:rsidR="005D3AC5" w:rsidRPr="002A22CC" w:rsidRDefault="005D3AC5" w:rsidP="003D0EF2">
            <w:pPr>
              <w:rPr>
                <w:rFonts w:ascii="Arial Narrow" w:hAnsi="Arial Narrow" w:cs="Calibri"/>
                <w:color w:val="000000"/>
                <w:sz w:val="18"/>
                <w:szCs w:val="18"/>
              </w:rPr>
            </w:pPr>
            <w:r>
              <w:rPr>
                <w:rFonts w:ascii="Arial Narrow" w:hAnsi="Arial Narrow" w:cs="Calibri"/>
                <w:color w:val="000000"/>
                <w:sz w:val="18"/>
                <w:szCs w:val="18"/>
              </w:rPr>
              <w:t>Oferta económica</w:t>
            </w:r>
          </w:p>
        </w:tc>
        <w:tc>
          <w:tcPr>
            <w:tcW w:w="1560" w:type="dxa"/>
            <w:tcBorders>
              <w:top w:val="single" w:sz="2" w:space="0" w:color="auto"/>
              <w:left w:val="single" w:sz="4" w:space="0" w:color="auto"/>
              <w:bottom w:val="single" w:sz="2" w:space="0" w:color="auto"/>
              <w:right w:val="single" w:sz="4" w:space="0" w:color="auto"/>
            </w:tcBorders>
            <w:shd w:val="clear" w:color="auto" w:fill="auto"/>
            <w:noWrap/>
            <w:vAlign w:val="center"/>
          </w:tcPr>
          <w:p w14:paraId="34721A30" w14:textId="77777777" w:rsidR="005D3AC5" w:rsidRPr="002A22CC" w:rsidRDefault="005D3AC5" w:rsidP="003D0EF2">
            <w:pPr>
              <w:jc w:val="right"/>
              <w:rPr>
                <w:rFonts w:ascii="Arial Narrow" w:hAnsi="Arial Narrow" w:cs="Calibri"/>
                <w:color w:val="000000"/>
                <w:sz w:val="18"/>
                <w:szCs w:val="18"/>
              </w:rPr>
            </w:pPr>
            <w:r>
              <w:rPr>
                <w:rFonts w:ascii="Arial Narrow" w:hAnsi="Arial Narrow" w:cs="Calibri"/>
                <w:color w:val="000000"/>
                <w:sz w:val="18"/>
                <w:szCs w:val="18"/>
              </w:rPr>
              <w:t>8</w:t>
            </w:r>
          </w:p>
        </w:tc>
        <w:tc>
          <w:tcPr>
            <w:tcW w:w="601" w:type="dxa"/>
            <w:tcBorders>
              <w:top w:val="single" w:sz="2" w:space="0" w:color="auto"/>
              <w:left w:val="single" w:sz="4" w:space="0" w:color="auto"/>
              <w:bottom w:val="single" w:sz="2" w:space="0" w:color="auto"/>
              <w:right w:val="single" w:sz="4" w:space="0" w:color="auto"/>
            </w:tcBorders>
            <w:shd w:val="clear" w:color="auto" w:fill="auto"/>
            <w:noWrap/>
            <w:vAlign w:val="center"/>
          </w:tcPr>
          <w:p w14:paraId="1863739D" w14:textId="77777777" w:rsidR="005D3AC5" w:rsidRPr="002A22CC" w:rsidRDefault="005D3AC5" w:rsidP="004D49FB">
            <w:pPr>
              <w:jc w:val="right"/>
              <w:rPr>
                <w:rFonts w:ascii="Arial Narrow" w:hAnsi="Arial Narrow" w:cs="Calibri"/>
                <w:color w:val="000000"/>
                <w:sz w:val="18"/>
                <w:szCs w:val="18"/>
              </w:rPr>
            </w:pPr>
            <w:r>
              <w:rPr>
                <w:rFonts w:ascii="Arial Narrow" w:hAnsi="Arial Narrow" w:cs="Calibri"/>
                <w:color w:val="000000"/>
                <w:sz w:val="18"/>
                <w:szCs w:val="18"/>
              </w:rPr>
              <w:t>32</w:t>
            </w:r>
          </w:p>
        </w:tc>
        <w:tc>
          <w:tcPr>
            <w:tcW w:w="1381" w:type="dxa"/>
            <w:tcBorders>
              <w:top w:val="single" w:sz="2" w:space="0" w:color="auto"/>
              <w:left w:val="nil"/>
              <w:bottom w:val="single" w:sz="2" w:space="0" w:color="auto"/>
              <w:right w:val="single" w:sz="4" w:space="0" w:color="auto"/>
            </w:tcBorders>
            <w:shd w:val="clear" w:color="auto" w:fill="auto"/>
            <w:vAlign w:val="center"/>
          </w:tcPr>
          <w:p w14:paraId="3A570F26" w14:textId="77777777" w:rsidR="005D3AC5" w:rsidRPr="00F769E2" w:rsidRDefault="005D3AC5" w:rsidP="003D0EF2">
            <w:pPr>
              <w:jc w:val="right"/>
              <w:rPr>
                <w:rFonts w:ascii="Arial Narrow" w:hAnsi="Arial Narrow" w:cs="Calibri"/>
                <w:color w:val="000000"/>
                <w:sz w:val="18"/>
                <w:szCs w:val="18"/>
              </w:rPr>
            </w:pPr>
            <w:r w:rsidRPr="00F769E2">
              <w:rPr>
                <w:rFonts w:ascii="Arial Narrow" w:hAnsi="Arial Narrow" w:cs="Calibri"/>
                <w:color w:val="000000"/>
                <w:sz w:val="18"/>
                <w:szCs w:val="18"/>
              </w:rPr>
              <w:t>4</w:t>
            </w:r>
          </w:p>
        </w:tc>
        <w:tc>
          <w:tcPr>
            <w:tcW w:w="601" w:type="dxa"/>
            <w:tcBorders>
              <w:top w:val="single" w:sz="2" w:space="0" w:color="auto"/>
              <w:left w:val="single" w:sz="4" w:space="0" w:color="auto"/>
              <w:bottom w:val="single" w:sz="2" w:space="0" w:color="auto"/>
              <w:right w:val="single" w:sz="4" w:space="0" w:color="auto"/>
            </w:tcBorders>
            <w:shd w:val="clear" w:color="auto" w:fill="auto"/>
            <w:vAlign w:val="center"/>
          </w:tcPr>
          <w:p w14:paraId="38ECF8BA" w14:textId="77777777" w:rsidR="005D3AC5" w:rsidRPr="00F769E2" w:rsidRDefault="005D3AC5" w:rsidP="004D49FB">
            <w:pPr>
              <w:jc w:val="right"/>
              <w:rPr>
                <w:rFonts w:ascii="Arial Narrow" w:hAnsi="Arial Narrow" w:cs="Calibri"/>
                <w:color w:val="000000"/>
                <w:sz w:val="18"/>
                <w:szCs w:val="18"/>
              </w:rPr>
            </w:pPr>
            <w:r w:rsidRPr="00F769E2">
              <w:rPr>
                <w:rFonts w:ascii="Arial Narrow" w:hAnsi="Arial Narrow" w:cs="Calibri"/>
                <w:color w:val="000000"/>
                <w:sz w:val="18"/>
                <w:szCs w:val="18"/>
              </w:rPr>
              <w:t>13</w:t>
            </w:r>
          </w:p>
        </w:tc>
        <w:tc>
          <w:tcPr>
            <w:tcW w:w="1485" w:type="dxa"/>
            <w:tcBorders>
              <w:top w:val="single" w:sz="2" w:space="0" w:color="auto"/>
              <w:left w:val="single" w:sz="4" w:space="0" w:color="auto"/>
              <w:bottom w:val="single" w:sz="2" w:space="0" w:color="auto"/>
              <w:right w:val="single" w:sz="4" w:space="0" w:color="auto"/>
            </w:tcBorders>
            <w:shd w:val="clear" w:color="auto" w:fill="auto"/>
            <w:vAlign w:val="center"/>
          </w:tcPr>
          <w:p w14:paraId="760EBBD4" w14:textId="77777777" w:rsidR="005D3AC5" w:rsidRPr="00F769E2" w:rsidRDefault="005D3AC5" w:rsidP="003D0EF2">
            <w:pPr>
              <w:jc w:val="right"/>
              <w:rPr>
                <w:rFonts w:ascii="Arial Narrow" w:hAnsi="Arial Narrow" w:cs="Calibri"/>
                <w:color w:val="000000"/>
                <w:sz w:val="18"/>
                <w:szCs w:val="18"/>
              </w:rPr>
            </w:pPr>
            <w:r w:rsidRPr="00F769E2">
              <w:rPr>
                <w:rFonts w:ascii="Arial Narrow" w:hAnsi="Arial Narrow" w:cs="Calibri"/>
                <w:color w:val="000000"/>
                <w:sz w:val="18"/>
                <w:szCs w:val="18"/>
              </w:rPr>
              <w:t>4</w:t>
            </w:r>
          </w:p>
        </w:tc>
        <w:tc>
          <w:tcPr>
            <w:tcW w:w="601" w:type="dxa"/>
            <w:tcBorders>
              <w:top w:val="single" w:sz="2" w:space="0" w:color="auto"/>
              <w:left w:val="single" w:sz="4" w:space="0" w:color="auto"/>
              <w:bottom w:val="single" w:sz="2" w:space="0" w:color="auto"/>
            </w:tcBorders>
            <w:shd w:val="clear" w:color="auto" w:fill="auto"/>
            <w:vAlign w:val="center"/>
          </w:tcPr>
          <w:p w14:paraId="2E48A010" w14:textId="77777777" w:rsidR="005D3AC5" w:rsidRPr="00F769E2" w:rsidRDefault="005D3AC5" w:rsidP="004D49FB">
            <w:pPr>
              <w:jc w:val="right"/>
              <w:rPr>
                <w:rFonts w:ascii="Arial Narrow" w:hAnsi="Arial Narrow" w:cs="Calibri"/>
                <w:color w:val="000000"/>
                <w:sz w:val="18"/>
                <w:szCs w:val="18"/>
              </w:rPr>
            </w:pPr>
            <w:r w:rsidRPr="00F769E2">
              <w:rPr>
                <w:rFonts w:ascii="Arial Narrow" w:hAnsi="Arial Narrow" w:cs="Calibri"/>
                <w:color w:val="000000"/>
                <w:sz w:val="18"/>
                <w:szCs w:val="18"/>
              </w:rPr>
              <w:t>15</w:t>
            </w:r>
          </w:p>
        </w:tc>
      </w:tr>
      <w:tr w:rsidR="005D3AC5" w:rsidRPr="002A22CC" w14:paraId="55CB83BB" w14:textId="77777777" w:rsidTr="00C67EED">
        <w:trPr>
          <w:trHeight w:val="198"/>
          <w:jc w:val="center"/>
        </w:trPr>
        <w:tc>
          <w:tcPr>
            <w:tcW w:w="2835" w:type="dxa"/>
            <w:tcBorders>
              <w:top w:val="single" w:sz="2" w:space="0" w:color="auto"/>
              <w:left w:val="nil"/>
              <w:bottom w:val="single" w:sz="4" w:space="0" w:color="auto"/>
              <w:right w:val="single" w:sz="4" w:space="0" w:color="auto"/>
            </w:tcBorders>
            <w:shd w:val="clear" w:color="auto" w:fill="auto"/>
            <w:noWrap/>
            <w:vAlign w:val="center"/>
          </w:tcPr>
          <w:p w14:paraId="07C7E000" w14:textId="77777777" w:rsidR="005D3AC5" w:rsidRPr="002A22CC" w:rsidRDefault="005D3AC5" w:rsidP="003D0EF2">
            <w:pPr>
              <w:rPr>
                <w:rFonts w:ascii="Arial Narrow" w:hAnsi="Arial Narrow" w:cs="Calibri"/>
                <w:color w:val="000000"/>
                <w:sz w:val="18"/>
                <w:szCs w:val="18"/>
              </w:rPr>
            </w:pPr>
            <w:r>
              <w:rPr>
                <w:rFonts w:ascii="Arial Narrow" w:hAnsi="Arial Narrow" w:cs="Calibri"/>
                <w:color w:val="000000"/>
                <w:sz w:val="18"/>
                <w:szCs w:val="18"/>
              </w:rPr>
              <w:t>No se aplica por haber un único licitador</w:t>
            </w:r>
          </w:p>
        </w:tc>
        <w:tc>
          <w:tcPr>
            <w:tcW w:w="1560" w:type="dxa"/>
            <w:tcBorders>
              <w:top w:val="single" w:sz="2" w:space="0" w:color="auto"/>
              <w:left w:val="single" w:sz="4" w:space="0" w:color="auto"/>
              <w:bottom w:val="single" w:sz="4" w:space="0" w:color="auto"/>
              <w:right w:val="single" w:sz="4" w:space="0" w:color="auto"/>
            </w:tcBorders>
            <w:shd w:val="clear" w:color="auto" w:fill="auto"/>
            <w:noWrap/>
            <w:vAlign w:val="center"/>
          </w:tcPr>
          <w:p w14:paraId="19E90DEF" w14:textId="77777777" w:rsidR="005D3AC5" w:rsidRPr="002A22CC" w:rsidRDefault="005D3AC5" w:rsidP="003D0EF2">
            <w:pPr>
              <w:jc w:val="right"/>
              <w:rPr>
                <w:rFonts w:ascii="Arial Narrow" w:hAnsi="Arial Narrow" w:cs="Calibri"/>
                <w:color w:val="000000"/>
                <w:sz w:val="18"/>
                <w:szCs w:val="18"/>
              </w:rPr>
            </w:pPr>
            <w:r>
              <w:rPr>
                <w:rFonts w:ascii="Arial Narrow" w:hAnsi="Arial Narrow" w:cs="Calibri"/>
                <w:color w:val="000000"/>
                <w:sz w:val="18"/>
                <w:szCs w:val="18"/>
              </w:rPr>
              <w:t>4</w:t>
            </w:r>
          </w:p>
        </w:tc>
        <w:tc>
          <w:tcPr>
            <w:tcW w:w="601" w:type="dxa"/>
            <w:tcBorders>
              <w:top w:val="single" w:sz="2" w:space="0" w:color="auto"/>
              <w:left w:val="single" w:sz="4" w:space="0" w:color="auto"/>
              <w:bottom w:val="single" w:sz="4" w:space="0" w:color="auto"/>
              <w:right w:val="single" w:sz="4" w:space="0" w:color="auto"/>
            </w:tcBorders>
            <w:shd w:val="clear" w:color="auto" w:fill="auto"/>
            <w:noWrap/>
            <w:vAlign w:val="center"/>
          </w:tcPr>
          <w:p w14:paraId="1CC84A91" w14:textId="77777777" w:rsidR="005D3AC5" w:rsidRPr="002A22CC" w:rsidRDefault="005D3AC5" w:rsidP="004D49FB">
            <w:pPr>
              <w:jc w:val="right"/>
              <w:rPr>
                <w:rFonts w:ascii="Arial Narrow" w:hAnsi="Arial Narrow" w:cs="Calibri"/>
                <w:color w:val="000000"/>
                <w:sz w:val="18"/>
                <w:szCs w:val="18"/>
              </w:rPr>
            </w:pPr>
            <w:r>
              <w:rPr>
                <w:rFonts w:ascii="Arial Narrow" w:hAnsi="Arial Narrow" w:cs="Calibri"/>
                <w:color w:val="000000"/>
                <w:sz w:val="18"/>
                <w:szCs w:val="18"/>
              </w:rPr>
              <w:t>16</w:t>
            </w:r>
          </w:p>
        </w:tc>
        <w:tc>
          <w:tcPr>
            <w:tcW w:w="1381" w:type="dxa"/>
            <w:tcBorders>
              <w:top w:val="single" w:sz="2" w:space="0" w:color="auto"/>
              <w:left w:val="nil"/>
              <w:bottom w:val="single" w:sz="4" w:space="0" w:color="auto"/>
              <w:right w:val="single" w:sz="4" w:space="0" w:color="auto"/>
            </w:tcBorders>
            <w:shd w:val="clear" w:color="auto" w:fill="auto"/>
            <w:vAlign w:val="center"/>
          </w:tcPr>
          <w:p w14:paraId="4AE14DC1" w14:textId="77777777" w:rsidR="005D3AC5" w:rsidRPr="00F769E2" w:rsidRDefault="005D3AC5" w:rsidP="003D0EF2">
            <w:pPr>
              <w:jc w:val="right"/>
              <w:rPr>
                <w:rFonts w:ascii="Arial Narrow" w:hAnsi="Arial Narrow" w:cs="Calibri"/>
                <w:color w:val="000000"/>
                <w:sz w:val="18"/>
                <w:szCs w:val="18"/>
              </w:rPr>
            </w:pPr>
            <w:r w:rsidRPr="00F769E2">
              <w:rPr>
                <w:rFonts w:ascii="Arial Narrow" w:hAnsi="Arial Narrow" w:cs="Calibri"/>
                <w:color w:val="000000"/>
                <w:sz w:val="18"/>
                <w:szCs w:val="18"/>
              </w:rPr>
              <w:t>18</w:t>
            </w:r>
          </w:p>
        </w:tc>
        <w:tc>
          <w:tcPr>
            <w:tcW w:w="601" w:type="dxa"/>
            <w:tcBorders>
              <w:top w:val="single" w:sz="2" w:space="0" w:color="auto"/>
              <w:left w:val="single" w:sz="4" w:space="0" w:color="auto"/>
              <w:bottom w:val="single" w:sz="4" w:space="0" w:color="auto"/>
              <w:right w:val="single" w:sz="4" w:space="0" w:color="auto"/>
            </w:tcBorders>
            <w:shd w:val="clear" w:color="auto" w:fill="auto"/>
            <w:vAlign w:val="center"/>
          </w:tcPr>
          <w:p w14:paraId="4070BDFB" w14:textId="77777777" w:rsidR="005D3AC5" w:rsidRPr="00F769E2" w:rsidRDefault="005D3AC5" w:rsidP="004D49FB">
            <w:pPr>
              <w:jc w:val="right"/>
              <w:rPr>
                <w:rFonts w:ascii="Arial Narrow" w:hAnsi="Arial Narrow" w:cs="Calibri"/>
                <w:color w:val="000000"/>
                <w:sz w:val="18"/>
                <w:szCs w:val="18"/>
              </w:rPr>
            </w:pPr>
            <w:r w:rsidRPr="00F769E2">
              <w:rPr>
                <w:rFonts w:ascii="Arial Narrow" w:hAnsi="Arial Narrow" w:cs="Calibri"/>
                <w:color w:val="000000"/>
                <w:sz w:val="18"/>
                <w:szCs w:val="18"/>
              </w:rPr>
              <w:t>58</w:t>
            </w:r>
          </w:p>
        </w:tc>
        <w:tc>
          <w:tcPr>
            <w:tcW w:w="1485" w:type="dxa"/>
            <w:tcBorders>
              <w:top w:val="single" w:sz="2" w:space="0" w:color="auto"/>
              <w:left w:val="single" w:sz="4" w:space="0" w:color="auto"/>
              <w:bottom w:val="single" w:sz="4" w:space="0" w:color="auto"/>
              <w:right w:val="single" w:sz="4" w:space="0" w:color="auto"/>
            </w:tcBorders>
            <w:shd w:val="clear" w:color="auto" w:fill="auto"/>
            <w:vAlign w:val="center"/>
          </w:tcPr>
          <w:p w14:paraId="403509FE" w14:textId="77777777" w:rsidR="005D3AC5" w:rsidRPr="00F769E2" w:rsidRDefault="005D3AC5" w:rsidP="003D0EF2">
            <w:pPr>
              <w:jc w:val="right"/>
              <w:rPr>
                <w:rFonts w:ascii="Arial Narrow" w:hAnsi="Arial Narrow" w:cs="Calibri"/>
                <w:color w:val="000000"/>
                <w:sz w:val="18"/>
                <w:szCs w:val="18"/>
              </w:rPr>
            </w:pPr>
            <w:r w:rsidRPr="00F769E2">
              <w:rPr>
                <w:rFonts w:ascii="Arial Narrow" w:hAnsi="Arial Narrow" w:cs="Calibri"/>
                <w:color w:val="000000"/>
                <w:sz w:val="18"/>
                <w:szCs w:val="18"/>
              </w:rPr>
              <w:t>16</w:t>
            </w:r>
          </w:p>
        </w:tc>
        <w:tc>
          <w:tcPr>
            <w:tcW w:w="601" w:type="dxa"/>
            <w:tcBorders>
              <w:top w:val="single" w:sz="2" w:space="0" w:color="auto"/>
              <w:left w:val="single" w:sz="4" w:space="0" w:color="auto"/>
              <w:bottom w:val="single" w:sz="4" w:space="0" w:color="auto"/>
            </w:tcBorders>
            <w:shd w:val="clear" w:color="auto" w:fill="auto"/>
            <w:vAlign w:val="center"/>
          </w:tcPr>
          <w:p w14:paraId="4DCD3DDF" w14:textId="77777777" w:rsidR="005D3AC5" w:rsidRPr="00F769E2" w:rsidRDefault="005D3AC5" w:rsidP="004D49FB">
            <w:pPr>
              <w:jc w:val="right"/>
              <w:rPr>
                <w:rFonts w:ascii="Arial Narrow" w:hAnsi="Arial Narrow" w:cs="Calibri"/>
                <w:color w:val="000000"/>
                <w:sz w:val="18"/>
                <w:szCs w:val="18"/>
              </w:rPr>
            </w:pPr>
            <w:r w:rsidRPr="00F769E2">
              <w:rPr>
                <w:rFonts w:ascii="Arial Narrow" w:hAnsi="Arial Narrow" w:cs="Calibri"/>
                <w:color w:val="000000"/>
                <w:sz w:val="18"/>
                <w:szCs w:val="18"/>
              </w:rPr>
              <w:t>62</w:t>
            </w:r>
          </w:p>
        </w:tc>
      </w:tr>
      <w:tr w:rsidR="005D3AC5" w:rsidRPr="002A22CC" w14:paraId="30D12A66" w14:textId="77777777" w:rsidTr="00C67EED">
        <w:trPr>
          <w:trHeight w:val="198"/>
          <w:jc w:val="center"/>
        </w:trPr>
        <w:tc>
          <w:tcPr>
            <w:tcW w:w="2835" w:type="dxa"/>
            <w:tcBorders>
              <w:top w:val="single" w:sz="4" w:space="0" w:color="auto"/>
              <w:left w:val="nil"/>
              <w:bottom w:val="single" w:sz="4" w:space="0" w:color="auto"/>
              <w:right w:val="nil"/>
            </w:tcBorders>
            <w:shd w:val="clear" w:color="auto" w:fill="auto"/>
            <w:noWrap/>
            <w:vAlign w:val="center"/>
          </w:tcPr>
          <w:p w14:paraId="7B89701A" w14:textId="77777777" w:rsidR="005D3AC5" w:rsidRPr="0041028D" w:rsidRDefault="005D3AC5" w:rsidP="003D0EF2">
            <w:pPr>
              <w:rPr>
                <w:rFonts w:ascii="Arial Narrow" w:hAnsi="Arial Narrow" w:cs="Calibri"/>
                <w:color w:val="000000"/>
                <w:sz w:val="18"/>
                <w:szCs w:val="18"/>
              </w:rPr>
            </w:pPr>
            <w:r w:rsidRPr="0041028D">
              <w:rPr>
                <w:rFonts w:ascii="Arial Narrow" w:hAnsi="Arial Narrow" w:cs="Calibri"/>
                <w:color w:val="000000"/>
                <w:sz w:val="18"/>
                <w:szCs w:val="18"/>
              </w:rPr>
              <w:t xml:space="preserve">No existe </w:t>
            </w:r>
            <w:r w:rsidR="001D76D5" w:rsidRPr="0041028D">
              <w:rPr>
                <w:rFonts w:ascii="Arial Narrow" w:hAnsi="Arial Narrow" w:cs="Calibri"/>
                <w:color w:val="000000"/>
                <w:sz w:val="18"/>
                <w:szCs w:val="18"/>
              </w:rPr>
              <w:t>un criterio determinante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E871C" w14:textId="77777777" w:rsidR="005D3AC5" w:rsidRPr="002A22CC" w:rsidRDefault="005D3AC5" w:rsidP="003D0EF2">
            <w:pPr>
              <w:jc w:val="right"/>
              <w:rPr>
                <w:rFonts w:ascii="Arial Narrow" w:hAnsi="Arial Narrow" w:cs="Calibri"/>
                <w:color w:val="000000"/>
                <w:sz w:val="18"/>
                <w:szCs w:val="18"/>
              </w:rPr>
            </w:pPr>
            <w:r>
              <w:rPr>
                <w:rFonts w:ascii="Arial Narrow" w:hAnsi="Arial Narrow" w:cs="Calibri"/>
                <w:color w:val="000000"/>
                <w:sz w:val="18"/>
                <w:szCs w:val="18"/>
              </w:rPr>
              <w:t>1</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22C23" w14:textId="77777777" w:rsidR="005D3AC5" w:rsidRPr="002A22CC" w:rsidRDefault="005D3AC5" w:rsidP="004D49FB">
            <w:pPr>
              <w:jc w:val="right"/>
              <w:rPr>
                <w:rFonts w:ascii="Arial Narrow" w:hAnsi="Arial Narrow" w:cs="Calibri"/>
                <w:color w:val="000000"/>
                <w:sz w:val="18"/>
                <w:szCs w:val="18"/>
              </w:rPr>
            </w:pPr>
            <w:r>
              <w:rPr>
                <w:rFonts w:ascii="Arial Narrow" w:hAnsi="Arial Narrow" w:cs="Calibri"/>
                <w:color w:val="000000"/>
                <w:sz w:val="18"/>
                <w:szCs w:val="18"/>
              </w:rPr>
              <w:t>4</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C543B4B" w14:textId="77777777" w:rsidR="005D3AC5" w:rsidRPr="00F769E2" w:rsidRDefault="005D3AC5" w:rsidP="003D0EF2">
            <w:pPr>
              <w:jc w:val="right"/>
              <w:rPr>
                <w:rFonts w:ascii="Arial Narrow" w:hAnsi="Arial Narrow" w:cs="Calibri"/>
                <w:color w:val="000000"/>
                <w:sz w:val="18"/>
                <w:szCs w:val="18"/>
              </w:rPr>
            </w:pPr>
          </w:p>
        </w:tc>
        <w:tc>
          <w:tcPr>
            <w:tcW w:w="601" w:type="dxa"/>
            <w:tcBorders>
              <w:top w:val="single" w:sz="4" w:space="0" w:color="auto"/>
              <w:left w:val="single" w:sz="4" w:space="0" w:color="auto"/>
              <w:bottom w:val="single" w:sz="4" w:space="0" w:color="auto"/>
              <w:right w:val="nil"/>
            </w:tcBorders>
            <w:shd w:val="clear" w:color="auto" w:fill="auto"/>
            <w:vAlign w:val="center"/>
          </w:tcPr>
          <w:p w14:paraId="36737A66" w14:textId="77777777" w:rsidR="005D3AC5" w:rsidRPr="00F769E2" w:rsidRDefault="005D3AC5" w:rsidP="003D0EF2">
            <w:pPr>
              <w:jc w:val="right"/>
              <w:rPr>
                <w:rFonts w:ascii="Arial Narrow" w:hAnsi="Arial Narrow" w:cs="Calibri"/>
                <w:color w:val="00000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72B5FD8" w14:textId="77777777" w:rsidR="005D3AC5" w:rsidRPr="006B3FE1" w:rsidRDefault="005D3AC5" w:rsidP="003D0EF2">
            <w:pPr>
              <w:jc w:val="right"/>
              <w:rPr>
                <w:rFonts w:ascii="Arial Narrow" w:hAnsi="Arial Narrow" w:cs="Calibri"/>
                <w:color w:val="000000"/>
                <w:sz w:val="18"/>
                <w:szCs w:val="18"/>
              </w:rPr>
            </w:pPr>
          </w:p>
        </w:tc>
        <w:tc>
          <w:tcPr>
            <w:tcW w:w="601" w:type="dxa"/>
            <w:tcBorders>
              <w:top w:val="single" w:sz="4" w:space="0" w:color="auto"/>
              <w:left w:val="single" w:sz="4" w:space="0" w:color="auto"/>
              <w:bottom w:val="single" w:sz="4" w:space="0" w:color="auto"/>
            </w:tcBorders>
            <w:shd w:val="clear" w:color="auto" w:fill="auto"/>
            <w:vAlign w:val="center"/>
          </w:tcPr>
          <w:p w14:paraId="26088B35" w14:textId="77777777" w:rsidR="005D3AC5" w:rsidRPr="006B3FE1" w:rsidRDefault="005D3AC5" w:rsidP="003D0EF2">
            <w:pPr>
              <w:jc w:val="right"/>
              <w:rPr>
                <w:rFonts w:ascii="Arial Narrow" w:hAnsi="Arial Narrow" w:cs="Calibri"/>
                <w:color w:val="000000"/>
                <w:sz w:val="18"/>
                <w:szCs w:val="18"/>
              </w:rPr>
            </w:pPr>
          </w:p>
        </w:tc>
      </w:tr>
      <w:tr w:rsidR="005D3AC5" w:rsidRPr="002A22CC" w14:paraId="2106E90A" w14:textId="77777777" w:rsidTr="00C67EED">
        <w:trPr>
          <w:trHeight w:val="198"/>
          <w:jc w:val="center"/>
        </w:trPr>
        <w:tc>
          <w:tcPr>
            <w:tcW w:w="2835" w:type="dxa"/>
            <w:tcBorders>
              <w:top w:val="single" w:sz="4" w:space="0" w:color="auto"/>
              <w:left w:val="nil"/>
              <w:bottom w:val="single" w:sz="4" w:space="0" w:color="auto"/>
              <w:right w:val="nil"/>
            </w:tcBorders>
            <w:shd w:val="clear" w:color="auto" w:fill="auto"/>
            <w:noWrap/>
            <w:vAlign w:val="center"/>
          </w:tcPr>
          <w:p w14:paraId="63546318" w14:textId="77777777" w:rsidR="005D3AC5" w:rsidRPr="0041028D" w:rsidRDefault="005D3AC5" w:rsidP="003D0EF2">
            <w:pPr>
              <w:rPr>
                <w:rFonts w:ascii="Arial Narrow" w:hAnsi="Arial Narrow" w:cs="Calibri"/>
                <w:color w:val="000000"/>
                <w:sz w:val="18"/>
                <w:szCs w:val="18"/>
              </w:rPr>
            </w:pPr>
            <w:r w:rsidRPr="0041028D">
              <w:rPr>
                <w:rFonts w:ascii="Arial Narrow" w:hAnsi="Arial Narrow" w:cs="Calibri"/>
                <w:color w:val="000000"/>
                <w:sz w:val="18"/>
                <w:szCs w:val="18"/>
              </w:rPr>
              <w:t>Desierto</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A79F8" w14:textId="77777777" w:rsidR="005D3AC5" w:rsidRPr="002A22CC" w:rsidRDefault="005D3AC5" w:rsidP="003D0EF2">
            <w:pPr>
              <w:jc w:val="right"/>
              <w:rPr>
                <w:rFonts w:ascii="Arial Narrow" w:hAnsi="Arial Narrow" w:cs="Calibri"/>
                <w:color w:val="000000"/>
                <w:sz w:val="18"/>
                <w:szCs w:val="18"/>
              </w:rPr>
            </w:pP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5E84D" w14:textId="77777777" w:rsidR="005D3AC5" w:rsidRPr="002A22CC" w:rsidRDefault="005D3AC5" w:rsidP="003D0EF2">
            <w:pPr>
              <w:jc w:val="right"/>
              <w:rPr>
                <w:rFonts w:ascii="Arial Narrow" w:hAnsi="Arial Narrow" w:cs="Calibri"/>
                <w:color w:val="000000"/>
                <w:sz w:val="18"/>
                <w:szCs w:val="18"/>
              </w:rPr>
            </w:pPr>
          </w:p>
        </w:tc>
        <w:tc>
          <w:tcPr>
            <w:tcW w:w="1381" w:type="dxa"/>
            <w:tcBorders>
              <w:top w:val="single" w:sz="4" w:space="0" w:color="auto"/>
              <w:left w:val="nil"/>
              <w:bottom w:val="single" w:sz="4" w:space="0" w:color="auto"/>
              <w:right w:val="single" w:sz="4" w:space="0" w:color="auto"/>
            </w:tcBorders>
            <w:shd w:val="clear" w:color="auto" w:fill="auto"/>
            <w:vAlign w:val="center"/>
          </w:tcPr>
          <w:p w14:paraId="4B3D9735" w14:textId="77777777" w:rsidR="005D3AC5" w:rsidRPr="00F769E2" w:rsidRDefault="005D3AC5" w:rsidP="003D0EF2">
            <w:pPr>
              <w:jc w:val="right"/>
              <w:rPr>
                <w:rFonts w:ascii="Arial Narrow" w:hAnsi="Arial Narrow" w:cs="Calibri"/>
                <w:color w:val="000000"/>
                <w:sz w:val="18"/>
                <w:szCs w:val="18"/>
              </w:rPr>
            </w:pPr>
            <w:r w:rsidRPr="00F769E2">
              <w:rPr>
                <w:rFonts w:ascii="Arial Narrow" w:hAnsi="Arial Narrow" w:cs="Calibri"/>
                <w:color w:val="000000"/>
                <w:sz w:val="18"/>
                <w:szCs w:val="18"/>
              </w:rPr>
              <w:t>2</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14DE9FCD" w14:textId="77777777" w:rsidR="005D3AC5" w:rsidRPr="00F769E2" w:rsidRDefault="005D3AC5" w:rsidP="004D49FB">
            <w:pPr>
              <w:jc w:val="right"/>
              <w:rPr>
                <w:rFonts w:ascii="Arial Narrow" w:hAnsi="Arial Narrow" w:cs="Calibri"/>
                <w:color w:val="000000"/>
                <w:sz w:val="18"/>
                <w:szCs w:val="18"/>
              </w:rPr>
            </w:pPr>
            <w:r w:rsidRPr="00F769E2">
              <w:rPr>
                <w:rFonts w:ascii="Arial Narrow" w:hAnsi="Arial Narrow" w:cs="Calibri"/>
                <w:color w:val="000000"/>
                <w:sz w:val="18"/>
                <w:szCs w:val="18"/>
              </w:rPr>
              <w:t>6</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BA54341" w14:textId="77777777" w:rsidR="005D3AC5" w:rsidRPr="006B3FE1" w:rsidRDefault="005D3AC5" w:rsidP="003D0EF2">
            <w:pPr>
              <w:jc w:val="right"/>
              <w:rPr>
                <w:rFonts w:ascii="Arial Narrow" w:hAnsi="Arial Narrow" w:cs="Calibri"/>
                <w:color w:val="000000"/>
                <w:sz w:val="18"/>
                <w:szCs w:val="18"/>
              </w:rPr>
            </w:pPr>
          </w:p>
        </w:tc>
        <w:tc>
          <w:tcPr>
            <w:tcW w:w="601" w:type="dxa"/>
            <w:tcBorders>
              <w:top w:val="single" w:sz="4" w:space="0" w:color="auto"/>
              <w:left w:val="single" w:sz="4" w:space="0" w:color="auto"/>
              <w:bottom w:val="single" w:sz="4" w:space="0" w:color="auto"/>
            </w:tcBorders>
            <w:shd w:val="clear" w:color="auto" w:fill="auto"/>
            <w:vAlign w:val="center"/>
          </w:tcPr>
          <w:p w14:paraId="4E11EEE7" w14:textId="77777777" w:rsidR="005D3AC5" w:rsidRPr="006B3FE1" w:rsidRDefault="005D3AC5" w:rsidP="003D0EF2">
            <w:pPr>
              <w:jc w:val="right"/>
              <w:rPr>
                <w:rFonts w:ascii="Arial Narrow" w:hAnsi="Arial Narrow" w:cs="Calibri"/>
                <w:color w:val="000000"/>
                <w:sz w:val="18"/>
                <w:szCs w:val="18"/>
              </w:rPr>
            </w:pPr>
          </w:p>
        </w:tc>
      </w:tr>
      <w:tr w:rsidR="005D3AC5" w:rsidRPr="00424743" w14:paraId="3A38458A" w14:textId="77777777" w:rsidTr="00C67EED">
        <w:trPr>
          <w:trHeight w:val="255"/>
          <w:jc w:val="center"/>
        </w:trPr>
        <w:tc>
          <w:tcPr>
            <w:tcW w:w="2835" w:type="dxa"/>
            <w:tcBorders>
              <w:top w:val="single" w:sz="4" w:space="0" w:color="auto"/>
              <w:left w:val="nil"/>
              <w:bottom w:val="single" w:sz="4" w:space="0" w:color="auto"/>
              <w:right w:val="single" w:sz="4" w:space="0" w:color="auto"/>
            </w:tcBorders>
            <w:shd w:val="clear" w:color="000000" w:fill="95B3D7"/>
            <w:noWrap/>
            <w:vAlign w:val="center"/>
            <w:hideMark/>
          </w:tcPr>
          <w:p w14:paraId="2126E54C" w14:textId="77777777" w:rsidR="005D3AC5" w:rsidRPr="00424743" w:rsidRDefault="005D3AC5" w:rsidP="003D0EF2">
            <w:pPr>
              <w:rPr>
                <w:rFonts w:ascii="Arial" w:hAnsi="Arial" w:cs="Arial"/>
                <w:color w:val="000000"/>
                <w:sz w:val="18"/>
                <w:szCs w:val="18"/>
              </w:rPr>
            </w:pPr>
            <w:r w:rsidRPr="00424743">
              <w:rPr>
                <w:rFonts w:ascii="Arial" w:hAnsi="Arial" w:cs="Arial"/>
                <w:color w:val="000000"/>
                <w:sz w:val="18"/>
                <w:szCs w:val="18"/>
              </w:rPr>
              <w:t xml:space="preserve">Total </w:t>
            </w:r>
          </w:p>
        </w:tc>
        <w:tc>
          <w:tcPr>
            <w:tcW w:w="1560"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6C376514" w14:textId="77777777" w:rsidR="005D3AC5" w:rsidRPr="00424743" w:rsidRDefault="005D3AC5" w:rsidP="003D0EF2">
            <w:pPr>
              <w:jc w:val="right"/>
              <w:rPr>
                <w:rFonts w:ascii="Arial" w:hAnsi="Arial" w:cs="Arial"/>
                <w:color w:val="000000"/>
                <w:sz w:val="18"/>
                <w:szCs w:val="18"/>
              </w:rPr>
            </w:pPr>
            <w:r w:rsidRPr="00424743">
              <w:rPr>
                <w:rFonts w:ascii="Arial" w:hAnsi="Arial" w:cs="Arial"/>
                <w:color w:val="000000"/>
                <w:sz w:val="18"/>
                <w:szCs w:val="18"/>
              </w:rPr>
              <w:t>25</w:t>
            </w:r>
          </w:p>
        </w:tc>
        <w:tc>
          <w:tcPr>
            <w:tcW w:w="601"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42DB39E" w14:textId="77777777" w:rsidR="005D3AC5" w:rsidRPr="00424743" w:rsidRDefault="005D3AC5" w:rsidP="004D49FB">
            <w:pPr>
              <w:jc w:val="right"/>
              <w:rPr>
                <w:rFonts w:ascii="Arial" w:hAnsi="Arial" w:cs="Arial"/>
                <w:color w:val="000000"/>
                <w:sz w:val="18"/>
                <w:szCs w:val="18"/>
              </w:rPr>
            </w:pPr>
            <w:r w:rsidRPr="00424743">
              <w:rPr>
                <w:rFonts w:ascii="Arial" w:hAnsi="Arial" w:cs="Arial"/>
                <w:color w:val="000000"/>
                <w:sz w:val="18"/>
                <w:szCs w:val="18"/>
              </w:rPr>
              <w:t>100</w:t>
            </w:r>
          </w:p>
        </w:tc>
        <w:tc>
          <w:tcPr>
            <w:tcW w:w="1381" w:type="dxa"/>
            <w:tcBorders>
              <w:top w:val="single" w:sz="4" w:space="0" w:color="auto"/>
              <w:left w:val="single" w:sz="4" w:space="0" w:color="auto"/>
              <w:bottom w:val="single" w:sz="4" w:space="0" w:color="auto"/>
              <w:right w:val="single" w:sz="4" w:space="0" w:color="auto"/>
            </w:tcBorders>
            <w:shd w:val="clear" w:color="000000" w:fill="95B3D7"/>
            <w:vAlign w:val="center"/>
          </w:tcPr>
          <w:p w14:paraId="085077EA" w14:textId="77777777" w:rsidR="005D3AC5" w:rsidRPr="00424743" w:rsidRDefault="005D3AC5" w:rsidP="003D0EF2">
            <w:pPr>
              <w:jc w:val="right"/>
              <w:rPr>
                <w:rFonts w:ascii="Arial" w:hAnsi="Arial" w:cs="Arial"/>
                <w:color w:val="000000"/>
                <w:sz w:val="18"/>
                <w:szCs w:val="18"/>
              </w:rPr>
            </w:pPr>
            <w:r>
              <w:rPr>
                <w:rFonts w:ascii="Arial" w:hAnsi="Arial" w:cs="Arial"/>
                <w:color w:val="000000"/>
                <w:sz w:val="18"/>
                <w:szCs w:val="18"/>
              </w:rPr>
              <w:t>31</w:t>
            </w:r>
          </w:p>
        </w:tc>
        <w:tc>
          <w:tcPr>
            <w:tcW w:w="601" w:type="dxa"/>
            <w:tcBorders>
              <w:top w:val="single" w:sz="4" w:space="0" w:color="auto"/>
              <w:left w:val="single" w:sz="4" w:space="0" w:color="auto"/>
              <w:bottom w:val="single" w:sz="4" w:space="0" w:color="auto"/>
              <w:right w:val="single" w:sz="4" w:space="0" w:color="auto"/>
            </w:tcBorders>
            <w:shd w:val="clear" w:color="000000" w:fill="95B3D7"/>
            <w:vAlign w:val="center"/>
          </w:tcPr>
          <w:p w14:paraId="1214F260" w14:textId="77777777" w:rsidR="005D3AC5" w:rsidRPr="00424743" w:rsidRDefault="005D3AC5" w:rsidP="004D49FB">
            <w:pPr>
              <w:jc w:val="right"/>
              <w:rPr>
                <w:rFonts w:ascii="Arial" w:hAnsi="Arial" w:cs="Arial"/>
                <w:color w:val="000000"/>
                <w:sz w:val="18"/>
                <w:szCs w:val="18"/>
              </w:rPr>
            </w:pPr>
            <w:r>
              <w:rPr>
                <w:rFonts w:ascii="Arial" w:hAnsi="Arial" w:cs="Arial"/>
                <w:color w:val="000000"/>
                <w:sz w:val="18"/>
                <w:szCs w:val="18"/>
              </w:rPr>
              <w:t>100</w:t>
            </w:r>
          </w:p>
        </w:tc>
        <w:tc>
          <w:tcPr>
            <w:tcW w:w="1485" w:type="dxa"/>
            <w:tcBorders>
              <w:top w:val="single" w:sz="4" w:space="0" w:color="auto"/>
              <w:left w:val="single" w:sz="4" w:space="0" w:color="auto"/>
              <w:bottom w:val="single" w:sz="4" w:space="0" w:color="auto"/>
              <w:right w:val="single" w:sz="4" w:space="0" w:color="auto"/>
            </w:tcBorders>
            <w:shd w:val="clear" w:color="000000" w:fill="95B3D7"/>
            <w:vAlign w:val="center"/>
          </w:tcPr>
          <w:p w14:paraId="48A3005A" w14:textId="77777777" w:rsidR="005D3AC5" w:rsidRPr="00424743" w:rsidRDefault="005D3AC5" w:rsidP="003D0EF2">
            <w:pPr>
              <w:jc w:val="right"/>
              <w:rPr>
                <w:rFonts w:ascii="Arial" w:hAnsi="Arial" w:cs="Arial"/>
                <w:color w:val="000000"/>
                <w:sz w:val="18"/>
                <w:szCs w:val="18"/>
              </w:rPr>
            </w:pPr>
            <w:r>
              <w:rPr>
                <w:rFonts w:ascii="Arial" w:hAnsi="Arial" w:cs="Arial"/>
                <w:color w:val="000000"/>
                <w:sz w:val="18"/>
                <w:szCs w:val="18"/>
              </w:rPr>
              <w:t>26</w:t>
            </w:r>
          </w:p>
        </w:tc>
        <w:tc>
          <w:tcPr>
            <w:tcW w:w="601" w:type="dxa"/>
            <w:tcBorders>
              <w:top w:val="single" w:sz="4" w:space="0" w:color="auto"/>
              <w:left w:val="single" w:sz="4" w:space="0" w:color="auto"/>
              <w:bottom w:val="single" w:sz="4" w:space="0" w:color="auto"/>
            </w:tcBorders>
            <w:shd w:val="clear" w:color="000000" w:fill="95B3D7"/>
            <w:vAlign w:val="center"/>
          </w:tcPr>
          <w:p w14:paraId="30514E5E" w14:textId="77777777" w:rsidR="005D3AC5" w:rsidRPr="00424743" w:rsidRDefault="005D3AC5" w:rsidP="004D49FB">
            <w:pPr>
              <w:jc w:val="right"/>
              <w:rPr>
                <w:rFonts w:ascii="Arial" w:hAnsi="Arial" w:cs="Arial"/>
                <w:color w:val="000000"/>
                <w:sz w:val="18"/>
                <w:szCs w:val="18"/>
              </w:rPr>
            </w:pPr>
            <w:r>
              <w:rPr>
                <w:rFonts w:ascii="Arial" w:hAnsi="Arial" w:cs="Arial"/>
                <w:color w:val="000000"/>
                <w:sz w:val="18"/>
                <w:szCs w:val="18"/>
              </w:rPr>
              <w:t>100</w:t>
            </w:r>
          </w:p>
        </w:tc>
      </w:tr>
    </w:tbl>
    <w:p w14:paraId="1BD08D5C" w14:textId="77777777" w:rsidR="005D3AC5" w:rsidRDefault="005D3AC5" w:rsidP="005D3AC5">
      <w:pPr>
        <w:pStyle w:val="texto"/>
        <w:tabs>
          <w:tab w:val="left" w:pos="480"/>
          <w:tab w:val="num" w:pos="600"/>
        </w:tabs>
        <w:spacing w:before="120"/>
        <w:ind w:firstLine="0"/>
        <w:jc w:val="both"/>
      </w:pPr>
    </w:p>
    <w:tbl>
      <w:tblPr>
        <w:tblW w:w="9072" w:type="dxa"/>
        <w:jc w:val="center"/>
        <w:tblCellMar>
          <w:left w:w="70" w:type="dxa"/>
          <w:right w:w="70" w:type="dxa"/>
        </w:tblCellMar>
        <w:tblLook w:val="04A0" w:firstRow="1" w:lastRow="0" w:firstColumn="1" w:lastColumn="0" w:noHBand="0" w:noVBand="1"/>
      </w:tblPr>
      <w:tblGrid>
        <w:gridCol w:w="2835"/>
        <w:gridCol w:w="2127"/>
        <w:gridCol w:w="2268"/>
        <w:gridCol w:w="1842"/>
      </w:tblGrid>
      <w:tr w:rsidR="005D3AC5" w14:paraId="2A23ED07" w14:textId="77777777" w:rsidTr="00882851">
        <w:trPr>
          <w:trHeight w:val="255"/>
          <w:jc w:val="center"/>
        </w:trPr>
        <w:tc>
          <w:tcPr>
            <w:tcW w:w="2835" w:type="dxa"/>
            <w:tcBorders>
              <w:top w:val="single" w:sz="4" w:space="0" w:color="auto"/>
              <w:left w:val="nil"/>
              <w:bottom w:val="single" w:sz="4" w:space="0" w:color="auto"/>
              <w:right w:val="single" w:sz="4" w:space="0" w:color="auto"/>
            </w:tcBorders>
            <w:shd w:val="clear" w:color="000000" w:fill="95B3D7"/>
            <w:noWrap/>
            <w:vAlign w:val="center"/>
            <w:hideMark/>
          </w:tcPr>
          <w:p w14:paraId="2ACBCE2D" w14:textId="77777777" w:rsidR="005D3AC5" w:rsidRDefault="005D3AC5" w:rsidP="003D0EF2">
            <w:pPr>
              <w:rPr>
                <w:rFonts w:ascii="Arial" w:hAnsi="Arial" w:cs="Arial"/>
                <w:color w:val="000000"/>
                <w:sz w:val="18"/>
                <w:szCs w:val="18"/>
              </w:rPr>
            </w:pPr>
            <w:r>
              <w:rPr>
                <w:rFonts w:ascii="Arial" w:hAnsi="Arial" w:cs="Arial"/>
                <w:color w:val="000000"/>
                <w:sz w:val="18"/>
                <w:szCs w:val="18"/>
              </w:rPr>
              <w:t xml:space="preserve">Baja </w:t>
            </w:r>
          </w:p>
        </w:tc>
        <w:tc>
          <w:tcPr>
            <w:tcW w:w="2127"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67B16053" w14:textId="77777777" w:rsidR="005D3AC5" w:rsidRDefault="005D3AC5" w:rsidP="003D0EF2">
            <w:pPr>
              <w:jc w:val="right"/>
              <w:rPr>
                <w:rFonts w:ascii="Arial" w:hAnsi="Arial" w:cs="Arial"/>
                <w:color w:val="000000"/>
                <w:sz w:val="18"/>
                <w:szCs w:val="18"/>
              </w:rPr>
            </w:pPr>
            <w:r>
              <w:rPr>
                <w:rFonts w:ascii="Arial" w:hAnsi="Arial" w:cs="Arial"/>
                <w:color w:val="000000"/>
                <w:sz w:val="18"/>
                <w:szCs w:val="18"/>
              </w:rPr>
              <w:t>Obra</w:t>
            </w:r>
          </w:p>
        </w:tc>
        <w:tc>
          <w:tcPr>
            <w:tcW w:w="2268" w:type="dxa"/>
            <w:tcBorders>
              <w:top w:val="single" w:sz="4" w:space="0" w:color="auto"/>
              <w:left w:val="single" w:sz="4" w:space="0" w:color="auto"/>
              <w:bottom w:val="single" w:sz="4" w:space="0" w:color="auto"/>
              <w:right w:val="single" w:sz="4" w:space="0" w:color="auto"/>
            </w:tcBorders>
            <w:shd w:val="clear" w:color="000000" w:fill="95B3D7"/>
            <w:vAlign w:val="center"/>
          </w:tcPr>
          <w:p w14:paraId="1AC9310A" w14:textId="77777777" w:rsidR="005D3AC5" w:rsidRDefault="005D3AC5" w:rsidP="003D0EF2">
            <w:pPr>
              <w:jc w:val="right"/>
              <w:rPr>
                <w:rFonts w:ascii="Arial" w:hAnsi="Arial" w:cs="Arial"/>
                <w:color w:val="000000"/>
                <w:sz w:val="18"/>
                <w:szCs w:val="18"/>
              </w:rPr>
            </w:pPr>
            <w:r>
              <w:rPr>
                <w:rFonts w:ascii="Arial" w:hAnsi="Arial" w:cs="Arial"/>
                <w:color w:val="000000"/>
                <w:sz w:val="18"/>
                <w:szCs w:val="18"/>
              </w:rPr>
              <w:t>Suministro</w:t>
            </w:r>
          </w:p>
        </w:tc>
        <w:tc>
          <w:tcPr>
            <w:tcW w:w="1842" w:type="dxa"/>
            <w:tcBorders>
              <w:top w:val="single" w:sz="4" w:space="0" w:color="auto"/>
              <w:left w:val="single" w:sz="4" w:space="0" w:color="auto"/>
              <w:bottom w:val="single" w:sz="4" w:space="0" w:color="auto"/>
            </w:tcBorders>
            <w:shd w:val="clear" w:color="000000" w:fill="95B3D7"/>
            <w:vAlign w:val="center"/>
          </w:tcPr>
          <w:p w14:paraId="336AFACA" w14:textId="77777777" w:rsidR="005D3AC5" w:rsidRDefault="005D3AC5" w:rsidP="003D0EF2">
            <w:pPr>
              <w:jc w:val="right"/>
              <w:rPr>
                <w:rFonts w:ascii="Arial" w:hAnsi="Arial" w:cs="Arial"/>
                <w:color w:val="000000"/>
                <w:sz w:val="18"/>
                <w:szCs w:val="18"/>
              </w:rPr>
            </w:pPr>
            <w:r>
              <w:rPr>
                <w:rFonts w:ascii="Arial" w:hAnsi="Arial" w:cs="Arial"/>
                <w:color w:val="000000"/>
                <w:sz w:val="18"/>
                <w:szCs w:val="18"/>
              </w:rPr>
              <w:t>Servicio</w:t>
            </w:r>
          </w:p>
        </w:tc>
      </w:tr>
      <w:tr w:rsidR="00C67EED" w14:paraId="5D278004" w14:textId="77777777" w:rsidTr="00D45736">
        <w:trPr>
          <w:trHeight w:val="255"/>
          <w:jc w:val="center"/>
        </w:trPr>
        <w:tc>
          <w:tcPr>
            <w:tcW w:w="2835" w:type="dxa"/>
            <w:tcBorders>
              <w:top w:val="single" w:sz="4" w:space="0" w:color="auto"/>
              <w:left w:val="nil"/>
              <w:bottom w:val="single" w:sz="4" w:space="0" w:color="auto"/>
              <w:right w:val="single" w:sz="4" w:space="0" w:color="auto"/>
            </w:tcBorders>
            <w:shd w:val="clear" w:color="000000" w:fill="95B3D7"/>
            <w:noWrap/>
            <w:vAlign w:val="center"/>
          </w:tcPr>
          <w:p w14:paraId="3F48F09F" w14:textId="77777777" w:rsidR="00C67EED" w:rsidRDefault="00C67EED" w:rsidP="003D0EF2">
            <w:pPr>
              <w:rPr>
                <w:rFonts w:ascii="Arial" w:hAnsi="Arial" w:cs="Arial"/>
                <w:color w:val="000000"/>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000000" w:fill="95B3D7"/>
            <w:noWrap/>
            <w:vAlign w:val="center"/>
          </w:tcPr>
          <w:p w14:paraId="6C43DDC0" w14:textId="77777777" w:rsidR="00C67EED" w:rsidRDefault="00C67EED" w:rsidP="003D0EF2">
            <w:pPr>
              <w:jc w:val="right"/>
              <w:rPr>
                <w:rFonts w:ascii="Arial" w:hAnsi="Arial" w:cs="Arial"/>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000000" w:fill="95B3D7"/>
            <w:vAlign w:val="center"/>
          </w:tcPr>
          <w:p w14:paraId="029EEE5D" w14:textId="77777777" w:rsidR="00C67EED" w:rsidRDefault="00C67EED" w:rsidP="003D0EF2">
            <w:pPr>
              <w:jc w:val="right"/>
              <w:rPr>
                <w:rFonts w:ascii="Arial" w:hAnsi="Arial" w:cs="Arial"/>
                <w:color w:val="000000"/>
                <w:sz w:val="18"/>
                <w:szCs w:val="18"/>
              </w:rPr>
            </w:pPr>
          </w:p>
        </w:tc>
        <w:tc>
          <w:tcPr>
            <w:tcW w:w="1842" w:type="dxa"/>
            <w:tcBorders>
              <w:top w:val="single" w:sz="4" w:space="0" w:color="auto"/>
              <w:left w:val="single" w:sz="4" w:space="0" w:color="auto"/>
              <w:bottom w:val="single" w:sz="4" w:space="0" w:color="auto"/>
            </w:tcBorders>
            <w:shd w:val="clear" w:color="000000" w:fill="95B3D7"/>
            <w:vAlign w:val="center"/>
          </w:tcPr>
          <w:p w14:paraId="262B1092" w14:textId="77777777" w:rsidR="00C67EED" w:rsidRDefault="00C67EED" w:rsidP="003D0EF2">
            <w:pPr>
              <w:jc w:val="right"/>
              <w:rPr>
                <w:rFonts w:ascii="Arial" w:hAnsi="Arial" w:cs="Arial"/>
                <w:color w:val="000000"/>
                <w:sz w:val="18"/>
                <w:szCs w:val="18"/>
              </w:rPr>
            </w:pPr>
          </w:p>
        </w:tc>
      </w:tr>
      <w:tr w:rsidR="005D3AC5" w:rsidRPr="002A22CC" w14:paraId="1BD9243B" w14:textId="77777777" w:rsidTr="00D45736">
        <w:trPr>
          <w:trHeight w:val="117"/>
          <w:jc w:val="center"/>
        </w:trPr>
        <w:tc>
          <w:tcPr>
            <w:tcW w:w="2835" w:type="dxa"/>
            <w:tcBorders>
              <w:top w:val="single" w:sz="4" w:space="0" w:color="auto"/>
              <w:left w:val="nil"/>
              <w:bottom w:val="single" w:sz="2" w:space="0" w:color="auto"/>
              <w:right w:val="single" w:sz="4" w:space="0" w:color="auto"/>
            </w:tcBorders>
            <w:shd w:val="clear" w:color="auto" w:fill="auto"/>
            <w:noWrap/>
            <w:vAlign w:val="center"/>
            <w:hideMark/>
          </w:tcPr>
          <w:p w14:paraId="4F66F52A" w14:textId="77777777" w:rsidR="005D3AC5" w:rsidRPr="002A22CC" w:rsidRDefault="005D3AC5" w:rsidP="003D0EF2">
            <w:pPr>
              <w:rPr>
                <w:rFonts w:ascii="Arial Narrow" w:hAnsi="Arial Narrow" w:cs="Calibri"/>
                <w:color w:val="000000"/>
                <w:sz w:val="18"/>
                <w:szCs w:val="18"/>
              </w:rPr>
            </w:pPr>
            <w:r>
              <w:rPr>
                <w:rFonts w:ascii="Arial Narrow" w:hAnsi="Arial Narrow" w:cs="Calibri"/>
                <w:color w:val="000000"/>
                <w:sz w:val="18"/>
                <w:szCs w:val="18"/>
              </w:rPr>
              <w:t>Rango</w:t>
            </w:r>
          </w:p>
        </w:tc>
        <w:tc>
          <w:tcPr>
            <w:tcW w:w="2127" w:type="dxa"/>
            <w:tcBorders>
              <w:top w:val="single" w:sz="4" w:space="0" w:color="auto"/>
              <w:left w:val="single" w:sz="4" w:space="0" w:color="auto"/>
              <w:bottom w:val="single" w:sz="2" w:space="0" w:color="auto"/>
              <w:right w:val="single" w:sz="4" w:space="0" w:color="auto"/>
            </w:tcBorders>
            <w:shd w:val="clear" w:color="auto" w:fill="auto"/>
            <w:noWrap/>
            <w:vAlign w:val="center"/>
            <w:hideMark/>
          </w:tcPr>
          <w:p w14:paraId="3BD832AF" w14:textId="77777777" w:rsidR="005D3AC5" w:rsidRPr="002A22CC" w:rsidRDefault="005D3AC5" w:rsidP="003D0EF2">
            <w:pPr>
              <w:jc w:val="right"/>
              <w:rPr>
                <w:rFonts w:ascii="Arial Narrow" w:hAnsi="Arial Narrow" w:cs="Calibri"/>
                <w:color w:val="000000"/>
                <w:sz w:val="18"/>
                <w:szCs w:val="18"/>
              </w:rPr>
            </w:pPr>
            <w:r>
              <w:rPr>
                <w:rFonts w:ascii="Arial Narrow" w:hAnsi="Arial Narrow" w:cs="Calibri"/>
                <w:color w:val="000000"/>
                <w:sz w:val="18"/>
                <w:szCs w:val="18"/>
              </w:rPr>
              <w:t>0%-20%</w:t>
            </w:r>
          </w:p>
        </w:tc>
        <w:tc>
          <w:tcPr>
            <w:tcW w:w="2268" w:type="dxa"/>
            <w:tcBorders>
              <w:top w:val="single" w:sz="4" w:space="0" w:color="auto"/>
              <w:left w:val="single" w:sz="4" w:space="0" w:color="auto"/>
              <w:bottom w:val="single" w:sz="2" w:space="0" w:color="auto"/>
              <w:right w:val="single" w:sz="4" w:space="0" w:color="auto"/>
            </w:tcBorders>
            <w:shd w:val="clear" w:color="auto" w:fill="auto"/>
            <w:vAlign w:val="center"/>
          </w:tcPr>
          <w:p w14:paraId="701D4906" w14:textId="77777777" w:rsidR="005D3AC5" w:rsidRPr="00F769E2" w:rsidRDefault="005D3AC5" w:rsidP="003D0EF2">
            <w:pPr>
              <w:jc w:val="right"/>
              <w:rPr>
                <w:rFonts w:ascii="Arial Narrow" w:hAnsi="Arial Narrow" w:cs="Calibri"/>
                <w:color w:val="000000"/>
                <w:sz w:val="18"/>
                <w:szCs w:val="18"/>
              </w:rPr>
            </w:pPr>
            <w:r w:rsidRPr="00F769E2">
              <w:rPr>
                <w:rFonts w:ascii="Arial Narrow" w:hAnsi="Arial Narrow" w:cs="Calibri"/>
                <w:color w:val="000000"/>
                <w:sz w:val="18"/>
                <w:szCs w:val="18"/>
              </w:rPr>
              <w:t>0%-26,</w:t>
            </w:r>
            <w:r w:rsidR="007B6ADB">
              <w:rPr>
                <w:rFonts w:ascii="Arial Narrow" w:hAnsi="Arial Narrow" w:cs="Calibri"/>
                <w:color w:val="000000"/>
                <w:sz w:val="18"/>
                <w:szCs w:val="18"/>
              </w:rPr>
              <w:t>1</w:t>
            </w:r>
            <w:r w:rsidRPr="00F769E2">
              <w:rPr>
                <w:rFonts w:ascii="Arial Narrow" w:hAnsi="Arial Narrow" w:cs="Calibri"/>
                <w:color w:val="000000"/>
                <w:sz w:val="18"/>
                <w:szCs w:val="18"/>
              </w:rPr>
              <w:t>8%</w:t>
            </w:r>
          </w:p>
        </w:tc>
        <w:tc>
          <w:tcPr>
            <w:tcW w:w="1842" w:type="dxa"/>
            <w:tcBorders>
              <w:top w:val="single" w:sz="4" w:space="0" w:color="auto"/>
              <w:left w:val="single" w:sz="4" w:space="0" w:color="auto"/>
              <w:bottom w:val="single" w:sz="2" w:space="0" w:color="auto"/>
            </w:tcBorders>
            <w:shd w:val="clear" w:color="auto" w:fill="auto"/>
            <w:vAlign w:val="center"/>
          </w:tcPr>
          <w:p w14:paraId="2E876923" w14:textId="77777777" w:rsidR="005D3AC5" w:rsidRPr="00F769E2" w:rsidRDefault="005D3AC5" w:rsidP="003D0EF2">
            <w:pPr>
              <w:jc w:val="right"/>
              <w:rPr>
                <w:rFonts w:ascii="Arial Narrow" w:hAnsi="Arial Narrow" w:cs="Calibri"/>
                <w:color w:val="000000"/>
                <w:sz w:val="18"/>
                <w:szCs w:val="18"/>
              </w:rPr>
            </w:pPr>
            <w:r w:rsidRPr="00F769E2">
              <w:rPr>
                <w:rFonts w:ascii="Arial Narrow" w:hAnsi="Arial Narrow" w:cs="Calibri"/>
                <w:color w:val="000000"/>
                <w:sz w:val="18"/>
                <w:szCs w:val="18"/>
              </w:rPr>
              <w:t>0%-19,75%</w:t>
            </w:r>
          </w:p>
        </w:tc>
      </w:tr>
      <w:tr w:rsidR="005D3AC5" w:rsidRPr="002A22CC" w14:paraId="6A744CFA" w14:textId="77777777" w:rsidTr="00D45736">
        <w:trPr>
          <w:trHeight w:val="255"/>
          <w:jc w:val="center"/>
        </w:trPr>
        <w:tc>
          <w:tcPr>
            <w:tcW w:w="2835" w:type="dxa"/>
            <w:tcBorders>
              <w:top w:val="single" w:sz="2" w:space="0" w:color="auto"/>
              <w:left w:val="nil"/>
              <w:bottom w:val="single" w:sz="4" w:space="0" w:color="auto"/>
              <w:right w:val="single" w:sz="4" w:space="0" w:color="auto"/>
            </w:tcBorders>
            <w:shd w:val="clear" w:color="auto" w:fill="auto"/>
            <w:noWrap/>
            <w:vAlign w:val="center"/>
            <w:hideMark/>
          </w:tcPr>
          <w:p w14:paraId="744FADF8" w14:textId="77777777" w:rsidR="005D3AC5" w:rsidRPr="002A22CC" w:rsidRDefault="005D3AC5" w:rsidP="003D0EF2">
            <w:pPr>
              <w:rPr>
                <w:rFonts w:ascii="Arial Narrow" w:hAnsi="Arial Narrow" w:cs="Calibri"/>
                <w:color w:val="000000"/>
                <w:sz w:val="18"/>
                <w:szCs w:val="18"/>
              </w:rPr>
            </w:pPr>
            <w:r>
              <w:rPr>
                <w:rFonts w:ascii="Arial Narrow" w:hAnsi="Arial Narrow" w:cs="Calibri"/>
                <w:color w:val="000000"/>
                <w:sz w:val="18"/>
                <w:szCs w:val="18"/>
              </w:rPr>
              <w:t>Promedio</w:t>
            </w:r>
          </w:p>
        </w:tc>
        <w:tc>
          <w:tcPr>
            <w:tcW w:w="2127" w:type="dxa"/>
            <w:tcBorders>
              <w:top w:val="single" w:sz="2" w:space="0" w:color="auto"/>
              <w:left w:val="single" w:sz="4" w:space="0" w:color="auto"/>
              <w:bottom w:val="single" w:sz="4" w:space="0" w:color="auto"/>
              <w:right w:val="single" w:sz="4" w:space="0" w:color="auto"/>
            </w:tcBorders>
            <w:shd w:val="clear" w:color="auto" w:fill="auto"/>
            <w:noWrap/>
            <w:vAlign w:val="center"/>
            <w:hideMark/>
          </w:tcPr>
          <w:p w14:paraId="2FD1E853" w14:textId="77777777" w:rsidR="005D3AC5" w:rsidRPr="002A22CC" w:rsidRDefault="005D3AC5" w:rsidP="003D0EF2">
            <w:pPr>
              <w:jc w:val="right"/>
              <w:rPr>
                <w:rFonts w:ascii="Arial Narrow" w:hAnsi="Arial Narrow" w:cs="Calibri"/>
                <w:color w:val="000000"/>
                <w:sz w:val="18"/>
                <w:szCs w:val="18"/>
              </w:rPr>
            </w:pPr>
            <w:r>
              <w:rPr>
                <w:rFonts w:ascii="Arial Narrow" w:hAnsi="Arial Narrow" w:cs="Calibri"/>
                <w:color w:val="000000"/>
                <w:sz w:val="18"/>
                <w:szCs w:val="18"/>
              </w:rPr>
              <w:t>9%</w:t>
            </w:r>
          </w:p>
        </w:tc>
        <w:tc>
          <w:tcPr>
            <w:tcW w:w="2268" w:type="dxa"/>
            <w:tcBorders>
              <w:top w:val="single" w:sz="2" w:space="0" w:color="auto"/>
              <w:left w:val="single" w:sz="4" w:space="0" w:color="auto"/>
              <w:bottom w:val="single" w:sz="4" w:space="0" w:color="auto"/>
              <w:right w:val="single" w:sz="4" w:space="0" w:color="auto"/>
            </w:tcBorders>
            <w:shd w:val="clear" w:color="auto" w:fill="auto"/>
            <w:vAlign w:val="center"/>
          </w:tcPr>
          <w:p w14:paraId="22CA7AEA" w14:textId="77777777" w:rsidR="005D3AC5" w:rsidRPr="00F769E2" w:rsidRDefault="005D3AC5" w:rsidP="003D0EF2">
            <w:pPr>
              <w:jc w:val="right"/>
              <w:rPr>
                <w:rFonts w:ascii="Arial Narrow" w:hAnsi="Arial Narrow" w:cs="Calibri"/>
                <w:color w:val="000000"/>
                <w:sz w:val="18"/>
                <w:szCs w:val="18"/>
              </w:rPr>
            </w:pPr>
            <w:r w:rsidRPr="00F769E2">
              <w:rPr>
                <w:rFonts w:ascii="Arial Narrow" w:hAnsi="Arial Narrow" w:cs="Calibri"/>
                <w:color w:val="000000"/>
                <w:sz w:val="18"/>
                <w:szCs w:val="18"/>
              </w:rPr>
              <w:t>4%</w:t>
            </w:r>
          </w:p>
        </w:tc>
        <w:tc>
          <w:tcPr>
            <w:tcW w:w="1842" w:type="dxa"/>
            <w:tcBorders>
              <w:top w:val="single" w:sz="2" w:space="0" w:color="auto"/>
              <w:left w:val="single" w:sz="4" w:space="0" w:color="auto"/>
              <w:bottom w:val="single" w:sz="4" w:space="0" w:color="auto"/>
            </w:tcBorders>
            <w:shd w:val="clear" w:color="auto" w:fill="auto"/>
            <w:vAlign w:val="center"/>
          </w:tcPr>
          <w:p w14:paraId="4CDA36C7" w14:textId="77777777" w:rsidR="005D3AC5" w:rsidRPr="00F769E2" w:rsidRDefault="005D3AC5" w:rsidP="003D0EF2">
            <w:pPr>
              <w:jc w:val="right"/>
              <w:rPr>
                <w:rFonts w:ascii="Arial Narrow" w:hAnsi="Arial Narrow" w:cs="Calibri"/>
                <w:color w:val="000000"/>
                <w:sz w:val="18"/>
                <w:szCs w:val="18"/>
              </w:rPr>
            </w:pPr>
            <w:r w:rsidRPr="00F769E2">
              <w:rPr>
                <w:rFonts w:ascii="Arial Narrow" w:hAnsi="Arial Narrow" w:cs="Calibri"/>
                <w:color w:val="000000"/>
                <w:sz w:val="18"/>
                <w:szCs w:val="18"/>
              </w:rPr>
              <w:t>7 %</w:t>
            </w:r>
          </w:p>
        </w:tc>
      </w:tr>
    </w:tbl>
    <w:p w14:paraId="0ABA071D" w14:textId="77777777" w:rsidR="005D3AC5" w:rsidRDefault="005D3AC5" w:rsidP="005D3AC5">
      <w:pPr>
        <w:pStyle w:val="texto"/>
        <w:tabs>
          <w:tab w:val="left" w:pos="480"/>
          <w:tab w:val="num" w:pos="600"/>
        </w:tabs>
        <w:spacing w:before="120"/>
        <w:ind w:firstLine="0"/>
        <w:jc w:val="both"/>
      </w:pPr>
    </w:p>
    <w:tbl>
      <w:tblPr>
        <w:tblW w:w="9214" w:type="dxa"/>
        <w:jc w:val="center"/>
        <w:tblCellMar>
          <w:left w:w="70" w:type="dxa"/>
          <w:right w:w="70" w:type="dxa"/>
        </w:tblCellMar>
        <w:tblLook w:val="04A0" w:firstRow="1" w:lastRow="0" w:firstColumn="1" w:lastColumn="0" w:noHBand="0" w:noVBand="1"/>
      </w:tblPr>
      <w:tblGrid>
        <w:gridCol w:w="1614"/>
        <w:gridCol w:w="1222"/>
        <w:gridCol w:w="1559"/>
        <w:gridCol w:w="1276"/>
        <w:gridCol w:w="1275"/>
        <w:gridCol w:w="993"/>
        <w:gridCol w:w="1275"/>
      </w:tblGrid>
      <w:tr w:rsidR="004D49FB" w:rsidRPr="00191BF0" w14:paraId="6E2B4B4E" w14:textId="77777777" w:rsidTr="004D49FB">
        <w:trPr>
          <w:trHeight w:val="255"/>
          <w:jc w:val="center"/>
        </w:trPr>
        <w:tc>
          <w:tcPr>
            <w:tcW w:w="1614" w:type="dxa"/>
            <w:vMerge w:val="restart"/>
            <w:tcBorders>
              <w:top w:val="single" w:sz="4" w:space="0" w:color="auto"/>
              <w:left w:val="nil"/>
              <w:right w:val="single" w:sz="4" w:space="0" w:color="auto"/>
            </w:tcBorders>
            <w:shd w:val="clear" w:color="000000" w:fill="95B3D7"/>
            <w:noWrap/>
            <w:vAlign w:val="center"/>
            <w:hideMark/>
          </w:tcPr>
          <w:p w14:paraId="1DAF936B" w14:textId="77777777" w:rsidR="004D49FB" w:rsidRPr="00191BF0" w:rsidRDefault="004D49FB" w:rsidP="003D0EF2">
            <w:pPr>
              <w:rPr>
                <w:rFonts w:ascii="Arial" w:hAnsi="Arial" w:cs="Arial"/>
                <w:sz w:val="18"/>
                <w:szCs w:val="18"/>
              </w:rPr>
            </w:pPr>
            <w:r>
              <w:rPr>
                <w:rFonts w:ascii="Arial" w:hAnsi="Arial" w:cs="Arial"/>
                <w:color w:val="000000"/>
                <w:sz w:val="18"/>
                <w:szCs w:val="18"/>
              </w:rPr>
              <w:t xml:space="preserve">Criterios </w:t>
            </w:r>
          </w:p>
        </w:tc>
        <w:tc>
          <w:tcPr>
            <w:tcW w:w="2781" w:type="dxa"/>
            <w:gridSpan w:val="2"/>
            <w:tcBorders>
              <w:top w:val="single" w:sz="4" w:space="0" w:color="auto"/>
              <w:left w:val="single" w:sz="4" w:space="0" w:color="auto"/>
              <w:bottom w:val="single" w:sz="4" w:space="0" w:color="auto"/>
            </w:tcBorders>
            <w:shd w:val="clear" w:color="000000" w:fill="95B3D7"/>
            <w:noWrap/>
            <w:vAlign w:val="center"/>
            <w:hideMark/>
          </w:tcPr>
          <w:p w14:paraId="73B725F7" w14:textId="77777777" w:rsidR="004D49FB" w:rsidRPr="00191BF0" w:rsidRDefault="004D49FB" w:rsidP="003D0EF2">
            <w:pPr>
              <w:jc w:val="center"/>
              <w:rPr>
                <w:rFonts w:ascii="Arial" w:hAnsi="Arial" w:cs="Arial"/>
                <w:sz w:val="18"/>
                <w:szCs w:val="18"/>
              </w:rPr>
            </w:pPr>
            <w:r>
              <w:rPr>
                <w:rFonts w:ascii="Arial" w:hAnsi="Arial" w:cs="Arial"/>
                <w:sz w:val="18"/>
                <w:szCs w:val="18"/>
              </w:rPr>
              <w:t>Obra</w:t>
            </w:r>
          </w:p>
        </w:tc>
        <w:tc>
          <w:tcPr>
            <w:tcW w:w="2551" w:type="dxa"/>
            <w:gridSpan w:val="2"/>
            <w:tcBorders>
              <w:top w:val="single" w:sz="4" w:space="0" w:color="auto"/>
              <w:bottom w:val="single" w:sz="4" w:space="0" w:color="auto"/>
            </w:tcBorders>
            <w:shd w:val="clear" w:color="000000" w:fill="95B3D7"/>
            <w:noWrap/>
            <w:vAlign w:val="center"/>
            <w:hideMark/>
          </w:tcPr>
          <w:p w14:paraId="54387A7A" w14:textId="77777777" w:rsidR="004D49FB" w:rsidRPr="00191BF0" w:rsidRDefault="004D49FB" w:rsidP="003D0EF2">
            <w:pPr>
              <w:jc w:val="center"/>
              <w:rPr>
                <w:rFonts w:ascii="Arial" w:hAnsi="Arial" w:cs="Arial"/>
                <w:sz w:val="18"/>
                <w:szCs w:val="18"/>
              </w:rPr>
            </w:pPr>
            <w:r>
              <w:rPr>
                <w:rFonts w:ascii="Arial" w:hAnsi="Arial" w:cs="Arial"/>
                <w:sz w:val="18"/>
                <w:szCs w:val="18"/>
              </w:rPr>
              <w:t>Suministro</w:t>
            </w:r>
          </w:p>
        </w:tc>
        <w:tc>
          <w:tcPr>
            <w:tcW w:w="2268" w:type="dxa"/>
            <w:gridSpan w:val="2"/>
            <w:tcBorders>
              <w:top w:val="single" w:sz="4" w:space="0" w:color="auto"/>
              <w:left w:val="nil"/>
              <w:bottom w:val="single" w:sz="4" w:space="0" w:color="auto"/>
            </w:tcBorders>
            <w:shd w:val="clear" w:color="000000" w:fill="95B3D7"/>
            <w:vAlign w:val="center"/>
          </w:tcPr>
          <w:p w14:paraId="15BF7D01" w14:textId="77777777" w:rsidR="004D49FB" w:rsidRPr="00191BF0" w:rsidRDefault="004D49FB" w:rsidP="003D0EF2">
            <w:pPr>
              <w:jc w:val="center"/>
              <w:rPr>
                <w:rFonts w:ascii="Arial" w:hAnsi="Arial" w:cs="Arial"/>
                <w:sz w:val="18"/>
                <w:szCs w:val="18"/>
              </w:rPr>
            </w:pPr>
            <w:r>
              <w:rPr>
                <w:rFonts w:ascii="Arial" w:hAnsi="Arial" w:cs="Arial"/>
                <w:sz w:val="18"/>
                <w:szCs w:val="18"/>
              </w:rPr>
              <w:t>Servicio</w:t>
            </w:r>
          </w:p>
        </w:tc>
      </w:tr>
      <w:tr w:rsidR="004D49FB" w:rsidRPr="00424743" w14:paraId="3CB60B74" w14:textId="77777777" w:rsidTr="004D49FB">
        <w:trPr>
          <w:trHeight w:val="255"/>
          <w:jc w:val="center"/>
        </w:trPr>
        <w:tc>
          <w:tcPr>
            <w:tcW w:w="1614" w:type="dxa"/>
            <w:vMerge/>
            <w:tcBorders>
              <w:left w:val="nil"/>
              <w:bottom w:val="single" w:sz="4" w:space="0" w:color="auto"/>
              <w:right w:val="single" w:sz="4" w:space="0" w:color="auto"/>
            </w:tcBorders>
            <w:shd w:val="clear" w:color="000000" w:fill="95B3D7"/>
            <w:noWrap/>
            <w:vAlign w:val="center"/>
          </w:tcPr>
          <w:p w14:paraId="0DF4D52B" w14:textId="77777777" w:rsidR="004D49FB" w:rsidRPr="00424743" w:rsidRDefault="004D49FB" w:rsidP="003D0EF2">
            <w:pPr>
              <w:rPr>
                <w:rFonts w:ascii="Arial" w:hAnsi="Arial" w:cs="Arial"/>
                <w:color w:val="000000"/>
                <w:sz w:val="18"/>
                <w:szCs w:val="18"/>
              </w:rPr>
            </w:pPr>
          </w:p>
        </w:tc>
        <w:tc>
          <w:tcPr>
            <w:tcW w:w="1222"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04A28068" w14:textId="77777777" w:rsidR="004D49FB" w:rsidRDefault="004D49FB" w:rsidP="003D0EF2">
            <w:pPr>
              <w:jc w:val="right"/>
              <w:rPr>
                <w:rFonts w:ascii="Arial" w:hAnsi="Arial" w:cs="Arial"/>
                <w:color w:val="000000"/>
                <w:sz w:val="18"/>
                <w:szCs w:val="18"/>
              </w:rPr>
            </w:pPr>
            <w:r w:rsidRPr="00424743">
              <w:rPr>
                <w:rFonts w:ascii="Arial" w:hAnsi="Arial" w:cs="Arial"/>
                <w:color w:val="000000"/>
                <w:sz w:val="18"/>
                <w:szCs w:val="18"/>
              </w:rPr>
              <w:t>Nº de</w:t>
            </w:r>
          </w:p>
          <w:p w14:paraId="6924C895"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 xml:space="preserve"> contratos</w:t>
            </w:r>
          </w:p>
        </w:tc>
        <w:tc>
          <w:tcPr>
            <w:tcW w:w="1559"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432FDBD0" w14:textId="77777777" w:rsidR="004D49FB" w:rsidRPr="00424743" w:rsidRDefault="004D49FB" w:rsidP="003D0EF2">
            <w:pPr>
              <w:jc w:val="right"/>
              <w:rPr>
                <w:rFonts w:ascii="Arial" w:hAnsi="Arial" w:cs="Arial"/>
                <w:color w:val="000000"/>
                <w:sz w:val="18"/>
                <w:szCs w:val="18"/>
              </w:rPr>
            </w:pPr>
            <w:r>
              <w:rPr>
                <w:rFonts w:ascii="Arial" w:hAnsi="Arial" w:cs="Arial"/>
                <w:color w:val="000000"/>
                <w:sz w:val="18"/>
                <w:szCs w:val="18"/>
              </w:rPr>
              <w:t>Relación con el objeto</w:t>
            </w:r>
          </w:p>
        </w:tc>
        <w:tc>
          <w:tcPr>
            <w:tcW w:w="1276" w:type="dxa"/>
            <w:tcBorders>
              <w:top w:val="single" w:sz="4" w:space="0" w:color="auto"/>
              <w:left w:val="single" w:sz="4" w:space="0" w:color="auto"/>
              <w:bottom w:val="single" w:sz="4" w:space="0" w:color="auto"/>
              <w:right w:val="single" w:sz="4" w:space="0" w:color="auto"/>
            </w:tcBorders>
            <w:shd w:val="clear" w:color="000000" w:fill="95B3D7"/>
            <w:vAlign w:val="center"/>
          </w:tcPr>
          <w:p w14:paraId="1E1092AE" w14:textId="77777777" w:rsidR="004D49FB" w:rsidRDefault="004D49FB" w:rsidP="003D0EF2">
            <w:pPr>
              <w:jc w:val="right"/>
              <w:rPr>
                <w:rFonts w:ascii="Arial" w:hAnsi="Arial" w:cs="Arial"/>
                <w:color w:val="000000"/>
                <w:sz w:val="18"/>
                <w:szCs w:val="18"/>
              </w:rPr>
            </w:pPr>
            <w:r w:rsidRPr="00424743">
              <w:rPr>
                <w:rFonts w:ascii="Arial" w:hAnsi="Arial" w:cs="Arial"/>
                <w:color w:val="000000"/>
                <w:sz w:val="18"/>
                <w:szCs w:val="18"/>
              </w:rPr>
              <w:t xml:space="preserve">Nº </w:t>
            </w:r>
          </w:p>
          <w:p w14:paraId="7CD7E810"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de contratos</w:t>
            </w:r>
          </w:p>
        </w:tc>
        <w:tc>
          <w:tcPr>
            <w:tcW w:w="1275" w:type="dxa"/>
            <w:tcBorders>
              <w:top w:val="single" w:sz="4" w:space="0" w:color="auto"/>
              <w:left w:val="single" w:sz="4" w:space="0" w:color="auto"/>
              <w:bottom w:val="single" w:sz="4" w:space="0" w:color="auto"/>
              <w:right w:val="single" w:sz="4" w:space="0" w:color="auto"/>
            </w:tcBorders>
            <w:shd w:val="clear" w:color="000000" w:fill="95B3D7"/>
            <w:vAlign w:val="center"/>
          </w:tcPr>
          <w:p w14:paraId="01EE9944" w14:textId="77777777" w:rsidR="004D49FB" w:rsidRPr="00424743" w:rsidRDefault="004D49FB" w:rsidP="003D0EF2">
            <w:pPr>
              <w:jc w:val="right"/>
              <w:rPr>
                <w:rFonts w:ascii="Arial" w:hAnsi="Arial" w:cs="Arial"/>
                <w:color w:val="000000"/>
                <w:sz w:val="18"/>
                <w:szCs w:val="18"/>
              </w:rPr>
            </w:pPr>
            <w:r>
              <w:rPr>
                <w:rFonts w:ascii="Arial" w:hAnsi="Arial" w:cs="Arial"/>
                <w:color w:val="000000"/>
                <w:sz w:val="18"/>
                <w:szCs w:val="18"/>
              </w:rPr>
              <w:t>Relación con el objeto</w:t>
            </w:r>
          </w:p>
        </w:tc>
        <w:tc>
          <w:tcPr>
            <w:tcW w:w="993" w:type="dxa"/>
            <w:tcBorders>
              <w:top w:val="single" w:sz="4" w:space="0" w:color="auto"/>
              <w:left w:val="single" w:sz="4" w:space="0" w:color="auto"/>
              <w:bottom w:val="single" w:sz="4" w:space="0" w:color="auto"/>
              <w:right w:val="single" w:sz="4" w:space="0" w:color="auto"/>
            </w:tcBorders>
            <w:shd w:val="clear" w:color="000000" w:fill="95B3D7"/>
            <w:vAlign w:val="center"/>
          </w:tcPr>
          <w:p w14:paraId="397A6519" w14:textId="77777777" w:rsidR="004D49FB" w:rsidRDefault="004D49FB" w:rsidP="003D0EF2">
            <w:pPr>
              <w:jc w:val="right"/>
              <w:rPr>
                <w:rFonts w:ascii="Arial" w:hAnsi="Arial" w:cs="Arial"/>
                <w:color w:val="000000"/>
                <w:sz w:val="18"/>
                <w:szCs w:val="18"/>
              </w:rPr>
            </w:pPr>
            <w:r w:rsidRPr="00424743">
              <w:rPr>
                <w:rFonts w:ascii="Arial" w:hAnsi="Arial" w:cs="Arial"/>
                <w:color w:val="000000"/>
                <w:sz w:val="18"/>
                <w:szCs w:val="18"/>
              </w:rPr>
              <w:t>Nº de</w:t>
            </w:r>
          </w:p>
          <w:p w14:paraId="27854E0C" w14:textId="77777777" w:rsidR="004D49FB" w:rsidRPr="00424743" w:rsidRDefault="004D49FB" w:rsidP="003D0EF2">
            <w:pPr>
              <w:jc w:val="right"/>
              <w:rPr>
                <w:rFonts w:ascii="Arial" w:hAnsi="Arial" w:cs="Arial"/>
                <w:color w:val="000000"/>
                <w:sz w:val="18"/>
                <w:szCs w:val="18"/>
              </w:rPr>
            </w:pPr>
            <w:r w:rsidRPr="00424743">
              <w:rPr>
                <w:rFonts w:ascii="Arial" w:hAnsi="Arial" w:cs="Arial"/>
                <w:color w:val="000000"/>
                <w:sz w:val="18"/>
                <w:szCs w:val="18"/>
              </w:rPr>
              <w:t xml:space="preserve"> contratos</w:t>
            </w:r>
          </w:p>
        </w:tc>
        <w:tc>
          <w:tcPr>
            <w:tcW w:w="1275" w:type="dxa"/>
            <w:tcBorders>
              <w:top w:val="single" w:sz="4" w:space="0" w:color="auto"/>
              <w:left w:val="single" w:sz="4" w:space="0" w:color="auto"/>
              <w:bottom w:val="single" w:sz="4" w:space="0" w:color="auto"/>
            </w:tcBorders>
            <w:shd w:val="clear" w:color="000000" w:fill="95B3D7"/>
            <w:vAlign w:val="center"/>
          </w:tcPr>
          <w:p w14:paraId="400FE44C" w14:textId="77777777" w:rsidR="004D49FB" w:rsidRPr="00424743" w:rsidRDefault="004D49FB" w:rsidP="003D0EF2">
            <w:pPr>
              <w:jc w:val="right"/>
              <w:rPr>
                <w:rFonts w:ascii="Arial" w:hAnsi="Arial" w:cs="Arial"/>
                <w:color w:val="000000"/>
                <w:sz w:val="18"/>
                <w:szCs w:val="18"/>
              </w:rPr>
            </w:pPr>
            <w:r>
              <w:rPr>
                <w:rFonts w:ascii="Arial" w:hAnsi="Arial" w:cs="Arial"/>
                <w:color w:val="000000"/>
                <w:sz w:val="18"/>
                <w:szCs w:val="18"/>
              </w:rPr>
              <w:t>Relación con el objeto</w:t>
            </w:r>
          </w:p>
        </w:tc>
      </w:tr>
      <w:tr w:rsidR="005D3AC5" w:rsidRPr="002A22CC" w14:paraId="3B71E413" w14:textId="77777777" w:rsidTr="00882851">
        <w:trPr>
          <w:trHeight w:val="198"/>
          <w:jc w:val="center"/>
        </w:trPr>
        <w:tc>
          <w:tcPr>
            <w:tcW w:w="1614" w:type="dxa"/>
            <w:tcBorders>
              <w:top w:val="single" w:sz="4" w:space="0" w:color="auto"/>
              <w:left w:val="nil"/>
              <w:bottom w:val="single" w:sz="2" w:space="0" w:color="auto"/>
              <w:right w:val="single" w:sz="4" w:space="0" w:color="auto"/>
            </w:tcBorders>
            <w:shd w:val="clear" w:color="auto" w:fill="auto"/>
            <w:noWrap/>
            <w:vAlign w:val="center"/>
          </w:tcPr>
          <w:p w14:paraId="2EE244CC" w14:textId="77777777" w:rsidR="005D3AC5" w:rsidRPr="00493E8C" w:rsidRDefault="005D3AC5" w:rsidP="003D0EF2">
            <w:pPr>
              <w:rPr>
                <w:rFonts w:ascii="Arial Narrow" w:hAnsi="Arial Narrow" w:cs="Calibri"/>
                <w:color w:val="000000"/>
                <w:sz w:val="20"/>
                <w:szCs w:val="20"/>
              </w:rPr>
            </w:pPr>
            <w:r w:rsidRPr="00493E8C">
              <w:rPr>
                <w:rFonts w:ascii="Arial Narrow" w:hAnsi="Arial Narrow" w:cs="Calibri"/>
                <w:color w:val="000000"/>
                <w:sz w:val="20"/>
                <w:szCs w:val="20"/>
              </w:rPr>
              <w:t>Sociales</w:t>
            </w:r>
          </w:p>
        </w:tc>
        <w:tc>
          <w:tcPr>
            <w:tcW w:w="1222" w:type="dxa"/>
            <w:tcBorders>
              <w:top w:val="single" w:sz="4" w:space="0" w:color="auto"/>
              <w:left w:val="single" w:sz="4" w:space="0" w:color="auto"/>
              <w:bottom w:val="single" w:sz="2" w:space="0" w:color="auto"/>
              <w:right w:val="single" w:sz="4" w:space="0" w:color="auto"/>
            </w:tcBorders>
            <w:shd w:val="clear" w:color="auto" w:fill="auto"/>
            <w:noWrap/>
            <w:vAlign w:val="center"/>
          </w:tcPr>
          <w:p w14:paraId="39760FEA" w14:textId="77777777" w:rsidR="005D3AC5" w:rsidRPr="00F769E2" w:rsidRDefault="007B6ADB" w:rsidP="003D0EF2">
            <w:pPr>
              <w:jc w:val="right"/>
              <w:rPr>
                <w:rFonts w:ascii="Arial Narrow" w:hAnsi="Arial Narrow" w:cs="Calibri"/>
                <w:color w:val="000000"/>
                <w:sz w:val="18"/>
                <w:szCs w:val="18"/>
              </w:rPr>
            </w:pPr>
            <w:r>
              <w:rPr>
                <w:rFonts w:ascii="Arial Narrow" w:hAnsi="Arial Narrow" w:cs="Calibri"/>
                <w:color w:val="000000"/>
                <w:sz w:val="18"/>
                <w:szCs w:val="18"/>
              </w:rPr>
              <w:t>21</w:t>
            </w:r>
          </w:p>
        </w:tc>
        <w:tc>
          <w:tcPr>
            <w:tcW w:w="1559" w:type="dxa"/>
            <w:tcBorders>
              <w:top w:val="single" w:sz="4" w:space="0" w:color="auto"/>
              <w:left w:val="single" w:sz="4" w:space="0" w:color="auto"/>
              <w:bottom w:val="single" w:sz="2" w:space="0" w:color="auto"/>
              <w:right w:val="single" w:sz="4" w:space="0" w:color="auto"/>
            </w:tcBorders>
            <w:shd w:val="clear" w:color="auto" w:fill="auto"/>
            <w:noWrap/>
            <w:vAlign w:val="center"/>
          </w:tcPr>
          <w:p w14:paraId="014D5AA1" w14:textId="77777777" w:rsidR="005D3AC5" w:rsidRPr="00F769E2" w:rsidRDefault="005B1A1B" w:rsidP="003D0EF2">
            <w:pPr>
              <w:jc w:val="right"/>
              <w:rPr>
                <w:rFonts w:ascii="Arial Narrow" w:hAnsi="Arial Narrow" w:cs="Calibri"/>
                <w:color w:val="000000"/>
                <w:sz w:val="18"/>
                <w:szCs w:val="18"/>
              </w:rPr>
            </w:pPr>
            <w:r>
              <w:rPr>
                <w:rFonts w:ascii="Arial Narrow" w:hAnsi="Arial Narrow" w:cs="Calibri"/>
                <w:color w:val="000000"/>
                <w:sz w:val="18"/>
                <w:szCs w:val="18"/>
              </w:rPr>
              <w:t>100%</w:t>
            </w:r>
          </w:p>
        </w:tc>
        <w:tc>
          <w:tcPr>
            <w:tcW w:w="1276" w:type="dxa"/>
            <w:tcBorders>
              <w:top w:val="single" w:sz="4" w:space="0" w:color="auto"/>
              <w:left w:val="single" w:sz="4" w:space="0" w:color="auto"/>
              <w:bottom w:val="single" w:sz="2" w:space="0" w:color="auto"/>
              <w:right w:val="single" w:sz="4" w:space="0" w:color="auto"/>
            </w:tcBorders>
            <w:shd w:val="clear" w:color="auto" w:fill="auto"/>
            <w:vAlign w:val="center"/>
          </w:tcPr>
          <w:p w14:paraId="0F9A8511" w14:textId="77777777" w:rsidR="005D3AC5" w:rsidRPr="00F769E2" w:rsidRDefault="005D3AC5" w:rsidP="003D0EF2">
            <w:pPr>
              <w:jc w:val="right"/>
              <w:rPr>
                <w:rFonts w:ascii="Arial Narrow" w:hAnsi="Arial Narrow" w:cs="Calibri"/>
                <w:color w:val="000000"/>
                <w:sz w:val="18"/>
                <w:szCs w:val="18"/>
              </w:rPr>
            </w:pPr>
            <w:r w:rsidRPr="00F769E2">
              <w:rPr>
                <w:rFonts w:ascii="Arial Narrow" w:hAnsi="Arial Narrow" w:cs="Calibri"/>
                <w:color w:val="000000"/>
                <w:sz w:val="18"/>
                <w:szCs w:val="18"/>
              </w:rPr>
              <w:t>10</w:t>
            </w:r>
          </w:p>
        </w:tc>
        <w:tc>
          <w:tcPr>
            <w:tcW w:w="1275" w:type="dxa"/>
            <w:tcBorders>
              <w:top w:val="single" w:sz="4" w:space="0" w:color="auto"/>
              <w:left w:val="single" w:sz="4" w:space="0" w:color="auto"/>
              <w:bottom w:val="single" w:sz="2" w:space="0" w:color="auto"/>
              <w:right w:val="single" w:sz="4" w:space="0" w:color="auto"/>
            </w:tcBorders>
            <w:shd w:val="clear" w:color="auto" w:fill="auto"/>
            <w:vAlign w:val="center"/>
          </w:tcPr>
          <w:p w14:paraId="35EFA7F5" w14:textId="77777777" w:rsidR="005D3AC5" w:rsidRPr="00F769E2" w:rsidRDefault="005B1A1B" w:rsidP="003D0EF2">
            <w:pPr>
              <w:jc w:val="right"/>
              <w:rPr>
                <w:rFonts w:ascii="Arial Narrow" w:hAnsi="Arial Narrow" w:cs="Calibri"/>
                <w:color w:val="000000"/>
                <w:sz w:val="18"/>
                <w:szCs w:val="18"/>
              </w:rPr>
            </w:pPr>
            <w:r>
              <w:rPr>
                <w:rFonts w:ascii="Arial Narrow" w:hAnsi="Arial Narrow" w:cs="Calibri"/>
                <w:color w:val="000000"/>
                <w:sz w:val="18"/>
                <w:szCs w:val="18"/>
              </w:rPr>
              <w:t>100%</w:t>
            </w:r>
          </w:p>
        </w:tc>
        <w:tc>
          <w:tcPr>
            <w:tcW w:w="993" w:type="dxa"/>
            <w:tcBorders>
              <w:top w:val="single" w:sz="4" w:space="0" w:color="auto"/>
              <w:left w:val="single" w:sz="4" w:space="0" w:color="auto"/>
              <w:bottom w:val="single" w:sz="2" w:space="0" w:color="auto"/>
              <w:right w:val="single" w:sz="4" w:space="0" w:color="auto"/>
            </w:tcBorders>
            <w:shd w:val="clear" w:color="auto" w:fill="auto"/>
            <w:vAlign w:val="center"/>
          </w:tcPr>
          <w:p w14:paraId="460B2B9F" w14:textId="77777777" w:rsidR="005D3AC5" w:rsidRPr="00F769E2" w:rsidRDefault="005D3AC5" w:rsidP="003D0EF2">
            <w:pPr>
              <w:jc w:val="right"/>
              <w:rPr>
                <w:rFonts w:ascii="Arial Narrow" w:hAnsi="Arial Narrow" w:cs="Calibri"/>
                <w:color w:val="000000"/>
                <w:sz w:val="18"/>
                <w:szCs w:val="18"/>
              </w:rPr>
            </w:pPr>
            <w:r w:rsidRPr="00F769E2">
              <w:rPr>
                <w:rFonts w:ascii="Arial Narrow" w:hAnsi="Arial Narrow" w:cs="Calibri"/>
                <w:color w:val="000000"/>
                <w:sz w:val="18"/>
                <w:szCs w:val="18"/>
              </w:rPr>
              <w:t>12</w:t>
            </w:r>
          </w:p>
        </w:tc>
        <w:tc>
          <w:tcPr>
            <w:tcW w:w="1275" w:type="dxa"/>
            <w:tcBorders>
              <w:top w:val="single" w:sz="4" w:space="0" w:color="auto"/>
              <w:left w:val="single" w:sz="4" w:space="0" w:color="auto"/>
              <w:bottom w:val="single" w:sz="2" w:space="0" w:color="auto"/>
            </w:tcBorders>
            <w:shd w:val="clear" w:color="auto" w:fill="auto"/>
            <w:vAlign w:val="center"/>
          </w:tcPr>
          <w:p w14:paraId="35954B2E" w14:textId="77777777" w:rsidR="005D3AC5" w:rsidRPr="00F769E2" w:rsidRDefault="005B1A1B" w:rsidP="003D0EF2">
            <w:pPr>
              <w:jc w:val="right"/>
              <w:rPr>
                <w:rFonts w:ascii="Arial Narrow" w:hAnsi="Arial Narrow" w:cs="Calibri"/>
                <w:color w:val="000000"/>
                <w:sz w:val="18"/>
                <w:szCs w:val="18"/>
              </w:rPr>
            </w:pPr>
            <w:r>
              <w:rPr>
                <w:rFonts w:ascii="Arial Narrow" w:hAnsi="Arial Narrow" w:cs="Calibri"/>
                <w:color w:val="000000"/>
                <w:sz w:val="18"/>
                <w:szCs w:val="18"/>
              </w:rPr>
              <w:t>100%</w:t>
            </w:r>
          </w:p>
        </w:tc>
      </w:tr>
      <w:tr w:rsidR="005D3AC5" w:rsidRPr="002A22CC" w14:paraId="5C4DFED6" w14:textId="77777777" w:rsidTr="00882851">
        <w:trPr>
          <w:trHeight w:val="198"/>
          <w:jc w:val="center"/>
        </w:trPr>
        <w:tc>
          <w:tcPr>
            <w:tcW w:w="1614" w:type="dxa"/>
            <w:tcBorders>
              <w:top w:val="single" w:sz="2" w:space="0" w:color="auto"/>
              <w:left w:val="nil"/>
              <w:bottom w:val="single" w:sz="4" w:space="0" w:color="auto"/>
              <w:right w:val="single" w:sz="4" w:space="0" w:color="auto"/>
            </w:tcBorders>
            <w:shd w:val="clear" w:color="auto" w:fill="auto"/>
            <w:noWrap/>
            <w:vAlign w:val="center"/>
          </w:tcPr>
          <w:p w14:paraId="1B4787DE" w14:textId="77777777" w:rsidR="005D3AC5" w:rsidRPr="00493E8C" w:rsidRDefault="005D3AC5" w:rsidP="003D0EF2">
            <w:pPr>
              <w:rPr>
                <w:rFonts w:ascii="Arial Narrow" w:hAnsi="Arial Narrow" w:cs="Calibri"/>
                <w:color w:val="000000"/>
                <w:sz w:val="20"/>
                <w:szCs w:val="20"/>
              </w:rPr>
            </w:pPr>
            <w:r>
              <w:rPr>
                <w:rFonts w:ascii="Arial Narrow" w:hAnsi="Arial Narrow" w:cs="Calibri"/>
                <w:color w:val="000000"/>
                <w:sz w:val="20"/>
                <w:szCs w:val="20"/>
              </w:rPr>
              <w:t>Medioa</w:t>
            </w:r>
            <w:r w:rsidRPr="00493E8C">
              <w:rPr>
                <w:rFonts w:ascii="Arial Narrow" w:hAnsi="Arial Narrow" w:cs="Calibri"/>
                <w:color w:val="000000"/>
                <w:sz w:val="20"/>
                <w:szCs w:val="20"/>
              </w:rPr>
              <w:t>mbientales</w:t>
            </w:r>
          </w:p>
        </w:tc>
        <w:tc>
          <w:tcPr>
            <w:tcW w:w="1222" w:type="dxa"/>
            <w:tcBorders>
              <w:top w:val="single" w:sz="2" w:space="0" w:color="auto"/>
              <w:left w:val="single" w:sz="4" w:space="0" w:color="auto"/>
              <w:bottom w:val="single" w:sz="4" w:space="0" w:color="auto"/>
              <w:right w:val="single" w:sz="4" w:space="0" w:color="auto"/>
            </w:tcBorders>
            <w:shd w:val="clear" w:color="auto" w:fill="auto"/>
            <w:noWrap/>
            <w:vAlign w:val="center"/>
          </w:tcPr>
          <w:p w14:paraId="223416C2" w14:textId="77777777" w:rsidR="005D3AC5" w:rsidRPr="00F769E2" w:rsidRDefault="005D3AC5" w:rsidP="003D0EF2">
            <w:pPr>
              <w:jc w:val="right"/>
              <w:rPr>
                <w:rFonts w:ascii="Arial Narrow" w:hAnsi="Arial Narrow" w:cs="Calibri"/>
                <w:color w:val="000000"/>
                <w:sz w:val="18"/>
                <w:szCs w:val="18"/>
              </w:rPr>
            </w:pPr>
            <w:r w:rsidRPr="00F769E2">
              <w:rPr>
                <w:rFonts w:ascii="Arial Narrow" w:hAnsi="Arial Narrow" w:cs="Calibri"/>
                <w:color w:val="000000"/>
                <w:sz w:val="18"/>
                <w:szCs w:val="18"/>
              </w:rPr>
              <w:t>5</w:t>
            </w:r>
          </w:p>
        </w:tc>
        <w:tc>
          <w:tcPr>
            <w:tcW w:w="1559" w:type="dxa"/>
            <w:tcBorders>
              <w:top w:val="single" w:sz="2" w:space="0" w:color="auto"/>
              <w:left w:val="single" w:sz="4" w:space="0" w:color="auto"/>
              <w:bottom w:val="single" w:sz="4" w:space="0" w:color="auto"/>
              <w:right w:val="single" w:sz="4" w:space="0" w:color="auto"/>
            </w:tcBorders>
            <w:shd w:val="clear" w:color="auto" w:fill="auto"/>
            <w:noWrap/>
            <w:vAlign w:val="center"/>
          </w:tcPr>
          <w:p w14:paraId="4359D26A" w14:textId="77777777" w:rsidR="005D3AC5" w:rsidRPr="00F769E2" w:rsidRDefault="005B1A1B" w:rsidP="003D0EF2">
            <w:pPr>
              <w:jc w:val="right"/>
              <w:rPr>
                <w:rFonts w:ascii="Arial Narrow" w:hAnsi="Arial Narrow" w:cs="Calibri"/>
                <w:color w:val="000000"/>
                <w:sz w:val="18"/>
                <w:szCs w:val="18"/>
              </w:rPr>
            </w:pPr>
            <w:r>
              <w:rPr>
                <w:rFonts w:ascii="Arial Narrow" w:hAnsi="Arial Narrow" w:cs="Calibri"/>
                <w:color w:val="000000"/>
                <w:sz w:val="18"/>
                <w:szCs w:val="18"/>
              </w:rPr>
              <w:t>100%</w:t>
            </w:r>
          </w:p>
        </w:tc>
        <w:tc>
          <w:tcPr>
            <w:tcW w:w="1276" w:type="dxa"/>
            <w:tcBorders>
              <w:top w:val="single" w:sz="2" w:space="0" w:color="auto"/>
              <w:left w:val="single" w:sz="4" w:space="0" w:color="auto"/>
              <w:bottom w:val="single" w:sz="4" w:space="0" w:color="auto"/>
              <w:right w:val="single" w:sz="4" w:space="0" w:color="auto"/>
            </w:tcBorders>
            <w:shd w:val="clear" w:color="auto" w:fill="auto"/>
            <w:vAlign w:val="center"/>
          </w:tcPr>
          <w:p w14:paraId="67EA005A" w14:textId="77777777" w:rsidR="005D3AC5" w:rsidRPr="00F769E2" w:rsidRDefault="005D3AC5" w:rsidP="003D0EF2">
            <w:pPr>
              <w:jc w:val="right"/>
              <w:rPr>
                <w:rFonts w:ascii="Arial Narrow" w:hAnsi="Arial Narrow" w:cs="Calibri"/>
                <w:color w:val="000000"/>
                <w:sz w:val="18"/>
                <w:szCs w:val="18"/>
              </w:rPr>
            </w:pPr>
            <w:r w:rsidRPr="00F769E2">
              <w:rPr>
                <w:rFonts w:ascii="Arial Narrow" w:hAnsi="Arial Narrow" w:cs="Calibri"/>
                <w:color w:val="000000"/>
                <w:sz w:val="18"/>
                <w:szCs w:val="18"/>
              </w:rPr>
              <w:t>1</w:t>
            </w:r>
          </w:p>
        </w:tc>
        <w:tc>
          <w:tcPr>
            <w:tcW w:w="1275" w:type="dxa"/>
            <w:tcBorders>
              <w:top w:val="single" w:sz="2" w:space="0" w:color="auto"/>
              <w:left w:val="single" w:sz="4" w:space="0" w:color="auto"/>
              <w:bottom w:val="single" w:sz="4" w:space="0" w:color="auto"/>
              <w:right w:val="single" w:sz="4" w:space="0" w:color="auto"/>
            </w:tcBorders>
            <w:shd w:val="clear" w:color="auto" w:fill="auto"/>
            <w:vAlign w:val="center"/>
          </w:tcPr>
          <w:p w14:paraId="171C605A" w14:textId="77777777" w:rsidR="005D3AC5" w:rsidRPr="00F769E2" w:rsidRDefault="005D3AC5" w:rsidP="003D0EF2">
            <w:pPr>
              <w:jc w:val="right"/>
              <w:rPr>
                <w:rFonts w:ascii="Arial Narrow" w:hAnsi="Arial Narrow" w:cs="Calibri"/>
                <w:color w:val="000000"/>
                <w:sz w:val="18"/>
                <w:szCs w:val="18"/>
              </w:rPr>
            </w:pPr>
            <w:r w:rsidRPr="00F769E2">
              <w:rPr>
                <w:rFonts w:ascii="Arial Narrow" w:hAnsi="Arial Narrow" w:cs="Calibri"/>
                <w:color w:val="000000"/>
                <w:sz w:val="18"/>
                <w:szCs w:val="18"/>
              </w:rPr>
              <w:t>1</w:t>
            </w:r>
            <w:r w:rsidR="005B1A1B">
              <w:rPr>
                <w:rFonts w:ascii="Arial Narrow" w:hAnsi="Arial Narrow" w:cs="Calibri"/>
                <w:color w:val="000000"/>
                <w:sz w:val="18"/>
                <w:szCs w:val="18"/>
              </w:rPr>
              <w:t>00%</w:t>
            </w:r>
          </w:p>
        </w:tc>
        <w:tc>
          <w:tcPr>
            <w:tcW w:w="993" w:type="dxa"/>
            <w:tcBorders>
              <w:top w:val="single" w:sz="2" w:space="0" w:color="auto"/>
              <w:left w:val="single" w:sz="4" w:space="0" w:color="auto"/>
              <w:bottom w:val="single" w:sz="4" w:space="0" w:color="auto"/>
              <w:right w:val="single" w:sz="4" w:space="0" w:color="auto"/>
            </w:tcBorders>
            <w:shd w:val="clear" w:color="auto" w:fill="auto"/>
            <w:vAlign w:val="center"/>
          </w:tcPr>
          <w:p w14:paraId="36A92680" w14:textId="77777777" w:rsidR="005D3AC5" w:rsidRPr="00F769E2" w:rsidRDefault="005D3AC5" w:rsidP="003D0EF2">
            <w:pPr>
              <w:jc w:val="right"/>
              <w:rPr>
                <w:rFonts w:ascii="Arial Narrow" w:hAnsi="Arial Narrow" w:cs="Calibri"/>
                <w:color w:val="000000"/>
                <w:sz w:val="18"/>
                <w:szCs w:val="18"/>
              </w:rPr>
            </w:pPr>
            <w:r w:rsidRPr="00F769E2">
              <w:rPr>
                <w:rFonts w:ascii="Arial Narrow" w:hAnsi="Arial Narrow" w:cs="Calibri"/>
                <w:color w:val="000000"/>
                <w:sz w:val="18"/>
                <w:szCs w:val="18"/>
              </w:rPr>
              <w:t>1</w:t>
            </w:r>
          </w:p>
        </w:tc>
        <w:tc>
          <w:tcPr>
            <w:tcW w:w="1275" w:type="dxa"/>
            <w:tcBorders>
              <w:top w:val="single" w:sz="2" w:space="0" w:color="auto"/>
              <w:left w:val="single" w:sz="4" w:space="0" w:color="auto"/>
              <w:bottom w:val="single" w:sz="4" w:space="0" w:color="auto"/>
            </w:tcBorders>
            <w:shd w:val="clear" w:color="auto" w:fill="auto"/>
            <w:vAlign w:val="center"/>
          </w:tcPr>
          <w:p w14:paraId="1236D31F" w14:textId="77777777" w:rsidR="005D3AC5" w:rsidRPr="00F769E2" w:rsidRDefault="005D3AC5" w:rsidP="003D0EF2">
            <w:pPr>
              <w:jc w:val="right"/>
              <w:rPr>
                <w:rFonts w:ascii="Arial Narrow" w:hAnsi="Arial Narrow" w:cs="Calibri"/>
                <w:color w:val="000000"/>
                <w:sz w:val="18"/>
                <w:szCs w:val="18"/>
              </w:rPr>
            </w:pPr>
            <w:r w:rsidRPr="00F769E2">
              <w:rPr>
                <w:rFonts w:ascii="Arial Narrow" w:hAnsi="Arial Narrow" w:cs="Calibri"/>
                <w:color w:val="000000"/>
                <w:sz w:val="18"/>
                <w:szCs w:val="18"/>
              </w:rPr>
              <w:t>1</w:t>
            </w:r>
            <w:r w:rsidR="005B1A1B">
              <w:rPr>
                <w:rFonts w:ascii="Arial Narrow" w:hAnsi="Arial Narrow" w:cs="Calibri"/>
                <w:color w:val="000000"/>
                <w:sz w:val="18"/>
                <w:szCs w:val="18"/>
              </w:rPr>
              <w:t>00%</w:t>
            </w:r>
          </w:p>
        </w:tc>
      </w:tr>
    </w:tbl>
    <w:p w14:paraId="373648E3" w14:textId="77777777" w:rsidR="005D3AC5" w:rsidRDefault="005D3AC5" w:rsidP="005D3AC5">
      <w:pPr>
        <w:pStyle w:val="texto"/>
        <w:tabs>
          <w:tab w:val="left" w:pos="480"/>
          <w:tab w:val="num" w:pos="600"/>
        </w:tabs>
        <w:spacing w:before="120"/>
        <w:ind w:firstLine="0"/>
        <w:jc w:val="both"/>
      </w:pPr>
    </w:p>
    <w:tbl>
      <w:tblPr>
        <w:tblW w:w="9215"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5529"/>
        <w:gridCol w:w="1275"/>
        <w:gridCol w:w="1276"/>
        <w:gridCol w:w="1135"/>
      </w:tblGrid>
      <w:tr w:rsidR="005D3AC5" w14:paraId="43728FD9" w14:textId="77777777" w:rsidTr="00D45736">
        <w:trPr>
          <w:trHeight w:val="255"/>
          <w:jc w:val="center"/>
        </w:trPr>
        <w:tc>
          <w:tcPr>
            <w:tcW w:w="5529" w:type="dxa"/>
            <w:shd w:val="clear" w:color="000000" w:fill="95B3D7"/>
            <w:noWrap/>
            <w:vAlign w:val="center"/>
            <w:hideMark/>
          </w:tcPr>
          <w:p w14:paraId="3896EA95" w14:textId="77777777" w:rsidR="005D3AC5" w:rsidRDefault="005D3AC5" w:rsidP="003D0EF2">
            <w:pPr>
              <w:rPr>
                <w:rFonts w:ascii="Arial" w:hAnsi="Arial" w:cs="Arial"/>
                <w:color w:val="000000"/>
                <w:sz w:val="18"/>
                <w:szCs w:val="18"/>
              </w:rPr>
            </w:pPr>
            <w:r>
              <w:rPr>
                <w:rFonts w:ascii="Arial" w:hAnsi="Arial" w:cs="Arial"/>
                <w:color w:val="000000"/>
                <w:sz w:val="18"/>
                <w:szCs w:val="18"/>
              </w:rPr>
              <w:t>Condiciones especiales de ejecución</w:t>
            </w:r>
          </w:p>
        </w:tc>
        <w:tc>
          <w:tcPr>
            <w:tcW w:w="1275" w:type="dxa"/>
            <w:shd w:val="clear" w:color="000000" w:fill="95B3D7"/>
            <w:noWrap/>
            <w:vAlign w:val="center"/>
            <w:hideMark/>
          </w:tcPr>
          <w:p w14:paraId="10B21FDD" w14:textId="77777777" w:rsidR="005D3AC5" w:rsidRDefault="005D3AC5" w:rsidP="003D0EF2">
            <w:pPr>
              <w:jc w:val="right"/>
              <w:rPr>
                <w:rFonts w:ascii="Arial" w:hAnsi="Arial" w:cs="Arial"/>
                <w:color w:val="000000"/>
                <w:sz w:val="18"/>
                <w:szCs w:val="18"/>
              </w:rPr>
            </w:pPr>
            <w:r>
              <w:rPr>
                <w:rFonts w:ascii="Arial" w:hAnsi="Arial" w:cs="Arial"/>
                <w:color w:val="000000"/>
                <w:sz w:val="18"/>
                <w:szCs w:val="18"/>
              </w:rPr>
              <w:t>Obra</w:t>
            </w:r>
          </w:p>
        </w:tc>
        <w:tc>
          <w:tcPr>
            <w:tcW w:w="1276" w:type="dxa"/>
            <w:shd w:val="clear" w:color="000000" w:fill="95B3D7"/>
            <w:vAlign w:val="center"/>
          </w:tcPr>
          <w:p w14:paraId="1C7D0A93" w14:textId="77777777" w:rsidR="005D3AC5" w:rsidRDefault="005D3AC5" w:rsidP="003D0EF2">
            <w:pPr>
              <w:jc w:val="right"/>
              <w:rPr>
                <w:rFonts w:ascii="Arial" w:hAnsi="Arial" w:cs="Arial"/>
                <w:color w:val="000000"/>
                <w:sz w:val="18"/>
                <w:szCs w:val="18"/>
              </w:rPr>
            </w:pPr>
            <w:r>
              <w:rPr>
                <w:rFonts w:ascii="Arial" w:hAnsi="Arial" w:cs="Arial"/>
                <w:color w:val="000000"/>
                <w:sz w:val="18"/>
                <w:szCs w:val="18"/>
              </w:rPr>
              <w:t>Suministro</w:t>
            </w:r>
          </w:p>
        </w:tc>
        <w:tc>
          <w:tcPr>
            <w:tcW w:w="1135" w:type="dxa"/>
            <w:shd w:val="clear" w:color="000000" w:fill="95B3D7"/>
            <w:vAlign w:val="center"/>
          </w:tcPr>
          <w:p w14:paraId="040B601B" w14:textId="77777777" w:rsidR="005D3AC5" w:rsidRDefault="005D3AC5" w:rsidP="003D0EF2">
            <w:pPr>
              <w:jc w:val="right"/>
              <w:rPr>
                <w:rFonts w:ascii="Arial" w:hAnsi="Arial" w:cs="Arial"/>
                <w:color w:val="000000"/>
                <w:sz w:val="18"/>
                <w:szCs w:val="18"/>
              </w:rPr>
            </w:pPr>
            <w:r>
              <w:rPr>
                <w:rFonts w:ascii="Arial" w:hAnsi="Arial" w:cs="Arial"/>
                <w:color w:val="000000"/>
                <w:sz w:val="18"/>
                <w:szCs w:val="18"/>
              </w:rPr>
              <w:t>Servicio</w:t>
            </w:r>
          </w:p>
        </w:tc>
      </w:tr>
      <w:tr w:rsidR="005D3AC5" w:rsidRPr="00C1795C" w14:paraId="05CCF09B" w14:textId="77777777" w:rsidTr="00D45736">
        <w:trPr>
          <w:trHeight w:val="117"/>
          <w:jc w:val="center"/>
        </w:trPr>
        <w:tc>
          <w:tcPr>
            <w:tcW w:w="5529" w:type="dxa"/>
            <w:tcBorders>
              <w:bottom w:val="single" w:sz="2" w:space="0" w:color="auto"/>
            </w:tcBorders>
            <w:shd w:val="clear" w:color="auto" w:fill="auto"/>
            <w:noWrap/>
            <w:vAlign w:val="center"/>
          </w:tcPr>
          <w:p w14:paraId="1D055FD6" w14:textId="77777777" w:rsidR="005D3AC5" w:rsidRPr="00882851" w:rsidRDefault="005D3AC5" w:rsidP="003D0EF2">
            <w:pPr>
              <w:rPr>
                <w:rFonts w:ascii="Arial Narrow" w:hAnsi="Arial Narrow" w:cs="Calibri"/>
                <w:color w:val="000000"/>
                <w:sz w:val="18"/>
                <w:szCs w:val="18"/>
              </w:rPr>
            </w:pPr>
            <w:r w:rsidRPr="00882851">
              <w:rPr>
                <w:rFonts w:ascii="Arial Narrow" w:hAnsi="Arial Narrow" w:cs="Calibri"/>
                <w:color w:val="000000"/>
                <w:sz w:val="18"/>
                <w:szCs w:val="18"/>
              </w:rPr>
              <w:t>Inclusión</w:t>
            </w:r>
          </w:p>
        </w:tc>
        <w:tc>
          <w:tcPr>
            <w:tcW w:w="1275" w:type="dxa"/>
            <w:tcBorders>
              <w:bottom w:val="single" w:sz="2" w:space="0" w:color="auto"/>
            </w:tcBorders>
            <w:shd w:val="clear" w:color="auto" w:fill="auto"/>
            <w:noWrap/>
            <w:vAlign w:val="center"/>
          </w:tcPr>
          <w:p w14:paraId="723A4CB6" w14:textId="77777777" w:rsidR="005D3AC5" w:rsidRPr="00882851" w:rsidRDefault="005D3AC5" w:rsidP="00B96D2D">
            <w:pPr>
              <w:jc w:val="right"/>
              <w:rPr>
                <w:rFonts w:ascii="Arial Narrow" w:hAnsi="Arial Narrow" w:cs="Calibri"/>
                <w:color w:val="000000"/>
                <w:sz w:val="18"/>
                <w:szCs w:val="18"/>
              </w:rPr>
            </w:pPr>
            <w:r w:rsidRPr="00882851">
              <w:rPr>
                <w:rFonts w:ascii="Arial Narrow" w:hAnsi="Arial Narrow" w:cs="Calibri"/>
                <w:color w:val="000000"/>
                <w:sz w:val="18"/>
                <w:szCs w:val="18"/>
              </w:rPr>
              <w:t>2</w:t>
            </w:r>
            <w:r w:rsidR="00B96D2D" w:rsidRPr="00882851">
              <w:rPr>
                <w:rFonts w:ascii="Arial Narrow" w:hAnsi="Arial Narrow" w:cs="Calibri"/>
                <w:color w:val="000000"/>
                <w:sz w:val="18"/>
                <w:szCs w:val="18"/>
              </w:rPr>
              <w:t>4</w:t>
            </w:r>
          </w:p>
        </w:tc>
        <w:tc>
          <w:tcPr>
            <w:tcW w:w="1276" w:type="dxa"/>
            <w:tcBorders>
              <w:bottom w:val="single" w:sz="2" w:space="0" w:color="auto"/>
            </w:tcBorders>
            <w:shd w:val="clear" w:color="auto" w:fill="auto"/>
            <w:vAlign w:val="center"/>
          </w:tcPr>
          <w:p w14:paraId="419DD642" w14:textId="77777777" w:rsidR="005D3AC5" w:rsidRPr="00882851" w:rsidRDefault="005D3AC5" w:rsidP="003D0EF2">
            <w:pPr>
              <w:jc w:val="right"/>
              <w:rPr>
                <w:rFonts w:ascii="Arial Narrow" w:hAnsi="Arial Narrow" w:cs="Calibri"/>
                <w:sz w:val="18"/>
                <w:szCs w:val="18"/>
              </w:rPr>
            </w:pPr>
            <w:r w:rsidRPr="00882851">
              <w:rPr>
                <w:rFonts w:ascii="Arial Narrow" w:hAnsi="Arial Narrow" w:cs="Calibri"/>
                <w:sz w:val="18"/>
                <w:szCs w:val="18"/>
              </w:rPr>
              <w:t>31</w:t>
            </w:r>
          </w:p>
        </w:tc>
        <w:tc>
          <w:tcPr>
            <w:tcW w:w="1135" w:type="dxa"/>
            <w:tcBorders>
              <w:bottom w:val="single" w:sz="2" w:space="0" w:color="auto"/>
            </w:tcBorders>
            <w:shd w:val="clear" w:color="auto" w:fill="auto"/>
            <w:vAlign w:val="center"/>
          </w:tcPr>
          <w:p w14:paraId="5F316A6E" w14:textId="77777777" w:rsidR="005D3AC5" w:rsidRPr="00882851" w:rsidRDefault="005D3AC5" w:rsidP="003D0EF2">
            <w:pPr>
              <w:jc w:val="right"/>
              <w:rPr>
                <w:rFonts w:ascii="Arial Narrow" w:hAnsi="Arial Narrow" w:cs="Calibri"/>
                <w:sz w:val="18"/>
                <w:szCs w:val="18"/>
              </w:rPr>
            </w:pPr>
            <w:r w:rsidRPr="00882851">
              <w:rPr>
                <w:rFonts w:ascii="Arial Narrow" w:hAnsi="Arial Narrow" w:cs="Calibri"/>
                <w:sz w:val="18"/>
                <w:szCs w:val="18"/>
              </w:rPr>
              <w:t>26</w:t>
            </w:r>
          </w:p>
        </w:tc>
      </w:tr>
      <w:tr w:rsidR="005D3AC5" w:rsidRPr="00C1795C" w14:paraId="0108CBD3" w14:textId="77777777" w:rsidTr="00D45736">
        <w:trPr>
          <w:trHeight w:val="119"/>
          <w:jc w:val="center"/>
        </w:trPr>
        <w:tc>
          <w:tcPr>
            <w:tcW w:w="5529" w:type="dxa"/>
            <w:tcBorders>
              <w:top w:val="single" w:sz="2" w:space="0" w:color="auto"/>
              <w:bottom w:val="single" w:sz="2" w:space="0" w:color="auto"/>
            </w:tcBorders>
            <w:shd w:val="clear" w:color="auto" w:fill="auto"/>
            <w:noWrap/>
            <w:vAlign w:val="center"/>
          </w:tcPr>
          <w:p w14:paraId="22371A57" w14:textId="77777777" w:rsidR="005D3AC5" w:rsidRPr="00882851" w:rsidRDefault="00FC6F32" w:rsidP="00FC6F32">
            <w:pPr>
              <w:rPr>
                <w:rFonts w:ascii="Arial Narrow" w:hAnsi="Arial Narrow" w:cs="Calibri"/>
                <w:color w:val="000000"/>
                <w:sz w:val="18"/>
                <w:szCs w:val="18"/>
              </w:rPr>
            </w:pPr>
            <w:r>
              <w:rPr>
                <w:rFonts w:ascii="Arial Narrow" w:hAnsi="Arial Narrow" w:cs="Calibri"/>
                <w:color w:val="000000"/>
                <w:sz w:val="18"/>
                <w:szCs w:val="18"/>
              </w:rPr>
              <w:t xml:space="preserve">Vinculación </w:t>
            </w:r>
            <w:r w:rsidR="005D3AC5" w:rsidRPr="00882851">
              <w:rPr>
                <w:rFonts w:ascii="Arial Narrow" w:hAnsi="Arial Narrow" w:cs="Calibri"/>
                <w:color w:val="000000"/>
                <w:sz w:val="18"/>
                <w:szCs w:val="18"/>
              </w:rPr>
              <w:t>con el objeto del contrato</w:t>
            </w:r>
          </w:p>
        </w:tc>
        <w:tc>
          <w:tcPr>
            <w:tcW w:w="1275" w:type="dxa"/>
            <w:tcBorders>
              <w:top w:val="single" w:sz="2" w:space="0" w:color="auto"/>
              <w:bottom w:val="single" w:sz="2" w:space="0" w:color="auto"/>
            </w:tcBorders>
            <w:shd w:val="clear" w:color="auto" w:fill="auto"/>
            <w:noWrap/>
            <w:vAlign w:val="center"/>
          </w:tcPr>
          <w:p w14:paraId="36FA3FA4" w14:textId="77777777" w:rsidR="005D3AC5" w:rsidRPr="00882851" w:rsidRDefault="005D3AC5" w:rsidP="003D0EF2">
            <w:pPr>
              <w:jc w:val="right"/>
              <w:rPr>
                <w:rFonts w:ascii="Arial Narrow" w:hAnsi="Arial Narrow" w:cs="Calibri"/>
                <w:color w:val="000000"/>
                <w:sz w:val="18"/>
                <w:szCs w:val="18"/>
              </w:rPr>
            </w:pPr>
            <w:r w:rsidRPr="00882851">
              <w:rPr>
                <w:rFonts w:ascii="Arial Narrow" w:hAnsi="Arial Narrow" w:cs="Calibri"/>
                <w:color w:val="000000"/>
                <w:sz w:val="18"/>
                <w:szCs w:val="18"/>
              </w:rPr>
              <w:t>19</w:t>
            </w:r>
          </w:p>
        </w:tc>
        <w:tc>
          <w:tcPr>
            <w:tcW w:w="1276" w:type="dxa"/>
            <w:tcBorders>
              <w:top w:val="single" w:sz="2" w:space="0" w:color="auto"/>
              <w:bottom w:val="single" w:sz="2" w:space="0" w:color="auto"/>
            </w:tcBorders>
            <w:shd w:val="clear" w:color="auto" w:fill="auto"/>
            <w:vAlign w:val="center"/>
          </w:tcPr>
          <w:p w14:paraId="39684DB8" w14:textId="77777777" w:rsidR="005D3AC5" w:rsidRPr="00882851" w:rsidRDefault="007B6ADB" w:rsidP="003D0EF2">
            <w:pPr>
              <w:jc w:val="right"/>
              <w:rPr>
                <w:rFonts w:ascii="Arial Narrow" w:hAnsi="Arial Narrow" w:cs="Calibri"/>
                <w:sz w:val="18"/>
                <w:szCs w:val="18"/>
              </w:rPr>
            </w:pPr>
            <w:r w:rsidRPr="00882851">
              <w:rPr>
                <w:rFonts w:ascii="Arial Narrow" w:hAnsi="Arial Narrow" w:cs="Calibri"/>
                <w:sz w:val="18"/>
                <w:szCs w:val="18"/>
              </w:rPr>
              <w:t>6</w:t>
            </w:r>
          </w:p>
        </w:tc>
        <w:tc>
          <w:tcPr>
            <w:tcW w:w="1135" w:type="dxa"/>
            <w:tcBorders>
              <w:top w:val="single" w:sz="2" w:space="0" w:color="auto"/>
              <w:bottom w:val="single" w:sz="2" w:space="0" w:color="auto"/>
            </w:tcBorders>
            <w:shd w:val="clear" w:color="auto" w:fill="auto"/>
            <w:vAlign w:val="center"/>
          </w:tcPr>
          <w:p w14:paraId="717A6F32" w14:textId="77777777" w:rsidR="005D3AC5" w:rsidRPr="00882851" w:rsidRDefault="005D3AC5" w:rsidP="003D0EF2">
            <w:pPr>
              <w:jc w:val="right"/>
              <w:rPr>
                <w:rFonts w:ascii="Arial Narrow" w:hAnsi="Arial Narrow" w:cs="Calibri"/>
                <w:sz w:val="18"/>
                <w:szCs w:val="18"/>
              </w:rPr>
            </w:pPr>
            <w:r w:rsidRPr="00882851">
              <w:rPr>
                <w:rFonts w:ascii="Arial Narrow" w:hAnsi="Arial Narrow" w:cs="Calibri"/>
                <w:sz w:val="18"/>
                <w:szCs w:val="18"/>
              </w:rPr>
              <w:t>3</w:t>
            </w:r>
          </w:p>
        </w:tc>
      </w:tr>
      <w:tr w:rsidR="005D3AC5" w:rsidRPr="00C1795C" w14:paraId="79519A97" w14:textId="77777777" w:rsidTr="00D45736">
        <w:trPr>
          <w:trHeight w:val="119"/>
          <w:jc w:val="center"/>
        </w:trPr>
        <w:tc>
          <w:tcPr>
            <w:tcW w:w="5529" w:type="dxa"/>
            <w:tcBorders>
              <w:top w:val="single" w:sz="2" w:space="0" w:color="auto"/>
              <w:bottom w:val="single" w:sz="2" w:space="0" w:color="auto"/>
            </w:tcBorders>
            <w:shd w:val="clear" w:color="auto" w:fill="auto"/>
            <w:noWrap/>
            <w:vAlign w:val="center"/>
          </w:tcPr>
          <w:p w14:paraId="49801E77" w14:textId="77777777" w:rsidR="005D3AC5" w:rsidRPr="00882851" w:rsidRDefault="005D3AC5" w:rsidP="003D0EF2">
            <w:pPr>
              <w:rPr>
                <w:rFonts w:ascii="Arial Narrow" w:hAnsi="Arial Narrow" w:cs="Calibri"/>
                <w:color w:val="000000"/>
                <w:sz w:val="18"/>
                <w:szCs w:val="18"/>
              </w:rPr>
            </w:pPr>
            <w:r w:rsidRPr="00882851">
              <w:rPr>
                <w:rFonts w:ascii="Arial Narrow" w:hAnsi="Arial Narrow" w:cs="Calibri"/>
                <w:color w:val="000000"/>
                <w:sz w:val="18"/>
                <w:szCs w:val="18"/>
              </w:rPr>
              <w:t>Seguimiento y control*</w:t>
            </w:r>
          </w:p>
        </w:tc>
        <w:tc>
          <w:tcPr>
            <w:tcW w:w="1275" w:type="dxa"/>
            <w:tcBorders>
              <w:top w:val="single" w:sz="2" w:space="0" w:color="auto"/>
              <w:bottom w:val="single" w:sz="2" w:space="0" w:color="auto"/>
            </w:tcBorders>
            <w:shd w:val="clear" w:color="auto" w:fill="auto"/>
            <w:noWrap/>
            <w:vAlign w:val="center"/>
          </w:tcPr>
          <w:p w14:paraId="531D99A4" w14:textId="77777777" w:rsidR="005D3AC5" w:rsidRPr="00882851" w:rsidRDefault="005D3AC5" w:rsidP="003D0EF2">
            <w:pPr>
              <w:jc w:val="right"/>
              <w:rPr>
                <w:rFonts w:ascii="Arial Narrow" w:hAnsi="Arial Narrow" w:cs="Calibri"/>
                <w:color w:val="000000"/>
                <w:sz w:val="18"/>
                <w:szCs w:val="18"/>
              </w:rPr>
            </w:pPr>
          </w:p>
        </w:tc>
        <w:tc>
          <w:tcPr>
            <w:tcW w:w="1276" w:type="dxa"/>
            <w:tcBorders>
              <w:top w:val="single" w:sz="2" w:space="0" w:color="auto"/>
              <w:bottom w:val="single" w:sz="2" w:space="0" w:color="auto"/>
            </w:tcBorders>
            <w:shd w:val="clear" w:color="auto" w:fill="auto"/>
            <w:vAlign w:val="center"/>
          </w:tcPr>
          <w:p w14:paraId="319C08CA" w14:textId="77777777" w:rsidR="005D3AC5" w:rsidRPr="00882851" w:rsidRDefault="005D3AC5" w:rsidP="003D0EF2">
            <w:pPr>
              <w:jc w:val="right"/>
              <w:rPr>
                <w:rFonts w:ascii="Arial Narrow" w:hAnsi="Arial Narrow" w:cs="Calibri"/>
                <w:sz w:val="18"/>
                <w:szCs w:val="18"/>
              </w:rPr>
            </w:pPr>
          </w:p>
        </w:tc>
        <w:tc>
          <w:tcPr>
            <w:tcW w:w="1135" w:type="dxa"/>
            <w:tcBorders>
              <w:top w:val="single" w:sz="2" w:space="0" w:color="auto"/>
              <w:bottom w:val="single" w:sz="2" w:space="0" w:color="auto"/>
            </w:tcBorders>
            <w:shd w:val="clear" w:color="auto" w:fill="auto"/>
            <w:vAlign w:val="center"/>
          </w:tcPr>
          <w:p w14:paraId="4A09E98D" w14:textId="77777777" w:rsidR="005D3AC5" w:rsidRPr="00882851" w:rsidRDefault="005D3AC5" w:rsidP="003D0EF2">
            <w:pPr>
              <w:jc w:val="right"/>
              <w:rPr>
                <w:rFonts w:ascii="Arial Narrow" w:hAnsi="Arial Narrow" w:cs="Calibri"/>
                <w:sz w:val="18"/>
                <w:szCs w:val="18"/>
              </w:rPr>
            </w:pPr>
          </w:p>
        </w:tc>
      </w:tr>
      <w:tr w:rsidR="005D3AC5" w:rsidRPr="00C1795C" w14:paraId="587C1FD9" w14:textId="77777777" w:rsidTr="00D45736">
        <w:trPr>
          <w:trHeight w:val="119"/>
          <w:jc w:val="center"/>
        </w:trPr>
        <w:tc>
          <w:tcPr>
            <w:tcW w:w="5529" w:type="dxa"/>
            <w:tcBorders>
              <w:top w:val="single" w:sz="2" w:space="0" w:color="auto"/>
              <w:bottom w:val="single" w:sz="2" w:space="0" w:color="auto"/>
            </w:tcBorders>
            <w:shd w:val="clear" w:color="auto" w:fill="auto"/>
            <w:noWrap/>
            <w:vAlign w:val="center"/>
          </w:tcPr>
          <w:p w14:paraId="4AA480ED" w14:textId="77777777" w:rsidR="005D3AC5" w:rsidRPr="00882851" w:rsidRDefault="005D3AC5" w:rsidP="008C2B8E">
            <w:pPr>
              <w:pStyle w:val="Prrafodelista"/>
              <w:numPr>
                <w:ilvl w:val="0"/>
                <w:numId w:val="32"/>
              </w:numPr>
              <w:rPr>
                <w:rFonts w:ascii="Arial Narrow" w:hAnsi="Arial Narrow" w:cs="Calibri"/>
                <w:color w:val="000000"/>
                <w:sz w:val="18"/>
                <w:szCs w:val="18"/>
              </w:rPr>
            </w:pPr>
            <w:r w:rsidRPr="00882851">
              <w:rPr>
                <w:rFonts w:ascii="Arial Narrow" w:hAnsi="Arial Narrow" w:cs="Calibri"/>
                <w:color w:val="000000"/>
                <w:sz w:val="18"/>
                <w:szCs w:val="18"/>
              </w:rPr>
              <w:t xml:space="preserve">Consta seguimiento y control </w:t>
            </w:r>
          </w:p>
        </w:tc>
        <w:tc>
          <w:tcPr>
            <w:tcW w:w="1275" w:type="dxa"/>
            <w:tcBorders>
              <w:top w:val="single" w:sz="2" w:space="0" w:color="auto"/>
              <w:bottom w:val="single" w:sz="2" w:space="0" w:color="auto"/>
            </w:tcBorders>
            <w:shd w:val="clear" w:color="auto" w:fill="auto"/>
            <w:noWrap/>
            <w:vAlign w:val="center"/>
          </w:tcPr>
          <w:p w14:paraId="23F2D77F" w14:textId="77777777" w:rsidR="005D3AC5" w:rsidRPr="00882851" w:rsidRDefault="005D3AC5" w:rsidP="003D0EF2">
            <w:pPr>
              <w:jc w:val="right"/>
              <w:rPr>
                <w:rFonts w:ascii="Arial Narrow" w:hAnsi="Arial Narrow" w:cs="Calibri"/>
                <w:color w:val="000000"/>
                <w:sz w:val="18"/>
                <w:szCs w:val="18"/>
              </w:rPr>
            </w:pPr>
            <w:r w:rsidRPr="00882851">
              <w:rPr>
                <w:rFonts w:ascii="Arial Narrow" w:hAnsi="Arial Narrow" w:cs="Calibri"/>
                <w:color w:val="000000"/>
                <w:sz w:val="18"/>
                <w:szCs w:val="18"/>
              </w:rPr>
              <w:t>15</w:t>
            </w:r>
          </w:p>
        </w:tc>
        <w:tc>
          <w:tcPr>
            <w:tcW w:w="1276" w:type="dxa"/>
            <w:tcBorders>
              <w:top w:val="single" w:sz="2" w:space="0" w:color="auto"/>
              <w:bottom w:val="single" w:sz="2" w:space="0" w:color="auto"/>
            </w:tcBorders>
            <w:shd w:val="clear" w:color="auto" w:fill="auto"/>
            <w:vAlign w:val="center"/>
          </w:tcPr>
          <w:p w14:paraId="3641DCFB" w14:textId="77777777" w:rsidR="005D3AC5" w:rsidRPr="00882851" w:rsidRDefault="005D3AC5" w:rsidP="003D0EF2">
            <w:pPr>
              <w:jc w:val="right"/>
              <w:rPr>
                <w:rFonts w:ascii="Arial Narrow" w:hAnsi="Arial Narrow" w:cs="Calibri"/>
                <w:sz w:val="18"/>
                <w:szCs w:val="18"/>
              </w:rPr>
            </w:pPr>
            <w:r w:rsidRPr="00882851">
              <w:rPr>
                <w:rFonts w:ascii="Arial Narrow" w:hAnsi="Arial Narrow" w:cs="Calibri"/>
                <w:sz w:val="18"/>
                <w:szCs w:val="18"/>
              </w:rPr>
              <w:t>6</w:t>
            </w:r>
          </w:p>
        </w:tc>
        <w:tc>
          <w:tcPr>
            <w:tcW w:w="1135" w:type="dxa"/>
            <w:tcBorders>
              <w:top w:val="single" w:sz="2" w:space="0" w:color="auto"/>
              <w:bottom w:val="single" w:sz="2" w:space="0" w:color="auto"/>
            </w:tcBorders>
            <w:shd w:val="clear" w:color="auto" w:fill="auto"/>
            <w:vAlign w:val="center"/>
          </w:tcPr>
          <w:p w14:paraId="17C76BB8" w14:textId="77777777" w:rsidR="005D3AC5" w:rsidRPr="00882851" w:rsidRDefault="007B6ADB" w:rsidP="003D0EF2">
            <w:pPr>
              <w:jc w:val="right"/>
              <w:rPr>
                <w:rFonts w:ascii="Arial Narrow" w:hAnsi="Arial Narrow" w:cs="Calibri"/>
                <w:sz w:val="18"/>
                <w:szCs w:val="18"/>
              </w:rPr>
            </w:pPr>
            <w:r w:rsidRPr="00882851">
              <w:rPr>
                <w:rFonts w:ascii="Arial Narrow" w:hAnsi="Arial Narrow" w:cs="Calibri"/>
                <w:sz w:val="18"/>
                <w:szCs w:val="18"/>
              </w:rPr>
              <w:t>5</w:t>
            </w:r>
          </w:p>
        </w:tc>
      </w:tr>
      <w:tr w:rsidR="005D3AC5" w:rsidRPr="00C1795C" w14:paraId="7E48859E" w14:textId="77777777" w:rsidTr="00D45736">
        <w:trPr>
          <w:trHeight w:val="119"/>
          <w:jc w:val="center"/>
        </w:trPr>
        <w:tc>
          <w:tcPr>
            <w:tcW w:w="5529" w:type="dxa"/>
            <w:tcBorders>
              <w:top w:val="single" w:sz="2" w:space="0" w:color="auto"/>
              <w:bottom w:val="single" w:sz="2" w:space="0" w:color="auto"/>
            </w:tcBorders>
            <w:shd w:val="clear" w:color="auto" w:fill="auto"/>
            <w:noWrap/>
            <w:vAlign w:val="center"/>
          </w:tcPr>
          <w:p w14:paraId="2CDEB5E7" w14:textId="77777777" w:rsidR="005D3AC5" w:rsidRPr="00882851" w:rsidRDefault="005D3AC5" w:rsidP="008C2B8E">
            <w:pPr>
              <w:pStyle w:val="Prrafodelista"/>
              <w:numPr>
                <w:ilvl w:val="0"/>
                <w:numId w:val="32"/>
              </w:numPr>
              <w:rPr>
                <w:rFonts w:ascii="Arial Narrow" w:hAnsi="Arial Narrow" w:cs="Calibri"/>
                <w:sz w:val="18"/>
                <w:szCs w:val="18"/>
              </w:rPr>
            </w:pPr>
            <w:r w:rsidRPr="00882851">
              <w:rPr>
                <w:rFonts w:ascii="Arial Narrow" w:hAnsi="Arial Narrow" w:cs="Calibri"/>
                <w:sz w:val="18"/>
                <w:szCs w:val="18"/>
              </w:rPr>
              <w:t xml:space="preserve">No consta seguimiento y control </w:t>
            </w:r>
          </w:p>
        </w:tc>
        <w:tc>
          <w:tcPr>
            <w:tcW w:w="1275" w:type="dxa"/>
            <w:tcBorders>
              <w:top w:val="single" w:sz="2" w:space="0" w:color="auto"/>
              <w:bottom w:val="single" w:sz="2" w:space="0" w:color="auto"/>
            </w:tcBorders>
            <w:shd w:val="clear" w:color="auto" w:fill="auto"/>
            <w:noWrap/>
            <w:vAlign w:val="center"/>
          </w:tcPr>
          <w:p w14:paraId="76F5323C" w14:textId="77777777" w:rsidR="005D3AC5" w:rsidRPr="00882851" w:rsidRDefault="005D3AC5" w:rsidP="003D0EF2">
            <w:pPr>
              <w:jc w:val="right"/>
              <w:rPr>
                <w:rFonts w:ascii="Arial Narrow" w:hAnsi="Arial Narrow" w:cs="Calibri"/>
                <w:color w:val="000000"/>
                <w:sz w:val="18"/>
                <w:szCs w:val="18"/>
              </w:rPr>
            </w:pPr>
          </w:p>
        </w:tc>
        <w:tc>
          <w:tcPr>
            <w:tcW w:w="1276" w:type="dxa"/>
            <w:tcBorders>
              <w:top w:val="single" w:sz="2" w:space="0" w:color="auto"/>
              <w:bottom w:val="single" w:sz="2" w:space="0" w:color="auto"/>
            </w:tcBorders>
            <w:shd w:val="clear" w:color="auto" w:fill="auto"/>
            <w:vAlign w:val="center"/>
          </w:tcPr>
          <w:p w14:paraId="37952767" w14:textId="77777777" w:rsidR="005D3AC5" w:rsidRPr="00882851" w:rsidRDefault="005D3AC5" w:rsidP="003D0EF2">
            <w:pPr>
              <w:jc w:val="right"/>
              <w:rPr>
                <w:rFonts w:ascii="Arial Narrow" w:hAnsi="Arial Narrow" w:cs="Calibri"/>
                <w:sz w:val="18"/>
                <w:szCs w:val="18"/>
              </w:rPr>
            </w:pPr>
            <w:r w:rsidRPr="00882851">
              <w:rPr>
                <w:rFonts w:ascii="Arial Narrow" w:hAnsi="Arial Narrow" w:cs="Calibri"/>
                <w:sz w:val="18"/>
                <w:szCs w:val="18"/>
              </w:rPr>
              <w:t>13</w:t>
            </w:r>
          </w:p>
        </w:tc>
        <w:tc>
          <w:tcPr>
            <w:tcW w:w="1135" w:type="dxa"/>
            <w:tcBorders>
              <w:top w:val="single" w:sz="2" w:space="0" w:color="auto"/>
              <w:bottom w:val="single" w:sz="2" w:space="0" w:color="auto"/>
            </w:tcBorders>
            <w:shd w:val="clear" w:color="auto" w:fill="auto"/>
            <w:vAlign w:val="center"/>
          </w:tcPr>
          <w:p w14:paraId="70155AC7" w14:textId="77777777" w:rsidR="005D3AC5" w:rsidRPr="00882851" w:rsidRDefault="005D3AC5" w:rsidP="003D0EF2">
            <w:pPr>
              <w:jc w:val="right"/>
              <w:rPr>
                <w:rFonts w:ascii="Arial Narrow" w:hAnsi="Arial Narrow" w:cs="Calibri"/>
                <w:sz w:val="18"/>
                <w:szCs w:val="18"/>
              </w:rPr>
            </w:pPr>
            <w:r w:rsidRPr="00882851">
              <w:rPr>
                <w:rFonts w:ascii="Arial Narrow" w:hAnsi="Arial Narrow" w:cs="Calibri"/>
                <w:sz w:val="18"/>
                <w:szCs w:val="18"/>
              </w:rPr>
              <w:t>1</w:t>
            </w:r>
            <w:r w:rsidR="007B6ADB" w:rsidRPr="00882851">
              <w:rPr>
                <w:rFonts w:ascii="Arial Narrow" w:hAnsi="Arial Narrow" w:cs="Calibri"/>
                <w:sz w:val="18"/>
                <w:szCs w:val="18"/>
              </w:rPr>
              <w:t>3</w:t>
            </w:r>
          </w:p>
        </w:tc>
      </w:tr>
      <w:tr w:rsidR="005D3AC5" w:rsidRPr="00C1795C" w14:paraId="23A9CD1E" w14:textId="77777777" w:rsidTr="00D45736">
        <w:trPr>
          <w:trHeight w:val="119"/>
          <w:jc w:val="center"/>
        </w:trPr>
        <w:tc>
          <w:tcPr>
            <w:tcW w:w="5529" w:type="dxa"/>
            <w:tcBorders>
              <w:top w:val="single" w:sz="2" w:space="0" w:color="auto"/>
              <w:bottom w:val="single" w:sz="2" w:space="0" w:color="auto"/>
            </w:tcBorders>
            <w:shd w:val="clear" w:color="auto" w:fill="auto"/>
            <w:noWrap/>
            <w:vAlign w:val="center"/>
          </w:tcPr>
          <w:p w14:paraId="3F3AEC05" w14:textId="77777777" w:rsidR="005D3AC5" w:rsidRPr="00882851" w:rsidRDefault="005D3AC5" w:rsidP="008C2B8E">
            <w:pPr>
              <w:pStyle w:val="Prrafodelista"/>
              <w:numPr>
                <w:ilvl w:val="0"/>
                <w:numId w:val="32"/>
              </w:numPr>
              <w:rPr>
                <w:rFonts w:ascii="Arial Narrow" w:hAnsi="Arial Narrow" w:cs="Calibri"/>
                <w:color w:val="000000"/>
                <w:sz w:val="18"/>
                <w:szCs w:val="18"/>
              </w:rPr>
            </w:pPr>
            <w:r w:rsidRPr="00882851">
              <w:rPr>
                <w:rFonts w:ascii="Arial Narrow" w:hAnsi="Arial Narrow" w:cs="Calibri"/>
                <w:color w:val="000000"/>
                <w:sz w:val="18"/>
                <w:szCs w:val="18"/>
              </w:rPr>
              <w:t xml:space="preserve">No </w:t>
            </w:r>
            <w:r w:rsidR="00FC6F32">
              <w:rPr>
                <w:rFonts w:ascii="Arial Narrow" w:hAnsi="Arial Narrow" w:cs="Calibri"/>
                <w:color w:val="000000"/>
                <w:sz w:val="18"/>
                <w:szCs w:val="18"/>
              </w:rPr>
              <w:t xml:space="preserve">se </w:t>
            </w:r>
            <w:r w:rsidRPr="00882851">
              <w:rPr>
                <w:rFonts w:ascii="Arial Narrow" w:hAnsi="Arial Narrow" w:cs="Calibri"/>
                <w:color w:val="000000"/>
                <w:sz w:val="18"/>
                <w:szCs w:val="18"/>
              </w:rPr>
              <w:t>aplica temporalmente al estar el contrato en ejecución</w:t>
            </w:r>
          </w:p>
        </w:tc>
        <w:tc>
          <w:tcPr>
            <w:tcW w:w="1275" w:type="dxa"/>
            <w:tcBorders>
              <w:top w:val="single" w:sz="2" w:space="0" w:color="auto"/>
              <w:bottom w:val="single" w:sz="2" w:space="0" w:color="auto"/>
            </w:tcBorders>
            <w:shd w:val="clear" w:color="auto" w:fill="auto"/>
            <w:noWrap/>
            <w:vAlign w:val="center"/>
          </w:tcPr>
          <w:p w14:paraId="527D4BC4" w14:textId="77777777" w:rsidR="005D3AC5" w:rsidRPr="00882851" w:rsidRDefault="005D3AC5" w:rsidP="003D0EF2">
            <w:pPr>
              <w:jc w:val="right"/>
              <w:rPr>
                <w:rFonts w:ascii="Arial Narrow" w:hAnsi="Arial Narrow" w:cs="Calibri"/>
                <w:color w:val="000000"/>
                <w:sz w:val="18"/>
                <w:szCs w:val="18"/>
              </w:rPr>
            </w:pPr>
            <w:r w:rsidRPr="00882851">
              <w:rPr>
                <w:rFonts w:ascii="Arial Narrow" w:hAnsi="Arial Narrow" w:cs="Calibri"/>
                <w:color w:val="000000"/>
                <w:sz w:val="18"/>
                <w:szCs w:val="18"/>
              </w:rPr>
              <w:t>8</w:t>
            </w:r>
          </w:p>
        </w:tc>
        <w:tc>
          <w:tcPr>
            <w:tcW w:w="1276" w:type="dxa"/>
            <w:tcBorders>
              <w:top w:val="single" w:sz="2" w:space="0" w:color="auto"/>
              <w:bottom w:val="single" w:sz="2" w:space="0" w:color="auto"/>
            </w:tcBorders>
            <w:shd w:val="clear" w:color="auto" w:fill="auto"/>
            <w:vAlign w:val="center"/>
          </w:tcPr>
          <w:p w14:paraId="2BD070C7" w14:textId="77777777" w:rsidR="005D3AC5" w:rsidRPr="00882851" w:rsidRDefault="005D3AC5" w:rsidP="003D0EF2">
            <w:pPr>
              <w:jc w:val="right"/>
              <w:rPr>
                <w:rFonts w:ascii="Arial Narrow" w:hAnsi="Arial Narrow" w:cs="Calibri"/>
                <w:sz w:val="18"/>
                <w:szCs w:val="18"/>
              </w:rPr>
            </w:pPr>
            <w:r w:rsidRPr="00882851">
              <w:rPr>
                <w:rFonts w:ascii="Arial Narrow" w:hAnsi="Arial Narrow" w:cs="Calibri"/>
                <w:sz w:val="18"/>
                <w:szCs w:val="18"/>
              </w:rPr>
              <w:t>10</w:t>
            </w:r>
          </w:p>
        </w:tc>
        <w:tc>
          <w:tcPr>
            <w:tcW w:w="1135" w:type="dxa"/>
            <w:tcBorders>
              <w:top w:val="single" w:sz="2" w:space="0" w:color="auto"/>
              <w:bottom w:val="single" w:sz="2" w:space="0" w:color="auto"/>
            </w:tcBorders>
            <w:shd w:val="clear" w:color="auto" w:fill="auto"/>
            <w:vAlign w:val="center"/>
          </w:tcPr>
          <w:p w14:paraId="76833C36" w14:textId="77777777" w:rsidR="005D3AC5" w:rsidRPr="00882851" w:rsidRDefault="007B6ADB" w:rsidP="003D0EF2">
            <w:pPr>
              <w:jc w:val="right"/>
              <w:rPr>
                <w:rFonts w:ascii="Arial Narrow" w:hAnsi="Arial Narrow" w:cs="Calibri"/>
                <w:sz w:val="18"/>
                <w:szCs w:val="18"/>
              </w:rPr>
            </w:pPr>
            <w:r w:rsidRPr="00882851">
              <w:rPr>
                <w:rFonts w:ascii="Arial Narrow" w:hAnsi="Arial Narrow" w:cs="Calibri"/>
                <w:sz w:val="18"/>
                <w:szCs w:val="18"/>
              </w:rPr>
              <w:t>5</w:t>
            </w:r>
          </w:p>
        </w:tc>
      </w:tr>
      <w:tr w:rsidR="005D3AC5" w14:paraId="1EA4E5C5" w14:textId="77777777" w:rsidTr="00D45736">
        <w:trPr>
          <w:trHeight w:val="255"/>
          <w:jc w:val="center"/>
        </w:trPr>
        <w:tc>
          <w:tcPr>
            <w:tcW w:w="5529" w:type="dxa"/>
            <w:shd w:val="clear" w:color="000000" w:fill="95B3D7"/>
            <w:noWrap/>
            <w:vAlign w:val="center"/>
            <w:hideMark/>
          </w:tcPr>
          <w:p w14:paraId="442EC826" w14:textId="77777777" w:rsidR="005D3AC5" w:rsidRDefault="005D3AC5" w:rsidP="003D0EF2">
            <w:pPr>
              <w:rPr>
                <w:rFonts w:ascii="Arial" w:hAnsi="Arial" w:cs="Arial"/>
                <w:color w:val="000000"/>
                <w:sz w:val="18"/>
                <w:szCs w:val="18"/>
              </w:rPr>
            </w:pPr>
            <w:r>
              <w:rPr>
                <w:rFonts w:ascii="Arial" w:hAnsi="Arial" w:cs="Arial"/>
                <w:color w:val="000000"/>
                <w:sz w:val="18"/>
                <w:szCs w:val="18"/>
              </w:rPr>
              <w:t>Total contratos</w:t>
            </w:r>
          </w:p>
        </w:tc>
        <w:tc>
          <w:tcPr>
            <w:tcW w:w="1275" w:type="dxa"/>
            <w:shd w:val="clear" w:color="000000" w:fill="95B3D7"/>
            <w:noWrap/>
            <w:vAlign w:val="center"/>
            <w:hideMark/>
          </w:tcPr>
          <w:p w14:paraId="51C121E3" w14:textId="77777777" w:rsidR="005D3AC5" w:rsidRDefault="005D3AC5" w:rsidP="003D0EF2">
            <w:pPr>
              <w:jc w:val="right"/>
              <w:rPr>
                <w:rFonts w:ascii="Arial" w:hAnsi="Arial" w:cs="Arial"/>
                <w:color w:val="000000"/>
                <w:sz w:val="18"/>
                <w:szCs w:val="18"/>
              </w:rPr>
            </w:pPr>
            <w:r>
              <w:rPr>
                <w:rFonts w:ascii="Arial" w:hAnsi="Arial" w:cs="Arial"/>
                <w:color w:val="000000"/>
                <w:sz w:val="18"/>
                <w:szCs w:val="18"/>
              </w:rPr>
              <w:t>25</w:t>
            </w:r>
          </w:p>
        </w:tc>
        <w:tc>
          <w:tcPr>
            <w:tcW w:w="1276" w:type="dxa"/>
            <w:shd w:val="clear" w:color="000000" w:fill="95B3D7"/>
            <w:vAlign w:val="center"/>
          </w:tcPr>
          <w:p w14:paraId="793DD143" w14:textId="77777777" w:rsidR="005D3AC5" w:rsidRDefault="005D3AC5" w:rsidP="003D0EF2">
            <w:pPr>
              <w:jc w:val="right"/>
              <w:rPr>
                <w:rFonts w:ascii="Arial" w:hAnsi="Arial" w:cs="Arial"/>
                <w:color w:val="000000"/>
                <w:sz w:val="18"/>
                <w:szCs w:val="18"/>
              </w:rPr>
            </w:pPr>
            <w:r>
              <w:rPr>
                <w:rFonts w:ascii="Arial" w:hAnsi="Arial" w:cs="Arial"/>
                <w:color w:val="000000"/>
                <w:sz w:val="18"/>
                <w:szCs w:val="18"/>
              </w:rPr>
              <w:t>31</w:t>
            </w:r>
          </w:p>
        </w:tc>
        <w:tc>
          <w:tcPr>
            <w:tcW w:w="1135" w:type="dxa"/>
            <w:shd w:val="clear" w:color="000000" w:fill="95B3D7"/>
            <w:vAlign w:val="center"/>
          </w:tcPr>
          <w:p w14:paraId="5391E256" w14:textId="77777777" w:rsidR="005D3AC5" w:rsidRDefault="005D3AC5" w:rsidP="003D0EF2">
            <w:pPr>
              <w:jc w:val="right"/>
              <w:rPr>
                <w:rFonts w:ascii="Arial" w:hAnsi="Arial" w:cs="Arial"/>
                <w:color w:val="000000"/>
                <w:sz w:val="18"/>
                <w:szCs w:val="18"/>
              </w:rPr>
            </w:pPr>
            <w:r>
              <w:rPr>
                <w:rFonts w:ascii="Arial" w:hAnsi="Arial" w:cs="Arial"/>
                <w:color w:val="000000"/>
                <w:sz w:val="18"/>
                <w:szCs w:val="18"/>
              </w:rPr>
              <w:t>26</w:t>
            </w:r>
          </w:p>
        </w:tc>
      </w:tr>
    </w:tbl>
    <w:p w14:paraId="370F78F4" w14:textId="77777777" w:rsidR="005D3AC5" w:rsidRPr="002F4A7F" w:rsidRDefault="005D3AC5" w:rsidP="00882851">
      <w:pPr>
        <w:pStyle w:val="texto"/>
        <w:tabs>
          <w:tab w:val="left" w:pos="480"/>
        </w:tabs>
        <w:spacing w:before="60"/>
        <w:ind w:hanging="142"/>
        <w:jc w:val="both"/>
        <w:rPr>
          <w:rFonts w:ascii="Arial" w:hAnsi="Arial" w:cs="Arial"/>
          <w:bCs/>
          <w:spacing w:val="-3"/>
          <w:sz w:val="16"/>
          <w:szCs w:val="16"/>
        </w:rPr>
      </w:pPr>
      <w:r w:rsidRPr="002F4A7F">
        <w:rPr>
          <w:rFonts w:ascii="Arial" w:hAnsi="Arial" w:cs="Arial"/>
          <w:bCs/>
          <w:spacing w:val="-3"/>
          <w:sz w:val="16"/>
          <w:szCs w:val="16"/>
        </w:rPr>
        <w:t xml:space="preserve">*Dos contratos </w:t>
      </w:r>
      <w:r>
        <w:rPr>
          <w:rFonts w:ascii="Arial" w:hAnsi="Arial" w:cs="Arial"/>
          <w:bCs/>
          <w:spacing w:val="-3"/>
          <w:sz w:val="16"/>
          <w:szCs w:val="16"/>
        </w:rPr>
        <w:t xml:space="preserve">de suministro y dos de servicios </w:t>
      </w:r>
      <w:r w:rsidRPr="002F4A7F">
        <w:rPr>
          <w:rFonts w:ascii="Arial" w:hAnsi="Arial" w:cs="Arial"/>
          <w:bCs/>
          <w:spacing w:val="-3"/>
          <w:sz w:val="16"/>
          <w:szCs w:val="16"/>
        </w:rPr>
        <w:t>han quedado desiertos</w:t>
      </w:r>
      <w:r w:rsidR="004D49FB">
        <w:rPr>
          <w:rFonts w:ascii="Arial" w:hAnsi="Arial" w:cs="Arial"/>
          <w:bCs/>
          <w:spacing w:val="-3"/>
          <w:sz w:val="16"/>
          <w:szCs w:val="16"/>
        </w:rPr>
        <w:t>.</w:t>
      </w:r>
    </w:p>
    <w:p w14:paraId="679FFFEE" w14:textId="77777777" w:rsidR="00830D6B" w:rsidRDefault="00830D6B">
      <w:pPr>
        <w:rPr>
          <w:spacing w:val="6"/>
          <w:sz w:val="26"/>
        </w:rPr>
      </w:pPr>
      <w:r>
        <w:br w:type="page"/>
      </w:r>
    </w:p>
    <w:p w14:paraId="002A3EC2" w14:textId="77777777" w:rsidR="005D3AC5" w:rsidRDefault="005D3AC5" w:rsidP="00733D42">
      <w:pPr>
        <w:pStyle w:val="texto"/>
        <w:spacing w:before="240" w:after="120"/>
        <w:jc w:val="both"/>
      </w:pPr>
      <w:r>
        <w:lastRenderedPageBreak/>
        <w:t xml:space="preserve">Las principales conclusiones que obtenemos de la revisión </w:t>
      </w:r>
      <w:proofErr w:type="gramStart"/>
      <w:r>
        <w:t>realizada,</w:t>
      </w:r>
      <w:proofErr w:type="gramEnd"/>
      <w:r>
        <w:t xml:space="preserve"> son las siguientes: </w:t>
      </w:r>
    </w:p>
    <w:p w14:paraId="6FB63E2A" w14:textId="77777777" w:rsidR="005D3AC5" w:rsidRPr="008A56CF" w:rsidRDefault="005D3AC5" w:rsidP="008C2B8E">
      <w:pPr>
        <w:pStyle w:val="texto"/>
        <w:numPr>
          <w:ilvl w:val="0"/>
          <w:numId w:val="6"/>
        </w:numPr>
        <w:tabs>
          <w:tab w:val="clear" w:pos="360"/>
          <w:tab w:val="num" w:pos="300"/>
          <w:tab w:val="left" w:pos="480"/>
          <w:tab w:val="num" w:pos="600"/>
        </w:tabs>
        <w:spacing w:before="120"/>
        <w:ind w:firstLine="289"/>
        <w:jc w:val="both"/>
      </w:pPr>
      <w:r w:rsidRPr="008A56CF">
        <w:t>En relación con el nivel de concurrencia efectiva, es significativo en los contratos de suministro y servicio, la gran diversificación en lotes y la escasa concurrencia que generan.</w:t>
      </w:r>
    </w:p>
    <w:p w14:paraId="3D7BB91C" w14:textId="77777777" w:rsidR="005D3AC5" w:rsidRDefault="005D3AC5" w:rsidP="008C2B8E">
      <w:pPr>
        <w:pStyle w:val="texto"/>
        <w:numPr>
          <w:ilvl w:val="0"/>
          <w:numId w:val="6"/>
        </w:numPr>
        <w:tabs>
          <w:tab w:val="clear" w:pos="360"/>
          <w:tab w:val="num" w:pos="300"/>
          <w:tab w:val="left" w:pos="480"/>
          <w:tab w:val="num" w:pos="600"/>
        </w:tabs>
        <w:spacing w:before="120"/>
        <w:ind w:firstLine="289"/>
        <w:jc w:val="both"/>
      </w:pPr>
      <w:r>
        <w:t xml:space="preserve">Únicamente se ha observado en los contratos de servicio que en un 24 por ciento de </w:t>
      </w:r>
      <w:proofErr w:type="gramStart"/>
      <w:r>
        <w:t>los mismos</w:t>
      </w:r>
      <w:proofErr w:type="gramEnd"/>
      <w:r>
        <w:t>, no se acredita la exigencia legal de que al menos el 50 por ciento de los criterios de adjudicación se efectúe mediante la aplicación de fórmulas objetivas.</w:t>
      </w:r>
    </w:p>
    <w:p w14:paraId="4E7945F5" w14:textId="77777777" w:rsidR="00FF7571" w:rsidRDefault="005D3AC5" w:rsidP="004D49FB">
      <w:pPr>
        <w:pStyle w:val="texto"/>
        <w:numPr>
          <w:ilvl w:val="0"/>
          <w:numId w:val="6"/>
        </w:numPr>
        <w:tabs>
          <w:tab w:val="clear" w:pos="360"/>
          <w:tab w:val="num" w:pos="300"/>
          <w:tab w:val="left" w:pos="480"/>
          <w:tab w:val="num" w:pos="600"/>
        </w:tabs>
        <w:spacing w:before="120" w:after="120"/>
        <w:ind w:firstLine="289"/>
        <w:jc w:val="both"/>
      </w:pPr>
      <w:r>
        <w:t xml:space="preserve">En un </w:t>
      </w:r>
      <w:r w:rsidR="007B6ADB">
        <w:t xml:space="preserve">diez </w:t>
      </w:r>
      <w:r>
        <w:t xml:space="preserve">por ciento de promedio de los contratos, no se aplican fórmulas para la oferta económica que respondan a un criterio lineal y proporcional. </w:t>
      </w:r>
    </w:p>
    <w:p w14:paraId="1D7D993B" w14:textId="77777777" w:rsidR="00E74CEB" w:rsidRPr="005E2D29" w:rsidRDefault="005D3AC5" w:rsidP="00FC6F32">
      <w:pPr>
        <w:pStyle w:val="texto"/>
        <w:spacing w:after="240"/>
        <w:jc w:val="both"/>
      </w:pPr>
      <w:r>
        <w:t>Sobre esta cuestión, es cierto que la normativa de contratación no impone legalmente la utilizac</w:t>
      </w:r>
      <w:r w:rsidR="00906955">
        <w:t xml:space="preserve">ión de una fórmula determinada, si bien </w:t>
      </w:r>
      <w:r w:rsidR="00FC6F32">
        <w:t xml:space="preserve">es razonable </w:t>
      </w:r>
      <w:r>
        <w:t xml:space="preserve">evitar </w:t>
      </w:r>
      <w:r w:rsidRPr="005E2D29">
        <w:t>que las fórmulas elegidas, no sean proporcionales o generen curvas o atenuaciones entre las ofertas que distorsionen de forma significativa la relación entre las bajas económicas y la puntuación obtenida.</w:t>
      </w:r>
      <w:r w:rsidR="00FC6F32" w:rsidRPr="005E2D29">
        <w:t xml:space="preserve"> No obstante, como hecho posterior, indicamos que, en marzo de 2024, el Tribunal Supremo ha emitido una sentencia sobre esta cuestión, planteando la posibilidad de utilizar fórmulas alternativas que pueden ser válidas</w:t>
      </w:r>
      <w:r w:rsidR="00750A0E" w:rsidRPr="005E2D29">
        <w:rPr>
          <w:rStyle w:val="Refdenotaalpie"/>
        </w:rPr>
        <w:footnoteReference w:id="24"/>
      </w:r>
      <w:r w:rsidR="00FC6F32" w:rsidRPr="005E2D29">
        <w:t xml:space="preserve">. </w:t>
      </w:r>
    </w:p>
    <w:p w14:paraId="766C1C03" w14:textId="77777777" w:rsidR="00E74CEB" w:rsidRDefault="00E74CEB" w:rsidP="00E74CEB">
      <w:pPr>
        <w:pStyle w:val="texto"/>
        <w:spacing w:after="240"/>
        <w:jc w:val="both"/>
      </w:pPr>
      <w:r w:rsidRPr="009C3603">
        <w:t>Asimismo, en dos de los 25 contratos</w:t>
      </w:r>
      <w:r w:rsidR="00D931E5">
        <w:t xml:space="preserve"> de obra</w:t>
      </w:r>
      <w:r w:rsidRPr="009C3603">
        <w:t>, la fórmula asigna puntos, aunque no haya rebaja en el precio</w:t>
      </w:r>
      <w:r w:rsidR="008F3D39">
        <w:t>.</w:t>
      </w:r>
    </w:p>
    <w:p w14:paraId="2C7B860B" w14:textId="77777777" w:rsidR="00CE1507" w:rsidRDefault="005D3AC5" w:rsidP="00733D42">
      <w:pPr>
        <w:pStyle w:val="texto"/>
        <w:numPr>
          <w:ilvl w:val="0"/>
          <w:numId w:val="6"/>
        </w:numPr>
        <w:tabs>
          <w:tab w:val="clear" w:pos="360"/>
          <w:tab w:val="num" w:pos="300"/>
          <w:tab w:val="left" w:pos="480"/>
          <w:tab w:val="num" w:pos="600"/>
        </w:tabs>
        <w:spacing w:after="120"/>
        <w:ind w:firstLine="289"/>
        <w:jc w:val="both"/>
      </w:pPr>
      <w:r w:rsidRPr="000A0DC8">
        <w:t xml:space="preserve">Destacamos que, </w:t>
      </w:r>
      <w:r w:rsidR="009D67DC">
        <w:t>los criterios cualitativos sometidos juicio de valor establecidos en los pliegos, adolecen de la suficiente concreción y ponderación</w:t>
      </w:r>
      <w:r w:rsidR="00CE1507">
        <w:t xml:space="preserve"> que permita facilitar la elaboración del informe justificativo de las puntuaciones asignadas. </w:t>
      </w:r>
    </w:p>
    <w:p w14:paraId="19D21DA7" w14:textId="77777777" w:rsidR="00CE1507" w:rsidRDefault="00CE1507" w:rsidP="00733D42">
      <w:pPr>
        <w:pStyle w:val="texto"/>
        <w:spacing w:after="120"/>
        <w:jc w:val="both"/>
      </w:pPr>
      <w:r>
        <w:t xml:space="preserve">Esta deficiencia, principalmente en los contratos de obra, se manifiesta, posteriormente en lo que a nuestro juicio supone una insuficiente motivación de </w:t>
      </w:r>
      <w:r w:rsidR="005D3AC5" w:rsidRPr="000A0DC8">
        <w:t>la valoración de la oferta técn</w:t>
      </w:r>
      <w:r>
        <w:t xml:space="preserve">ica sometida a juicio de valor, dado que en términos generales se aprecia un carácter descriptivo y no comparativo ni homogéneo entre las distintas ofertas. </w:t>
      </w:r>
    </w:p>
    <w:p w14:paraId="2CC8585A" w14:textId="77777777" w:rsidR="00FC6F32" w:rsidRDefault="001D76D5" w:rsidP="00733D42">
      <w:pPr>
        <w:pStyle w:val="texto"/>
        <w:spacing w:after="120"/>
        <w:jc w:val="both"/>
      </w:pPr>
      <w:r w:rsidRPr="000A0DC8">
        <w:t xml:space="preserve">No obstante, debe tenerse en cuenta que existe un porcentaje significativo en los que no se aplica, al haber un único licitador. Si </w:t>
      </w:r>
      <w:r w:rsidR="000A0DC8" w:rsidRPr="000A0DC8">
        <w:t xml:space="preserve">de la muestra revisada, </w:t>
      </w:r>
      <w:r w:rsidRPr="000A0DC8">
        <w:t xml:space="preserve">se excluyese del análisis esta situación, los porcentajes aumentarían de forma significativa. </w:t>
      </w:r>
    </w:p>
    <w:p w14:paraId="1CF22F84" w14:textId="77777777" w:rsidR="00FC6F32" w:rsidRDefault="00FC6F32">
      <w:pPr>
        <w:rPr>
          <w:spacing w:val="6"/>
          <w:sz w:val="26"/>
        </w:rPr>
      </w:pPr>
      <w:r>
        <w:br w:type="page"/>
      </w:r>
    </w:p>
    <w:p w14:paraId="1215A4FC" w14:textId="77777777" w:rsidR="007B0172" w:rsidRDefault="007B0172" w:rsidP="00733D42">
      <w:pPr>
        <w:pStyle w:val="texto"/>
        <w:numPr>
          <w:ilvl w:val="0"/>
          <w:numId w:val="6"/>
        </w:numPr>
        <w:tabs>
          <w:tab w:val="clear" w:pos="360"/>
          <w:tab w:val="num" w:pos="300"/>
          <w:tab w:val="left" w:pos="480"/>
          <w:tab w:val="num" w:pos="600"/>
        </w:tabs>
        <w:spacing w:after="240"/>
        <w:ind w:firstLine="289"/>
        <w:jc w:val="both"/>
      </w:pPr>
      <w:r w:rsidRPr="00C51929">
        <w:lastRenderedPageBreak/>
        <w:t xml:space="preserve">El criterio </w:t>
      </w:r>
      <w:r w:rsidRPr="007B0172">
        <w:t>determinante en</w:t>
      </w:r>
      <w:r w:rsidRPr="00C51929">
        <w:t xml:space="preserve"> la adjudicación de los contratos, si se eliminan las situaciones en las que ha existido un único licitador o se han declarado desiertos los contratos, ha sido </w:t>
      </w:r>
      <w:r>
        <w:t xml:space="preserve">la siguiente por tipo de contrato: </w:t>
      </w:r>
    </w:p>
    <w:tbl>
      <w:tblPr>
        <w:tblW w:w="8789" w:type="dxa"/>
        <w:jc w:val="center"/>
        <w:tblCellMar>
          <w:left w:w="70" w:type="dxa"/>
          <w:right w:w="70" w:type="dxa"/>
        </w:tblCellMar>
        <w:tblLook w:val="04A0" w:firstRow="1" w:lastRow="0" w:firstColumn="1" w:lastColumn="0" w:noHBand="0" w:noVBand="1"/>
      </w:tblPr>
      <w:tblGrid>
        <w:gridCol w:w="3040"/>
        <w:gridCol w:w="2630"/>
        <w:gridCol w:w="1701"/>
        <w:gridCol w:w="1418"/>
      </w:tblGrid>
      <w:tr w:rsidR="007B0172" w:rsidRPr="00191BF0" w14:paraId="4CEA43AE" w14:textId="77777777" w:rsidTr="008F3D39">
        <w:trPr>
          <w:trHeight w:val="255"/>
          <w:jc w:val="center"/>
        </w:trPr>
        <w:tc>
          <w:tcPr>
            <w:tcW w:w="3040" w:type="dxa"/>
            <w:tcBorders>
              <w:top w:val="single" w:sz="4" w:space="0" w:color="auto"/>
              <w:left w:val="nil"/>
              <w:bottom w:val="single" w:sz="4" w:space="0" w:color="auto"/>
              <w:right w:val="nil"/>
            </w:tcBorders>
            <w:shd w:val="clear" w:color="000000" w:fill="95B3D7"/>
            <w:noWrap/>
            <w:vAlign w:val="center"/>
            <w:hideMark/>
          </w:tcPr>
          <w:p w14:paraId="63671CB4" w14:textId="77777777" w:rsidR="007B0172" w:rsidRPr="00191BF0" w:rsidRDefault="007B0172" w:rsidP="00C270FB">
            <w:pPr>
              <w:rPr>
                <w:rFonts w:ascii="Arial" w:hAnsi="Arial" w:cs="Arial"/>
                <w:sz w:val="18"/>
                <w:szCs w:val="18"/>
              </w:rPr>
            </w:pPr>
            <w:r>
              <w:rPr>
                <w:rFonts w:ascii="Arial" w:hAnsi="Arial" w:cs="Arial"/>
                <w:sz w:val="18"/>
                <w:szCs w:val="18"/>
              </w:rPr>
              <w:t>Contrato</w:t>
            </w:r>
          </w:p>
        </w:tc>
        <w:tc>
          <w:tcPr>
            <w:tcW w:w="2630" w:type="dxa"/>
            <w:tcBorders>
              <w:top w:val="single" w:sz="4" w:space="0" w:color="auto"/>
              <w:left w:val="nil"/>
              <w:bottom w:val="single" w:sz="4" w:space="0" w:color="auto"/>
              <w:right w:val="nil"/>
            </w:tcBorders>
            <w:shd w:val="clear" w:color="000000" w:fill="95B3D7"/>
            <w:noWrap/>
            <w:vAlign w:val="center"/>
            <w:hideMark/>
          </w:tcPr>
          <w:p w14:paraId="05C51856" w14:textId="77777777" w:rsidR="007B0172" w:rsidRPr="00191BF0" w:rsidRDefault="007B0172" w:rsidP="00C270FB">
            <w:pPr>
              <w:jc w:val="right"/>
              <w:rPr>
                <w:rFonts w:ascii="Arial" w:hAnsi="Arial" w:cs="Arial"/>
                <w:sz w:val="18"/>
                <w:szCs w:val="18"/>
              </w:rPr>
            </w:pPr>
            <w:r>
              <w:rPr>
                <w:rFonts w:ascii="Arial" w:hAnsi="Arial" w:cs="Arial"/>
                <w:sz w:val="18"/>
                <w:szCs w:val="18"/>
              </w:rPr>
              <w:t>Obra</w:t>
            </w:r>
          </w:p>
        </w:tc>
        <w:tc>
          <w:tcPr>
            <w:tcW w:w="1701" w:type="dxa"/>
            <w:tcBorders>
              <w:top w:val="single" w:sz="4" w:space="0" w:color="auto"/>
              <w:left w:val="nil"/>
              <w:bottom w:val="single" w:sz="4" w:space="0" w:color="auto"/>
              <w:right w:val="nil"/>
            </w:tcBorders>
            <w:shd w:val="clear" w:color="000000" w:fill="95B3D7"/>
            <w:vAlign w:val="center"/>
          </w:tcPr>
          <w:p w14:paraId="754340C7" w14:textId="77777777" w:rsidR="007B0172" w:rsidRPr="00191BF0" w:rsidRDefault="007B0172" w:rsidP="00C270FB">
            <w:pPr>
              <w:jc w:val="right"/>
              <w:rPr>
                <w:rFonts w:ascii="Arial" w:hAnsi="Arial" w:cs="Arial"/>
                <w:sz w:val="18"/>
                <w:szCs w:val="18"/>
              </w:rPr>
            </w:pPr>
            <w:r>
              <w:rPr>
                <w:rFonts w:ascii="Arial" w:hAnsi="Arial" w:cs="Arial"/>
                <w:sz w:val="18"/>
                <w:szCs w:val="18"/>
              </w:rPr>
              <w:t>Suministro</w:t>
            </w:r>
          </w:p>
        </w:tc>
        <w:tc>
          <w:tcPr>
            <w:tcW w:w="1418" w:type="dxa"/>
            <w:tcBorders>
              <w:top w:val="single" w:sz="4" w:space="0" w:color="auto"/>
              <w:left w:val="nil"/>
              <w:bottom w:val="single" w:sz="4" w:space="0" w:color="auto"/>
              <w:right w:val="nil"/>
            </w:tcBorders>
            <w:shd w:val="clear" w:color="000000" w:fill="95B3D7"/>
            <w:noWrap/>
            <w:vAlign w:val="center"/>
            <w:hideMark/>
          </w:tcPr>
          <w:p w14:paraId="30191292" w14:textId="77777777" w:rsidR="007B0172" w:rsidRPr="00191BF0" w:rsidRDefault="007B0172" w:rsidP="00C270FB">
            <w:pPr>
              <w:jc w:val="right"/>
              <w:rPr>
                <w:rFonts w:ascii="Arial" w:hAnsi="Arial" w:cs="Arial"/>
                <w:sz w:val="18"/>
                <w:szCs w:val="18"/>
              </w:rPr>
            </w:pPr>
            <w:r>
              <w:rPr>
                <w:rFonts w:ascii="Arial" w:hAnsi="Arial" w:cs="Arial"/>
                <w:sz w:val="18"/>
                <w:szCs w:val="18"/>
              </w:rPr>
              <w:t>Servicio</w:t>
            </w:r>
          </w:p>
        </w:tc>
      </w:tr>
      <w:tr w:rsidR="007B0172" w:rsidRPr="00C51929" w14:paraId="085CC6E2" w14:textId="77777777" w:rsidTr="00D45736">
        <w:trPr>
          <w:trHeight w:val="198"/>
          <w:jc w:val="center"/>
        </w:trPr>
        <w:tc>
          <w:tcPr>
            <w:tcW w:w="3040" w:type="dxa"/>
            <w:tcBorders>
              <w:top w:val="single" w:sz="4" w:space="0" w:color="auto"/>
              <w:left w:val="nil"/>
              <w:bottom w:val="single" w:sz="2" w:space="0" w:color="auto"/>
              <w:right w:val="nil"/>
            </w:tcBorders>
            <w:shd w:val="clear" w:color="auto" w:fill="auto"/>
            <w:noWrap/>
            <w:vAlign w:val="center"/>
            <w:hideMark/>
          </w:tcPr>
          <w:p w14:paraId="52333F7B" w14:textId="77777777" w:rsidR="007B0172" w:rsidRPr="00774154" w:rsidRDefault="007B0172" w:rsidP="00C270FB">
            <w:pPr>
              <w:rPr>
                <w:rFonts w:ascii="Arial Narrow" w:hAnsi="Arial Narrow" w:cs="Calibri"/>
                <w:sz w:val="20"/>
                <w:szCs w:val="20"/>
              </w:rPr>
            </w:pPr>
            <w:r>
              <w:rPr>
                <w:rFonts w:ascii="Arial Narrow" w:hAnsi="Arial Narrow" w:cs="Calibri"/>
                <w:sz w:val="20"/>
                <w:szCs w:val="20"/>
              </w:rPr>
              <w:t>Oferta técnica</w:t>
            </w:r>
          </w:p>
        </w:tc>
        <w:tc>
          <w:tcPr>
            <w:tcW w:w="2630" w:type="dxa"/>
            <w:tcBorders>
              <w:top w:val="single" w:sz="4" w:space="0" w:color="auto"/>
              <w:left w:val="nil"/>
              <w:bottom w:val="single" w:sz="2" w:space="0" w:color="auto"/>
              <w:right w:val="nil"/>
            </w:tcBorders>
            <w:shd w:val="clear" w:color="auto" w:fill="auto"/>
            <w:noWrap/>
            <w:vAlign w:val="bottom"/>
          </w:tcPr>
          <w:p w14:paraId="13172049" w14:textId="77777777" w:rsidR="007B0172" w:rsidRPr="00774154" w:rsidRDefault="007B0172" w:rsidP="00C270FB">
            <w:pPr>
              <w:jc w:val="right"/>
              <w:rPr>
                <w:rFonts w:ascii="Arial Narrow" w:hAnsi="Arial Narrow" w:cs="Calibri"/>
                <w:sz w:val="20"/>
                <w:szCs w:val="20"/>
              </w:rPr>
            </w:pPr>
            <w:r>
              <w:rPr>
                <w:rFonts w:ascii="Arial Narrow" w:hAnsi="Arial Narrow" w:cs="Calibri"/>
                <w:sz w:val="20"/>
                <w:szCs w:val="20"/>
              </w:rPr>
              <w:t>60%</w:t>
            </w:r>
          </w:p>
        </w:tc>
        <w:tc>
          <w:tcPr>
            <w:tcW w:w="1701" w:type="dxa"/>
            <w:tcBorders>
              <w:top w:val="single" w:sz="4" w:space="0" w:color="auto"/>
              <w:left w:val="nil"/>
              <w:bottom w:val="single" w:sz="2" w:space="0" w:color="auto"/>
              <w:right w:val="nil"/>
            </w:tcBorders>
            <w:vAlign w:val="bottom"/>
          </w:tcPr>
          <w:p w14:paraId="793E58BF" w14:textId="77777777" w:rsidR="007B0172" w:rsidRPr="00774154" w:rsidRDefault="007B0172" w:rsidP="00C270FB">
            <w:pPr>
              <w:jc w:val="right"/>
              <w:rPr>
                <w:rFonts w:ascii="Arial Narrow" w:hAnsi="Arial Narrow" w:cs="Calibri"/>
                <w:sz w:val="20"/>
                <w:szCs w:val="20"/>
              </w:rPr>
            </w:pPr>
            <w:r>
              <w:rPr>
                <w:rFonts w:ascii="Arial Narrow" w:hAnsi="Arial Narrow" w:cs="Calibri"/>
                <w:sz w:val="20"/>
                <w:szCs w:val="20"/>
              </w:rPr>
              <w:t>64%</w:t>
            </w:r>
          </w:p>
        </w:tc>
        <w:tc>
          <w:tcPr>
            <w:tcW w:w="1418" w:type="dxa"/>
            <w:tcBorders>
              <w:top w:val="single" w:sz="4" w:space="0" w:color="auto"/>
              <w:left w:val="nil"/>
              <w:bottom w:val="single" w:sz="2" w:space="0" w:color="auto"/>
              <w:right w:val="nil"/>
            </w:tcBorders>
            <w:shd w:val="clear" w:color="auto" w:fill="auto"/>
            <w:noWrap/>
            <w:vAlign w:val="bottom"/>
          </w:tcPr>
          <w:p w14:paraId="67DF9B7C" w14:textId="77777777" w:rsidR="007B0172" w:rsidRPr="00774154" w:rsidRDefault="007B0172" w:rsidP="00C270FB">
            <w:pPr>
              <w:jc w:val="right"/>
              <w:rPr>
                <w:rFonts w:ascii="Arial Narrow" w:hAnsi="Arial Narrow" w:cs="Calibri"/>
                <w:sz w:val="20"/>
                <w:szCs w:val="20"/>
              </w:rPr>
            </w:pPr>
            <w:r>
              <w:rPr>
                <w:rFonts w:ascii="Arial Narrow" w:hAnsi="Arial Narrow" w:cs="Calibri"/>
                <w:sz w:val="20"/>
                <w:szCs w:val="20"/>
              </w:rPr>
              <w:t>60%</w:t>
            </w:r>
          </w:p>
        </w:tc>
      </w:tr>
      <w:tr w:rsidR="007B0172" w:rsidRPr="00C51929" w14:paraId="59E3D0EE" w14:textId="77777777" w:rsidTr="00D45736">
        <w:trPr>
          <w:trHeight w:val="198"/>
          <w:jc w:val="center"/>
        </w:trPr>
        <w:tc>
          <w:tcPr>
            <w:tcW w:w="3040" w:type="dxa"/>
            <w:tcBorders>
              <w:top w:val="single" w:sz="2" w:space="0" w:color="auto"/>
              <w:left w:val="nil"/>
              <w:bottom w:val="single" w:sz="4" w:space="0" w:color="auto"/>
              <w:right w:val="nil"/>
            </w:tcBorders>
            <w:shd w:val="clear" w:color="auto" w:fill="auto"/>
            <w:noWrap/>
            <w:vAlign w:val="center"/>
          </w:tcPr>
          <w:p w14:paraId="6A466F9E" w14:textId="77777777" w:rsidR="007B0172" w:rsidRPr="00774154" w:rsidRDefault="007B0172" w:rsidP="00C270FB">
            <w:pPr>
              <w:rPr>
                <w:rFonts w:ascii="Arial Narrow" w:hAnsi="Arial Narrow" w:cs="Calibri"/>
                <w:sz w:val="20"/>
                <w:szCs w:val="20"/>
              </w:rPr>
            </w:pPr>
            <w:r>
              <w:rPr>
                <w:rFonts w:ascii="Arial Narrow" w:hAnsi="Arial Narrow" w:cs="Calibri"/>
                <w:sz w:val="20"/>
                <w:szCs w:val="20"/>
              </w:rPr>
              <w:t>Oferta económica</w:t>
            </w:r>
          </w:p>
        </w:tc>
        <w:tc>
          <w:tcPr>
            <w:tcW w:w="2630" w:type="dxa"/>
            <w:tcBorders>
              <w:top w:val="single" w:sz="2" w:space="0" w:color="auto"/>
              <w:left w:val="nil"/>
              <w:bottom w:val="single" w:sz="4" w:space="0" w:color="auto"/>
              <w:right w:val="nil"/>
            </w:tcBorders>
            <w:shd w:val="clear" w:color="auto" w:fill="auto"/>
            <w:noWrap/>
            <w:vAlign w:val="bottom"/>
          </w:tcPr>
          <w:p w14:paraId="2B34DDFC" w14:textId="77777777" w:rsidR="007B0172" w:rsidRPr="00774154" w:rsidRDefault="007B0172" w:rsidP="00C270FB">
            <w:pPr>
              <w:jc w:val="right"/>
              <w:rPr>
                <w:rFonts w:ascii="Arial Narrow" w:hAnsi="Arial Narrow" w:cs="Calibri"/>
                <w:sz w:val="20"/>
                <w:szCs w:val="20"/>
              </w:rPr>
            </w:pPr>
            <w:r>
              <w:rPr>
                <w:rFonts w:ascii="Arial Narrow" w:hAnsi="Arial Narrow" w:cs="Calibri"/>
                <w:sz w:val="20"/>
                <w:szCs w:val="20"/>
              </w:rPr>
              <w:t>40%</w:t>
            </w:r>
          </w:p>
        </w:tc>
        <w:tc>
          <w:tcPr>
            <w:tcW w:w="1701" w:type="dxa"/>
            <w:tcBorders>
              <w:top w:val="single" w:sz="2" w:space="0" w:color="auto"/>
              <w:left w:val="nil"/>
              <w:bottom w:val="single" w:sz="4" w:space="0" w:color="auto"/>
              <w:right w:val="nil"/>
            </w:tcBorders>
            <w:vAlign w:val="bottom"/>
          </w:tcPr>
          <w:p w14:paraId="2634E15E" w14:textId="77777777" w:rsidR="007B0172" w:rsidRPr="00774154" w:rsidRDefault="007B0172" w:rsidP="00C270FB">
            <w:pPr>
              <w:jc w:val="right"/>
              <w:rPr>
                <w:rFonts w:ascii="Arial Narrow" w:hAnsi="Arial Narrow" w:cs="Calibri"/>
                <w:sz w:val="20"/>
                <w:szCs w:val="20"/>
              </w:rPr>
            </w:pPr>
            <w:r>
              <w:rPr>
                <w:rFonts w:ascii="Arial Narrow" w:hAnsi="Arial Narrow" w:cs="Calibri"/>
                <w:sz w:val="20"/>
                <w:szCs w:val="20"/>
              </w:rPr>
              <w:t>36%</w:t>
            </w:r>
          </w:p>
        </w:tc>
        <w:tc>
          <w:tcPr>
            <w:tcW w:w="1418" w:type="dxa"/>
            <w:tcBorders>
              <w:top w:val="single" w:sz="2" w:space="0" w:color="auto"/>
              <w:left w:val="nil"/>
              <w:bottom w:val="single" w:sz="4" w:space="0" w:color="auto"/>
              <w:right w:val="nil"/>
            </w:tcBorders>
            <w:shd w:val="clear" w:color="auto" w:fill="auto"/>
            <w:noWrap/>
            <w:vAlign w:val="bottom"/>
          </w:tcPr>
          <w:p w14:paraId="55B69E4D" w14:textId="77777777" w:rsidR="007B0172" w:rsidRPr="00774154" w:rsidRDefault="007B0172" w:rsidP="00C270FB">
            <w:pPr>
              <w:jc w:val="right"/>
              <w:rPr>
                <w:rFonts w:ascii="Arial Narrow" w:hAnsi="Arial Narrow" w:cs="Calibri"/>
                <w:sz w:val="20"/>
                <w:szCs w:val="20"/>
              </w:rPr>
            </w:pPr>
            <w:r>
              <w:rPr>
                <w:rFonts w:ascii="Arial Narrow" w:hAnsi="Arial Narrow" w:cs="Calibri"/>
                <w:sz w:val="20"/>
                <w:szCs w:val="20"/>
              </w:rPr>
              <w:t>40%</w:t>
            </w:r>
          </w:p>
        </w:tc>
      </w:tr>
    </w:tbl>
    <w:p w14:paraId="13D315F4" w14:textId="77777777" w:rsidR="001D76D5" w:rsidRDefault="007B0172" w:rsidP="00733D42">
      <w:pPr>
        <w:pStyle w:val="texto"/>
        <w:spacing w:before="240" w:after="120"/>
        <w:jc w:val="both"/>
      </w:pPr>
      <w:r>
        <w:t xml:space="preserve">Indicamos que hemos considerado criterio determinante en la adjudicación, no la ponderación inicialmente prevista en los pliegos, sino el factor determinante en cada contrato, una vez evaluadas </w:t>
      </w:r>
      <w:r w:rsidR="00AE2411">
        <w:t xml:space="preserve">las </w:t>
      </w:r>
      <w:r>
        <w:t>oferta</w:t>
      </w:r>
      <w:r w:rsidR="00AE2411">
        <w:t>s</w:t>
      </w:r>
      <w:r>
        <w:t xml:space="preserve"> de los licitadores. Si se hace un promedio de los resultados analizados, la oferta técnica ha resultado ser determinante en un 61 por ciento de los contratos y la oferta económica en un 39 por ciento. </w:t>
      </w:r>
    </w:p>
    <w:p w14:paraId="23FDDCCD" w14:textId="77777777" w:rsidR="007B0172" w:rsidRPr="007B0172" w:rsidRDefault="007B0172" w:rsidP="00733D42">
      <w:pPr>
        <w:pStyle w:val="texto"/>
        <w:spacing w:after="120"/>
        <w:jc w:val="both"/>
      </w:pPr>
      <w:r w:rsidRPr="007B0172">
        <w:t>No obstante, indicamos que</w:t>
      </w:r>
      <w:r w:rsidR="00E74CEB">
        <w:t>,</w:t>
      </w:r>
      <w:r w:rsidRPr="007B0172">
        <w:t xml:space="preserve"> en el caso de los cinco contratos de obra de la Dirección General de Obras e Infraestructuras, que hemos revisado </w:t>
      </w:r>
      <w:r w:rsidR="00E74CEB">
        <w:t xml:space="preserve">(entre los que se incluye el contrato “Duplicación del túnel de Belate y que desarrollamos en el Apéndice 6) </w:t>
      </w:r>
      <w:r w:rsidRPr="007B0172">
        <w:t xml:space="preserve">todas o prácticamente todas las ofertas económicas que presentan los licitadores presentan la misma baja </w:t>
      </w:r>
      <w:r w:rsidR="003740FB">
        <w:t xml:space="preserve">y además, </w:t>
      </w:r>
      <w:r w:rsidR="003740FB" w:rsidRPr="00C57E20">
        <w:t xml:space="preserve">coincidente con </w:t>
      </w:r>
      <w:r w:rsidRPr="00C57E20">
        <w:t>la baja máxima establecida en los pliegos. Esto provoca que tod</w:t>
      </w:r>
      <w:r w:rsidRPr="007B0172">
        <w:t>os los licitadores tengan la m</w:t>
      </w:r>
      <w:r w:rsidR="003740FB">
        <w:t xml:space="preserve">áxima </w:t>
      </w:r>
      <w:r w:rsidRPr="007B0172">
        <w:t xml:space="preserve">puntuación, y por lo tanto, la valoración de la oferta económica </w:t>
      </w:r>
      <w:r w:rsidR="00E74CEB">
        <w:t>es irrelevante en la adjudicación</w:t>
      </w:r>
      <w:r w:rsidRPr="007B0172">
        <w:t xml:space="preserve">, siendo el criterio determinante la valoración sometida a juicio de valor. </w:t>
      </w:r>
    </w:p>
    <w:p w14:paraId="5D0C6FED" w14:textId="77777777" w:rsidR="005D3AC5" w:rsidRPr="00E74CEB" w:rsidRDefault="00D931E5" w:rsidP="00733D42">
      <w:pPr>
        <w:pStyle w:val="texto"/>
        <w:spacing w:after="120"/>
        <w:jc w:val="both"/>
      </w:pPr>
      <w:r>
        <w:t xml:space="preserve">Por otro lado, de estos </w:t>
      </w:r>
      <w:r w:rsidR="005D3AC5" w:rsidRPr="00E74CEB">
        <w:t xml:space="preserve">cinco contratos revisados, consta la publicación de tres reparos por la intervención delegada; esta situación no se ha dado en el resto de </w:t>
      </w:r>
      <w:proofErr w:type="gramStart"/>
      <w:r w:rsidR="005D3AC5" w:rsidRPr="00E74CEB">
        <w:t>contratos</w:t>
      </w:r>
      <w:proofErr w:type="gramEnd"/>
      <w:r w:rsidR="005D3AC5" w:rsidRPr="00E74CEB">
        <w:t xml:space="preserve"> fiscalizados.</w:t>
      </w:r>
    </w:p>
    <w:p w14:paraId="412EAD91" w14:textId="77777777" w:rsidR="005D3AC5" w:rsidRDefault="005D3AC5" w:rsidP="00733D42">
      <w:pPr>
        <w:pStyle w:val="texto"/>
        <w:spacing w:after="120"/>
        <w:jc w:val="both"/>
      </w:pPr>
      <w:r>
        <w:t>En cualquier caso, existe un número significativo de contratos en los que hemos cons</w:t>
      </w:r>
      <w:r w:rsidR="00FC6F32">
        <w:t xml:space="preserve">tatado que no se le asigna puntuación </w:t>
      </w:r>
      <w:r>
        <w:t xml:space="preserve">al existir un único licitador. Si bien la suficiente valoración de las ofertas técnicas opera cuando existe concurrencia, sería deseable que, a pesar de existir ausencia de concurrencia, se informase con un poco más de detalle la valoración emitida. </w:t>
      </w:r>
    </w:p>
    <w:p w14:paraId="36C55EAE" w14:textId="77777777" w:rsidR="005D3AC5" w:rsidRDefault="005D3AC5" w:rsidP="00733D42">
      <w:pPr>
        <w:pStyle w:val="texto"/>
        <w:numPr>
          <w:ilvl w:val="0"/>
          <w:numId w:val="6"/>
        </w:numPr>
        <w:tabs>
          <w:tab w:val="clear" w:pos="360"/>
          <w:tab w:val="num" w:pos="300"/>
          <w:tab w:val="left" w:pos="480"/>
          <w:tab w:val="num" w:pos="600"/>
        </w:tabs>
        <w:spacing w:after="120"/>
        <w:ind w:firstLine="289"/>
        <w:jc w:val="both"/>
      </w:pPr>
      <w:r w:rsidRPr="008A56CF">
        <w:t xml:space="preserve">La baja media de los contratos ha sido de un siete por ciento. No obstante, debe tenerse en cuenta que las modificaciones de contratos permitida en la normativa de </w:t>
      </w:r>
      <w:proofErr w:type="gramStart"/>
      <w:r w:rsidRPr="008A56CF">
        <w:t>contratación,</w:t>
      </w:r>
      <w:proofErr w:type="gramEnd"/>
      <w:r w:rsidRPr="008A56CF">
        <w:t xml:space="preserve"> suelen afectar más al contrato de obra que a los contratos de suministro y servicios. Por lo tanto, si se quiere evaluar el ahorro definitivo de la contratación, debe esperarse a la liquidación final de los contratos, y contrastar el coste final con al ahorro inicialmente aceptado en la oferta como baja de adjudicación. </w:t>
      </w:r>
    </w:p>
    <w:p w14:paraId="4CCE0C3B" w14:textId="77777777" w:rsidR="005D3AC5" w:rsidRDefault="003740FB" w:rsidP="00733D42">
      <w:pPr>
        <w:pStyle w:val="texto"/>
        <w:numPr>
          <w:ilvl w:val="0"/>
          <w:numId w:val="6"/>
        </w:numPr>
        <w:tabs>
          <w:tab w:val="clear" w:pos="360"/>
          <w:tab w:val="num" w:pos="300"/>
          <w:tab w:val="left" w:pos="480"/>
          <w:tab w:val="num" w:pos="600"/>
        </w:tabs>
        <w:spacing w:after="120"/>
        <w:ind w:firstLine="289"/>
        <w:jc w:val="both"/>
      </w:pPr>
      <w:r>
        <w:t>Para l</w:t>
      </w:r>
      <w:r w:rsidR="005D3AC5">
        <w:t>os contratos</w:t>
      </w:r>
      <w:r>
        <w:t xml:space="preserve"> con </w:t>
      </w:r>
      <w:r w:rsidR="005D3AC5">
        <w:t>criterios sociales y medioambientales como criterio de adjudicación, se cumple de forma razonable la vinculación con el objeto del contrato.</w:t>
      </w:r>
    </w:p>
    <w:p w14:paraId="17B8172A" w14:textId="77777777" w:rsidR="005D3AC5" w:rsidRPr="00917250" w:rsidRDefault="00E74CEB" w:rsidP="00733D42">
      <w:pPr>
        <w:pStyle w:val="texto"/>
        <w:numPr>
          <w:ilvl w:val="0"/>
          <w:numId w:val="6"/>
        </w:numPr>
        <w:tabs>
          <w:tab w:val="clear" w:pos="360"/>
          <w:tab w:val="num" w:pos="300"/>
          <w:tab w:val="left" w:pos="480"/>
          <w:tab w:val="num" w:pos="600"/>
        </w:tabs>
        <w:spacing w:after="120"/>
        <w:ind w:firstLine="289"/>
        <w:jc w:val="both"/>
      </w:pPr>
      <w:r>
        <w:lastRenderedPageBreak/>
        <w:t>A excepción de</w:t>
      </w:r>
      <w:r w:rsidR="00B96D2D">
        <w:t xml:space="preserve"> un </w:t>
      </w:r>
      <w:r>
        <w:t xml:space="preserve">contrato de obras, en </w:t>
      </w:r>
      <w:r w:rsidR="00AE2411">
        <w:t xml:space="preserve">todos </w:t>
      </w:r>
      <w:r>
        <w:t>los contratos de suministro y servicios, s</w:t>
      </w:r>
      <w:r w:rsidR="005D3AC5" w:rsidRPr="00917250">
        <w:t xml:space="preserve">e ha cumplido con la obligatoriedad legal de incluir condiciones especiales de ejecución en los contratos. No obstante, en relación </w:t>
      </w:r>
      <w:r w:rsidR="00EE5170">
        <w:t xml:space="preserve">con </w:t>
      </w:r>
      <w:r w:rsidR="005D3AC5" w:rsidRPr="00917250">
        <w:t>la vinculación exigida legalmente con el objeto del contrato, en promedio</w:t>
      </w:r>
      <w:r>
        <w:t xml:space="preserve"> sólo se cumple en el 3</w:t>
      </w:r>
      <w:r w:rsidR="00B96D2D">
        <w:t>5</w:t>
      </w:r>
      <w:r w:rsidR="005D3AC5" w:rsidRPr="00917250">
        <w:t xml:space="preserve"> por ciento de los contratos. </w:t>
      </w:r>
    </w:p>
    <w:p w14:paraId="0C5D7709" w14:textId="77777777" w:rsidR="005D3AC5" w:rsidRPr="008A56CF" w:rsidRDefault="005D3AC5" w:rsidP="00733D42">
      <w:pPr>
        <w:pStyle w:val="texto"/>
        <w:spacing w:after="120"/>
        <w:jc w:val="both"/>
        <w:rPr>
          <w:iCs/>
          <w:spacing w:val="10"/>
          <w:kern w:val="28"/>
          <w:szCs w:val="26"/>
        </w:rPr>
      </w:pPr>
      <w:r>
        <w:rPr>
          <w:iCs/>
          <w:spacing w:val="10"/>
          <w:kern w:val="28"/>
          <w:szCs w:val="26"/>
        </w:rPr>
        <w:t>Llamamos la atención que en un</w:t>
      </w:r>
      <w:r w:rsidR="00E74CEB">
        <w:rPr>
          <w:iCs/>
          <w:spacing w:val="10"/>
          <w:kern w:val="28"/>
          <w:szCs w:val="26"/>
        </w:rPr>
        <w:t xml:space="preserve"> 32</w:t>
      </w:r>
      <w:r w:rsidRPr="00027EC2">
        <w:rPr>
          <w:iCs/>
          <w:spacing w:val="10"/>
          <w:kern w:val="28"/>
          <w:szCs w:val="26"/>
        </w:rPr>
        <w:t xml:space="preserve"> por ciento de promedio en los contratos de suministro y </w:t>
      </w:r>
      <w:r w:rsidRPr="00733D42">
        <w:t>servicios</w:t>
      </w:r>
      <w:r w:rsidRPr="00027EC2">
        <w:rPr>
          <w:iCs/>
          <w:spacing w:val="10"/>
          <w:kern w:val="28"/>
          <w:szCs w:val="26"/>
        </w:rPr>
        <w:t>, no consta el seguimiento y control exigido legalmen</w:t>
      </w:r>
      <w:r>
        <w:rPr>
          <w:iCs/>
          <w:spacing w:val="10"/>
          <w:kern w:val="28"/>
          <w:szCs w:val="26"/>
        </w:rPr>
        <w:t xml:space="preserve">te de las citadas condiciones. </w:t>
      </w:r>
    </w:p>
    <w:p w14:paraId="78AC4066" w14:textId="77777777" w:rsidR="005D3AC5" w:rsidRPr="005E2D29" w:rsidRDefault="005D3AC5" w:rsidP="00733D42">
      <w:pPr>
        <w:pStyle w:val="texto"/>
        <w:spacing w:after="120"/>
        <w:jc w:val="both"/>
      </w:pPr>
      <w:r w:rsidRPr="005E2D29">
        <w:t xml:space="preserve">Por todo lo anterior, efectuamos las siguientes </w:t>
      </w:r>
      <w:r w:rsidRPr="005E2D29">
        <w:rPr>
          <w:i/>
        </w:rPr>
        <w:t>recomendaciones</w:t>
      </w:r>
      <w:r w:rsidRPr="005E2D29">
        <w:t>:</w:t>
      </w:r>
    </w:p>
    <w:p w14:paraId="032F88BD" w14:textId="77777777" w:rsidR="005D3AC5" w:rsidRPr="005E2D29" w:rsidRDefault="005D3AC5" w:rsidP="008C2B8E">
      <w:pPr>
        <w:pStyle w:val="texto"/>
        <w:numPr>
          <w:ilvl w:val="0"/>
          <w:numId w:val="6"/>
        </w:numPr>
        <w:tabs>
          <w:tab w:val="clear" w:pos="360"/>
          <w:tab w:val="num" w:pos="300"/>
          <w:tab w:val="left" w:pos="480"/>
          <w:tab w:val="num" w:pos="600"/>
        </w:tabs>
        <w:spacing w:before="120"/>
        <w:ind w:firstLine="289"/>
        <w:jc w:val="both"/>
        <w:rPr>
          <w:i/>
        </w:rPr>
      </w:pPr>
      <w:r w:rsidRPr="005E2D29">
        <w:rPr>
          <w:i/>
        </w:rPr>
        <w:t>Aplicar en todos los contratos en los que haya una pluralidad de criterios de adjudicación un mínimo de un 50 por ciento mediante la ap</w:t>
      </w:r>
      <w:r w:rsidR="00FC6F32" w:rsidRPr="005E2D29">
        <w:rPr>
          <w:i/>
        </w:rPr>
        <w:t>licación de fórmulas objetivas, a excepción de los contratos cuyas prestaciones tengan carácter artístico o intelectual, en cuyo caso el mínimo será del 20 por ciento</w:t>
      </w:r>
      <w:r w:rsidR="00750A0E" w:rsidRPr="005E2D29">
        <w:rPr>
          <w:rStyle w:val="Refdenotaalpie"/>
          <w:i/>
        </w:rPr>
        <w:footnoteReference w:id="25"/>
      </w:r>
      <w:r w:rsidR="00FC6F32" w:rsidRPr="005E2D29">
        <w:rPr>
          <w:i/>
        </w:rPr>
        <w:t xml:space="preserve">. </w:t>
      </w:r>
    </w:p>
    <w:p w14:paraId="519D5B8E" w14:textId="77777777" w:rsidR="0061587F" w:rsidRDefault="0061587F" w:rsidP="008C2B8E">
      <w:pPr>
        <w:pStyle w:val="texto"/>
        <w:numPr>
          <w:ilvl w:val="0"/>
          <w:numId w:val="6"/>
        </w:numPr>
        <w:tabs>
          <w:tab w:val="clear" w:pos="360"/>
          <w:tab w:val="num" w:pos="300"/>
          <w:tab w:val="left" w:pos="480"/>
          <w:tab w:val="num" w:pos="600"/>
        </w:tabs>
        <w:spacing w:before="120"/>
        <w:ind w:firstLine="289"/>
        <w:jc w:val="both"/>
        <w:rPr>
          <w:i/>
        </w:rPr>
      </w:pPr>
      <w:r w:rsidRPr="005E2D29">
        <w:rPr>
          <w:i/>
        </w:rPr>
        <w:t xml:space="preserve">Evitar aplicar fórmulas que asignan puntuaciones cuando las ofertas no </w:t>
      </w:r>
      <w:r>
        <w:rPr>
          <w:i/>
        </w:rPr>
        <w:t>presente</w:t>
      </w:r>
      <w:r w:rsidR="000F75B2">
        <w:rPr>
          <w:i/>
        </w:rPr>
        <w:t>n</w:t>
      </w:r>
      <w:r>
        <w:rPr>
          <w:i/>
        </w:rPr>
        <w:t xml:space="preserve"> rebaja en el precio. </w:t>
      </w:r>
    </w:p>
    <w:p w14:paraId="1CCE2677" w14:textId="77777777" w:rsidR="005D3AC5" w:rsidRDefault="005D3AC5" w:rsidP="008C2B8E">
      <w:pPr>
        <w:pStyle w:val="texto"/>
        <w:numPr>
          <w:ilvl w:val="0"/>
          <w:numId w:val="6"/>
        </w:numPr>
        <w:tabs>
          <w:tab w:val="clear" w:pos="360"/>
          <w:tab w:val="num" w:pos="300"/>
          <w:tab w:val="left" w:pos="480"/>
          <w:tab w:val="num" w:pos="600"/>
        </w:tabs>
        <w:spacing w:before="120"/>
        <w:ind w:firstLine="289"/>
        <w:jc w:val="both"/>
        <w:rPr>
          <w:i/>
        </w:rPr>
      </w:pPr>
      <w:r>
        <w:rPr>
          <w:i/>
        </w:rPr>
        <w:t>Definir en lo</w:t>
      </w:r>
      <w:r w:rsidR="00123A2B">
        <w:rPr>
          <w:i/>
        </w:rPr>
        <w:t>s pliegos los criterios cualitativos</w:t>
      </w:r>
      <w:r>
        <w:rPr>
          <w:i/>
        </w:rPr>
        <w:t xml:space="preserve"> de adjudicación con la suficiente desagregación de forma que permita a las Mesas de Contratación disponer de unos parámetros lo suficientemente objetivos para su valoración. Asimismo, las valoraciones sometidas a juicio de valor deben motivarse de</w:t>
      </w:r>
      <w:r w:rsidR="00EE5170">
        <w:rPr>
          <w:i/>
        </w:rPr>
        <w:t xml:space="preserve"> forma suficiente, de forma que acredite lo más </w:t>
      </w:r>
      <w:r>
        <w:rPr>
          <w:i/>
        </w:rPr>
        <w:t>objetiva</w:t>
      </w:r>
      <w:r w:rsidR="00EE5170">
        <w:rPr>
          <w:i/>
        </w:rPr>
        <w:t>mente</w:t>
      </w:r>
      <w:r>
        <w:rPr>
          <w:i/>
        </w:rPr>
        <w:t xml:space="preserve"> posible, las puntuaciones asignadas en relación con las ofertas presentadas. </w:t>
      </w:r>
    </w:p>
    <w:p w14:paraId="2BA65F79" w14:textId="77777777" w:rsidR="005D3AC5" w:rsidRDefault="005D3AC5" w:rsidP="008C2B8E">
      <w:pPr>
        <w:pStyle w:val="texto"/>
        <w:numPr>
          <w:ilvl w:val="0"/>
          <w:numId w:val="6"/>
        </w:numPr>
        <w:tabs>
          <w:tab w:val="clear" w:pos="360"/>
          <w:tab w:val="num" w:pos="300"/>
          <w:tab w:val="left" w:pos="480"/>
          <w:tab w:val="num" w:pos="600"/>
        </w:tabs>
        <w:spacing w:before="120"/>
        <w:ind w:firstLine="289"/>
        <w:jc w:val="both"/>
        <w:rPr>
          <w:i/>
        </w:rPr>
      </w:pPr>
      <w:r>
        <w:rPr>
          <w:i/>
        </w:rPr>
        <w:t xml:space="preserve">Elegir fórmulas que, con independencia de su configuración, </w:t>
      </w:r>
      <w:r w:rsidR="00FC6F32">
        <w:rPr>
          <w:i/>
        </w:rPr>
        <w:t xml:space="preserve">guarden la debida </w:t>
      </w:r>
      <w:r>
        <w:rPr>
          <w:i/>
        </w:rPr>
        <w:t xml:space="preserve">proporcionalidad entre las ofertas presentadas y las puntuaciones asignadas. </w:t>
      </w:r>
    </w:p>
    <w:p w14:paraId="28A9804C" w14:textId="77777777" w:rsidR="005D3AC5" w:rsidRPr="009C3603" w:rsidRDefault="005D3AC5" w:rsidP="008C2B8E">
      <w:pPr>
        <w:pStyle w:val="texto"/>
        <w:numPr>
          <w:ilvl w:val="0"/>
          <w:numId w:val="6"/>
        </w:numPr>
        <w:tabs>
          <w:tab w:val="clear" w:pos="360"/>
          <w:tab w:val="num" w:pos="300"/>
          <w:tab w:val="left" w:pos="480"/>
          <w:tab w:val="num" w:pos="600"/>
        </w:tabs>
        <w:spacing w:before="120"/>
        <w:ind w:firstLine="289"/>
        <w:jc w:val="both"/>
        <w:rPr>
          <w:i/>
        </w:rPr>
      </w:pPr>
      <w:r>
        <w:rPr>
          <w:i/>
        </w:rPr>
        <w:t xml:space="preserve">Evitar incluir condiciones especiales de ejecución que no tengan </w:t>
      </w:r>
      <w:r w:rsidR="00FC6F32">
        <w:rPr>
          <w:i/>
        </w:rPr>
        <w:t xml:space="preserve">vinculación </w:t>
      </w:r>
      <w:r>
        <w:rPr>
          <w:i/>
        </w:rPr>
        <w:t>con el objeto de cada contrato, o considerar como condiciones especiales la referenc</w:t>
      </w:r>
      <w:r w:rsidR="00FA6F13">
        <w:rPr>
          <w:i/>
        </w:rPr>
        <w:t>ia a determinadas disposiciones</w:t>
      </w:r>
      <w:r>
        <w:rPr>
          <w:i/>
        </w:rPr>
        <w:t xml:space="preserve">, que son de obligado cumplimiento por mandato legal. </w:t>
      </w:r>
    </w:p>
    <w:p w14:paraId="09ABA733" w14:textId="77777777" w:rsidR="002A22CC" w:rsidRPr="00C57E20" w:rsidRDefault="00E56149" w:rsidP="00733D42">
      <w:pPr>
        <w:pStyle w:val="atitulo3"/>
        <w:spacing w:before="240"/>
      </w:pPr>
      <w:r w:rsidRPr="00C57E20">
        <w:t>Cumplimiento del a</w:t>
      </w:r>
      <w:r w:rsidR="002A22CC" w:rsidRPr="00C57E20">
        <w:t>rtículo 36 LFC</w:t>
      </w:r>
      <w:r w:rsidR="00743EB1" w:rsidRPr="00C57E20">
        <w:t xml:space="preserve"> en los contratos de la ACFN.</w:t>
      </w:r>
    </w:p>
    <w:p w14:paraId="1939FCDD" w14:textId="77777777" w:rsidR="00EE5170" w:rsidRPr="00C57E20" w:rsidRDefault="00EE5170" w:rsidP="00733D42">
      <w:pPr>
        <w:pStyle w:val="texto"/>
        <w:spacing w:after="120"/>
        <w:jc w:val="both"/>
      </w:pPr>
      <w:r w:rsidRPr="00C57E20">
        <w:t>En relación a la petición parlamentaria que se ha indicado en el párrafo II del informe, hemos llevado a cabo una fiscalización sobre el cumplimiento del artículo 36 de la LFC, en los contratos de la ACFN.</w:t>
      </w:r>
    </w:p>
    <w:p w14:paraId="60A659A3" w14:textId="77777777" w:rsidR="00785EA3" w:rsidRDefault="00C57E20" w:rsidP="00733D42">
      <w:pPr>
        <w:pStyle w:val="texto"/>
        <w:spacing w:after="120"/>
        <w:jc w:val="both"/>
      </w:pPr>
      <w:r w:rsidRPr="00C57E20">
        <w:t xml:space="preserve">El contrato reservado por motivos </w:t>
      </w:r>
      <w:proofErr w:type="gramStart"/>
      <w:r w:rsidRPr="00C57E20">
        <w:t>sociales,</w:t>
      </w:r>
      <w:proofErr w:type="gramEnd"/>
      <w:r w:rsidRPr="00C57E20">
        <w:t xml:space="preserve"> es una figura legal expresamente </w:t>
      </w:r>
      <w:r w:rsidRPr="002C11F3">
        <w:t xml:space="preserve">recogida en la legislación de contratos mediante la cual se establece que, en el procedimiento de adjudicación de un contrato público, únicamente podrá participar determinada tipología de empresas. En el caso de la LFC, son los </w:t>
      </w:r>
      <w:r w:rsidR="00785EA3" w:rsidRPr="00785EA3">
        <w:t xml:space="preserve">Centros </w:t>
      </w:r>
      <w:r w:rsidR="00785EA3" w:rsidRPr="00785EA3">
        <w:lastRenderedPageBreak/>
        <w:t>Especiales de Empleo sin ánimo de lucro o Centros Especiales de Empleo de Iniciativa social, Empresas de Inserción o a entidades sin ánimo de lucro, promotoras al 100</w:t>
      </w:r>
      <w:r w:rsidR="00785EA3">
        <w:t xml:space="preserve"> por cien </w:t>
      </w:r>
      <w:r w:rsidR="00785EA3" w:rsidRPr="00785EA3">
        <w:t xml:space="preserve">de Empresas de Inserción, que hubieran sido calificadas con anterioridad como Centro de Inserción </w:t>
      </w:r>
      <w:proofErr w:type="gramStart"/>
      <w:r w:rsidR="00785EA3" w:rsidRPr="00785EA3">
        <w:t>Socio</w:t>
      </w:r>
      <w:r w:rsidR="00785EA3">
        <w:t>-</w:t>
      </w:r>
      <w:r w:rsidR="00785EA3" w:rsidRPr="00785EA3">
        <w:t>labora</w:t>
      </w:r>
      <w:r w:rsidR="00785EA3">
        <w:t>l</w:t>
      </w:r>
      <w:proofErr w:type="gramEnd"/>
    </w:p>
    <w:p w14:paraId="68C9BA9F" w14:textId="77777777" w:rsidR="00C57E20" w:rsidRPr="002C11F3" w:rsidRDefault="00C57E20" w:rsidP="00E570F4">
      <w:pPr>
        <w:pStyle w:val="texto"/>
        <w:spacing w:after="120"/>
        <w:jc w:val="both"/>
      </w:pPr>
      <w:r w:rsidRPr="002C11F3">
        <w:t>De este modo, en el momento en el que se califica un contrato como reservado excluye a otro tipo de entidades que no sean las descritas y garantiza un efecto y un beneficio inmediato, pues al recaer la adjudicación en las citadas entidades se promueve de forma directa el empleo de las personas con disc</w:t>
      </w:r>
      <w:r w:rsidR="00F81848">
        <w:t xml:space="preserve">apacidad, en exclusión y en riesgo de exclusión. </w:t>
      </w:r>
      <w:r w:rsidRPr="002C11F3">
        <w:t>A tal efecto, en el artículo 36.4 se ha establecido como una figura preceptiva y con mínimos fijados legalmente; se debe reservar como mínimo “…</w:t>
      </w:r>
      <w:r w:rsidRPr="002C11F3">
        <w:rPr>
          <w:i/>
        </w:rPr>
        <w:t>un seis por ciento del importe de los contratos adjudicados en el ejercicio presupuestario inmediatamente anterior</w:t>
      </w:r>
      <w:r w:rsidRPr="002C11F3">
        <w:t>”.</w:t>
      </w:r>
    </w:p>
    <w:p w14:paraId="1E0961FF" w14:textId="77777777" w:rsidR="00C57E20" w:rsidRPr="002C11F3" w:rsidRDefault="00CE1507" w:rsidP="00F812BA">
      <w:pPr>
        <w:pStyle w:val="texto"/>
        <w:spacing w:after="120"/>
        <w:jc w:val="both"/>
      </w:pPr>
      <w:r>
        <w:t>L</w:t>
      </w:r>
      <w:r w:rsidR="00C57E20" w:rsidRPr="002C11F3">
        <w:t>as verificaciones que hemos llevado a cabo para su revisión han sido las siguientes:</w:t>
      </w:r>
    </w:p>
    <w:p w14:paraId="69012D41" w14:textId="77777777" w:rsidR="00C57E20" w:rsidRPr="002C11F3" w:rsidRDefault="00C57E20" w:rsidP="00F812BA">
      <w:pPr>
        <w:pStyle w:val="texto"/>
        <w:numPr>
          <w:ilvl w:val="0"/>
          <w:numId w:val="6"/>
        </w:numPr>
        <w:tabs>
          <w:tab w:val="clear" w:pos="360"/>
          <w:tab w:val="num" w:pos="300"/>
          <w:tab w:val="left" w:pos="480"/>
          <w:tab w:val="num" w:pos="600"/>
        </w:tabs>
        <w:spacing w:after="120"/>
        <w:ind w:firstLine="289"/>
        <w:jc w:val="both"/>
        <w:rPr>
          <w:szCs w:val="26"/>
          <w:lang w:eastAsia="zh-CN"/>
        </w:rPr>
      </w:pPr>
      <w:r w:rsidRPr="002C11F3">
        <w:rPr>
          <w:szCs w:val="26"/>
          <w:lang w:eastAsia="zh-CN"/>
        </w:rPr>
        <w:t xml:space="preserve">Exportar la información del Portal de Contratación de Navarra (en adelante el Portal) y comprobar los anuncios de adjudicación del ejercicio anterior. </w:t>
      </w:r>
    </w:p>
    <w:p w14:paraId="6D320A9A" w14:textId="77777777" w:rsidR="00C57E20" w:rsidRPr="002C11F3" w:rsidRDefault="00C57E20" w:rsidP="00F812BA">
      <w:pPr>
        <w:pStyle w:val="texto"/>
        <w:numPr>
          <w:ilvl w:val="0"/>
          <w:numId w:val="6"/>
        </w:numPr>
        <w:tabs>
          <w:tab w:val="clear" w:pos="360"/>
          <w:tab w:val="num" w:pos="300"/>
          <w:tab w:val="left" w:pos="480"/>
          <w:tab w:val="num" w:pos="600"/>
        </w:tabs>
        <w:spacing w:after="120"/>
        <w:ind w:firstLine="289"/>
        <w:jc w:val="both"/>
        <w:rPr>
          <w:szCs w:val="26"/>
          <w:lang w:eastAsia="zh-CN"/>
        </w:rPr>
      </w:pPr>
      <w:r w:rsidRPr="002C11F3">
        <w:rPr>
          <w:szCs w:val="26"/>
          <w:lang w:eastAsia="zh-CN"/>
        </w:rPr>
        <w:t xml:space="preserve">Circularizar a </w:t>
      </w:r>
      <w:r w:rsidRPr="00F812BA">
        <w:t>todas</w:t>
      </w:r>
      <w:r w:rsidRPr="002C11F3">
        <w:rPr>
          <w:szCs w:val="26"/>
          <w:lang w:eastAsia="zh-CN"/>
        </w:rPr>
        <w:t xml:space="preserve"> las Secretarías Generales Técnicas de los Departamentos, así como a la CPEN, solicitando la siguiente información:</w:t>
      </w:r>
    </w:p>
    <w:p w14:paraId="33CD96AE" w14:textId="77777777" w:rsidR="0061587F" w:rsidRPr="0061587F" w:rsidRDefault="00C57E20" w:rsidP="002E6560">
      <w:pPr>
        <w:pStyle w:val="texto"/>
        <w:numPr>
          <w:ilvl w:val="0"/>
          <w:numId w:val="40"/>
        </w:numPr>
        <w:tabs>
          <w:tab w:val="left" w:pos="567"/>
        </w:tabs>
        <w:spacing w:after="120"/>
        <w:ind w:left="142" w:firstLine="284"/>
        <w:jc w:val="both"/>
        <w:rPr>
          <w:szCs w:val="26"/>
          <w:lang w:eastAsia="zh-CN"/>
        </w:rPr>
      </w:pPr>
      <w:r w:rsidRPr="002E6560">
        <w:t>Relación</w:t>
      </w:r>
      <w:r w:rsidRPr="0061587F">
        <w:rPr>
          <w:szCs w:val="26"/>
        </w:rPr>
        <w:t xml:space="preserve"> de </w:t>
      </w:r>
      <w:r w:rsidRPr="002E6560">
        <w:t>licitaciones</w:t>
      </w:r>
      <w:r w:rsidRPr="0061587F">
        <w:rPr>
          <w:szCs w:val="26"/>
        </w:rPr>
        <w:t xml:space="preserve"> en los que se haya establecido la reserva de contratación establecida en el artículo 36 de la Ley Foral de Contratos.</w:t>
      </w:r>
    </w:p>
    <w:p w14:paraId="711A57DE" w14:textId="77777777" w:rsidR="0061587F" w:rsidRPr="0061587F" w:rsidRDefault="00C57E20" w:rsidP="002E6560">
      <w:pPr>
        <w:pStyle w:val="texto"/>
        <w:numPr>
          <w:ilvl w:val="0"/>
          <w:numId w:val="40"/>
        </w:numPr>
        <w:tabs>
          <w:tab w:val="left" w:pos="567"/>
        </w:tabs>
        <w:spacing w:after="120"/>
        <w:ind w:left="142" w:firstLine="284"/>
        <w:jc w:val="both"/>
        <w:rPr>
          <w:szCs w:val="26"/>
        </w:rPr>
      </w:pPr>
      <w:r w:rsidRPr="0061587F">
        <w:rPr>
          <w:szCs w:val="26"/>
          <w:lang w:eastAsia="zh-CN"/>
        </w:rPr>
        <w:t xml:space="preserve">Relación de </w:t>
      </w:r>
      <w:r w:rsidRPr="002E6560">
        <w:t>licitaciones</w:t>
      </w:r>
      <w:r w:rsidRPr="0061587F">
        <w:rPr>
          <w:szCs w:val="26"/>
          <w:lang w:eastAsia="zh-CN"/>
        </w:rPr>
        <w:t>, en los que se hayan establecido las posibles alternativas previstas en el artículo 36.5 de la LFC.</w:t>
      </w:r>
    </w:p>
    <w:p w14:paraId="1AA9C481" w14:textId="77777777" w:rsidR="00C57E20" w:rsidRPr="0061587F" w:rsidRDefault="00C57E20" w:rsidP="002E6560">
      <w:pPr>
        <w:pStyle w:val="texto"/>
        <w:numPr>
          <w:ilvl w:val="0"/>
          <w:numId w:val="40"/>
        </w:numPr>
        <w:tabs>
          <w:tab w:val="left" w:pos="567"/>
        </w:tabs>
        <w:spacing w:after="120"/>
        <w:ind w:left="142" w:firstLine="284"/>
        <w:jc w:val="both"/>
        <w:rPr>
          <w:szCs w:val="26"/>
        </w:rPr>
      </w:pPr>
      <w:r w:rsidRPr="002E6560">
        <w:t>Cumplimiento</w:t>
      </w:r>
      <w:r w:rsidRPr="0061587F">
        <w:rPr>
          <w:szCs w:val="26"/>
        </w:rPr>
        <w:t xml:space="preserve"> de las obligaciones de publicidad establecidas en el artículo 36.5 apartado primero y 36.10 de la LFC, así como documentación de su cumplimiento.</w:t>
      </w:r>
    </w:p>
    <w:p w14:paraId="7DE44F38" w14:textId="77777777" w:rsidR="00C57E20" w:rsidRPr="002C11F3" w:rsidRDefault="00C57E20" w:rsidP="002E6560">
      <w:pPr>
        <w:tabs>
          <w:tab w:val="center" w:pos="2835"/>
          <w:tab w:val="center" w:pos="3969"/>
          <w:tab w:val="center" w:pos="5103"/>
          <w:tab w:val="center" w:pos="6237"/>
          <w:tab w:val="center" w:pos="7371"/>
        </w:tabs>
        <w:spacing w:after="120"/>
        <w:ind w:firstLine="284"/>
        <w:jc w:val="both"/>
        <w:rPr>
          <w:spacing w:val="6"/>
          <w:sz w:val="26"/>
          <w:szCs w:val="26"/>
        </w:rPr>
      </w:pPr>
      <w:r w:rsidRPr="002C11F3">
        <w:rPr>
          <w:spacing w:val="6"/>
          <w:sz w:val="26"/>
          <w:szCs w:val="26"/>
        </w:rPr>
        <w:t>Es necesario precisar que, para la extracción de datos del Portal, se ha tenido que hacer frente a numerosas limitaciones que han condicionado nuestro trabajo. Han sido principalmente los siguientes:</w:t>
      </w:r>
    </w:p>
    <w:p w14:paraId="3AC006B0" w14:textId="77777777" w:rsidR="00C57E20" w:rsidRPr="0061587F" w:rsidRDefault="00C57E20" w:rsidP="002E6560">
      <w:pPr>
        <w:pStyle w:val="texto"/>
        <w:numPr>
          <w:ilvl w:val="0"/>
          <w:numId w:val="27"/>
        </w:numPr>
        <w:tabs>
          <w:tab w:val="left" w:pos="567"/>
        </w:tabs>
        <w:spacing w:after="120"/>
        <w:ind w:left="0" w:firstLine="284"/>
        <w:jc w:val="both"/>
      </w:pPr>
      <w:r w:rsidRPr="0061587F">
        <w:t xml:space="preserve">La información recogida en el </w:t>
      </w:r>
      <w:proofErr w:type="gramStart"/>
      <w:r w:rsidRPr="0061587F">
        <w:t>Portal,</w:t>
      </w:r>
      <w:proofErr w:type="gramEnd"/>
      <w:r w:rsidRPr="0061587F">
        <w:t xml:space="preserve"> no e</w:t>
      </w:r>
      <w:r w:rsidR="0061587F" w:rsidRPr="0061587F">
        <w:t xml:space="preserve">s totalmente fiable. El anuncio </w:t>
      </w:r>
      <w:r w:rsidRPr="0061587F">
        <w:t>de licitación en el Portal es necesario para llevar a cabo la mayor parte de los procedimientos de adjudicación, pero una vez que se adjudica por el órgano de contratación, en muchas ocasiones no se publica el anuncio de adjudicación, tal y como pondremos de manifiesto en nuestro próximo informe de la “</w:t>
      </w:r>
      <w:r w:rsidR="00F263D4">
        <w:t>Análisis de riesgos en la contratación p</w:t>
      </w:r>
      <w:r w:rsidRPr="0061587F">
        <w:t xml:space="preserve">ública en la ACFN </w:t>
      </w:r>
      <w:r w:rsidR="00F263D4">
        <w:t>(</w:t>
      </w:r>
      <w:r w:rsidRPr="0061587F">
        <w:t>2019-2023</w:t>
      </w:r>
      <w:r w:rsidR="00F263D4">
        <w:t>)</w:t>
      </w:r>
      <w:r w:rsidRPr="0061587F">
        <w:t>”.</w:t>
      </w:r>
    </w:p>
    <w:p w14:paraId="73CD64C7" w14:textId="77777777" w:rsidR="00C57E20" w:rsidRPr="002C11F3" w:rsidRDefault="00C57E20" w:rsidP="002E6560">
      <w:pPr>
        <w:pStyle w:val="texto"/>
        <w:numPr>
          <w:ilvl w:val="0"/>
          <w:numId w:val="27"/>
        </w:numPr>
        <w:tabs>
          <w:tab w:val="left" w:pos="567"/>
        </w:tabs>
        <w:spacing w:after="120"/>
        <w:ind w:left="0" w:firstLine="284"/>
        <w:jc w:val="both"/>
        <w:rPr>
          <w:szCs w:val="26"/>
        </w:rPr>
      </w:pPr>
      <w:r w:rsidRPr="002C11F3">
        <w:rPr>
          <w:szCs w:val="26"/>
        </w:rPr>
        <w:t xml:space="preserve">En el caso de los </w:t>
      </w:r>
      <w:r w:rsidRPr="002E6560">
        <w:t>acuerdos</w:t>
      </w:r>
      <w:r w:rsidRPr="002C11F3">
        <w:rPr>
          <w:szCs w:val="26"/>
        </w:rPr>
        <w:t xml:space="preserve"> marco, se aprueba un valor estimado para un periodo máximo de cuatro ejercicios presupuestarios y se hace una selección de las empresas a las que posteriormente se les irán adjudicando sucesivos contratos. Los posteriores contratos basados en los citados acuerdo marco se van adju</w:t>
      </w:r>
      <w:r w:rsidRPr="002C11F3">
        <w:rPr>
          <w:szCs w:val="26"/>
        </w:rPr>
        <w:lastRenderedPageBreak/>
        <w:t xml:space="preserve">dicando a los empresarios seleccionados, conforme van surgiendo las necesidades. Es decir, el valor estimado de este proceso de contratación el año que se aprueba no se puede elegir como importe de adjudicación sobre el que aplicar el mínimo del seis por ciento establecido en la LFC. </w:t>
      </w:r>
    </w:p>
    <w:p w14:paraId="29A01424" w14:textId="77777777" w:rsidR="00C57E20" w:rsidRPr="002C11F3" w:rsidRDefault="00C57E20" w:rsidP="002E6560">
      <w:pPr>
        <w:pStyle w:val="texto"/>
        <w:numPr>
          <w:ilvl w:val="0"/>
          <w:numId w:val="27"/>
        </w:numPr>
        <w:tabs>
          <w:tab w:val="left" w:pos="567"/>
        </w:tabs>
        <w:spacing w:after="120"/>
        <w:ind w:left="0" w:firstLine="284"/>
        <w:jc w:val="both"/>
        <w:rPr>
          <w:szCs w:val="26"/>
        </w:rPr>
      </w:pPr>
      <w:r w:rsidRPr="002C11F3">
        <w:rPr>
          <w:szCs w:val="26"/>
        </w:rPr>
        <w:t>En el campo del importe del IVA, hemos tenido que depurar los datos introducidos en el Portal, ya que no son homogéneos, es decir en unos casos figuran con IVA incluido, en otros sin IVA y no hemos podido llegar a cifras coherentes por el tipo de IVA aplicable</w:t>
      </w:r>
      <w:r w:rsidRPr="002C11F3">
        <w:rPr>
          <w:vertAlign w:val="superscript"/>
        </w:rPr>
        <w:footnoteReference w:id="26"/>
      </w:r>
      <w:r w:rsidRPr="002C11F3">
        <w:rPr>
          <w:szCs w:val="26"/>
        </w:rPr>
        <w:t xml:space="preserve"> en toda la información sobre los anuncios de adjudicación publicados. En estos casos, hemos tenido que aceptar el importe del Portal, asumiendo este error. </w:t>
      </w:r>
    </w:p>
    <w:p w14:paraId="7D3167A4" w14:textId="77777777" w:rsidR="00C57E20" w:rsidRPr="002C11F3" w:rsidRDefault="00C57E20" w:rsidP="002E6560">
      <w:pPr>
        <w:pStyle w:val="texto"/>
        <w:spacing w:after="120"/>
        <w:jc w:val="both"/>
      </w:pPr>
      <w:r w:rsidRPr="002C11F3">
        <w:t>Además de las limitaciones citadas anteriormente, destacamos las siguientes cuestiones relevantes sobre este precepto legal:</w:t>
      </w:r>
    </w:p>
    <w:p w14:paraId="6B61F21E" w14:textId="77777777" w:rsidR="00C57E20" w:rsidRPr="002C11F3" w:rsidRDefault="00C57E20" w:rsidP="002E6560">
      <w:pPr>
        <w:pStyle w:val="texto"/>
        <w:numPr>
          <w:ilvl w:val="0"/>
          <w:numId w:val="28"/>
        </w:numPr>
        <w:tabs>
          <w:tab w:val="left" w:pos="567"/>
        </w:tabs>
        <w:spacing w:after="120"/>
        <w:ind w:left="0" w:firstLine="284"/>
        <w:jc w:val="both"/>
      </w:pPr>
      <w:r w:rsidRPr="002C11F3">
        <w:t xml:space="preserve">El dato del importe de los contratos adjudicados en un año es bastante variable. Un año puede haber pocas o muchas licitaciones que resulten de importes muy elevados y otro año las licitaciones resulten de importes no tan elevados. Dicho de otro modo, es una magnitud que no es necesariamente estable en el tiempo. </w:t>
      </w:r>
    </w:p>
    <w:p w14:paraId="27924656" w14:textId="77777777" w:rsidR="00C57E20" w:rsidRPr="002C11F3" w:rsidRDefault="00C57E20" w:rsidP="002E6560">
      <w:pPr>
        <w:pStyle w:val="texto"/>
        <w:numPr>
          <w:ilvl w:val="0"/>
          <w:numId w:val="28"/>
        </w:numPr>
        <w:tabs>
          <w:tab w:val="left" w:pos="567"/>
        </w:tabs>
        <w:spacing w:after="120"/>
        <w:ind w:left="0" w:firstLine="284"/>
        <w:jc w:val="both"/>
        <w:rPr>
          <w:szCs w:val="26"/>
        </w:rPr>
      </w:pPr>
      <w:r w:rsidRPr="002C11F3">
        <w:t xml:space="preserve">La duración máxima de los contratos de suministros y servicios, con carácter general es de cinco años incluidas todas sus prórrogas. </w:t>
      </w:r>
      <w:r w:rsidRPr="002C11F3">
        <w:rPr>
          <w:rFonts w:eastAsia="Calibri"/>
          <w:szCs w:val="26"/>
        </w:rPr>
        <w:t>Esta situación genera una duda razonable, y es si debe computar en cada ejercicio siguiente el importe de los contratos prorrogados como importes de adjudicación. Si no es así, debe destacarse que la referencia “</w:t>
      </w:r>
      <w:r w:rsidRPr="002C11F3">
        <w:rPr>
          <w:rFonts w:eastAsia="Calibri"/>
          <w:i/>
          <w:szCs w:val="26"/>
        </w:rPr>
        <w:t>contratos adjudicados en el ejercicio presupuestario inmediatamente anterior</w:t>
      </w:r>
      <w:r w:rsidRPr="002C11F3">
        <w:rPr>
          <w:rFonts w:eastAsia="Calibri"/>
          <w:szCs w:val="26"/>
        </w:rPr>
        <w:t xml:space="preserve">” computaría únicamente en un único ejercicio, lo que necesariamente rebajaría esta magnitud durante los cuatro ejercicios siguientes. </w:t>
      </w:r>
    </w:p>
    <w:p w14:paraId="31A11833" w14:textId="77777777" w:rsidR="00C57E20" w:rsidRPr="002C11F3" w:rsidRDefault="00C57E20" w:rsidP="002E6560">
      <w:pPr>
        <w:pStyle w:val="texto"/>
        <w:numPr>
          <w:ilvl w:val="0"/>
          <w:numId w:val="28"/>
        </w:numPr>
        <w:tabs>
          <w:tab w:val="left" w:pos="567"/>
        </w:tabs>
        <w:spacing w:after="120"/>
        <w:ind w:left="0" w:firstLine="284"/>
        <w:jc w:val="both"/>
        <w:rPr>
          <w:szCs w:val="26"/>
        </w:rPr>
      </w:pPr>
      <w:r w:rsidRPr="002C11F3">
        <w:rPr>
          <w:szCs w:val="26"/>
        </w:rPr>
        <w:t xml:space="preserve">Por </w:t>
      </w:r>
      <w:r w:rsidRPr="002E6560">
        <w:t>otro</w:t>
      </w:r>
      <w:r w:rsidRPr="002C11F3">
        <w:rPr>
          <w:szCs w:val="26"/>
        </w:rPr>
        <w:t xml:space="preserve"> lado, el contrato de menor cuantía</w:t>
      </w:r>
      <w:r w:rsidRPr="002C11F3">
        <w:rPr>
          <w:rStyle w:val="Refdenotaalpie"/>
          <w:szCs w:val="26"/>
        </w:rPr>
        <w:footnoteReference w:id="27"/>
      </w:r>
      <w:r w:rsidRPr="002C11F3">
        <w:rPr>
          <w:szCs w:val="26"/>
        </w:rPr>
        <w:t xml:space="preserve">, no deja de ser un contrato que se adjudica mediante un procedimiento de adjudicación, en concreto el régimen especial para contratos de menor cuantía. En sentido estricto la totalidad de la facturación que supone este tipo de contratación debiera computar, porque responde a contratos adjudicados. Sin perjuicio de la duda que genera, hemos tenido en cuenta la información sobre la citada contratación. </w:t>
      </w:r>
    </w:p>
    <w:p w14:paraId="0C2A36E5" w14:textId="77777777" w:rsidR="00C57E20" w:rsidRPr="002C11F3" w:rsidRDefault="00C57E20" w:rsidP="002E6560">
      <w:pPr>
        <w:pStyle w:val="texto"/>
        <w:spacing w:after="120"/>
        <w:jc w:val="both"/>
      </w:pPr>
      <w:r w:rsidRPr="002C11F3">
        <w:t>Para intentar contextualizar las debilidades que ponemos de manifiesto, y por intentar analizar esta cuestión desde otra óptica, hemos considerado</w:t>
      </w:r>
      <w:r w:rsidR="0057214E">
        <w:t>,</w:t>
      </w:r>
      <w:r w:rsidRPr="002C11F3">
        <w:t xml:space="preserve"> además, efectuar la comparativa entre importes de gasto, al considerarlo como un parámetro, en principio, más estable en un horizonte temporal.  </w:t>
      </w:r>
    </w:p>
    <w:p w14:paraId="4A88A4EA" w14:textId="77777777" w:rsidR="00C57E20" w:rsidRPr="002C11F3" w:rsidRDefault="00C57E20" w:rsidP="002E6560">
      <w:pPr>
        <w:pStyle w:val="texto"/>
        <w:spacing w:after="120"/>
        <w:jc w:val="both"/>
      </w:pPr>
      <w:r w:rsidRPr="002C11F3">
        <w:t>Por lo expuesto, hemos analizado el porcentaje del artículo 36 desde dos puntos de vista:</w:t>
      </w:r>
    </w:p>
    <w:p w14:paraId="772B87E9" w14:textId="77777777" w:rsidR="00C57E20" w:rsidRPr="002C11F3" w:rsidRDefault="00C57E20" w:rsidP="002E6560">
      <w:pPr>
        <w:pStyle w:val="texto"/>
        <w:numPr>
          <w:ilvl w:val="0"/>
          <w:numId w:val="6"/>
        </w:numPr>
        <w:tabs>
          <w:tab w:val="clear" w:pos="360"/>
          <w:tab w:val="num" w:pos="300"/>
          <w:tab w:val="left" w:pos="480"/>
          <w:tab w:val="num" w:pos="600"/>
        </w:tabs>
        <w:spacing w:after="120"/>
        <w:ind w:firstLine="289"/>
        <w:jc w:val="both"/>
        <w:rPr>
          <w:rFonts w:eastAsia="Calibri"/>
          <w:szCs w:val="26"/>
        </w:rPr>
      </w:pPr>
      <w:r w:rsidRPr="0061587F">
        <w:lastRenderedPageBreak/>
        <w:t>La ejecución presupuestaria del ejercicio 2022 para los capítulos 2 y 6 por departamentos, extraído de SAPGE21. Indicamos que, en estos datos, se en</w:t>
      </w:r>
      <w:r w:rsidRPr="002C11F3">
        <w:rPr>
          <w:rFonts w:eastAsia="Calibri"/>
          <w:szCs w:val="26"/>
        </w:rPr>
        <w:t xml:space="preserve">cuentran todos los contratos de menor cuantía. </w:t>
      </w:r>
    </w:p>
    <w:p w14:paraId="5C09ECDB" w14:textId="77777777" w:rsidR="00C57E20" w:rsidRPr="0061587F" w:rsidRDefault="00C57E20" w:rsidP="002E6560">
      <w:pPr>
        <w:pStyle w:val="texto"/>
        <w:numPr>
          <w:ilvl w:val="0"/>
          <w:numId w:val="6"/>
        </w:numPr>
        <w:tabs>
          <w:tab w:val="clear" w:pos="360"/>
          <w:tab w:val="num" w:pos="300"/>
          <w:tab w:val="left" w:pos="480"/>
          <w:tab w:val="num" w:pos="600"/>
        </w:tabs>
        <w:spacing w:after="120"/>
        <w:ind w:firstLine="289"/>
        <w:jc w:val="both"/>
      </w:pPr>
      <w:r w:rsidRPr="0061587F">
        <w:t>Importe de adjudicación de los contratos publicados en el Portal en 2022.</w:t>
      </w:r>
    </w:p>
    <w:p w14:paraId="03D0671A" w14:textId="77777777" w:rsidR="00C57E20" w:rsidRPr="002C11F3" w:rsidRDefault="00C57E20" w:rsidP="002E6560">
      <w:pPr>
        <w:pStyle w:val="texto"/>
        <w:numPr>
          <w:ilvl w:val="0"/>
          <w:numId w:val="6"/>
        </w:numPr>
        <w:tabs>
          <w:tab w:val="clear" w:pos="360"/>
          <w:tab w:val="num" w:pos="300"/>
          <w:tab w:val="left" w:pos="480"/>
          <w:tab w:val="num" w:pos="600"/>
        </w:tabs>
        <w:spacing w:after="120"/>
        <w:ind w:firstLine="289"/>
        <w:jc w:val="both"/>
      </w:pPr>
      <w:r w:rsidRPr="0061587F">
        <w:t>Para el caso de las empresas públicas, hemos tomado como referencia únicamente el importe adjudicado en el Portal en 2022, ya que estas empresas no se rigen por la normativa contable pública para la rendición de cuentas y por tanto, no es posible trasladar sus gastos e inversiones en términos de ejecución presupuestaria.</w:t>
      </w:r>
    </w:p>
    <w:p w14:paraId="6D10063E" w14:textId="77777777" w:rsidR="00C57E20" w:rsidRPr="002C11F3" w:rsidRDefault="00C57E20" w:rsidP="002E6560">
      <w:pPr>
        <w:pStyle w:val="texto"/>
        <w:spacing w:after="240"/>
        <w:jc w:val="both"/>
      </w:pPr>
      <w:bookmarkStart w:id="126" w:name="TMB304649130"/>
      <w:bookmarkStart w:id="127" w:name="TMB1579157028"/>
      <w:bookmarkEnd w:id="126"/>
      <w:bookmarkEnd w:id="127"/>
      <w:r w:rsidRPr="002C11F3">
        <w:t xml:space="preserve">Una vez recibida </w:t>
      </w:r>
      <w:r w:rsidR="00785EA3">
        <w:t>la información de la CPEN y de diez de los departa</w:t>
      </w:r>
      <w:r w:rsidR="0061587F">
        <w:t xml:space="preserve">mentos y un organismo autónomo (ISPLN) </w:t>
      </w:r>
      <w:r w:rsidRPr="002C11F3">
        <w:t xml:space="preserve">de los 13 departamentos que han contestado al requerimiento de información, y de nuestras comprobaciones, reflejamos en los siguientes cuadros, los resultados obtenidos: </w:t>
      </w:r>
    </w:p>
    <w:tbl>
      <w:tblPr>
        <w:tblW w:w="8648" w:type="dxa"/>
        <w:jc w:val="center"/>
        <w:tblLayout w:type="fixed"/>
        <w:tblCellMar>
          <w:left w:w="70" w:type="dxa"/>
          <w:right w:w="70" w:type="dxa"/>
        </w:tblCellMar>
        <w:tblLook w:val="04A0" w:firstRow="1" w:lastRow="0" w:firstColumn="1" w:lastColumn="0" w:noHBand="0" w:noVBand="1"/>
      </w:tblPr>
      <w:tblGrid>
        <w:gridCol w:w="3261"/>
        <w:gridCol w:w="1050"/>
        <w:gridCol w:w="1191"/>
        <w:gridCol w:w="1191"/>
        <w:gridCol w:w="1955"/>
      </w:tblGrid>
      <w:tr w:rsidR="00E34471" w:rsidRPr="00882851" w14:paraId="3C309690" w14:textId="77777777" w:rsidTr="00E34471">
        <w:trPr>
          <w:trHeight w:val="255"/>
          <w:jc w:val="center"/>
        </w:trPr>
        <w:tc>
          <w:tcPr>
            <w:tcW w:w="3261" w:type="dxa"/>
            <w:tcBorders>
              <w:top w:val="single" w:sz="4" w:space="0" w:color="auto"/>
              <w:left w:val="nil"/>
              <w:bottom w:val="single" w:sz="4" w:space="0" w:color="auto"/>
              <w:right w:val="nil"/>
            </w:tcBorders>
            <w:shd w:val="clear" w:color="auto" w:fill="95B3D7" w:themeFill="accent1" w:themeFillTint="99"/>
            <w:noWrap/>
            <w:vAlign w:val="center"/>
          </w:tcPr>
          <w:p w14:paraId="1ACC6266" w14:textId="77777777" w:rsidR="00E34471" w:rsidRPr="00882851" w:rsidRDefault="00E34471" w:rsidP="00060DBC">
            <w:pPr>
              <w:keepLines/>
              <w:tabs>
                <w:tab w:val="right" w:pos="2835"/>
                <w:tab w:val="right" w:pos="3969"/>
                <w:tab w:val="right" w:pos="5103"/>
                <w:tab w:val="right" w:pos="6237"/>
                <w:tab w:val="right" w:pos="7371"/>
              </w:tabs>
              <w:spacing w:line="240" w:lineRule="atLeast"/>
              <w:rPr>
                <w:rFonts w:ascii="Arial" w:hAnsi="Arial" w:cs="Arial"/>
                <w:spacing w:val="6"/>
                <w:sz w:val="16"/>
                <w:szCs w:val="16"/>
              </w:rPr>
            </w:pPr>
            <w:r w:rsidRPr="00882851">
              <w:rPr>
                <w:rFonts w:ascii="Arial" w:hAnsi="Arial" w:cs="Arial"/>
                <w:spacing w:val="6"/>
                <w:sz w:val="16"/>
                <w:szCs w:val="16"/>
              </w:rPr>
              <w:t>Departamentos ACFN</w:t>
            </w:r>
          </w:p>
        </w:tc>
        <w:tc>
          <w:tcPr>
            <w:tcW w:w="1050" w:type="dxa"/>
            <w:tcBorders>
              <w:top w:val="single" w:sz="4" w:space="0" w:color="auto"/>
              <w:left w:val="nil"/>
              <w:bottom w:val="single" w:sz="4" w:space="0" w:color="auto"/>
              <w:right w:val="nil"/>
            </w:tcBorders>
            <w:shd w:val="clear" w:color="auto" w:fill="95B3D7" w:themeFill="accent1" w:themeFillTint="99"/>
            <w:noWrap/>
            <w:vAlign w:val="center"/>
          </w:tcPr>
          <w:p w14:paraId="2DE7AFDC" w14:textId="77777777" w:rsidR="00E34471" w:rsidRPr="00882851" w:rsidRDefault="00E34471" w:rsidP="008F3D39">
            <w:pPr>
              <w:keepLines/>
              <w:tabs>
                <w:tab w:val="right" w:pos="2835"/>
                <w:tab w:val="right" w:pos="3969"/>
                <w:tab w:val="right" w:pos="5103"/>
                <w:tab w:val="right" w:pos="6237"/>
                <w:tab w:val="right" w:pos="7371"/>
              </w:tabs>
              <w:spacing w:line="240" w:lineRule="atLeast"/>
              <w:ind w:left="-72"/>
              <w:jc w:val="right"/>
              <w:rPr>
                <w:rFonts w:ascii="Arial" w:hAnsi="Arial" w:cs="Arial"/>
                <w:spacing w:val="6"/>
                <w:sz w:val="16"/>
                <w:szCs w:val="16"/>
              </w:rPr>
            </w:pPr>
            <w:r w:rsidRPr="00882851">
              <w:rPr>
                <w:rFonts w:ascii="Arial" w:hAnsi="Arial" w:cs="Arial"/>
                <w:spacing w:val="6"/>
                <w:sz w:val="16"/>
                <w:szCs w:val="16"/>
              </w:rPr>
              <w:t>Licitaciones</w:t>
            </w:r>
          </w:p>
          <w:p w14:paraId="2C52455E" w14:textId="77777777" w:rsidR="00E34471" w:rsidRPr="00882851" w:rsidRDefault="00E34471" w:rsidP="008F3D39">
            <w:pPr>
              <w:keepLines/>
              <w:tabs>
                <w:tab w:val="right" w:pos="2835"/>
                <w:tab w:val="right" w:pos="3969"/>
                <w:tab w:val="right" w:pos="5103"/>
                <w:tab w:val="right" w:pos="6237"/>
                <w:tab w:val="right" w:pos="7371"/>
              </w:tabs>
              <w:spacing w:line="240" w:lineRule="atLeast"/>
              <w:jc w:val="right"/>
              <w:rPr>
                <w:rFonts w:ascii="Arial" w:hAnsi="Arial" w:cs="Arial"/>
                <w:spacing w:val="6"/>
                <w:sz w:val="16"/>
                <w:szCs w:val="16"/>
              </w:rPr>
            </w:pPr>
            <w:r w:rsidRPr="00882851">
              <w:rPr>
                <w:rFonts w:ascii="Arial" w:hAnsi="Arial" w:cs="Arial"/>
                <w:spacing w:val="6"/>
                <w:sz w:val="16"/>
                <w:szCs w:val="16"/>
              </w:rPr>
              <w:t>reservadas</w:t>
            </w:r>
          </w:p>
        </w:tc>
        <w:tc>
          <w:tcPr>
            <w:tcW w:w="1191" w:type="dxa"/>
            <w:tcBorders>
              <w:top w:val="single" w:sz="4" w:space="0" w:color="auto"/>
              <w:left w:val="nil"/>
              <w:bottom w:val="single" w:sz="4" w:space="0" w:color="auto"/>
              <w:right w:val="nil"/>
            </w:tcBorders>
            <w:shd w:val="clear" w:color="auto" w:fill="95B3D7" w:themeFill="accent1" w:themeFillTint="99"/>
            <w:noWrap/>
            <w:vAlign w:val="center"/>
          </w:tcPr>
          <w:p w14:paraId="6B3BF4B2" w14:textId="77777777" w:rsidR="00E34471" w:rsidRPr="00882851" w:rsidRDefault="00E34471" w:rsidP="008F3D39">
            <w:pPr>
              <w:keepLines/>
              <w:tabs>
                <w:tab w:val="right" w:pos="2835"/>
                <w:tab w:val="right" w:pos="3969"/>
                <w:tab w:val="right" w:pos="5103"/>
                <w:tab w:val="right" w:pos="6237"/>
                <w:tab w:val="right" w:pos="7371"/>
              </w:tabs>
              <w:spacing w:line="240" w:lineRule="atLeast"/>
              <w:jc w:val="right"/>
              <w:rPr>
                <w:rFonts w:ascii="Arial" w:hAnsi="Arial" w:cs="Arial"/>
                <w:spacing w:val="6"/>
                <w:sz w:val="16"/>
                <w:szCs w:val="16"/>
              </w:rPr>
            </w:pPr>
            <w:r w:rsidRPr="00882851">
              <w:rPr>
                <w:rFonts w:ascii="Arial" w:hAnsi="Arial" w:cs="Arial"/>
                <w:spacing w:val="6"/>
                <w:sz w:val="16"/>
                <w:szCs w:val="16"/>
              </w:rPr>
              <w:t>Contratos</w:t>
            </w:r>
          </w:p>
          <w:p w14:paraId="762750CA" w14:textId="77777777" w:rsidR="00E34471" w:rsidRPr="00882851" w:rsidRDefault="00E34471" w:rsidP="008F3D39">
            <w:pPr>
              <w:keepLines/>
              <w:tabs>
                <w:tab w:val="right" w:pos="2835"/>
                <w:tab w:val="right" w:pos="3969"/>
                <w:tab w:val="right" w:pos="5103"/>
                <w:tab w:val="right" w:pos="6237"/>
                <w:tab w:val="right" w:pos="7371"/>
              </w:tabs>
              <w:spacing w:line="240" w:lineRule="atLeast"/>
              <w:jc w:val="right"/>
              <w:rPr>
                <w:rFonts w:ascii="Arial" w:hAnsi="Arial" w:cs="Arial"/>
                <w:spacing w:val="6"/>
                <w:sz w:val="16"/>
                <w:szCs w:val="16"/>
              </w:rPr>
            </w:pPr>
            <w:r w:rsidRPr="00882851">
              <w:rPr>
                <w:rFonts w:ascii="Arial" w:hAnsi="Arial" w:cs="Arial"/>
                <w:spacing w:val="6"/>
                <w:sz w:val="16"/>
                <w:szCs w:val="16"/>
              </w:rPr>
              <w:t>menores</w:t>
            </w:r>
          </w:p>
        </w:tc>
        <w:tc>
          <w:tcPr>
            <w:tcW w:w="1191" w:type="dxa"/>
            <w:tcBorders>
              <w:top w:val="single" w:sz="4" w:space="0" w:color="auto"/>
              <w:left w:val="nil"/>
              <w:bottom w:val="single" w:sz="4" w:space="0" w:color="auto"/>
              <w:right w:val="nil"/>
            </w:tcBorders>
            <w:shd w:val="clear" w:color="auto" w:fill="95B3D7" w:themeFill="accent1" w:themeFillTint="99"/>
            <w:vAlign w:val="center"/>
          </w:tcPr>
          <w:p w14:paraId="5D534699" w14:textId="77777777" w:rsidR="00E34471" w:rsidRPr="00882851" w:rsidRDefault="00E34471" w:rsidP="008F3D39">
            <w:pPr>
              <w:keepLines/>
              <w:tabs>
                <w:tab w:val="right" w:pos="2835"/>
                <w:tab w:val="right" w:pos="3969"/>
                <w:tab w:val="right" w:pos="5103"/>
                <w:tab w:val="right" w:pos="6237"/>
                <w:tab w:val="right" w:pos="7371"/>
              </w:tabs>
              <w:spacing w:line="240" w:lineRule="atLeast"/>
              <w:jc w:val="right"/>
              <w:rPr>
                <w:rFonts w:ascii="Arial" w:hAnsi="Arial" w:cs="Arial"/>
                <w:spacing w:val="6"/>
                <w:sz w:val="16"/>
                <w:szCs w:val="16"/>
              </w:rPr>
            </w:pPr>
            <w:r w:rsidRPr="00882851">
              <w:rPr>
                <w:rFonts w:ascii="Arial" w:hAnsi="Arial" w:cs="Arial"/>
                <w:spacing w:val="6"/>
                <w:sz w:val="16"/>
                <w:szCs w:val="16"/>
              </w:rPr>
              <w:t>Alternativa</w:t>
            </w:r>
          </w:p>
        </w:tc>
        <w:tc>
          <w:tcPr>
            <w:tcW w:w="1955" w:type="dxa"/>
            <w:tcBorders>
              <w:top w:val="single" w:sz="4" w:space="0" w:color="auto"/>
              <w:left w:val="nil"/>
              <w:bottom w:val="single" w:sz="4" w:space="0" w:color="auto"/>
              <w:right w:val="nil"/>
            </w:tcBorders>
            <w:shd w:val="clear" w:color="auto" w:fill="95B3D7" w:themeFill="accent1" w:themeFillTint="99"/>
            <w:noWrap/>
            <w:vAlign w:val="bottom"/>
          </w:tcPr>
          <w:p w14:paraId="5EC8471A" w14:textId="77777777" w:rsidR="00E34471" w:rsidRPr="00882851" w:rsidRDefault="00E34471" w:rsidP="00E34471">
            <w:pPr>
              <w:keepLines/>
              <w:tabs>
                <w:tab w:val="right" w:pos="2835"/>
                <w:tab w:val="right" w:pos="3969"/>
                <w:tab w:val="right" w:pos="5103"/>
                <w:tab w:val="right" w:pos="6237"/>
                <w:tab w:val="right" w:pos="7371"/>
              </w:tabs>
              <w:spacing w:line="240" w:lineRule="atLeast"/>
              <w:jc w:val="right"/>
              <w:rPr>
                <w:rFonts w:ascii="Arial" w:hAnsi="Arial" w:cs="Arial"/>
                <w:spacing w:val="6"/>
                <w:sz w:val="16"/>
                <w:szCs w:val="16"/>
              </w:rPr>
            </w:pPr>
            <w:r w:rsidRPr="00882851">
              <w:rPr>
                <w:rFonts w:ascii="Arial" w:hAnsi="Arial" w:cs="Arial"/>
                <w:spacing w:val="6"/>
                <w:sz w:val="16"/>
                <w:szCs w:val="16"/>
              </w:rPr>
              <w:t xml:space="preserve">Publicación del </w:t>
            </w:r>
          </w:p>
          <w:p w14:paraId="445CA363" w14:textId="77777777" w:rsidR="00E34471" w:rsidRDefault="00E34471" w:rsidP="00E34471">
            <w:pPr>
              <w:keepLines/>
              <w:tabs>
                <w:tab w:val="right" w:pos="2835"/>
                <w:tab w:val="right" w:pos="3969"/>
                <w:tab w:val="right" w:pos="5103"/>
                <w:tab w:val="right" w:pos="6237"/>
                <w:tab w:val="right" w:pos="7371"/>
              </w:tabs>
              <w:spacing w:line="240" w:lineRule="atLeast"/>
              <w:jc w:val="right"/>
              <w:rPr>
                <w:rFonts w:ascii="Arial" w:hAnsi="Arial" w:cs="Arial"/>
                <w:spacing w:val="6"/>
                <w:sz w:val="16"/>
                <w:szCs w:val="16"/>
              </w:rPr>
            </w:pPr>
            <w:r w:rsidRPr="00882851">
              <w:rPr>
                <w:rFonts w:ascii="Arial" w:hAnsi="Arial" w:cs="Arial"/>
                <w:spacing w:val="6"/>
                <w:sz w:val="16"/>
                <w:szCs w:val="16"/>
              </w:rPr>
              <w:t>listado e</w:t>
            </w:r>
          </w:p>
          <w:p w14:paraId="30F4D8DE" w14:textId="77777777" w:rsidR="00E34471" w:rsidRPr="00882851" w:rsidRDefault="00E34471" w:rsidP="00E34471">
            <w:pPr>
              <w:keepLines/>
              <w:tabs>
                <w:tab w:val="right" w:pos="2835"/>
                <w:tab w:val="right" w:pos="3969"/>
                <w:tab w:val="right" w:pos="5103"/>
                <w:tab w:val="right" w:pos="6237"/>
                <w:tab w:val="right" w:pos="7371"/>
              </w:tabs>
              <w:spacing w:line="240" w:lineRule="atLeast"/>
              <w:jc w:val="right"/>
              <w:rPr>
                <w:rFonts w:ascii="Arial" w:hAnsi="Arial" w:cs="Arial"/>
                <w:spacing w:val="6"/>
                <w:sz w:val="16"/>
                <w:szCs w:val="16"/>
              </w:rPr>
            </w:pPr>
            <w:r w:rsidRPr="00882851">
              <w:rPr>
                <w:rFonts w:ascii="Arial" w:hAnsi="Arial" w:cs="Arial"/>
                <w:spacing w:val="6"/>
                <w:sz w:val="16"/>
                <w:szCs w:val="16"/>
              </w:rPr>
              <w:t xml:space="preserve"> importe</w:t>
            </w:r>
          </w:p>
        </w:tc>
      </w:tr>
      <w:tr w:rsidR="00E34471" w:rsidRPr="002C11F3" w14:paraId="4CDD0A9B" w14:textId="77777777" w:rsidTr="00E34471">
        <w:trPr>
          <w:trHeight w:val="198"/>
          <w:jc w:val="center"/>
        </w:trPr>
        <w:tc>
          <w:tcPr>
            <w:tcW w:w="3261" w:type="dxa"/>
            <w:tcBorders>
              <w:top w:val="single" w:sz="4" w:space="0" w:color="auto"/>
              <w:bottom w:val="single" w:sz="2" w:space="0" w:color="auto"/>
            </w:tcBorders>
            <w:shd w:val="clear" w:color="auto" w:fill="auto"/>
            <w:noWrap/>
            <w:vAlign w:val="bottom"/>
          </w:tcPr>
          <w:p w14:paraId="2F0CEAF4" w14:textId="77777777" w:rsidR="00E34471" w:rsidRPr="00A72532" w:rsidRDefault="00E34471" w:rsidP="00060DBC">
            <w:pPr>
              <w:rPr>
                <w:rFonts w:ascii="Arial Narrow" w:hAnsi="Arial Narrow"/>
                <w:sz w:val="18"/>
                <w:szCs w:val="18"/>
                <w:lang w:eastAsia="zh-CN"/>
              </w:rPr>
            </w:pPr>
            <w:r w:rsidRPr="00A72532">
              <w:rPr>
                <w:rFonts w:ascii="Arial Narrow" w:hAnsi="Arial Narrow"/>
                <w:sz w:val="18"/>
                <w:szCs w:val="18"/>
                <w:lang w:eastAsia="zh-CN"/>
              </w:rPr>
              <w:t>Vivienda, juventud y políticas migratorias</w:t>
            </w:r>
          </w:p>
        </w:tc>
        <w:tc>
          <w:tcPr>
            <w:tcW w:w="1050" w:type="dxa"/>
            <w:tcBorders>
              <w:top w:val="single" w:sz="4" w:space="0" w:color="auto"/>
              <w:bottom w:val="single" w:sz="2" w:space="0" w:color="auto"/>
            </w:tcBorders>
            <w:shd w:val="clear" w:color="auto" w:fill="auto"/>
            <w:noWrap/>
            <w:vAlign w:val="bottom"/>
          </w:tcPr>
          <w:p w14:paraId="1D9E67E9"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c>
          <w:tcPr>
            <w:tcW w:w="1191" w:type="dxa"/>
            <w:tcBorders>
              <w:top w:val="single" w:sz="4" w:space="0" w:color="auto"/>
              <w:bottom w:val="single" w:sz="2" w:space="0" w:color="auto"/>
            </w:tcBorders>
            <w:shd w:val="clear" w:color="auto" w:fill="auto"/>
            <w:noWrap/>
            <w:vAlign w:val="bottom"/>
          </w:tcPr>
          <w:p w14:paraId="6105243E"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SI</w:t>
            </w:r>
          </w:p>
        </w:tc>
        <w:tc>
          <w:tcPr>
            <w:tcW w:w="1191" w:type="dxa"/>
            <w:tcBorders>
              <w:top w:val="single" w:sz="4" w:space="0" w:color="auto"/>
              <w:bottom w:val="single" w:sz="2" w:space="0" w:color="auto"/>
            </w:tcBorders>
            <w:shd w:val="clear" w:color="auto" w:fill="auto"/>
            <w:vAlign w:val="bottom"/>
          </w:tcPr>
          <w:p w14:paraId="1D4C4D1F"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c>
          <w:tcPr>
            <w:tcW w:w="1955" w:type="dxa"/>
            <w:tcBorders>
              <w:top w:val="single" w:sz="4" w:space="0" w:color="auto"/>
              <w:bottom w:val="single" w:sz="2" w:space="0" w:color="auto"/>
            </w:tcBorders>
            <w:shd w:val="clear" w:color="auto" w:fill="auto"/>
            <w:noWrap/>
            <w:vAlign w:val="bottom"/>
          </w:tcPr>
          <w:p w14:paraId="133755A3"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r>
      <w:tr w:rsidR="00E34471" w:rsidRPr="002C11F3" w14:paraId="626254E9" w14:textId="77777777" w:rsidTr="00E34471">
        <w:trPr>
          <w:trHeight w:val="198"/>
          <w:jc w:val="center"/>
        </w:trPr>
        <w:tc>
          <w:tcPr>
            <w:tcW w:w="3261" w:type="dxa"/>
            <w:tcBorders>
              <w:top w:val="single" w:sz="2" w:space="0" w:color="auto"/>
              <w:bottom w:val="single" w:sz="2" w:space="0" w:color="auto"/>
            </w:tcBorders>
            <w:shd w:val="clear" w:color="auto" w:fill="auto"/>
            <w:noWrap/>
            <w:vAlign w:val="bottom"/>
          </w:tcPr>
          <w:p w14:paraId="56ECC595" w14:textId="77777777" w:rsidR="00E34471" w:rsidRPr="00A72532" w:rsidRDefault="00E34471" w:rsidP="00060DBC">
            <w:pPr>
              <w:rPr>
                <w:rFonts w:ascii="Arial Narrow" w:hAnsi="Arial Narrow"/>
                <w:sz w:val="18"/>
                <w:szCs w:val="18"/>
                <w:lang w:eastAsia="zh-CN"/>
              </w:rPr>
            </w:pPr>
            <w:r w:rsidRPr="00A72532">
              <w:rPr>
                <w:rFonts w:ascii="Arial Narrow" w:hAnsi="Arial Narrow"/>
                <w:sz w:val="18"/>
                <w:szCs w:val="18"/>
                <w:lang w:eastAsia="zh-CN"/>
              </w:rPr>
              <w:t>Universidad, Innovación y T.D.</w:t>
            </w:r>
          </w:p>
        </w:tc>
        <w:tc>
          <w:tcPr>
            <w:tcW w:w="1050" w:type="dxa"/>
            <w:tcBorders>
              <w:top w:val="single" w:sz="2" w:space="0" w:color="auto"/>
              <w:bottom w:val="single" w:sz="2" w:space="0" w:color="auto"/>
            </w:tcBorders>
            <w:shd w:val="clear" w:color="auto" w:fill="auto"/>
            <w:noWrap/>
            <w:vAlign w:val="bottom"/>
          </w:tcPr>
          <w:p w14:paraId="5464C6D6"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c>
          <w:tcPr>
            <w:tcW w:w="1191" w:type="dxa"/>
            <w:tcBorders>
              <w:top w:val="single" w:sz="2" w:space="0" w:color="auto"/>
              <w:bottom w:val="single" w:sz="2" w:space="0" w:color="auto"/>
            </w:tcBorders>
            <w:shd w:val="clear" w:color="auto" w:fill="auto"/>
            <w:noWrap/>
            <w:vAlign w:val="bottom"/>
          </w:tcPr>
          <w:p w14:paraId="392CD430"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c>
          <w:tcPr>
            <w:tcW w:w="1191" w:type="dxa"/>
            <w:tcBorders>
              <w:top w:val="single" w:sz="2" w:space="0" w:color="auto"/>
              <w:bottom w:val="single" w:sz="2" w:space="0" w:color="auto"/>
            </w:tcBorders>
            <w:shd w:val="clear" w:color="auto" w:fill="auto"/>
            <w:vAlign w:val="bottom"/>
          </w:tcPr>
          <w:p w14:paraId="07D5041E"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c>
          <w:tcPr>
            <w:tcW w:w="1955" w:type="dxa"/>
            <w:tcBorders>
              <w:top w:val="single" w:sz="2" w:space="0" w:color="auto"/>
              <w:bottom w:val="single" w:sz="2" w:space="0" w:color="auto"/>
            </w:tcBorders>
            <w:shd w:val="clear" w:color="auto" w:fill="auto"/>
            <w:vAlign w:val="bottom"/>
          </w:tcPr>
          <w:p w14:paraId="120B9BBD"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r>
      <w:tr w:rsidR="00E34471" w:rsidRPr="002C11F3" w14:paraId="612328AE" w14:textId="77777777" w:rsidTr="00E34471">
        <w:trPr>
          <w:trHeight w:val="198"/>
          <w:jc w:val="center"/>
        </w:trPr>
        <w:tc>
          <w:tcPr>
            <w:tcW w:w="3261" w:type="dxa"/>
            <w:tcBorders>
              <w:top w:val="single" w:sz="2" w:space="0" w:color="auto"/>
              <w:bottom w:val="single" w:sz="2" w:space="0" w:color="auto"/>
            </w:tcBorders>
            <w:shd w:val="clear" w:color="auto" w:fill="auto"/>
            <w:noWrap/>
            <w:vAlign w:val="bottom"/>
          </w:tcPr>
          <w:p w14:paraId="716051C6" w14:textId="77777777" w:rsidR="00E34471" w:rsidRPr="00A72532" w:rsidRDefault="00E34471" w:rsidP="00060DBC">
            <w:pPr>
              <w:rPr>
                <w:rFonts w:ascii="Arial Narrow" w:hAnsi="Arial Narrow"/>
                <w:sz w:val="18"/>
                <w:szCs w:val="18"/>
                <w:lang w:eastAsia="zh-CN"/>
              </w:rPr>
            </w:pPr>
            <w:r w:rsidRPr="00A72532">
              <w:rPr>
                <w:rFonts w:ascii="Arial Narrow" w:hAnsi="Arial Narrow"/>
                <w:sz w:val="18"/>
                <w:szCs w:val="18"/>
                <w:lang w:eastAsia="zh-CN"/>
              </w:rPr>
              <w:t>ISPLN</w:t>
            </w:r>
          </w:p>
        </w:tc>
        <w:tc>
          <w:tcPr>
            <w:tcW w:w="1050" w:type="dxa"/>
            <w:tcBorders>
              <w:top w:val="single" w:sz="2" w:space="0" w:color="auto"/>
              <w:bottom w:val="single" w:sz="2" w:space="0" w:color="auto"/>
            </w:tcBorders>
            <w:shd w:val="clear" w:color="auto" w:fill="auto"/>
            <w:noWrap/>
            <w:vAlign w:val="bottom"/>
          </w:tcPr>
          <w:p w14:paraId="172DFEAF"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c>
          <w:tcPr>
            <w:tcW w:w="1191" w:type="dxa"/>
            <w:tcBorders>
              <w:top w:val="single" w:sz="2" w:space="0" w:color="auto"/>
              <w:bottom w:val="single" w:sz="2" w:space="0" w:color="auto"/>
            </w:tcBorders>
            <w:shd w:val="clear" w:color="auto" w:fill="auto"/>
            <w:noWrap/>
            <w:vAlign w:val="bottom"/>
          </w:tcPr>
          <w:p w14:paraId="5A904CD3"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SI</w:t>
            </w:r>
          </w:p>
        </w:tc>
        <w:tc>
          <w:tcPr>
            <w:tcW w:w="1191" w:type="dxa"/>
            <w:tcBorders>
              <w:top w:val="single" w:sz="2" w:space="0" w:color="auto"/>
              <w:bottom w:val="single" w:sz="2" w:space="0" w:color="auto"/>
            </w:tcBorders>
            <w:shd w:val="clear" w:color="auto" w:fill="auto"/>
            <w:vAlign w:val="bottom"/>
          </w:tcPr>
          <w:p w14:paraId="6CE01EE7"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c>
          <w:tcPr>
            <w:tcW w:w="1955" w:type="dxa"/>
            <w:tcBorders>
              <w:top w:val="single" w:sz="2" w:space="0" w:color="auto"/>
              <w:bottom w:val="single" w:sz="2" w:space="0" w:color="auto"/>
            </w:tcBorders>
            <w:shd w:val="clear" w:color="auto" w:fill="auto"/>
            <w:noWrap/>
            <w:vAlign w:val="bottom"/>
          </w:tcPr>
          <w:p w14:paraId="6D0E8577"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r>
      <w:tr w:rsidR="00E34471" w:rsidRPr="002C11F3" w14:paraId="57FBC0A0" w14:textId="77777777" w:rsidTr="00E34471">
        <w:trPr>
          <w:trHeight w:val="198"/>
          <w:jc w:val="center"/>
        </w:trPr>
        <w:tc>
          <w:tcPr>
            <w:tcW w:w="3261" w:type="dxa"/>
            <w:tcBorders>
              <w:top w:val="single" w:sz="2" w:space="0" w:color="auto"/>
              <w:bottom w:val="single" w:sz="2" w:space="0" w:color="auto"/>
            </w:tcBorders>
            <w:shd w:val="clear" w:color="auto" w:fill="auto"/>
            <w:noWrap/>
            <w:vAlign w:val="bottom"/>
          </w:tcPr>
          <w:p w14:paraId="1CDC7E32" w14:textId="77777777" w:rsidR="00E34471" w:rsidRPr="00A72532" w:rsidRDefault="00E34471" w:rsidP="00060DBC">
            <w:pPr>
              <w:rPr>
                <w:rFonts w:ascii="Arial Narrow" w:hAnsi="Arial Narrow"/>
                <w:sz w:val="18"/>
                <w:szCs w:val="18"/>
                <w:lang w:eastAsia="zh-CN"/>
              </w:rPr>
            </w:pPr>
            <w:r w:rsidRPr="00A72532">
              <w:rPr>
                <w:rFonts w:ascii="Arial Narrow" w:hAnsi="Arial Narrow"/>
                <w:sz w:val="18"/>
                <w:szCs w:val="18"/>
                <w:lang w:eastAsia="zh-CN"/>
              </w:rPr>
              <w:t>Industria, transición ecológica y digital</w:t>
            </w:r>
          </w:p>
        </w:tc>
        <w:tc>
          <w:tcPr>
            <w:tcW w:w="1050" w:type="dxa"/>
            <w:tcBorders>
              <w:top w:val="single" w:sz="2" w:space="0" w:color="auto"/>
              <w:bottom w:val="single" w:sz="2" w:space="0" w:color="auto"/>
            </w:tcBorders>
            <w:shd w:val="clear" w:color="auto" w:fill="auto"/>
            <w:noWrap/>
            <w:vAlign w:val="bottom"/>
          </w:tcPr>
          <w:p w14:paraId="51E1F59E"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c>
          <w:tcPr>
            <w:tcW w:w="1191" w:type="dxa"/>
            <w:tcBorders>
              <w:top w:val="single" w:sz="2" w:space="0" w:color="auto"/>
              <w:bottom w:val="single" w:sz="2" w:space="0" w:color="auto"/>
            </w:tcBorders>
            <w:shd w:val="clear" w:color="auto" w:fill="auto"/>
            <w:noWrap/>
            <w:vAlign w:val="bottom"/>
          </w:tcPr>
          <w:p w14:paraId="649883BD"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SI</w:t>
            </w:r>
          </w:p>
        </w:tc>
        <w:tc>
          <w:tcPr>
            <w:tcW w:w="1191" w:type="dxa"/>
            <w:tcBorders>
              <w:top w:val="single" w:sz="2" w:space="0" w:color="auto"/>
              <w:bottom w:val="single" w:sz="2" w:space="0" w:color="auto"/>
            </w:tcBorders>
            <w:shd w:val="clear" w:color="auto" w:fill="auto"/>
            <w:vAlign w:val="bottom"/>
          </w:tcPr>
          <w:p w14:paraId="4A02E597"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c>
          <w:tcPr>
            <w:tcW w:w="1955" w:type="dxa"/>
            <w:tcBorders>
              <w:top w:val="single" w:sz="2" w:space="0" w:color="auto"/>
              <w:bottom w:val="single" w:sz="2" w:space="0" w:color="auto"/>
            </w:tcBorders>
            <w:shd w:val="clear" w:color="auto" w:fill="auto"/>
            <w:noWrap/>
            <w:vAlign w:val="bottom"/>
          </w:tcPr>
          <w:p w14:paraId="6C2EBC54"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r>
      <w:tr w:rsidR="00E34471" w:rsidRPr="002C11F3" w14:paraId="19F68629" w14:textId="77777777" w:rsidTr="00E34471">
        <w:trPr>
          <w:trHeight w:val="198"/>
          <w:jc w:val="center"/>
        </w:trPr>
        <w:tc>
          <w:tcPr>
            <w:tcW w:w="3261" w:type="dxa"/>
            <w:tcBorders>
              <w:top w:val="single" w:sz="2" w:space="0" w:color="auto"/>
              <w:bottom w:val="single" w:sz="2" w:space="0" w:color="auto"/>
            </w:tcBorders>
            <w:shd w:val="clear" w:color="auto" w:fill="auto"/>
            <w:noWrap/>
            <w:vAlign w:val="bottom"/>
          </w:tcPr>
          <w:p w14:paraId="7019995B" w14:textId="77777777" w:rsidR="00E34471" w:rsidRPr="00A72532" w:rsidRDefault="00E34471" w:rsidP="00060DBC">
            <w:pPr>
              <w:rPr>
                <w:rFonts w:ascii="Arial Narrow" w:hAnsi="Arial Narrow"/>
                <w:sz w:val="18"/>
                <w:szCs w:val="18"/>
                <w:lang w:eastAsia="zh-CN"/>
              </w:rPr>
            </w:pPr>
            <w:r w:rsidRPr="00A72532">
              <w:rPr>
                <w:rFonts w:ascii="Arial Narrow" w:hAnsi="Arial Narrow"/>
                <w:sz w:val="18"/>
                <w:szCs w:val="18"/>
                <w:lang w:eastAsia="zh-CN"/>
              </w:rPr>
              <w:t>Economía y Hacienda</w:t>
            </w:r>
          </w:p>
        </w:tc>
        <w:tc>
          <w:tcPr>
            <w:tcW w:w="1050" w:type="dxa"/>
            <w:tcBorders>
              <w:top w:val="single" w:sz="2" w:space="0" w:color="auto"/>
              <w:bottom w:val="single" w:sz="2" w:space="0" w:color="auto"/>
            </w:tcBorders>
            <w:shd w:val="clear" w:color="auto" w:fill="auto"/>
            <w:noWrap/>
            <w:vAlign w:val="bottom"/>
          </w:tcPr>
          <w:p w14:paraId="211D3318"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SI</w:t>
            </w:r>
          </w:p>
        </w:tc>
        <w:tc>
          <w:tcPr>
            <w:tcW w:w="1191" w:type="dxa"/>
            <w:tcBorders>
              <w:top w:val="single" w:sz="2" w:space="0" w:color="auto"/>
              <w:bottom w:val="single" w:sz="2" w:space="0" w:color="auto"/>
            </w:tcBorders>
            <w:shd w:val="clear" w:color="auto" w:fill="auto"/>
            <w:noWrap/>
            <w:vAlign w:val="bottom"/>
          </w:tcPr>
          <w:p w14:paraId="783DDD15"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SI</w:t>
            </w:r>
          </w:p>
        </w:tc>
        <w:tc>
          <w:tcPr>
            <w:tcW w:w="1191" w:type="dxa"/>
            <w:tcBorders>
              <w:top w:val="single" w:sz="2" w:space="0" w:color="auto"/>
              <w:bottom w:val="single" w:sz="2" w:space="0" w:color="auto"/>
            </w:tcBorders>
            <w:shd w:val="clear" w:color="auto" w:fill="auto"/>
            <w:vAlign w:val="bottom"/>
          </w:tcPr>
          <w:p w14:paraId="785765C3"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c>
          <w:tcPr>
            <w:tcW w:w="1955" w:type="dxa"/>
            <w:tcBorders>
              <w:top w:val="single" w:sz="2" w:space="0" w:color="auto"/>
              <w:bottom w:val="single" w:sz="2" w:space="0" w:color="auto"/>
            </w:tcBorders>
            <w:shd w:val="clear" w:color="auto" w:fill="auto"/>
            <w:noWrap/>
            <w:vAlign w:val="bottom"/>
          </w:tcPr>
          <w:p w14:paraId="4BE7E2D9"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r>
      <w:tr w:rsidR="00E34471" w:rsidRPr="002C11F3" w14:paraId="42E3ACD8" w14:textId="77777777" w:rsidTr="00E34471">
        <w:trPr>
          <w:trHeight w:val="198"/>
          <w:jc w:val="center"/>
        </w:trPr>
        <w:tc>
          <w:tcPr>
            <w:tcW w:w="3261" w:type="dxa"/>
            <w:tcBorders>
              <w:top w:val="single" w:sz="2" w:space="0" w:color="auto"/>
              <w:bottom w:val="single" w:sz="2" w:space="0" w:color="auto"/>
            </w:tcBorders>
            <w:shd w:val="clear" w:color="auto" w:fill="auto"/>
            <w:noWrap/>
            <w:vAlign w:val="bottom"/>
          </w:tcPr>
          <w:p w14:paraId="218598E1" w14:textId="77777777" w:rsidR="00E34471" w:rsidRPr="00A72532" w:rsidRDefault="00E34471" w:rsidP="00060DBC">
            <w:pPr>
              <w:rPr>
                <w:rFonts w:ascii="Arial Narrow" w:hAnsi="Arial Narrow"/>
                <w:sz w:val="18"/>
                <w:szCs w:val="18"/>
                <w:lang w:eastAsia="zh-CN"/>
              </w:rPr>
            </w:pPr>
            <w:r w:rsidRPr="00A72532">
              <w:rPr>
                <w:rFonts w:ascii="Arial Narrow" w:hAnsi="Arial Narrow"/>
                <w:sz w:val="18"/>
                <w:szCs w:val="18"/>
                <w:lang w:eastAsia="zh-CN"/>
              </w:rPr>
              <w:t>Educación</w:t>
            </w:r>
          </w:p>
        </w:tc>
        <w:tc>
          <w:tcPr>
            <w:tcW w:w="1050" w:type="dxa"/>
            <w:tcBorders>
              <w:top w:val="single" w:sz="2" w:space="0" w:color="auto"/>
              <w:bottom w:val="single" w:sz="2" w:space="0" w:color="auto"/>
            </w:tcBorders>
            <w:shd w:val="clear" w:color="auto" w:fill="auto"/>
            <w:noWrap/>
            <w:vAlign w:val="bottom"/>
          </w:tcPr>
          <w:p w14:paraId="1D46BC3E"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SI</w:t>
            </w:r>
          </w:p>
        </w:tc>
        <w:tc>
          <w:tcPr>
            <w:tcW w:w="1191" w:type="dxa"/>
            <w:tcBorders>
              <w:top w:val="single" w:sz="2" w:space="0" w:color="auto"/>
              <w:bottom w:val="single" w:sz="2" w:space="0" w:color="auto"/>
            </w:tcBorders>
            <w:shd w:val="clear" w:color="auto" w:fill="auto"/>
            <w:noWrap/>
            <w:vAlign w:val="bottom"/>
          </w:tcPr>
          <w:p w14:paraId="3DB05B75"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SI</w:t>
            </w:r>
          </w:p>
        </w:tc>
        <w:tc>
          <w:tcPr>
            <w:tcW w:w="1191" w:type="dxa"/>
            <w:tcBorders>
              <w:top w:val="single" w:sz="2" w:space="0" w:color="auto"/>
              <w:bottom w:val="single" w:sz="2" w:space="0" w:color="auto"/>
            </w:tcBorders>
            <w:shd w:val="clear" w:color="auto" w:fill="auto"/>
            <w:vAlign w:val="bottom"/>
          </w:tcPr>
          <w:p w14:paraId="31B1758A"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c>
          <w:tcPr>
            <w:tcW w:w="1955" w:type="dxa"/>
            <w:tcBorders>
              <w:top w:val="single" w:sz="2" w:space="0" w:color="auto"/>
              <w:bottom w:val="single" w:sz="2" w:space="0" w:color="auto"/>
            </w:tcBorders>
            <w:shd w:val="clear" w:color="auto" w:fill="auto"/>
            <w:noWrap/>
            <w:vAlign w:val="bottom"/>
          </w:tcPr>
          <w:p w14:paraId="7FF70765"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r>
      <w:tr w:rsidR="00E34471" w:rsidRPr="002C11F3" w14:paraId="1295D45B" w14:textId="77777777" w:rsidTr="00E34471">
        <w:trPr>
          <w:trHeight w:val="198"/>
          <w:jc w:val="center"/>
        </w:trPr>
        <w:tc>
          <w:tcPr>
            <w:tcW w:w="3261" w:type="dxa"/>
            <w:tcBorders>
              <w:top w:val="single" w:sz="2" w:space="0" w:color="auto"/>
              <w:bottom w:val="single" w:sz="2" w:space="0" w:color="auto"/>
            </w:tcBorders>
            <w:shd w:val="clear" w:color="auto" w:fill="auto"/>
            <w:noWrap/>
            <w:vAlign w:val="bottom"/>
          </w:tcPr>
          <w:p w14:paraId="336ABDC0" w14:textId="77777777" w:rsidR="00E34471" w:rsidRPr="00A72532" w:rsidRDefault="00E34471" w:rsidP="00060DBC">
            <w:pPr>
              <w:rPr>
                <w:rFonts w:ascii="Arial Narrow" w:hAnsi="Arial Narrow"/>
                <w:sz w:val="18"/>
                <w:szCs w:val="18"/>
                <w:lang w:eastAsia="zh-CN"/>
              </w:rPr>
            </w:pPr>
            <w:r w:rsidRPr="00A72532">
              <w:rPr>
                <w:rFonts w:ascii="Arial Narrow" w:hAnsi="Arial Narrow"/>
                <w:sz w:val="18"/>
                <w:szCs w:val="18"/>
                <w:lang w:eastAsia="zh-CN"/>
              </w:rPr>
              <w:t>Interior, Función Pública y Justicia</w:t>
            </w:r>
          </w:p>
        </w:tc>
        <w:tc>
          <w:tcPr>
            <w:tcW w:w="1050" w:type="dxa"/>
            <w:tcBorders>
              <w:top w:val="single" w:sz="2" w:space="0" w:color="auto"/>
              <w:bottom w:val="single" w:sz="2" w:space="0" w:color="auto"/>
            </w:tcBorders>
            <w:shd w:val="clear" w:color="auto" w:fill="auto"/>
            <w:noWrap/>
            <w:vAlign w:val="bottom"/>
          </w:tcPr>
          <w:p w14:paraId="20FE3C14"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SI</w:t>
            </w:r>
          </w:p>
        </w:tc>
        <w:tc>
          <w:tcPr>
            <w:tcW w:w="1191" w:type="dxa"/>
            <w:tcBorders>
              <w:top w:val="single" w:sz="2" w:space="0" w:color="auto"/>
              <w:bottom w:val="single" w:sz="2" w:space="0" w:color="auto"/>
            </w:tcBorders>
            <w:shd w:val="clear" w:color="auto" w:fill="auto"/>
            <w:noWrap/>
            <w:vAlign w:val="bottom"/>
          </w:tcPr>
          <w:p w14:paraId="54539020"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SI</w:t>
            </w:r>
          </w:p>
        </w:tc>
        <w:tc>
          <w:tcPr>
            <w:tcW w:w="1191" w:type="dxa"/>
            <w:tcBorders>
              <w:top w:val="single" w:sz="2" w:space="0" w:color="auto"/>
              <w:bottom w:val="single" w:sz="2" w:space="0" w:color="auto"/>
            </w:tcBorders>
            <w:shd w:val="clear" w:color="auto" w:fill="auto"/>
            <w:vAlign w:val="bottom"/>
          </w:tcPr>
          <w:p w14:paraId="24CCF2B2"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c>
          <w:tcPr>
            <w:tcW w:w="1955" w:type="dxa"/>
            <w:tcBorders>
              <w:top w:val="single" w:sz="2" w:space="0" w:color="auto"/>
              <w:bottom w:val="single" w:sz="2" w:space="0" w:color="auto"/>
            </w:tcBorders>
            <w:shd w:val="clear" w:color="auto" w:fill="auto"/>
            <w:vAlign w:val="bottom"/>
          </w:tcPr>
          <w:p w14:paraId="65874CAF"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r>
      <w:tr w:rsidR="00E34471" w:rsidRPr="002C11F3" w14:paraId="3BFF55BF" w14:textId="77777777" w:rsidTr="00E34471">
        <w:trPr>
          <w:trHeight w:val="198"/>
          <w:jc w:val="center"/>
        </w:trPr>
        <w:tc>
          <w:tcPr>
            <w:tcW w:w="3261" w:type="dxa"/>
            <w:tcBorders>
              <w:top w:val="single" w:sz="2" w:space="0" w:color="auto"/>
              <w:bottom w:val="single" w:sz="2" w:space="0" w:color="auto"/>
            </w:tcBorders>
            <w:shd w:val="clear" w:color="auto" w:fill="auto"/>
            <w:noWrap/>
            <w:vAlign w:val="bottom"/>
          </w:tcPr>
          <w:p w14:paraId="1900676D" w14:textId="77777777" w:rsidR="00E34471" w:rsidRPr="00A72532" w:rsidRDefault="00E34471" w:rsidP="00060DBC">
            <w:pPr>
              <w:rPr>
                <w:rFonts w:ascii="Arial Narrow" w:hAnsi="Arial Narrow"/>
                <w:sz w:val="18"/>
                <w:szCs w:val="18"/>
                <w:lang w:eastAsia="zh-CN"/>
              </w:rPr>
            </w:pPr>
            <w:r w:rsidRPr="00A72532">
              <w:rPr>
                <w:rFonts w:ascii="Arial Narrow" w:hAnsi="Arial Narrow"/>
                <w:sz w:val="18"/>
                <w:szCs w:val="18"/>
                <w:lang w:eastAsia="zh-CN"/>
              </w:rPr>
              <w:t>Presidencia e Igualdad</w:t>
            </w:r>
          </w:p>
        </w:tc>
        <w:tc>
          <w:tcPr>
            <w:tcW w:w="1050" w:type="dxa"/>
            <w:tcBorders>
              <w:top w:val="single" w:sz="2" w:space="0" w:color="auto"/>
              <w:bottom w:val="single" w:sz="2" w:space="0" w:color="auto"/>
            </w:tcBorders>
            <w:shd w:val="clear" w:color="auto" w:fill="auto"/>
            <w:noWrap/>
            <w:vAlign w:val="bottom"/>
          </w:tcPr>
          <w:p w14:paraId="3F8C7533"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SI</w:t>
            </w:r>
          </w:p>
        </w:tc>
        <w:tc>
          <w:tcPr>
            <w:tcW w:w="1191" w:type="dxa"/>
            <w:tcBorders>
              <w:top w:val="single" w:sz="2" w:space="0" w:color="auto"/>
              <w:bottom w:val="single" w:sz="2" w:space="0" w:color="auto"/>
            </w:tcBorders>
            <w:shd w:val="clear" w:color="auto" w:fill="auto"/>
            <w:noWrap/>
            <w:vAlign w:val="bottom"/>
          </w:tcPr>
          <w:p w14:paraId="0A78ECA3"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SI</w:t>
            </w:r>
          </w:p>
        </w:tc>
        <w:tc>
          <w:tcPr>
            <w:tcW w:w="1191" w:type="dxa"/>
            <w:tcBorders>
              <w:top w:val="single" w:sz="2" w:space="0" w:color="auto"/>
              <w:bottom w:val="single" w:sz="2" w:space="0" w:color="auto"/>
            </w:tcBorders>
            <w:shd w:val="clear" w:color="auto" w:fill="auto"/>
            <w:vAlign w:val="bottom"/>
          </w:tcPr>
          <w:p w14:paraId="5C1AEB26"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c>
          <w:tcPr>
            <w:tcW w:w="1955" w:type="dxa"/>
            <w:tcBorders>
              <w:top w:val="single" w:sz="2" w:space="0" w:color="auto"/>
              <w:bottom w:val="single" w:sz="2" w:space="0" w:color="auto"/>
            </w:tcBorders>
            <w:shd w:val="clear" w:color="auto" w:fill="auto"/>
            <w:noWrap/>
            <w:vAlign w:val="bottom"/>
          </w:tcPr>
          <w:p w14:paraId="0FBC0B04"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r>
      <w:tr w:rsidR="00E34471" w:rsidRPr="002C11F3" w14:paraId="0BB726CD" w14:textId="77777777" w:rsidTr="00E34471">
        <w:trPr>
          <w:trHeight w:val="198"/>
          <w:jc w:val="center"/>
        </w:trPr>
        <w:tc>
          <w:tcPr>
            <w:tcW w:w="3261" w:type="dxa"/>
            <w:tcBorders>
              <w:top w:val="single" w:sz="2" w:space="0" w:color="auto"/>
              <w:bottom w:val="single" w:sz="2" w:space="0" w:color="auto"/>
            </w:tcBorders>
            <w:shd w:val="clear" w:color="auto" w:fill="auto"/>
            <w:noWrap/>
            <w:vAlign w:val="bottom"/>
          </w:tcPr>
          <w:p w14:paraId="4D894A31" w14:textId="77777777" w:rsidR="00E34471" w:rsidRPr="00A72532" w:rsidRDefault="00E34471" w:rsidP="00060DBC">
            <w:pPr>
              <w:rPr>
                <w:rFonts w:ascii="Arial Narrow" w:hAnsi="Arial Narrow"/>
                <w:sz w:val="18"/>
                <w:szCs w:val="18"/>
                <w:lang w:eastAsia="zh-CN"/>
              </w:rPr>
            </w:pPr>
            <w:r w:rsidRPr="00A72532">
              <w:rPr>
                <w:rFonts w:ascii="Arial Narrow" w:hAnsi="Arial Narrow"/>
                <w:sz w:val="18"/>
                <w:szCs w:val="18"/>
                <w:lang w:eastAsia="zh-CN"/>
              </w:rPr>
              <w:t>Derechos sociales</w:t>
            </w:r>
          </w:p>
        </w:tc>
        <w:tc>
          <w:tcPr>
            <w:tcW w:w="1050" w:type="dxa"/>
            <w:tcBorders>
              <w:top w:val="single" w:sz="2" w:space="0" w:color="auto"/>
              <w:bottom w:val="single" w:sz="2" w:space="0" w:color="auto"/>
            </w:tcBorders>
            <w:shd w:val="clear" w:color="auto" w:fill="auto"/>
            <w:noWrap/>
            <w:vAlign w:val="bottom"/>
          </w:tcPr>
          <w:p w14:paraId="26F0106B"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SI</w:t>
            </w:r>
          </w:p>
        </w:tc>
        <w:tc>
          <w:tcPr>
            <w:tcW w:w="1191" w:type="dxa"/>
            <w:tcBorders>
              <w:top w:val="single" w:sz="2" w:space="0" w:color="auto"/>
              <w:bottom w:val="single" w:sz="2" w:space="0" w:color="auto"/>
            </w:tcBorders>
            <w:shd w:val="clear" w:color="auto" w:fill="auto"/>
            <w:noWrap/>
            <w:vAlign w:val="bottom"/>
          </w:tcPr>
          <w:p w14:paraId="62B2B1CF"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SI</w:t>
            </w:r>
          </w:p>
        </w:tc>
        <w:tc>
          <w:tcPr>
            <w:tcW w:w="1191" w:type="dxa"/>
            <w:tcBorders>
              <w:top w:val="single" w:sz="2" w:space="0" w:color="auto"/>
              <w:bottom w:val="single" w:sz="2" w:space="0" w:color="auto"/>
            </w:tcBorders>
            <w:shd w:val="clear" w:color="auto" w:fill="auto"/>
            <w:vAlign w:val="bottom"/>
          </w:tcPr>
          <w:p w14:paraId="7C5C4356"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SI</w:t>
            </w:r>
          </w:p>
        </w:tc>
        <w:tc>
          <w:tcPr>
            <w:tcW w:w="1955" w:type="dxa"/>
            <w:tcBorders>
              <w:top w:val="single" w:sz="2" w:space="0" w:color="auto"/>
              <w:bottom w:val="single" w:sz="2" w:space="0" w:color="auto"/>
            </w:tcBorders>
            <w:shd w:val="clear" w:color="auto" w:fill="auto"/>
            <w:noWrap/>
            <w:vAlign w:val="bottom"/>
          </w:tcPr>
          <w:p w14:paraId="7A904515"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r>
      <w:tr w:rsidR="00E34471" w:rsidRPr="002C11F3" w14:paraId="4AFB14E6" w14:textId="77777777" w:rsidTr="00E34471">
        <w:trPr>
          <w:trHeight w:val="198"/>
          <w:jc w:val="center"/>
        </w:trPr>
        <w:tc>
          <w:tcPr>
            <w:tcW w:w="3261" w:type="dxa"/>
            <w:tcBorders>
              <w:top w:val="single" w:sz="2" w:space="0" w:color="auto"/>
              <w:bottom w:val="single" w:sz="2" w:space="0" w:color="auto"/>
            </w:tcBorders>
            <w:shd w:val="clear" w:color="auto" w:fill="auto"/>
            <w:noWrap/>
            <w:vAlign w:val="bottom"/>
          </w:tcPr>
          <w:p w14:paraId="0C5836CE" w14:textId="77777777" w:rsidR="00E34471" w:rsidRPr="00A72532" w:rsidRDefault="00E34471" w:rsidP="00060DBC">
            <w:pPr>
              <w:rPr>
                <w:rFonts w:ascii="Arial Narrow" w:hAnsi="Arial Narrow"/>
                <w:sz w:val="18"/>
                <w:szCs w:val="18"/>
                <w:lang w:eastAsia="zh-CN"/>
              </w:rPr>
            </w:pPr>
            <w:r w:rsidRPr="00A72532">
              <w:rPr>
                <w:rFonts w:ascii="Arial Narrow" w:hAnsi="Arial Narrow"/>
                <w:sz w:val="18"/>
                <w:szCs w:val="18"/>
                <w:lang w:eastAsia="zh-CN"/>
              </w:rPr>
              <w:t>Cohesión territorial</w:t>
            </w:r>
          </w:p>
        </w:tc>
        <w:tc>
          <w:tcPr>
            <w:tcW w:w="1050" w:type="dxa"/>
            <w:tcBorders>
              <w:top w:val="single" w:sz="2" w:space="0" w:color="auto"/>
              <w:bottom w:val="single" w:sz="2" w:space="0" w:color="auto"/>
            </w:tcBorders>
            <w:shd w:val="clear" w:color="auto" w:fill="auto"/>
            <w:noWrap/>
            <w:vAlign w:val="bottom"/>
          </w:tcPr>
          <w:p w14:paraId="2F3B3662"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c>
          <w:tcPr>
            <w:tcW w:w="1191" w:type="dxa"/>
            <w:tcBorders>
              <w:top w:val="single" w:sz="2" w:space="0" w:color="auto"/>
              <w:bottom w:val="single" w:sz="2" w:space="0" w:color="auto"/>
            </w:tcBorders>
            <w:shd w:val="clear" w:color="auto" w:fill="auto"/>
            <w:noWrap/>
            <w:vAlign w:val="bottom"/>
          </w:tcPr>
          <w:p w14:paraId="0DA21443"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SI</w:t>
            </w:r>
          </w:p>
        </w:tc>
        <w:tc>
          <w:tcPr>
            <w:tcW w:w="1191" w:type="dxa"/>
            <w:tcBorders>
              <w:top w:val="single" w:sz="2" w:space="0" w:color="auto"/>
              <w:bottom w:val="single" w:sz="2" w:space="0" w:color="auto"/>
            </w:tcBorders>
            <w:shd w:val="clear" w:color="auto" w:fill="auto"/>
            <w:vAlign w:val="bottom"/>
          </w:tcPr>
          <w:p w14:paraId="1DF00CD5"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c>
          <w:tcPr>
            <w:tcW w:w="1955" w:type="dxa"/>
            <w:tcBorders>
              <w:top w:val="single" w:sz="2" w:space="0" w:color="auto"/>
              <w:bottom w:val="single" w:sz="2" w:space="0" w:color="auto"/>
            </w:tcBorders>
            <w:shd w:val="clear" w:color="auto" w:fill="auto"/>
            <w:noWrap/>
            <w:vAlign w:val="bottom"/>
          </w:tcPr>
          <w:p w14:paraId="1D290D97"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r>
      <w:tr w:rsidR="00E34471" w:rsidRPr="00A72532" w14:paraId="31853526" w14:textId="77777777" w:rsidTr="00E34471">
        <w:trPr>
          <w:trHeight w:val="198"/>
          <w:jc w:val="center"/>
        </w:trPr>
        <w:tc>
          <w:tcPr>
            <w:tcW w:w="3261" w:type="dxa"/>
            <w:tcBorders>
              <w:top w:val="single" w:sz="2" w:space="0" w:color="auto"/>
              <w:bottom w:val="single" w:sz="4" w:space="0" w:color="auto"/>
            </w:tcBorders>
            <w:shd w:val="clear" w:color="auto" w:fill="auto"/>
            <w:noWrap/>
            <w:vAlign w:val="bottom"/>
          </w:tcPr>
          <w:p w14:paraId="1D5D9A7E" w14:textId="77777777" w:rsidR="00E34471" w:rsidRPr="00A72532" w:rsidRDefault="00E34471" w:rsidP="00060DBC">
            <w:pPr>
              <w:rPr>
                <w:rFonts w:ascii="Arial Narrow" w:hAnsi="Arial Narrow"/>
                <w:sz w:val="18"/>
                <w:szCs w:val="18"/>
                <w:lang w:eastAsia="zh-CN"/>
              </w:rPr>
            </w:pPr>
            <w:r w:rsidRPr="00A72532">
              <w:rPr>
                <w:rFonts w:ascii="Arial Narrow" w:hAnsi="Arial Narrow"/>
                <w:sz w:val="18"/>
                <w:szCs w:val="18"/>
                <w:lang w:eastAsia="zh-CN"/>
              </w:rPr>
              <w:t>Desarrollo Rural</w:t>
            </w:r>
          </w:p>
        </w:tc>
        <w:tc>
          <w:tcPr>
            <w:tcW w:w="1050" w:type="dxa"/>
            <w:tcBorders>
              <w:top w:val="single" w:sz="2" w:space="0" w:color="auto"/>
              <w:bottom w:val="single" w:sz="4" w:space="0" w:color="auto"/>
            </w:tcBorders>
            <w:shd w:val="clear" w:color="auto" w:fill="auto"/>
            <w:noWrap/>
            <w:vAlign w:val="bottom"/>
          </w:tcPr>
          <w:p w14:paraId="2AFC8C92"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c>
          <w:tcPr>
            <w:tcW w:w="1191" w:type="dxa"/>
            <w:tcBorders>
              <w:top w:val="single" w:sz="2" w:space="0" w:color="auto"/>
              <w:bottom w:val="single" w:sz="4" w:space="0" w:color="auto"/>
            </w:tcBorders>
            <w:shd w:val="clear" w:color="auto" w:fill="auto"/>
            <w:noWrap/>
            <w:vAlign w:val="bottom"/>
          </w:tcPr>
          <w:p w14:paraId="35A98ABE"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SI</w:t>
            </w:r>
          </w:p>
        </w:tc>
        <w:tc>
          <w:tcPr>
            <w:tcW w:w="1191" w:type="dxa"/>
            <w:tcBorders>
              <w:top w:val="single" w:sz="2" w:space="0" w:color="auto"/>
              <w:bottom w:val="single" w:sz="4" w:space="0" w:color="auto"/>
            </w:tcBorders>
            <w:shd w:val="clear" w:color="auto" w:fill="auto"/>
            <w:vAlign w:val="bottom"/>
          </w:tcPr>
          <w:p w14:paraId="443C5C5C"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c>
          <w:tcPr>
            <w:tcW w:w="1955" w:type="dxa"/>
            <w:tcBorders>
              <w:top w:val="single" w:sz="2" w:space="0" w:color="auto"/>
              <w:bottom w:val="single" w:sz="4" w:space="0" w:color="auto"/>
            </w:tcBorders>
            <w:shd w:val="clear" w:color="auto" w:fill="auto"/>
            <w:noWrap/>
            <w:vAlign w:val="bottom"/>
          </w:tcPr>
          <w:p w14:paraId="5AB01E3F"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NO</w:t>
            </w:r>
          </w:p>
        </w:tc>
      </w:tr>
      <w:tr w:rsidR="00E34471" w:rsidRPr="00882851" w14:paraId="4A455B8C" w14:textId="77777777" w:rsidTr="00E34471">
        <w:trPr>
          <w:trHeight w:val="395"/>
          <w:jc w:val="center"/>
        </w:trPr>
        <w:tc>
          <w:tcPr>
            <w:tcW w:w="3261" w:type="dxa"/>
            <w:tcBorders>
              <w:top w:val="single" w:sz="4" w:space="0" w:color="auto"/>
              <w:left w:val="nil"/>
              <w:bottom w:val="single" w:sz="4" w:space="0" w:color="auto"/>
              <w:right w:val="nil"/>
            </w:tcBorders>
            <w:shd w:val="clear" w:color="auto" w:fill="95B3D7" w:themeFill="accent1" w:themeFillTint="99"/>
            <w:noWrap/>
            <w:vAlign w:val="center"/>
          </w:tcPr>
          <w:p w14:paraId="5E54B99C" w14:textId="77777777" w:rsidR="00E34471" w:rsidRPr="00882851" w:rsidRDefault="00E34471" w:rsidP="00BA0AC3">
            <w:pPr>
              <w:keepLines/>
              <w:tabs>
                <w:tab w:val="right" w:pos="2835"/>
                <w:tab w:val="right" w:pos="3969"/>
                <w:tab w:val="right" w:pos="5103"/>
                <w:tab w:val="right" w:pos="6237"/>
                <w:tab w:val="right" w:pos="7371"/>
              </w:tabs>
              <w:spacing w:line="240" w:lineRule="atLeast"/>
              <w:rPr>
                <w:rFonts w:ascii="Arial" w:hAnsi="Arial" w:cs="Arial"/>
                <w:spacing w:val="6"/>
                <w:sz w:val="16"/>
                <w:szCs w:val="16"/>
              </w:rPr>
            </w:pPr>
            <w:r w:rsidRPr="00882851">
              <w:rPr>
                <w:rFonts w:ascii="Arial" w:hAnsi="Arial" w:cs="Arial"/>
                <w:spacing w:val="6"/>
                <w:sz w:val="16"/>
                <w:szCs w:val="16"/>
              </w:rPr>
              <w:t>CPEN</w:t>
            </w:r>
          </w:p>
        </w:tc>
        <w:tc>
          <w:tcPr>
            <w:tcW w:w="1050" w:type="dxa"/>
            <w:tcBorders>
              <w:top w:val="single" w:sz="4" w:space="0" w:color="auto"/>
              <w:left w:val="nil"/>
              <w:bottom w:val="single" w:sz="4" w:space="0" w:color="auto"/>
              <w:right w:val="nil"/>
            </w:tcBorders>
            <w:shd w:val="clear" w:color="auto" w:fill="95B3D7" w:themeFill="accent1" w:themeFillTint="99"/>
            <w:noWrap/>
            <w:vAlign w:val="center"/>
          </w:tcPr>
          <w:p w14:paraId="73618876" w14:textId="77777777" w:rsidR="00E34471" w:rsidRPr="00882851" w:rsidRDefault="00E34471" w:rsidP="008F3D39">
            <w:pPr>
              <w:keepLines/>
              <w:tabs>
                <w:tab w:val="right" w:pos="2835"/>
                <w:tab w:val="right" w:pos="3969"/>
                <w:tab w:val="right" w:pos="5103"/>
                <w:tab w:val="right" w:pos="6237"/>
                <w:tab w:val="right" w:pos="7371"/>
              </w:tabs>
              <w:spacing w:line="240" w:lineRule="atLeast"/>
              <w:ind w:left="-74"/>
              <w:jc w:val="right"/>
              <w:rPr>
                <w:rFonts w:ascii="Arial" w:hAnsi="Arial" w:cs="Arial"/>
                <w:spacing w:val="6"/>
                <w:sz w:val="16"/>
                <w:szCs w:val="16"/>
              </w:rPr>
            </w:pPr>
            <w:r w:rsidRPr="00882851">
              <w:rPr>
                <w:rFonts w:ascii="Arial" w:hAnsi="Arial" w:cs="Arial"/>
                <w:spacing w:val="6"/>
                <w:sz w:val="16"/>
                <w:szCs w:val="16"/>
              </w:rPr>
              <w:t xml:space="preserve">Licitaciones </w:t>
            </w:r>
          </w:p>
          <w:p w14:paraId="7FBCFB31" w14:textId="77777777" w:rsidR="00E34471" w:rsidRPr="00882851" w:rsidRDefault="00E34471" w:rsidP="008F3D39">
            <w:pPr>
              <w:keepLines/>
              <w:tabs>
                <w:tab w:val="right" w:pos="2835"/>
                <w:tab w:val="right" w:pos="3969"/>
                <w:tab w:val="right" w:pos="5103"/>
                <w:tab w:val="right" w:pos="6237"/>
                <w:tab w:val="right" w:pos="7371"/>
              </w:tabs>
              <w:spacing w:line="240" w:lineRule="atLeast"/>
              <w:jc w:val="right"/>
              <w:rPr>
                <w:rFonts w:ascii="Arial" w:hAnsi="Arial" w:cs="Arial"/>
                <w:spacing w:val="6"/>
                <w:sz w:val="16"/>
                <w:szCs w:val="16"/>
              </w:rPr>
            </w:pPr>
            <w:r w:rsidRPr="00882851">
              <w:rPr>
                <w:rFonts w:ascii="Arial" w:hAnsi="Arial" w:cs="Arial"/>
                <w:spacing w:val="6"/>
                <w:sz w:val="16"/>
                <w:szCs w:val="16"/>
              </w:rPr>
              <w:t>reservadas</w:t>
            </w:r>
          </w:p>
        </w:tc>
        <w:tc>
          <w:tcPr>
            <w:tcW w:w="1191" w:type="dxa"/>
            <w:tcBorders>
              <w:top w:val="single" w:sz="4" w:space="0" w:color="auto"/>
              <w:left w:val="nil"/>
              <w:bottom w:val="single" w:sz="4" w:space="0" w:color="auto"/>
              <w:right w:val="nil"/>
            </w:tcBorders>
            <w:shd w:val="clear" w:color="auto" w:fill="95B3D7" w:themeFill="accent1" w:themeFillTint="99"/>
            <w:noWrap/>
            <w:vAlign w:val="center"/>
          </w:tcPr>
          <w:p w14:paraId="0FFD8F66" w14:textId="77777777" w:rsidR="00E34471" w:rsidRPr="00882851" w:rsidRDefault="00E34471" w:rsidP="008F3D39">
            <w:pPr>
              <w:keepLines/>
              <w:tabs>
                <w:tab w:val="right" w:pos="2835"/>
                <w:tab w:val="right" w:pos="3969"/>
                <w:tab w:val="right" w:pos="5103"/>
                <w:tab w:val="right" w:pos="6237"/>
                <w:tab w:val="right" w:pos="7371"/>
              </w:tabs>
              <w:spacing w:line="240" w:lineRule="atLeast"/>
              <w:jc w:val="right"/>
              <w:rPr>
                <w:rFonts w:ascii="Arial" w:hAnsi="Arial" w:cs="Arial"/>
                <w:spacing w:val="6"/>
                <w:sz w:val="16"/>
                <w:szCs w:val="16"/>
              </w:rPr>
            </w:pPr>
            <w:r w:rsidRPr="00882851">
              <w:rPr>
                <w:rFonts w:ascii="Arial" w:hAnsi="Arial" w:cs="Arial"/>
                <w:spacing w:val="6"/>
                <w:sz w:val="16"/>
                <w:szCs w:val="16"/>
              </w:rPr>
              <w:t>Contratos</w:t>
            </w:r>
          </w:p>
          <w:p w14:paraId="0D72F4A1" w14:textId="77777777" w:rsidR="00E34471" w:rsidRPr="00882851" w:rsidRDefault="00E34471" w:rsidP="008F3D39">
            <w:pPr>
              <w:keepLines/>
              <w:tabs>
                <w:tab w:val="right" w:pos="2835"/>
                <w:tab w:val="right" w:pos="3969"/>
                <w:tab w:val="right" w:pos="5103"/>
                <w:tab w:val="right" w:pos="6237"/>
                <w:tab w:val="right" w:pos="7371"/>
              </w:tabs>
              <w:spacing w:line="240" w:lineRule="atLeast"/>
              <w:jc w:val="right"/>
              <w:rPr>
                <w:rFonts w:ascii="Arial" w:hAnsi="Arial" w:cs="Arial"/>
                <w:spacing w:val="6"/>
                <w:sz w:val="16"/>
                <w:szCs w:val="16"/>
              </w:rPr>
            </w:pPr>
            <w:r w:rsidRPr="00882851">
              <w:rPr>
                <w:rFonts w:ascii="Arial" w:hAnsi="Arial" w:cs="Arial"/>
                <w:spacing w:val="6"/>
                <w:sz w:val="16"/>
                <w:szCs w:val="16"/>
              </w:rPr>
              <w:t>menores</w:t>
            </w:r>
          </w:p>
        </w:tc>
        <w:tc>
          <w:tcPr>
            <w:tcW w:w="1191" w:type="dxa"/>
            <w:tcBorders>
              <w:top w:val="single" w:sz="4" w:space="0" w:color="auto"/>
              <w:left w:val="nil"/>
              <w:bottom w:val="single" w:sz="4" w:space="0" w:color="auto"/>
              <w:right w:val="nil"/>
            </w:tcBorders>
            <w:shd w:val="clear" w:color="auto" w:fill="95B3D7" w:themeFill="accent1" w:themeFillTint="99"/>
            <w:vAlign w:val="center"/>
          </w:tcPr>
          <w:p w14:paraId="0E1F7D4A" w14:textId="77777777" w:rsidR="00E34471" w:rsidRPr="00882851" w:rsidRDefault="00E34471" w:rsidP="008F3D39">
            <w:pPr>
              <w:keepLines/>
              <w:tabs>
                <w:tab w:val="right" w:pos="2835"/>
                <w:tab w:val="right" w:pos="3969"/>
                <w:tab w:val="right" w:pos="5103"/>
                <w:tab w:val="right" w:pos="6237"/>
                <w:tab w:val="right" w:pos="7371"/>
              </w:tabs>
              <w:spacing w:line="240" w:lineRule="atLeast"/>
              <w:jc w:val="right"/>
              <w:rPr>
                <w:rFonts w:ascii="Arial" w:hAnsi="Arial" w:cs="Arial"/>
                <w:spacing w:val="6"/>
                <w:sz w:val="16"/>
                <w:szCs w:val="16"/>
              </w:rPr>
            </w:pPr>
            <w:r w:rsidRPr="00882851">
              <w:rPr>
                <w:rFonts w:ascii="Arial" w:hAnsi="Arial" w:cs="Arial"/>
                <w:spacing w:val="6"/>
                <w:sz w:val="16"/>
                <w:szCs w:val="16"/>
              </w:rPr>
              <w:t>Alternativa</w:t>
            </w:r>
          </w:p>
        </w:tc>
        <w:tc>
          <w:tcPr>
            <w:tcW w:w="1955" w:type="dxa"/>
            <w:tcBorders>
              <w:top w:val="single" w:sz="4" w:space="0" w:color="auto"/>
              <w:left w:val="nil"/>
              <w:bottom w:val="single" w:sz="4" w:space="0" w:color="auto"/>
              <w:right w:val="nil"/>
            </w:tcBorders>
            <w:shd w:val="clear" w:color="auto" w:fill="95B3D7" w:themeFill="accent1" w:themeFillTint="99"/>
            <w:noWrap/>
            <w:vAlign w:val="center"/>
          </w:tcPr>
          <w:p w14:paraId="69162738" w14:textId="77777777" w:rsidR="00E34471" w:rsidRPr="00882851" w:rsidRDefault="00E34471" w:rsidP="008F3D39">
            <w:pPr>
              <w:keepLines/>
              <w:tabs>
                <w:tab w:val="right" w:pos="2835"/>
                <w:tab w:val="right" w:pos="3969"/>
                <w:tab w:val="right" w:pos="5103"/>
                <w:tab w:val="right" w:pos="6237"/>
                <w:tab w:val="right" w:pos="7371"/>
              </w:tabs>
              <w:spacing w:line="240" w:lineRule="atLeast"/>
              <w:jc w:val="right"/>
              <w:rPr>
                <w:rFonts w:ascii="Arial" w:hAnsi="Arial" w:cs="Arial"/>
                <w:spacing w:val="6"/>
                <w:sz w:val="16"/>
                <w:szCs w:val="16"/>
              </w:rPr>
            </w:pPr>
            <w:r w:rsidRPr="00882851">
              <w:rPr>
                <w:rFonts w:ascii="Arial" w:hAnsi="Arial" w:cs="Arial"/>
                <w:spacing w:val="6"/>
                <w:sz w:val="16"/>
                <w:szCs w:val="16"/>
              </w:rPr>
              <w:t xml:space="preserve">Publicación del </w:t>
            </w:r>
          </w:p>
          <w:p w14:paraId="11EB770C" w14:textId="77777777" w:rsidR="00E34471" w:rsidRDefault="00E34471" w:rsidP="008F3D39">
            <w:pPr>
              <w:keepLines/>
              <w:tabs>
                <w:tab w:val="right" w:pos="2835"/>
                <w:tab w:val="right" w:pos="3969"/>
                <w:tab w:val="right" w:pos="5103"/>
                <w:tab w:val="right" w:pos="6237"/>
                <w:tab w:val="right" w:pos="7371"/>
              </w:tabs>
              <w:spacing w:line="240" w:lineRule="atLeast"/>
              <w:jc w:val="right"/>
              <w:rPr>
                <w:rFonts w:ascii="Arial" w:hAnsi="Arial" w:cs="Arial"/>
                <w:spacing w:val="6"/>
                <w:sz w:val="16"/>
                <w:szCs w:val="16"/>
              </w:rPr>
            </w:pPr>
            <w:r w:rsidRPr="00882851">
              <w:rPr>
                <w:rFonts w:ascii="Arial" w:hAnsi="Arial" w:cs="Arial"/>
                <w:spacing w:val="6"/>
                <w:sz w:val="16"/>
                <w:szCs w:val="16"/>
              </w:rPr>
              <w:t xml:space="preserve">listado e </w:t>
            </w:r>
          </w:p>
          <w:p w14:paraId="1142C9D3" w14:textId="77777777" w:rsidR="00E34471" w:rsidRPr="00882851" w:rsidRDefault="00E34471" w:rsidP="008F3D39">
            <w:pPr>
              <w:keepLines/>
              <w:tabs>
                <w:tab w:val="right" w:pos="2835"/>
                <w:tab w:val="right" w:pos="3969"/>
                <w:tab w:val="right" w:pos="5103"/>
                <w:tab w:val="right" w:pos="6237"/>
                <w:tab w:val="right" w:pos="7371"/>
              </w:tabs>
              <w:spacing w:line="240" w:lineRule="atLeast"/>
              <w:jc w:val="right"/>
              <w:rPr>
                <w:rFonts w:ascii="Arial" w:hAnsi="Arial" w:cs="Arial"/>
                <w:spacing w:val="6"/>
                <w:sz w:val="16"/>
                <w:szCs w:val="16"/>
              </w:rPr>
            </w:pPr>
            <w:r w:rsidRPr="00882851">
              <w:rPr>
                <w:rFonts w:ascii="Arial" w:hAnsi="Arial" w:cs="Arial"/>
                <w:spacing w:val="6"/>
                <w:sz w:val="16"/>
                <w:szCs w:val="16"/>
              </w:rPr>
              <w:t>importe</w:t>
            </w:r>
          </w:p>
        </w:tc>
      </w:tr>
      <w:tr w:rsidR="00E34471" w:rsidRPr="00A72532" w14:paraId="3150A395" w14:textId="77777777" w:rsidTr="00E34471">
        <w:trPr>
          <w:trHeight w:val="235"/>
          <w:jc w:val="center"/>
        </w:trPr>
        <w:tc>
          <w:tcPr>
            <w:tcW w:w="3261" w:type="dxa"/>
            <w:tcBorders>
              <w:top w:val="single" w:sz="4" w:space="0" w:color="auto"/>
              <w:bottom w:val="single" w:sz="4" w:space="0" w:color="auto"/>
            </w:tcBorders>
            <w:shd w:val="clear" w:color="auto" w:fill="auto"/>
            <w:noWrap/>
            <w:vAlign w:val="bottom"/>
          </w:tcPr>
          <w:p w14:paraId="61D5F707" w14:textId="77777777" w:rsidR="00E34471" w:rsidRPr="00A72532" w:rsidRDefault="00E34471" w:rsidP="00BA0AC3">
            <w:pPr>
              <w:rPr>
                <w:rFonts w:ascii="Arial Narrow" w:hAnsi="Arial Narrow"/>
                <w:sz w:val="18"/>
                <w:szCs w:val="18"/>
                <w:lang w:eastAsia="zh-CN"/>
              </w:rPr>
            </w:pPr>
            <w:r w:rsidRPr="00A72532">
              <w:rPr>
                <w:rFonts w:ascii="Arial Narrow" w:hAnsi="Arial Narrow"/>
                <w:sz w:val="18"/>
                <w:szCs w:val="18"/>
                <w:lang w:eastAsia="zh-CN"/>
              </w:rPr>
              <w:t>Sociedades públicas</w:t>
            </w:r>
          </w:p>
        </w:tc>
        <w:tc>
          <w:tcPr>
            <w:tcW w:w="1050" w:type="dxa"/>
            <w:tcBorders>
              <w:top w:val="single" w:sz="4" w:space="0" w:color="auto"/>
              <w:bottom w:val="single" w:sz="4" w:space="0" w:color="auto"/>
            </w:tcBorders>
            <w:shd w:val="clear" w:color="auto" w:fill="auto"/>
            <w:noWrap/>
            <w:vAlign w:val="bottom"/>
          </w:tcPr>
          <w:p w14:paraId="6872BA55" w14:textId="77777777" w:rsidR="00E34471" w:rsidRPr="00A72532" w:rsidRDefault="00E34471" w:rsidP="00BA0AC3">
            <w:pPr>
              <w:jc w:val="right"/>
              <w:rPr>
                <w:rFonts w:ascii="Arial Narrow" w:hAnsi="Arial Narrow"/>
                <w:sz w:val="18"/>
                <w:szCs w:val="18"/>
                <w:lang w:eastAsia="zh-CN"/>
              </w:rPr>
            </w:pPr>
            <w:r w:rsidRPr="00A72532">
              <w:rPr>
                <w:rFonts w:ascii="Arial Narrow" w:hAnsi="Arial Narrow"/>
                <w:sz w:val="18"/>
                <w:szCs w:val="18"/>
                <w:lang w:eastAsia="zh-CN"/>
              </w:rPr>
              <w:t>SI</w:t>
            </w:r>
          </w:p>
        </w:tc>
        <w:tc>
          <w:tcPr>
            <w:tcW w:w="1191" w:type="dxa"/>
            <w:tcBorders>
              <w:top w:val="single" w:sz="4" w:space="0" w:color="auto"/>
              <w:bottom w:val="single" w:sz="4" w:space="0" w:color="auto"/>
            </w:tcBorders>
            <w:shd w:val="clear" w:color="auto" w:fill="auto"/>
            <w:noWrap/>
            <w:vAlign w:val="bottom"/>
          </w:tcPr>
          <w:p w14:paraId="14633336" w14:textId="77777777" w:rsidR="00E34471" w:rsidRPr="00A72532" w:rsidRDefault="00E34471" w:rsidP="00BA0AC3">
            <w:pPr>
              <w:jc w:val="right"/>
              <w:rPr>
                <w:rFonts w:ascii="Arial Narrow" w:hAnsi="Arial Narrow"/>
                <w:sz w:val="18"/>
                <w:szCs w:val="18"/>
                <w:lang w:eastAsia="zh-CN"/>
              </w:rPr>
            </w:pPr>
            <w:r w:rsidRPr="00A72532">
              <w:rPr>
                <w:rFonts w:ascii="Arial Narrow" w:hAnsi="Arial Narrow"/>
                <w:sz w:val="18"/>
                <w:szCs w:val="18"/>
                <w:lang w:eastAsia="zh-CN"/>
              </w:rPr>
              <w:t>SI</w:t>
            </w:r>
          </w:p>
        </w:tc>
        <w:tc>
          <w:tcPr>
            <w:tcW w:w="1191" w:type="dxa"/>
            <w:tcBorders>
              <w:top w:val="single" w:sz="4" w:space="0" w:color="auto"/>
              <w:bottom w:val="single" w:sz="4" w:space="0" w:color="auto"/>
            </w:tcBorders>
            <w:shd w:val="clear" w:color="auto" w:fill="auto"/>
            <w:vAlign w:val="bottom"/>
          </w:tcPr>
          <w:p w14:paraId="3CB05A69"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SI</w:t>
            </w:r>
          </w:p>
        </w:tc>
        <w:tc>
          <w:tcPr>
            <w:tcW w:w="1955" w:type="dxa"/>
            <w:tcBorders>
              <w:top w:val="single" w:sz="4" w:space="0" w:color="auto"/>
              <w:bottom w:val="single" w:sz="4" w:space="0" w:color="auto"/>
            </w:tcBorders>
            <w:shd w:val="clear" w:color="auto" w:fill="auto"/>
            <w:noWrap/>
            <w:vAlign w:val="bottom"/>
          </w:tcPr>
          <w:p w14:paraId="54894609" w14:textId="77777777" w:rsidR="00E34471" w:rsidRPr="00A72532" w:rsidRDefault="00E34471" w:rsidP="008F3D39">
            <w:pPr>
              <w:jc w:val="right"/>
              <w:rPr>
                <w:rFonts w:ascii="Arial Narrow" w:hAnsi="Arial Narrow"/>
                <w:sz w:val="18"/>
                <w:szCs w:val="18"/>
                <w:lang w:eastAsia="zh-CN"/>
              </w:rPr>
            </w:pPr>
            <w:r w:rsidRPr="00A72532">
              <w:rPr>
                <w:rFonts w:ascii="Arial Narrow" w:hAnsi="Arial Narrow"/>
                <w:sz w:val="18"/>
                <w:szCs w:val="18"/>
                <w:lang w:eastAsia="zh-CN"/>
              </w:rPr>
              <w:t>SI</w:t>
            </w:r>
          </w:p>
        </w:tc>
      </w:tr>
    </w:tbl>
    <w:p w14:paraId="7DA05C93" w14:textId="77777777" w:rsidR="00C12E3B" w:rsidRDefault="00C12E3B" w:rsidP="007C087D">
      <w:pPr>
        <w:spacing w:after="120"/>
        <w:rPr>
          <w:spacing w:val="6"/>
          <w:sz w:val="26"/>
        </w:rPr>
      </w:pPr>
    </w:p>
    <w:p w14:paraId="0C0C5E41" w14:textId="77777777" w:rsidR="00C12E3B" w:rsidRDefault="00C12E3B">
      <w:pPr>
        <w:rPr>
          <w:spacing w:val="6"/>
          <w:sz w:val="26"/>
        </w:rPr>
      </w:pPr>
      <w:r>
        <w:rPr>
          <w:spacing w:val="6"/>
          <w:sz w:val="26"/>
        </w:rPr>
        <w:br w:type="page"/>
      </w:r>
    </w:p>
    <w:tbl>
      <w:tblPr>
        <w:tblW w:w="8872" w:type="dxa"/>
        <w:jc w:val="center"/>
        <w:tblLayout w:type="fixed"/>
        <w:tblCellMar>
          <w:left w:w="70" w:type="dxa"/>
          <w:right w:w="70" w:type="dxa"/>
        </w:tblCellMar>
        <w:tblLook w:val="04A0" w:firstRow="1" w:lastRow="0" w:firstColumn="1" w:lastColumn="0" w:noHBand="0" w:noVBand="1"/>
      </w:tblPr>
      <w:tblGrid>
        <w:gridCol w:w="2410"/>
        <w:gridCol w:w="1077"/>
        <w:gridCol w:w="1077"/>
        <w:gridCol w:w="1077"/>
        <w:gridCol w:w="1077"/>
        <w:gridCol w:w="937"/>
        <w:gridCol w:w="1217"/>
      </w:tblGrid>
      <w:tr w:rsidR="00C57E20" w:rsidRPr="002C11F3" w14:paraId="731F3FFB" w14:textId="77777777" w:rsidTr="007C087D">
        <w:trPr>
          <w:trHeight w:val="300"/>
          <w:jc w:val="center"/>
        </w:trPr>
        <w:tc>
          <w:tcPr>
            <w:tcW w:w="2410" w:type="dxa"/>
            <w:tcBorders>
              <w:top w:val="single" w:sz="4" w:space="0" w:color="auto"/>
              <w:left w:val="nil"/>
              <w:bottom w:val="single" w:sz="4" w:space="0" w:color="auto"/>
              <w:right w:val="nil"/>
            </w:tcBorders>
            <w:shd w:val="clear" w:color="000000" w:fill="8DB3E2"/>
            <w:noWrap/>
            <w:vAlign w:val="center"/>
            <w:hideMark/>
          </w:tcPr>
          <w:p w14:paraId="518897FD" w14:textId="77777777" w:rsidR="00C57E20" w:rsidRPr="002C11F3" w:rsidRDefault="00C57E20" w:rsidP="00060DBC">
            <w:pPr>
              <w:rPr>
                <w:rFonts w:ascii="Arial" w:hAnsi="Arial" w:cs="Arial"/>
                <w:sz w:val="16"/>
                <w:szCs w:val="16"/>
              </w:rPr>
            </w:pPr>
            <w:r w:rsidRPr="002C11F3">
              <w:rPr>
                <w:rFonts w:ascii="Arial" w:hAnsi="Arial" w:cs="Arial"/>
                <w:sz w:val="16"/>
                <w:szCs w:val="16"/>
              </w:rPr>
              <w:lastRenderedPageBreak/>
              <w:t>Departamento</w:t>
            </w:r>
          </w:p>
          <w:p w14:paraId="003B9D7B" w14:textId="77777777" w:rsidR="00C57E20" w:rsidRPr="002C11F3" w:rsidRDefault="00C57E20" w:rsidP="00060DBC">
            <w:pPr>
              <w:rPr>
                <w:rFonts w:ascii="Arial" w:hAnsi="Arial" w:cs="Arial"/>
                <w:sz w:val="16"/>
                <w:szCs w:val="16"/>
              </w:rPr>
            </w:pPr>
            <w:r w:rsidRPr="002C11F3">
              <w:rPr>
                <w:rFonts w:ascii="Arial" w:hAnsi="Arial" w:cs="Arial"/>
                <w:sz w:val="16"/>
                <w:szCs w:val="16"/>
              </w:rPr>
              <w:t>Sociedad</w:t>
            </w:r>
          </w:p>
        </w:tc>
        <w:tc>
          <w:tcPr>
            <w:tcW w:w="1077" w:type="dxa"/>
            <w:tcBorders>
              <w:top w:val="single" w:sz="4" w:space="0" w:color="auto"/>
              <w:left w:val="nil"/>
              <w:bottom w:val="single" w:sz="4" w:space="0" w:color="auto"/>
              <w:right w:val="nil"/>
            </w:tcBorders>
            <w:shd w:val="clear" w:color="000000" w:fill="8DB3E2"/>
            <w:noWrap/>
            <w:vAlign w:val="center"/>
            <w:hideMark/>
          </w:tcPr>
          <w:p w14:paraId="0A151FA0" w14:textId="77777777" w:rsidR="00C57E20" w:rsidRPr="002C11F3" w:rsidRDefault="00C57E20" w:rsidP="00060DBC">
            <w:pPr>
              <w:jc w:val="right"/>
              <w:rPr>
                <w:rFonts w:ascii="Arial" w:hAnsi="Arial" w:cs="Arial"/>
                <w:sz w:val="16"/>
                <w:szCs w:val="16"/>
              </w:rPr>
            </w:pPr>
            <w:r w:rsidRPr="002C11F3">
              <w:rPr>
                <w:rFonts w:ascii="Arial" w:hAnsi="Arial" w:cs="Arial"/>
                <w:sz w:val="16"/>
                <w:szCs w:val="16"/>
              </w:rPr>
              <w:t xml:space="preserve">Total </w:t>
            </w:r>
          </w:p>
          <w:p w14:paraId="676AE97B" w14:textId="77777777" w:rsidR="00C57E20" w:rsidRPr="002C11F3" w:rsidRDefault="00C57E20" w:rsidP="00060DBC">
            <w:pPr>
              <w:jc w:val="right"/>
              <w:rPr>
                <w:rFonts w:ascii="Arial" w:hAnsi="Arial" w:cs="Arial"/>
                <w:sz w:val="16"/>
                <w:szCs w:val="16"/>
              </w:rPr>
            </w:pPr>
            <w:r w:rsidRPr="002C11F3">
              <w:rPr>
                <w:rFonts w:ascii="Arial" w:hAnsi="Arial" w:cs="Arial"/>
                <w:sz w:val="16"/>
                <w:szCs w:val="16"/>
              </w:rPr>
              <w:t xml:space="preserve">importe art. 36 en 2023 </w:t>
            </w:r>
          </w:p>
        </w:tc>
        <w:tc>
          <w:tcPr>
            <w:tcW w:w="1077" w:type="dxa"/>
            <w:tcBorders>
              <w:top w:val="single" w:sz="4" w:space="0" w:color="auto"/>
              <w:left w:val="nil"/>
              <w:bottom w:val="single" w:sz="4" w:space="0" w:color="auto"/>
              <w:right w:val="nil"/>
            </w:tcBorders>
            <w:shd w:val="clear" w:color="000000" w:fill="8DB3E2"/>
            <w:noWrap/>
            <w:vAlign w:val="center"/>
            <w:hideMark/>
          </w:tcPr>
          <w:p w14:paraId="0B8C1049" w14:textId="77777777" w:rsidR="00C57E20" w:rsidRPr="002C11F3" w:rsidRDefault="00C57E20" w:rsidP="00060DBC">
            <w:pPr>
              <w:jc w:val="right"/>
              <w:rPr>
                <w:rFonts w:ascii="Arial" w:hAnsi="Arial" w:cs="Arial"/>
                <w:sz w:val="16"/>
                <w:szCs w:val="16"/>
              </w:rPr>
            </w:pPr>
            <w:r w:rsidRPr="002C11F3">
              <w:rPr>
                <w:rFonts w:ascii="Arial" w:hAnsi="Arial" w:cs="Arial"/>
                <w:sz w:val="16"/>
                <w:szCs w:val="16"/>
              </w:rPr>
              <w:t>ORN</w:t>
            </w:r>
          </w:p>
          <w:p w14:paraId="17596756" w14:textId="77777777" w:rsidR="00C57E20" w:rsidRPr="002C11F3" w:rsidRDefault="00C57E20" w:rsidP="00060DBC">
            <w:pPr>
              <w:jc w:val="right"/>
              <w:rPr>
                <w:rFonts w:ascii="Arial" w:hAnsi="Arial" w:cs="Arial"/>
                <w:sz w:val="16"/>
                <w:szCs w:val="16"/>
              </w:rPr>
            </w:pPr>
            <w:r w:rsidRPr="002C11F3">
              <w:rPr>
                <w:rFonts w:ascii="Arial" w:hAnsi="Arial" w:cs="Arial"/>
                <w:sz w:val="16"/>
                <w:szCs w:val="16"/>
              </w:rPr>
              <w:t xml:space="preserve"> </w:t>
            </w:r>
            <w:proofErr w:type="spellStart"/>
            <w:r w:rsidRPr="002C11F3">
              <w:rPr>
                <w:rFonts w:ascii="Arial" w:hAnsi="Arial" w:cs="Arial"/>
                <w:sz w:val="16"/>
                <w:szCs w:val="16"/>
              </w:rPr>
              <w:t>cap</w:t>
            </w:r>
            <w:proofErr w:type="spellEnd"/>
            <w:r w:rsidRPr="002C11F3">
              <w:rPr>
                <w:rFonts w:ascii="Arial" w:hAnsi="Arial" w:cs="Arial"/>
                <w:sz w:val="16"/>
                <w:szCs w:val="16"/>
              </w:rPr>
              <w:t xml:space="preserve"> 2 y 6 </w:t>
            </w:r>
          </w:p>
          <w:p w14:paraId="5BDE052A" w14:textId="77777777" w:rsidR="00C57E20" w:rsidRPr="002C11F3" w:rsidRDefault="00C57E20" w:rsidP="00060DBC">
            <w:pPr>
              <w:jc w:val="right"/>
              <w:rPr>
                <w:rFonts w:ascii="Arial" w:hAnsi="Arial" w:cs="Arial"/>
                <w:sz w:val="16"/>
                <w:szCs w:val="16"/>
              </w:rPr>
            </w:pPr>
            <w:r w:rsidRPr="002C11F3">
              <w:rPr>
                <w:rFonts w:ascii="Arial" w:hAnsi="Arial" w:cs="Arial"/>
                <w:sz w:val="16"/>
                <w:szCs w:val="16"/>
              </w:rPr>
              <w:t>en 2022</w:t>
            </w:r>
          </w:p>
        </w:tc>
        <w:tc>
          <w:tcPr>
            <w:tcW w:w="1077" w:type="dxa"/>
            <w:tcBorders>
              <w:top w:val="single" w:sz="4" w:space="0" w:color="auto"/>
              <w:left w:val="nil"/>
              <w:bottom w:val="single" w:sz="4" w:space="0" w:color="auto"/>
              <w:right w:val="nil"/>
            </w:tcBorders>
            <w:shd w:val="clear" w:color="000000" w:fill="8DB3E2"/>
            <w:vAlign w:val="center"/>
          </w:tcPr>
          <w:p w14:paraId="6F78FB90" w14:textId="77777777" w:rsidR="00C57E20" w:rsidRPr="002C11F3" w:rsidRDefault="00C57E20" w:rsidP="00060DBC">
            <w:pPr>
              <w:jc w:val="right"/>
              <w:rPr>
                <w:rFonts w:ascii="Arial" w:hAnsi="Arial" w:cs="Arial"/>
                <w:sz w:val="16"/>
                <w:szCs w:val="16"/>
              </w:rPr>
            </w:pPr>
            <w:r w:rsidRPr="002C11F3">
              <w:rPr>
                <w:rFonts w:ascii="Arial" w:hAnsi="Arial" w:cs="Arial"/>
                <w:sz w:val="16"/>
                <w:szCs w:val="16"/>
              </w:rPr>
              <w:t xml:space="preserve">Importe </w:t>
            </w:r>
          </w:p>
          <w:p w14:paraId="0F57C551" w14:textId="77777777" w:rsidR="00C57E20" w:rsidRPr="002C11F3" w:rsidRDefault="00C57E20" w:rsidP="00060DBC">
            <w:pPr>
              <w:jc w:val="right"/>
              <w:rPr>
                <w:rFonts w:ascii="Arial" w:hAnsi="Arial" w:cs="Arial"/>
                <w:sz w:val="16"/>
                <w:szCs w:val="16"/>
              </w:rPr>
            </w:pPr>
            <w:r w:rsidRPr="002C11F3">
              <w:rPr>
                <w:rFonts w:ascii="Arial" w:hAnsi="Arial" w:cs="Arial"/>
                <w:sz w:val="16"/>
                <w:szCs w:val="16"/>
              </w:rPr>
              <w:t xml:space="preserve">adjudicado </w:t>
            </w:r>
          </w:p>
          <w:p w14:paraId="35396D99" w14:textId="77777777" w:rsidR="00C57E20" w:rsidRPr="002C11F3" w:rsidRDefault="00C57E20" w:rsidP="00060DBC">
            <w:pPr>
              <w:jc w:val="right"/>
              <w:rPr>
                <w:rFonts w:ascii="Arial" w:hAnsi="Arial" w:cs="Arial"/>
                <w:sz w:val="16"/>
                <w:szCs w:val="16"/>
              </w:rPr>
            </w:pPr>
            <w:r w:rsidRPr="002C11F3">
              <w:rPr>
                <w:rFonts w:ascii="Arial" w:hAnsi="Arial" w:cs="Arial"/>
                <w:sz w:val="16"/>
                <w:szCs w:val="16"/>
              </w:rPr>
              <w:t>en PC 2022</w:t>
            </w:r>
          </w:p>
        </w:tc>
        <w:tc>
          <w:tcPr>
            <w:tcW w:w="1077" w:type="dxa"/>
            <w:tcBorders>
              <w:top w:val="single" w:sz="4" w:space="0" w:color="auto"/>
              <w:left w:val="nil"/>
              <w:bottom w:val="single" w:sz="4" w:space="0" w:color="auto"/>
              <w:right w:val="nil"/>
            </w:tcBorders>
            <w:shd w:val="clear" w:color="000000" w:fill="8DB3E2"/>
            <w:noWrap/>
            <w:vAlign w:val="center"/>
            <w:hideMark/>
          </w:tcPr>
          <w:p w14:paraId="772E50C2" w14:textId="77777777" w:rsidR="00C57E20" w:rsidRPr="002C11F3" w:rsidRDefault="00C57E20" w:rsidP="00060DBC">
            <w:pPr>
              <w:jc w:val="right"/>
              <w:rPr>
                <w:rFonts w:ascii="Arial" w:hAnsi="Arial" w:cs="Arial"/>
                <w:sz w:val="16"/>
                <w:szCs w:val="16"/>
              </w:rPr>
            </w:pPr>
            <w:r w:rsidRPr="002C11F3">
              <w:rPr>
                <w:rFonts w:ascii="Arial" w:hAnsi="Arial" w:cs="Arial"/>
                <w:sz w:val="16"/>
                <w:szCs w:val="16"/>
              </w:rPr>
              <w:t xml:space="preserve">Contratos </w:t>
            </w:r>
          </w:p>
          <w:p w14:paraId="46DD1BEF" w14:textId="77777777" w:rsidR="00C57E20" w:rsidRPr="002C11F3" w:rsidRDefault="00C57E20" w:rsidP="00060DBC">
            <w:pPr>
              <w:jc w:val="right"/>
              <w:rPr>
                <w:rFonts w:ascii="Arial" w:hAnsi="Arial" w:cs="Arial"/>
                <w:sz w:val="16"/>
                <w:szCs w:val="16"/>
              </w:rPr>
            </w:pPr>
            <w:r w:rsidRPr="002C11F3">
              <w:rPr>
                <w:rFonts w:ascii="Arial" w:hAnsi="Arial" w:cs="Arial"/>
                <w:sz w:val="16"/>
                <w:szCs w:val="16"/>
              </w:rPr>
              <w:t>Menores</w:t>
            </w:r>
          </w:p>
          <w:p w14:paraId="2B858A99" w14:textId="77777777" w:rsidR="00C57E20" w:rsidRPr="002C11F3" w:rsidRDefault="00C57E20" w:rsidP="00060DBC">
            <w:pPr>
              <w:jc w:val="right"/>
              <w:rPr>
                <w:rFonts w:ascii="Arial" w:hAnsi="Arial" w:cs="Arial"/>
                <w:sz w:val="16"/>
                <w:szCs w:val="16"/>
              </w:rPr>
            </w:pPr>
            <w:r w:rsidRPr="002C11F3">
              <w:rPr>
                <w:rFonts w:ascii="Arial" w:hAnsi="Arial" w:cs="Arial"/>
                <w:sz w:val="16"/>
                <w:szCs w:val="16"/>
              </w:rPr>
              <w:t xml:space="preserve"> en 2022</w:t>
            </w:r>
          </w:p>
        </w:tc>
        <w:tc>
          <w:tcPr>
            <w:tcW w:w="937" w:type="dxa"/>
            <w:tcBorders>
              <w:top w:val="single" w:sz="4" w:space="0" w:color="auto"/>
              <w:left w:val="nil"/>
              <w:bottom w:val="single" w:sz="4" w:space="0" w:color="auto"/>
              <w:right w:val="nil"/>
            </w:tcBorders>
            <w:shd w:val="clear" w:color="000000" w:fill="8DB3E2"/>
            <w:noWrap/>
            <w:vAlign w:val="center"/>
            <w:hideMark/>
          </w:tcPr>
          <w:p w14:paraId="3D22E334" w14:textId="77777777" w:rsidR="00C57E20" w:rsidRPr="002C11F3" w:rsidRDefault="00C57E20" w:rsidP="00060DBC">
            <w:pPr>
              <w:jc w:val="right"/>
              <w:rPr>
                <w:rFonts w:ascii="Arial" w:hAnsi="Arial" w:cs="Arial"/>
                <w:sz w:val="16"/>
                <w:szCs w:val="16"/>
              </w:rPr>
            </w:pPr>
            <w:r w:rsidRPr="002C11F3">
              <w:rPr>
                <w:rFonts w:ascii="Arial" w:hAnsi="Arial" w:cs="Arial"/>
                <w:sz w:val="16"/>
                <w:szCs w:val="16"/>
              </w:rPr>
              <w:t xml:space="preserve">% Sobre </w:t>
            </w:r>
          </w:p>
          <w:p w14:paraId="7E7310A3" w14:textId="77777777" w:rsidR="00C57E20" w:rsidRPr="002C11F3" w:rsidRDefault="00C57E20" w:rsidP="00060DBC">
            <w:pPr>
              <w:jc w:val="right"/>
              <w:rPr>
                <w:rFonts w:ascii="Arial" w:hAnsi="Arial" w:cs="Arial"/>
                <w:sz w:val="16"/>
                <w:szCs w:val="16"/>
              </w:rPr>
            </w:pPr>
            <w:r w:rsidRPr="002C11F3">
              <w:rPr>
                <w:rFonts w:ascii="Arial" w:hAnsi="Arial" w:cs="Arial"/>
                <w:sz w:val="16"/>
                <w:szCs w:val="16"/>
              </w:rPr>
              <w:t>ORN</w:t>
            </w:r>
          </w:p>
        </w:tc>
        <w:tc>
          <w:tcPr>
            <w:tcW w:w="1217" w:type="dxa"/>
            <w:tcBorders>
              <w:top w:val="single" w:sz="4" w:space="0" w:color="auto"/>
              <w:left w:val="nil"/>
              <w:bottom w:val="single" w:sz="4" w:space="0" w:color="auto"/>
              <w:right w:val="nil"/>
            </w:tcBorders>
            <w:shd w:val="clear" w:color="000000" w:fill="8DB3E2"/>
            <w:noWrap/>
            <w:vAlign w:val="center"/>
            <w:hideMark/>
          </w:tcPr>
          <w:p w14:paraId="1F5239BF" w14:textId="77777777" w:rsidR="00C57E20" w:rsidRPr="002C11F3" w:rsidRDefault="00C57E20" w:rsidP="00060DBC">
            <w:pPr>
              <w:jc w:val="right"/>
              <w:rPr>
                <w:rFonts w:ascii="Arial" w:hAnsi="Arial" w:cs="Arial"/>
                <w:sz w:val="16"/>
                <w:szCs w:val="16"/>
              </w:rPr>
            </w:pPr>
            <w:r w:rsidRPr="002C11F3">
              <w:rPr>
                <w:rFonts w:ascii="Arial" w:hAnsi="Arial" w:cs="Arial"/>
                <w:sz w:val="16"/>
                <w:szCs w:val="16"/>
              </w:rPr>
              <w:t>% sobre</w:t>
            </w:r>
          </w:p>
          <w:p w14:paraId="307E2A08" w14:textId="77777777" w:rsidR="00C57E20" w:rsidRPr="002C11F3" w:rsidRDefault="00C57E20" w:rsidP="007C087D">
            <w:pPr>
              <w:jc w:val="right"/>
              <w:rPr>
                <w:rFonts w:ascii="Arial" w:hAnsi="Arial" w:cs="Arial"/>
                <w:sz w:val="16"/>
                <w:szCs w:val="16"/>
              </w:rPr>
            </w:pPr>
            <w:r w:rsidRPr="002C11F3">
              <w:rPr>
                <w:rFonts w:ascii="Arial" w:hAnsi="Arial" w:cs="Arial"/>
                <w:sz w:val="16"/>
                <w:szCs w:val="16"/>
              </w:rPr>
              <w:t>Adjudicación</w:t>
            </w:r>
          </w:p>
        </w:tc>
      </w:tr>
      <w:tr w:rsidR="00C57E20" w:rsidRPr="007C087D" w14:paraId="7C2B5C86" w14:textId="77777777" w:rsidTr="00810207">
        <w:trPr>
          <w:trHeight w:val="89"/>
          <w:jc w:val="center"/>
        </w:trPr>
        <w:tc>
          <w:tcPr>
            <w:tcW w:w="2410" w:type="dxa"/>
            <w:tcBorders>
              <w:top w:val="single" w:sz="4" w:space="0" w:color="auto"/>
              <w:left w:val="nil"/>
              <w:bottom w:val="single" w:sz="2" w:space="0" w:color="auto"/>
              <w:right w:val="nil"/>
            </w:tcBorders>
            <w:shd w:val="clear" w:color="auto" w:fill="auto"/>
            <w:noWrap/>
            <w:vAlign w:val="center"/>
            <w:hideMark/>
          </w:tcPr>
          <w:p w14:paraId="10E6808A" w14:textId="77777777" w:rsidR="00C57E20" w:rsidRPr="007C087D" w:rsidRDefault="00C57E20" w:rsidP="00060DBC">
            <w:pPr>
              <w:rPr>
                <w:rFonts w:ascii="Arial Narrow" w:hAnsi="Arial Narrow" w:cs="Calibri"/>
                <w:sz w:val="16"/>
                <w:szCs w:val="16"/>
              </w:rPr>
            </w:pPr>
            <w:r w:rsidRPr="007C087D">
              <w:rPr>
                <w:rFonts w:ascii="Arial Narrow" w:hAnsi="Arial Narrow" w:cs="Calibri"/>
                <w:sz w:val="16"/>
                <w:szCs w:val="16"/>
              </w:rPr>
              <w:t>Vivienda, juventud y P.M.</w:t>
            </w:r>
          </w:p>
        </w:tc>
        <w:tc>
          <w:tcPr>
            <w:tcW w:w="1077" w:type="dxa"/>
            <w:tcBorders>
              <w:top w:val="single" w:sz="4" w:space="0" w:color="auto"/>
              <w:left w:val="nil"/>
              <w:bottom w:val="single" w:sz="2" w:space="0" w:color="auto"/>
              <w:right w:val="nil"/>
            </w:tcBorders>
            <w:shd w:val="clear" w:color="auto" w:fill="auto"/>
            <w:noWrap/>
            <w:vAlign w:val="center"/>
            <w:hideMark/>
          </w:tcPr>
          <w:p w14:paraId="75DDE773"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48.629</w:t>
            </w:r>
          </w:p>
        </w:tc>
        <w:tc>
          <w:tcPr>
            <w:tcW w:w="1077" w:type="dxa"/>
            <w:tcBorders>
              <w:top w:val="single" w:sz="4" w:space="0" w:color="auto"/>
              <w:left w:val="nil"/>
              <w:bottom w:val="single" w:sz="2" w:space="0" w:color="auto"/>
              <w:right w:val="nil"/>
            </w:tcBorders>
            <w:shd w:val="clear" w:color="auto" w:fill="auto"/>
            <w:noWrap/>
            <w:vAlign w:val="center"/>
            <w:hideMark/>
          </w:tcPr>
          <w:p w14:paraId="5D052541"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3.656.201</w:t>
            </w:r>
          </w:p>
        </w:tc>
        <w:tc>
          <w:tcPr>
            <w:tcW w:w="1077" w:type="dxa"/>
            <w:tcBorders>
              <w:top w:val="single" w:sz="4" w:space="0" w:color="auto"/>
              <w:left w:val="nil"/>
              <w:bottom w:val="single" w:sz="2" w:space="0" w:color="auto"/>
              <w:right w:val="nil"/>
            </w:tcBorders>
            <w:vAlign w:val="center"/>
          </w:tcPr>
          <w:p w14:paraId="29731FD5"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2.474.918</w:t>
            </w:r>
          </w:p>
        </w:tc>
        <w:tc>
          <w:tcPr>
            <w:tcW w:w="1077" w:type="dxa"/>
            <w:tcBorders>
              <w:top w:val="single" w:sz="4" w:space="0" w:color="auto"/>
              <w:left w:val="nil"/>
              <w:bottom w:val="single" w:sz="2" w:space="0" w:color="auto"/>
              <w:right w:val="nil"/>
            </w:tcBorders>
            <w:shd w:val="clear" w:color="auto" w:fill="auto"/>
            <w:noWrap/>
            <w:vAlign w:val="bottom"/>
          </w:tcPr>
          <w:p w14:paraId="4098F377"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890.163</w:t>
            </w:r>
          </w:p>
        </w:tc>
        <w:tc>
          <w:tcPr>
            <w:tcW w:w="937" w:type="dxa"/>
            <w:tcBorders>
              <w:top w:val="single" w:sz="4" w:space="0" w:color="auto"/>
              <w:left w:val="nil"/>
              <w:bottom w:val="single" w:sz="2" w:space="0" w:color="auto"/>
              <w:right w:val="nil"/>
            </w:tcBorders>
            <w:shd w:val="clear" w:color="auto" w:fill="auto"/>
            <w:noWrap/>
            <w:vAlign w:val="center"/>
            <w:hideMark/>
          </w:tcPr>
          <w:p w14:paraId="46C0E1D7" w14:textId="77777777" w:rsidR="00C57E20" w:rsidRPr="007C087D" w:rsidRDefault="00C57E20" w:rsidP="008F3D39">
            <w:pPr>
              <w:jc w:val="right"/>
              <w:rPr>
                <w:rFonts w:ascii="Arial Narrow" w:hAnsi="Arial Narrow" w:cs="Calibri"/>
                <w:sz w:val="16"/>
                <w:szCs w:val="16"/>
              </w:rPr>
            </w:pPr>
            <w:r w:rsidRPr="007C087D">
              <w:rPr>
                <w:rFonts w:ascii="Arial Narrow" w:hAnsi="Arial Narrow" w:cs="Calibri"/>
                <w:sz w:val="16"/>
                <w:szCs w:val="16"/>
              </w:rPr>
              <w:t>1,33</w:t>
            </w:r>
          </w:p>
        </w:tc>
        <w:tc>
          <w:tcPr>
            <w:tcW w:w="1217" w:type="dxa"/>
            <w:tcBorders>
              <w:top w:val="single" w:sz="4" w:space="0" w:color="auto"/>
              <w:left w:val="nil"/>
              <w:bottom w:val="single" w:sz="2" w:space="0" w:color="auto"/>
              <w:right w:val="nil"/>
            </w:tcBorders>
            <w:shd w:val="clear" w:color="auto" w:fill="auto"/>
            <w:noWrap/>
            <w:vAlign w:val="center"/>
            <w:hideMark/>
          </w:tcPr>
          <w:p w14:paraId="70A4C520" w14:textId="77777777" w:rsidR="00C57E20" w:rsidRPr="007C087D" w:rsidRDefault="00C57E20" w:rsidP="008F3D39">
            <w:pPr>
              <w:jc w:val="right"/>
              <w:rPr>
                <w:rFonts w:ascii="Arial Narrow" w:hAnsi="Arial Narrow" w:cs="Calibri"/>
                <w:sz w:val="16"/>
                <w:szCs w:val="16"/>
              </w:rPr>
            </w:pPr>
            <w:r w:rsidRPr="007C087D">
              <w:rPr>
                <w:rFonts w:ascii="Arial Narrow" w:hAnsi="Arial Narrow" w:cs="Calibri"/>
                <w:sz w:val="16"/>
                <w:szCs w:val="16"/>
              </w:rPr>
              <w:t>1,45</w:t>
            </w:r>
          </w:p>
        </w:tc>
      </w:tr>
      <w:tr w:rsidR="00C57E20" w:rsidRPr="007C087D" w14:paraId="75542BD7" w14:textId="77777777" w:rsidTr="007C087D">
        <w:trPr>
          <w:trHeight w:val="60"/>
          <w:jc w:val="center"/>
        </w:trPr>
        <w:tc>
          <w:tcPr>
            <w:tcW w:w="2410" w:type="dxa"/>
            <w:tcBorders>
              <w:top w:val="single" w:sz="2" w:space="0" w:color="auto"/>
              <w:left w:val="nil"/>
              <w:bottom w:val="single" w:sz="2" w:space="0" w:color="auto"/>
              <w:right w:val="nil"/>
            </w:tcBorders>
            <w:shd w:val="clear" w:color="auto" w:fill="auto"/>
            <w:noWrap/>
            <w:vAlign w:val="center"/>
            <w:hideMark/>
          </w:tcPr>
          <w:p w14:paraId="26898348" w14:textId="77777777" w:rsidR="00C57E20" w:rsidRPr="007C087D" w:rsidRDefault="00C57E20" w:rsidP="00060DBC">
            <w:pPr>
              <w:rPr>
                <w:rFonts w:ascii="Arial Narrow" w:hAnsi="Arial Narrow" w:cs="Calibri"/>
                <w:sz w:val="16"/>
                <w:szCs w:val="16"/>
              </w:rPr>
            </w:pPr>
            <w:r w:rsidRPr="007C087D">
              <w:rPr>
                <w:rFonts w:ascii="Arial Narrow" w:hAnsi="Arial Narrow" w:cs="Calibri"/>
                <w:sz w:val="16"/>
                <w:szCs w:val="16"/>
              </w:rPr>
              <w:t>Universidad, Innovación y T.D</w:t>
            </w:r>
            <w:r w:rsidRPr="007C087D">
              <w:rPr>
                <w:rStyle w:val="Refdenotaalpie"/>
                <w:rFonts w:ascii="Arial Narrow" w:hAnsi="Arial Narrow" w:cs="Calibri"/>
                <w:sz w:val="16"/>
                <w:szCs w:val="16"/>
              </w:rPr>
              <w:footnoteReference w:id="28"/>
            </w:r>
            <w:r w:rsidRPr="007C087D">
              <w:rPr>
                <w:rFonts w:ascii="Arial Narrow" w:hAnsi="Arial Narrow" w:cs="Calibri"/>
                <w:sz w:val="16"/>
                <w:szCs w:val="16"/>
              </w:rPr>
              <w:t>.</w:t>
            </w:r>
          </w:p>
        </w:tc>
        <w:tc>
          <w:tcPr>
            <w:tcW w:w="1077" w:type="dxa"/>
            <w:tcBorders>
              <w:top w:val="single" w:sz="2" w:space="0" w:color="auto"/>
              <w:left w:val="nil"/>
              <w:bottom w:val="single" w:sz="2" w:space="0" w:color="auto"/>
              <w:right w:val="nil"/>
            </w:tcBorders>
            <w:shd w:val="clear" w:color="auto" w:fill="auto"/>
            <w:noWrap/>
            <w:vAlign w:val="center"/>
            <w:hideMark/>
          </w:tcPr>
          <w:p w14:paraId="047E2BB7"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0</w:t>
            </w:r>
          </w:p>
        </w:tc>
        <w:tc>
          <w:tcPr>
            <w:tcW w:w="1077" w:type="dxa"/>
            <w:tcBorders>
              <w:top w:val="single" w:sz="2" w:space="0" w:color="auto"/>
              <w:left w:val="nil"/>
              <w:bottom w:val="single" w:sz="2" w:space="0" w:color="auto"/>
              <w:right w:val="nil"/>
            </w:tcBorders>
            <w:shd w:val="clear" w:color="auto" w:fill="auto"/>
            <w:noWrap/>
            <w:vAlign w:val="center"/>
            <w:hideMark/>
          </w:tcPr>
          <w:p w14:paraId="775FB4B0"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34.775.784</w:t>
            </w:r>
          </w:p>
        </w:tc>
        <w:tc>
          <w:tcPr>
            <w:tcW w:w="1077" w:type="dxa"/>
            <w:tcBorders>
              <w:top w:val="single" w:sz="2" w:space="0" w:color="auto"/>
              <w:left w:val="nil"/>
              <w:bottom w:val="single" w:sz="2" w:space="0" w:color="auto"/>
              <w:right w:val="nil"/>
            </w:tcBorders>
            <w:vAlign w:val="center"/>
          </w:tcPr>
          <w:p w14:paraId="2DA3C065"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8.389.141</w:t>
            </w:r>
          </w:p>
        </w:tc>
        <w:tc>
          <w:tcPr>
            <w:tcW w:w="1077" w:type="dxa"/>
            <w:tcBorders>
              <w:top w:val="single" w:sz="2" w:space="0" w:color="auto"/>
              <w:left w:val="nil"/>
              <w:bottom w:val="single" w:sz="2" w:space="0" w:color="auto"/>
              <w:right w:val="nil"/>
            </w:tcBorders>
            <w:shd w:val="clear" w:color="auto" w:fill="auto"/>
            <w:noWrap/>
            <w:vAlign w:val="bottom"/>
          </w:tcPr>
          <w:p w14:paraId="7E18B14A"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1.311.854</w:t>
            </w:r>
          </w:p>
        </w:tc>
        <w:tc>
          <w:tcPr>
            <w:tcW w:w="937" w:type="dxa"/>
            <w:tcBorders>
              <w:top w:val="single" w:sz="2" w:space="0" w:color="auto"/>
              <w:left w:val="nil"/>
              <w:bottom w:val="single" w:sz="2" w:space="0" w:color="auto"/>
              <w:right w:val="nil"/>
            </w:tcBorders>
            <w:shd w:val="clear" w:color="auto" w:fill="auto"/>
            <w:noWrap/>
            <w:vAlign w:val="center"/>
            <w:hideMark/>
          </w:tcPr>
          <w:p w14:paraId="1456527B" w14:textId="77777777" w:rsidR="00C57E20" w:rsidRPr="007C087D" w:rsidRDefault="00C57E20" w:rsidP="008F3D39">
            <w:pPr>
              <w:jc w:val="right"/>
              <w:rPr>
                <w:rFonts w:ascii="Arial Narrow" w:hAnsi="Arial Narrow" w:cs="Calibri"/>
                <w:sz w:val="16"/>
                <w:szCs w:val="16"/>
              </w:rPr>
            </w:pPr>
            <w:r w:rsidRPr="007C087D">
              <w:rPr>
                <w:rFonts w:ascii="Arial Narrow" w:hAnsi="Arial Narrow" w:cs="Calibri"/>
                <w:sz w:val="16"/>
                <w:szCs w:val="16"/>
              </w:rPr>
              <w:t>0,00</w:t>
            </w:r>
          </w:p>
        </w:tc>
        <w:tc>
          <w:tcPr>
            <w:tcW w:w="1217" w:type="dxa"/>
            <w:tcBorders>
              <w:top w:val="single" w:sz="2" w:space="0" w:color="auto"/>
              <w:left w:val="nil"/>
              <w:bottom w:val="single" w:sz="2" w:space="0" w:color="auto"/>
              <w:right w:val="nil"/>
            </w:tcBorders>
            <w:shd w:val="clear" w:color="auto" w:fill="auto"/>
            <w:noWrap/>
            <w:vAlign w:val="center"/>
            <w:hideMark/>
          </w:tcPr>
          <w:p w14:paraId="4EA6F00E" w14:textId="77777777" w:rsidR="00C57E20" w:rsidRPr="007C087D" w:rsidRDefault="00C57E20" w:rsidP="008F3D39">
            <w:pPr>
              <w:jc w:val="right"/>
              <w:rPr>
                <w:rFonts w:ascii="Arial Narrow" w:hAnsi="Arial Narrow" w:cs="Calibri"/>
                <w:sz w:val="16"/>
                <w:szCs w:val="16"/>
              </w:rPr>
            </w:pPr>
            <w:r w:rsidRPr="007C087D">
              <w:rPr>
                <w:rFonts w:ascii="Arial Narrow" w:hAnsi="Arial Narrow" w:cs="Calibri"/>
                <w:sz w:val="16"/>
                <w:szCs w:val="16"/>
              </w:rPr>
              <w:t>0,00</w:t>
            </w:r>
          </w:p>
        </w:tc>
      </w:tr>
      <w:tr w:rsidR="00C57E20" w:rsidRPr="007C087D" w14:paraId="5B154592" w14:textId="77777777" w:rsidTr="007C087D">
        <w:trPr>
          <w:trHeight w:val="108"/>
          <w:jc w:val="center"/>
        </w:trPr>
        <w:tc>
          <w:tcPr>
            <w:tcW w:w="2410" w:type="dxa"/>
            <w:tcBorders>
              <w:top w:val="single" w:sz="2" w:space="0" w:color="auto"/>
              <w:left w:val="nil"/>
              <w:bottom w:val="single" w:sz="2" w:space="0" w:color="auto"/>
              <w:right w:val="nil"/>
            </w:tcBorders>
            <w:shd w:val="clear" w:color="auto" w:fill="auto"/>
            <w:noWrap/>
            <w:vAlign w:val="center"/>
            <w:hideMark/>
          </w:tcPr>
          <w:p w14:paraId="3922C061" w14:textId="77777777" w:rsidR="00C57E20" w:rsidRPr="007C087D" w:rsidRDefault="00C57E20" w:rsidP="00060DBC">
            <w:pPr>
              <w:rPr>
                <w:rFonts w:ascii="Arial Narrow" w:hAnsi="Arial Narrow" w:cs="Calibri"/>
                <w:sz w:val="16"/>
                <w:szCs w:val="16"/>
              </w:rPr>
            </w:pPr>
            <w:r w:rsidRPr="007C087D">
              <w:rPr>
                <w:rFonts w:ascii="Arial Narrow" w:hAnsi="Arial Narrow" w:cs="Calibri"/>
                <w:sz w:val="16"/>
                <w:szCs w:val="16"/>
              </w:rPr>
              <w:t>ISPLN</w:t>
            </w:r>
          </w:p>
        </w:tc>
        <w:tc>
          <w:tcPr>
            <w:tcW w:w="1077" w:type="dxa"/>
            <w:tcBorders>
              <w:top w:val="single" w:sz="2" w:space="0" w:color="auto"/>
              <w:left w:val="nil"/>
              <w:bottom w:val="single" w:sz="2" w:space="0" w:color="auto"/>
              <w:right w:val="nil"/>
            </w:tcBorders>
            <w:shd w:val="clear" w:color="auto" w:fill="auto"/>
            <w:noWrap/>
            <w:vAlign w:val="center"/>
            <w:hideMark/>
          </w:tcPr>
          <w:p w14:paraId="053B2B06"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115.066</w:t>
            </w:r>
          </w:p>
        </w:tc>
        <w:tc>
          <w:tcPr>
            <w:tcW w:w="1077" w:type="dxa"/>
            <w:tcBorders>
              <w:top w:val="single" w:sz="2" w:space="0" w:color="auto"/>
              <w:left w:val="nil"/>
              <w:bottom w:val="single" w:sz="2" w:space="0" w:color="auto"/>
              <w:right w:val="nil"/>
            </w:tcBorders>
            <w:shd w:val="clear" w:color="auto" w:fill="auto"/>
            <w:noWrap/>
            <w:vAlign w:val="center"/>
            <w:hideMark/>
          </w:tcPr>
          <w:p w14:paraId="49EE3A3B"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10.574.650</w:t>
            </w:r>
          </w:p>
        </w:tc>
        <w:tc>
          <w:tcPr>
            <w:tcW w:w="1077" w:type="dxa"/>
            <w:tcBorders>
              <w:top w:val="single" w:sz="2" w:space="0" w:color="auto"/>
              <w:left w:val="nil"/>
              <w:bottom w:val="single" w:sz="2" w:space="0" w:color="auto"/>
              <w:right w:val="nil"/>
            </w:tcBorders>
            <w:vAlign w:val="center"/>
          </w:tcPr>
          <w:p w14:paraId="533CB3FD"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283.658</w:t>
            </w:r>
          </w:p>
        </w:tc>
        <w:tc>
          <w:tcPr>
            <w:tcW w:w="1077" w:type="dxa"/>
            <w:tcBorders>
              <w:top w:val="single" w:sz="2" w:space="0" w:color="auto"/>
              <w:left w:val="nil"/>
              <w:bottom w:val="single" w:sz="2" w:space="0" w:color="auto"/>
              <w:right w:val="nil"/>
            </w:tcBorders>
            <w:shd w:val="clear" w:color="auto" w:fill="auto"/>
            <w:noWrap/>
            <w:vAlign w:val="bottom"/>
          </w:tcPr>
          <w:p w14:paraId="5AD1C07C"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307.817</w:t>
            </w:r>
          </w:p>
        </w:tc>
        <w:tc>
          <w:tcPr>
            <w:tcW w:w="937" w:type="dxa"/>
            <w:tcBorders>
              <w:top w:val="single" w:sz="2" w:space="0" w:color="auto"/>
              <w:left w:val="nil"/>
              <w:bottom w:val="single" w:sz="2" w:space="0" w:color="auto"/>
              <w:right w:val="nil"/>
            </w:tcBorders>
            <w:shd w:val="clear" w:color="auto" w:fill="auto"/>
            <w:noWrap/>
            <w:vAlign w:val="center"/>
            <w:hideMark/>
          </w:tcPr>
          <w:p w14:paraId="3BD22B24" w14:textId="77777777" w:rsidR="00C57E20" w:rsidRPr="007C087D" w:rsidRDefault="00C57E20" w:rsidP="008F3D39">
            <w:pPr>
              <w:jc w:val="right"/>
              <w:rPr>
                <w:rFonts w:ascii="Arial Narrow" w:hAnsi="Arial Narrow" w:cs="Calibri"/>
                <w:sz w:val="16"/>
                <w:szCs w:val="16"/>
              </w:rPr>
            </w:pPr>
            <w:r w:rsidRPr="007C087D">
              <w:rPr>
                <w:rFonts w:ascii="Arial Narrow" w:hAnsi="Arial Narrow" w:cs="Calibri"/>
                <w:sz w:val="16"/>
                <w:szCs w:val="16"/>
              </w:rPr>
              <w:t>1,09</w:t>
            </w:r>
          </w:p>
        </w:tc>
        <w:tc>
          <w:tcPr>
            <w:tcW w:w="1217" w:type="dxa"/>
            <w:tcBorders>
              <w:top w:val="single" w:sz="2" w:space="0" w:color="auto"/>
              <w:left w:val="nil"/>
              <w:bottom w:val="single" w:sz="2" w:space="0" w:color="auto"/>
              <w:right w:val="nil"/>
            </w:tcBorders>
            <w:shd w:val="clear" w:color="auto" w:fill="auto"/>
            <w:noWrap/>
            <w:vAlign w:val="center"/>
            <w:hideMark/>
          </w:tcPr>
          <w:p w14:paraId="08CDD29B" w14:textId="77777777" w:rsidR="00C57E20" w:rsidRPr="007C087D" w:rsidRDefault="00C57E20" w:rsidP="008F3D39">
            <w:pPr>
              <w:jc w:val="right"/>
              <w:rPr>
                <w:rFonts w:ascii="Arial Narrow" w:hAnsi="Arial Narrow" w:cs="Calibri"/>
                <w:sz w:val="16"/>
                <w:szCs w:val="16"/>
              </w:rPr>
            </w:pPr>
            <w:r w:rsidRPr="007C087D">
              <w:rPr>
                <w:rFonts w:ascii="Arial Narrow" w:hAnsi="Arial Narrow" w:cs="Calibri"/>
                <w:sz w:val="16"/>
                <w:szCs w:val="16"/>
              </w:rPr>
              <w:t>19,45</w:t>
            </w:r>
          </w:p>
        </w:tc>
      </w:tr>
      <w:tr w:rsidR="00C57E20" w:rsidRPr="007C087D" w14:paraId="4DAD56E1" w14:textId="77777777" w:rsidTr="007C087D">
        <w:trPr>
          <w:trHeight w:val="60"/>
          <w:jc w:val="center"/>
        </w:trPr>
        <w:tc>
          <w:tcPr>
            <w:tcW w:w="2410" w:type="dxa"/>
            <w:tcBorders>
              <w:top w:val="single" w:sz="2" w:space="0" w:color="auto"/>
              <w:left w:val="nil"/>
              <w:bottom w:val="single" w:sz="2" w:space="0" w:color="auto"/>
              <w:right w:val="nil"/>
            </w:tcBorders>
            <w:shd w:val="clear" w:color="auto" w:fill="auto"/>
            <w:noWrap/>
            <w:vAlign w:val="center"/>
            <w:hideMark/>
          </w:tcPr>
          <w:p w14:paraId="5A1AD3E5" w14:textId="77777777" w:rsidR="00C57E20" w:rsidRPr="007C087D" w:rsidRDefault="00C57E20" w:rsidP="007C087D">
            <w:pPr>
              <w:rPr>
                <w:rFonts w:ascii="Arial Narrow" w:hAnsi="Arial Narrow" w:cs="Calibri"/>
                <w:sz w:val="16"/>
                <w:szCs w:val="16"/>
              </w:rPr>
            </w:pPr>
            <w:r w:rsidRPr="007C087D">
              <w:rPr>
                <w:rFonts w:ascii="Arial Narrow" w:hAnsi="Arial Narrow" w:cs="Calibri"/>
                <w:sz w:val="16"/>
                <w:szCs w:val="16"/>
              </w:rPr>
              <w:t xml:space="preserve">Industria, transición </w:t>
            </w:r>
            <w:proofErr w:type="spellStart"/>
            <w:r w:rsidRPr="007C087D">
              <w:rPr>
                <w:rFonts w:ascii="Arial Narrow" w:hAnsi="Arial Narrow" w:cs="Calibri"/>
                <w:sz w:val="16"/>
                <w:szCs w:val="16"/>
              </w:rPr>
              <w:t>ecoló</w:t>
            </w:r>
            <w:r w:rsidR="007C087D" w:rsidRPr="007C087D">
              <w:rPr>
                <w:rFonts w:ascii="Arial Narrow" w:hAnsi="Arial Narrow" w:cs="Calibri"/>
                <w:sz w:val="16"/>
                <w:szCs w:val="16"/>
              </w:rPr>
              <w:t>.</w:t>
            </w:r>
            <w:r w:rsidRPr="007C087D">
              <w:rPr>
                <w:rFonts w:ascii="Arial Narrow" w:hAnsi="Arial Narrow" w:cs="Calibri"/>
                <w:sz w:val="16"/>
                <w:szCs w:val="16"/>
              </w:rPr>
              <w:t>y</w:t>
            </w:r>
            <w:proofErr w:type="spellEnd"/>
            <w:r w:rsidRPr="007C087D">
              <w:rPr>
                <w:rFonts w:ascii="Arial Narrow" w:hAnsi="Arial Narrow" w:cs="Calibri"/>
                <w:sz w:val="16"/>
                <w:szCs w:val="16"/>
              </w:rPr>
              <w:t xml:space="preserve"> digital</w:t>
            </w:r>
          </w:p>
        </w:tc>
        <w:tc>
          <w:tcPr>
            <w:tcW w:w="1077" w:type="dxa"/>
            <w:tcBorders>
              <w:top w:val="single" w:sz="2" w:space="0" w:color="auto"/>
              <w:left w:val="nil"/>
              <w:bottom w:val="single" w:sz="2" w:space="0" w:color="auto"/>
              <w:right w:val="nil"/>
            </w:tcBorders>
            <w:shd w:val="clear" w:color="auto" w:fill="auto"/>
            <w:noWrap/>
            <w:vAlign w:val="center"/>
            <w:hideMark/>
          </w:tcPr>
          <w:p w14:paraId="523FDA92"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25.875</w:t>
            </w:r>
          </w:p>
        </w:tc>
        <w:tc>
          <w:tcPr>
            <w:tcW w:w="1077" w:type="dxa"/>
            <w:tcBorders>
              <w:top w:val="single" w:sz="2" w:space="0" w:color="auto"/>
              <w:left w:val="nil"/>
              <w:bottom w:val="single" w:sz="2" w:space="0" w:color="auto"/>
              <w:right w:val="nil"/>
            </w:tcBorders>
            <w:shd w:val="clear" w:color="auto" w:fill="auto"/>
            <w:noWrap/>
            <w:vAlign w:val="center"/>
            <w:hideMark/>
          </w:tcPr>
          <w:p w14:paraId="76B0FFD5"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12.620.376</w:t>
            </w:r>
          </w:p>
        </w:tc>
        <w:tc>
          <w:tcPr>
            <w:tcW w:w="1077" w:type="dxa"/>
            <w:tcBorders>
              <w:top w:val="single" w:sz="2" w:space="0" w:color="auto"/>
              <w:left w:val="nil"/>
              <w:bottom w:val="single" w:sz="2" w:space="0" w:color="auto"/>
              <w:right w:val="nil"/>
            </w:tcBorders>
            <w:vAlign w:val="center"/>
          </w:tcPr>
          <w:p w14:paraId="7F5384B0"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1.281.559</w:t>
            </w:r>
          </w:p>
        </w:tc>
        <w:tc>
          <w:tcPr>
            <w:tcW w:w="1077" w:type="dxa"/>
            <w:tcBorders>
              <w:top w:val="single" w:sz="2" w:space="0" w:color="auto"/>
              <w:left w:val="nil"/>
              <w:bottom w:val="single" w:sz="2" w:space="0" w:color="auto"/>
              <w:right w:val="nil"/>
            </w:tcBorders>
            <w:shd w:val="clear" w:color="auto" w:fill="auto"/>
            <w:noWrap/>
            <w:vAlign w:val="bottom"/>
          </w:tcPr>
          <w:p w14:paraId="42164CF2"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5.532.785</w:t>
            </w:r>
          </w:p>
        </w:tc>
        <w:tc>
          <w:tcPr>
            <w:tcW w:w="937" w:type="dxa"/>
            <w:tcBorders>
              <w:top w:val="single" w:sz="2" w:space="0" w:color="auto"/>
              <w:left w:val="nil"/>
              <w:bottom w:val="single" w:sz="2" w:space="0" w:color="auto"/>
              <w:right w:val="nil"/>
            </w:tcBorders>
            <w:shd w:val="clear" w:color="auto" w:fill="auto"/>
            <w:noWrap/>
            <w:vAlign w:val="center"/>
            <w:hideMark/>
          </w:tcPr>
          <w:p w14:paraId="6C92C73D" w14:textId="77777777" w:rsidR="00C57E20" w:rsidRPr="007C087D" w:rsidRDefault="00C57E20" w:rsidP="008F3D39">
            <w:pPr>
              <w:jc w:val="right"/>
              <w:rPr>
                <w:rFonts w:ascii="Arial Narrow" w:hAnsi="Arial Narrow" w:cs="Calibri"/>
                <w:sz w:val="16"/>
                <w:szCs w:val="16"/>
              </w:rPr>
            </w:pPr>
            <w:r w:rsidRPr="007C087D">
              <w:rPr>
                <w:rFonts w:ascii="Arial Narrow" w:hAnsi="Arial Narrow" w:cs="Calibri"/>
                <w:sz w:val="16"/>
                <w:szCs w:val="16"/>
              </w:rPr>
              <w:t>0,21</w:t>
            </w:r>
          </w:p>
        </w:tc>
        <w:tc>
          <w:tcPr>
            <w:tcW w:w="1217" w:type="dxa"/>
            <w:tcBorders>
              <w:top w:val="single" w:sz="2" w:space="0" w:color="auto"/>
              <w:left w:val="nil"/>
              <w:bottom w:val="single" w:sz="2" w:space="0" w:color="auto"/>
              <w:right w:val="nil"/>
            </w:tcBorders>
            <w:shd w:val="clear" w:color="auto" w:fill="auto"/>
            <w:noWrap/>
            <w:vAlign w:val="center"/>
            <w:hideMark/>
          </w:tcPr>
          <w:p w14:paraId="55F25B81" w14:textId="77777777" w:rsidR="00C57E20" w:rsidRPr="007C087D" w:rsidRDefault="00C57E20" w:rsidP="008F3D39">
            <w:pPr>
              <w:jc w:val="right"/>
              <w:rPr>
                <w:rFonts w:ascii="Arial Narrow" w:hAnsi="Arial Narrow" w:cs="Calibri"/>
                <w:sz w:val="16"/>
                <w:szCs w:val="16"/>
              </w:rPr>
            </w:pPr>
            <w:r w:rsidRPr="007C087D">
              <w:rPr>
                <w:rFonts w:ascii="Arial Narrow" w:hAnsi="Arial Narrow" w:cs="Calibri"/>
                <w:sz w:val="16"/>
                <w:szCs w:val="16"/>
              </w:rPr>
              <w:t>0,38</w:t>
            </w:r>
          </w:p>
        </w:tc>
      </w:tr>
      <w:tr w:rsidR="00C57E20" w:rsidRPr="007C087D" w14:paraId="22143CF3" w14:textId="77777777" w:rsidTr="007C087D">
        <w:trPr>
          <w:trHeight w:val="114"/>
          <w:jc w:val="center"/>
        </w:trPr>
        <w:tc>
          <w:tcPr>
            <w:tcW w:w="2410" w:type="dxa"/>
            <w:tcBorders>
              <w:top w:val="single" w:sz="2" w:space="0" w:color="auto"/>
              <w:left w:val="nil"/>
              <w:bottom w:val="single" w:sz="2" w:space="0" w:color="auto"/>
              <w:right w:val="nil"/>
            </w:tcBorders>
            <w:shd w:val="clear" w:color="auto" w:fill="auto"/>
            <w:noWrap/>
            <w:vAlign w:val="center"/>
            <w:hideMark/>
          </w:tcPr>
          <w:p w14:paraId="0DEAC89D" w14:textId="77777777" w:rsidR="00C57E20" w:rsidRPr="007C087D" w:rsidRDefault="00C57E20" w:rsidP="00060DBC">
            <w:pPr>
              <w:rPr>
                <w:rFonts w:ascii="Arial Narrow" w:hAnsi="Arial Narrow" w:cs="Calibri"/>
                <w:sz w:val="16"/>
                <w:szCs w:val="16"/>
              </w:rPr>
            </w:pPr>
            <w:r w:rsidRPr="007C087D">
              <w:rPr>
                <w:rFonts w:ascii="Arial Narrow" w:hAnsi="Arial Narrow" w:cs="Calibri"/>
                <w:sz w:val="16"/>
                <w:szCs w:val="16"/>
              </w:rPr>
              <w:t>Economía y Hacienda</w:t>
            </w:r>
          </w:p>
        </w:tc>
        <w:tc>
          <w:tcPr>
            <w:tcW w:w="1077" w:type="dxa"/>
            <w:tcBorders>
              <w:top w:val="single" w:sz="2" w:space="0" w:color="auto"/>
              <w:left w:val="nil"/>
              <w:bottom w:val="single" w:sz="2" w:space="0" w:color="auto"/>
              <w:right w:val="nil"/>
            </w:tcBorders>
            <w:shd w:val="clear" w:color="auto" w:fill="auto"/>
            <w:noWrap/>
            <w:vAlign w:val="center"/>
            <w:hideMark/>
          </w:tcPr>
          <w:p w14:paraId="031EDE78"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1.007.074</w:t>
            </w:r>
          </w:p>
        </w:tc>
        <w:tc>
          <w:tcPr>
            <w:tcW w:w="1077" w:type="dxa"/>
            <w:tcBorders>
              <w:top w:val="single" w:sz="2" w:space="0" w:color="auto"/>
              <w:left w:val="nil"/>
              <w:bottom w:val="single" w:sz="2" w:space="0" w:color="auto"/>
              <w:right w:val="nil"/>
            </w:tcBorders>
            <w:shd w:val="clear" w:color="auto" w:fill="auto"/>
            <w:noWrap/>
            <w:vAlign w:val="center"/>
            <w:hideMark/>
          </w:tcPr>
          <w:p w14:paraId="5249543F"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25.311.481</w:t>
            </w:r>
          </w:p>
        </w:tc>
        <w:tc>
          <w:tcPr>
            <w:tcW w:w="1077" w:type="dxa"/>
            <w:tcBorders>
              <w:top w:val="single" w:sz="2" w:space="0" w:color="auto"/>
              <w:left w:val="nil"/>
              <w:bottom w:val="single" w:sz="2" w:space="0" w:color="auto"/>
              <w:right w:val="nil"/>
            </w:tcBorders>
            <w:vAlign w:val="center"/>
          </w:tcPr>
          <w:p w14:paraId="6231C6A2"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19.952.379</w:t>
            </w:r>
          </w:p>
        </w:tc>
        <w:tc>
          <w:tcPr>
            <w:tcW w:w="1077" w:type="dxa"/>
            <w:tcBorders>
              <w:top w:val="single" w:sz="2" w:space="0" w:color="auto"/>
              <w:left w:val="nil"/>
              <w:bottom w:val="single" w:sz="2" w:space="0" w:color="auto"/>
              <w:right w:val="nil"/>
            </w:tcBorders>
            <w:shd w:val="clear" w:color="auto" w:fill="auto"/>
            <w:noWrap/>
            <w:vAlign w:val="bottom"/>
          </w:tcPr>
          <w:p w14:paraId="2A9E2C37"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1.105.861</w:t>
            </w:r>
          </w:p>
        </w:tc>
        <w:tc>
          <w:tcPr>
            <w:tcW w:w="937" w:type="dxa"/>
            <w:tcBorders>
              <w:top w:val="single" w:sz="2" w:space="0" w:color="auto"/>
              <w:left w:val="nil"/>
              <w:bottom w:val="single" w:sz="2" w:space="0" w:color="auto"/>
              <w:right w:val="nil"/>
            </w:tcBorders>
            <w:shd w:val="clear" w:color="auto" w:fill="auto"/>
            <w:noWrap/>
            <w:vAlign w:val="center"/>
            <w:hideMark/>
          </w:tcPr>
          <w:p w14:paraId="1112FB05" w14:textId="77777777" w:rsidR="00C57E20" w:rsidRPr="007C087D" w:rsidRDefault="00C57E20" w:rsidP="008F3D39">
            <w:pPr>
              <w:jc w:val="right"/>
              <w:rPr>
                <w:rFonts w:ascii="Arial Narrow" w:hAnsi="Arial Narrow" w:cs="Calibri"/>
                <w:sz w:val="16"/>
                <w:szCs w:val="16"/>
              </w:rPr>
            </w:pPr>
            <w:r w:rsidRPr="007C087D">
              <w:rPr>
                <w:rFonts w:ascii="Arial Narrow" w:hAnsi="Arial Narrow" w:cs="Calibri"/>
                <w:sz w:val="16"/>
                <w:szCs w:val="16"/>
              </w:rPr>
              <w:t>3,98</w:t>
            </w:r>
          </w:p>
        </w:tc>
        <w:tc>
          <w:tcPr>
            <w:tcW w:w="1217" w:type="dxa"/>
            <w:tcBorders>
              <w:top w:val="single" w:sz="2" w:space="0" w:color="auto"/>
              <w:left w:val="nil"/>
              <w:bottom w:val="single" w:sz="2" w:space="0" w:color="auto"/>
              <w:right w:val="nil"/>
            </w:tcBorders>
            <w:shd w:val="clear" w:color="auto" w:fill="auto"/>
            <w:noWrap/>
            <w:vAlign w:val="center"/>
            <w:hideMark/>
          </w:tcPr>
          <w:p w14:paraId="2034BBC5" w14:textId="77777777" w:rsidR="00C57E20" w:rsidRPr="007C087D" w:rsidRDefault="00C57E20" w:rsidP="008F3D39">
            <w:pPr>
              <w:jc w:val="right"/>
              <w:rPr>
                <w:rFonts w:ascii="Arial Narrow" w:hAnsi="Arial Narrow" w:cs="Calibri"/>
                <w:sz w:val="16"/>
                <w:szCs w:val="16"/>
              </w:rPr>
            </w:pPr>
            <w:r w:rsidRPr="007C087D">
              <w:rPr>
                <w:rFonts w:ascii="Arial Narrow" w:hAnsi="Arial Narrow" w:cs="Calibri"/>
                <w:sz w:val="16"/>
                <w:szCs w:val="16"/>
              </w:rPr>
              <w:t>4,78</w:t>
            </w:r>
          </w:p>
        </w:tc>
      </w:tr>
      <w:tr w:rsidR="00C57E20" w:rsidRPr="007C087D" w14:paraId="2C92ACF0" w14:textId="77777777" w:rsidTr="007C087D">
        <w:trPr>
          <w:trHeight w:val="60"/>
          <w:jc w:val="center"/>
        </w:trPr>
        <w:tc>
          <w:tcPr>
            <w:tcW w:w="2410" w:type="dxa"/>
            <w:tcBorders>
              <w:top w:val="single" w:sz="2" w:space="0" w:color="auto"/>
              <w:left w:val="nil"/>
              <w:bottom w:val="single" w:sz="2" w:space="0" w:color="auto"/>
              <w:right w:val="nil"/>
            </w:tcBorders>
            <w:shd w:val="clear" w:color="auto" w:fill="auto"/>
            <w:noWrap/>
            <w:vAlign w:val="center"/>
            <w:hideMark/>
          </w:tcPr>
          <w:p w14:paraId="7D72FB95" w14:textId="77777777" w:rsidR="00C57E20" w:rsidRPr="007C087D" w:rsidRDefault="00C57E20" w:rsidP="00060DBC">
            <w:pPr>
              <w:rPr>
                <w:rFonts w:ascii="Arial Narrow" w:hAnsi="Arial Narrow" w:cs="Calibri"/>
                <w:sz w:val="16"/>
                <w:szCs w:val="16"/>
              </w:rPr>
            </w:pPr>
            <w:r w:rsidRPr="007C087D">
              <w:rPr>
                <w:rFonts w:ascii="Arial Narrow" w:hAnsi="Arial Narrow" w:cs="Calibri"/>
                <w:sz w:val="16"/>
                <w:szCs w:val="16"/>
              </w:rPr>
              <w:t>Educación</w:t>
            </w:r>
          </w:p>
        </w:tc>
        <w:tc>
          <w:tcPr>
            <w:tcW w:w="1077" w:type="dxa"/>
            <w:tcBorders>
              <w:top w:val="single" w:sz="2" w:space="0" w:color="auto"/>
              <w:left w:val="nil"/>
              <w:bottom w:val="single" w:sz="2" w:space="0" w:color="auto"/>
              <w:right w:val="nil"/>
            </w:tcBorders>
            <w:shd w:val="clear" w:color="auto" w:fill="auto"/>
            <w:noWrap/>
            <w:vAlign w:val="center"/>
            <w:hideMark/>
          </w:tcPr>
          <w:p w14:paraId="3F2A8402"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206.774</w:t>
            </w:r>
          </w:p>
        </w:tc>
        <w:tc>
          <w:tcPr>
            <w:tcW w:w="1077" w:type="dxa"/>
            <w:tcBorders>
              <w:top w:val="single" w:sz="2" w:space="0" w:color="auto"/>
              <w:left w:val="nil"/>
              <w:bottom w:val="single" w:sz="2" w:space="0" w:color="auto"/>
              <w:right w:val="nil"/>
            </w:tcBorders>
            <w:shd w:val="clear" w:color="auto" w:fill="auto"/>
            <w:noWrap/>
            <w:vAlign w:val="center"/>
            <w:hideMark/>
          </w:tcPr>
          <w:p w14:paraId="5D170463"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70.941.001</w:t>
            </w:r>
          </w:p>
        </w:tc>
        <w:tc>
          <w:tcPr>
            <w:tcW w:w="1077" w:type="dxa"/>
            <w:tcBorders>
              <w:top w:val="single" w:sz="2" w:space="0" w:color="auto"/>
              <w:left w:val="nil"/>
              <w:bottom w:val="single" w:sz="2" w:space="0" w:color="auto"/>
              <w:right w:val="nil"/>
            </w:tcBorders>
            <w:vAlign w:val="center"/>
          </w:tcPr>
          <w:p w14:paraId="571024A1"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16.809.291</w:t>
            </w:r>
          </w:p>
        </w:tc>
        <w:tc>
          <w:tcPr>
            <w:tcW w:w="1077" w:type="dxa"/>
            <w:tcBorders>
              <w:top w:val="single" w:sz="2" w:space="0" w:color="auto"/>
              <w:left w:val="nil"/>
              <w:bottom w:val="single" w:sz="2" w:space="0" w:color="auto"/>
              <w:right w:val="nil"/>
            </w:tcBorders>
            <w:shd w:val="clear" w:color="auto" w:fill="auto"/>
            <w:noWrap/>
            <w:vAlign w:val="bottom"/>
          </w:tcPr>
          <w:p w14:paraId="215A0616"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9.382.675</w:t>
            </w:r>
          </w:p>
        </w:tc>
        <w:tc>
          <w:tcPr>
            <w:tcW w:w="937" w:type="dxa"/>
            <w:tcBorders>
              <w:top w:val="single" w:sz="2" w:space="0" w:color="auto"/>
              <w:left w:val="nil"/>
              <w:bottom w:val="single" w:sz="2" w:space="0" w:color="auto"/>
              <w:right w:val="nil"/>
            </w:tcBorders>
            <w:shd w:val="clear" w:color="auto" w:fill="auto"/>
            <w:noWrap/>
            <w:vAlign w:val="center"/>
            <w:hideMark/>
          </w:tcPr>
          <w:p w14:paraId="15A84C6B" w14:textId="77777777" w:rsidR="00C57E20" w:rsidRPr="007C087D" w:rsidRDefault="00C57E20" w:rsidP="008F3D39">
            <w:pPr>
              <w:jc w:val="right"/>
              <w:rPr>
                <w:rFonts w:ascii="Arial Narrow" w:hAnsi="Arial Narrow" w:cs="Calibri"/>
                <w:sz w:val="16"/>
                <w:szCs w:val="16"/>
              </w:rPr>
            </w:pPr>
            <w:r w:rsidRPr="007C087D">
              <w:rPr>
                <w:rFonts w:ascii="Arial Narrow" w:hAnsi="Arial Narrow" w:cs="Calibri"/>
                <w:sz w:val="16"/>
                <w:szCs w:val="16"/>
              </w:rPr>
              <w:t>0,29</w:t>
            </w:r>
          </w:p>
        </w:tc>
        <w:tc>
          <w:tcPr>
            <w:tcW w:w="1217" w:type="dxa"/>
            <w:tcBorders>
              <w:top w:val="single" w:sz="2" w:space="0" w:color="auto"/>
              <w:left w:val="nil"/>
              <w:bottom w:val="single" w:sz="2" w:space="0" w:color="auto"/>
              <w:right w:val="nil"/>
            </w:tcBorders>
            <w:shd w:val="clear" w:color="auto" w:fill="auto"/>
            <w:noWrap/>
            <w:vAlign w:val="center"/>
            <w:hideMark/>
          </w:tcPr>
          <w:p w14:paraId="748850DA" w14:textId="77777777" w:rsidR="00C57E20" w:rsidRPr="007C087D" w:rsidRDefault="00C57E20" w:rsidP="008F3D39">
            <w:pPr>
              <w:jc w:val="right"/>
              <w:rPr>
                <w:rFonts w:ascii="Arial Narrow" w:hAnsi="Arial Narrow" w:cs="Calibri"/>
                <w:sz w:val="16"/>
                <w:szCs w:val="16"/>
              </w:rPr>
            </w:pPr>
            <w:r w:rsidRPr="007C087D">
              <w:rPr>
                <w:rFonts w:ascii="Arial Narrow" w:hAnsi="Arial Narrow" w:cs="Calibri"/>
                <w:sz w:val="16"/>
                <w:szCs w:val="16"/>
              </w:rPr>
              <w:t>0,79</w:t>
            </w:r>
          </w:p>
        </w:tc>
      </w:tr>
      <w:tr w:rsidR="00C57E20" w:rsidRPr="007C087D" w14:paraId="7CFCCA6F" w14:textId="77777777" w:rsidTr="007C087D">
        <w:trPr>
          <w:trHeight w:val="60"/>
          <w:jc w:val="center"/>
        </w:trPr>
        <w:tc>
          <w:tcPr>
            <w:tcW w:w="2410" w:type="dxa"/>
            <w:tcBorders>
              <w:top w:val="single" w:sz="2" w:space="0" w:color="auto"/>
              <w:left w:val="nil"/>
              <w:bottom w:val="single" w:sz="2" w:space="0" w:color="auto"/>
              <w:right w:val="nil"/>
            </w:tcBorders>
            <w:shd w:val="clear" w:color="auto" w:fill="auto"/>
            <w:noWrap/>
            <w:vAlign w:val="center"/>
            <w:hideMark/>
          </w:tcPr>
          <w:p w14:paraId="120142D7" w14:textId="77777777" w:rsidR="00C57E20" w:rsidRPr="007C087D" w:rsidRDefault="00C57E20" w:rsidP="00060DBC">
            <w:pPr>
              <w:rPr>
                <w:rFonts w:ascii="Arial Narrow" w:hAnsi="Arial Narrow" w:cs="Calibri"/>
                <w:sz w:val="16"/>
                <w:szCs w:val="16"/>
              </w:rPr>
            </w:pPr>
            <w:r w:rsidRPr="007C087D">
              <w:rPr>
                <w:rFonts w:ascii="Arial Narrow" w:hAnsi="Arial Narrow" w:cs="Calibri"/>
                <w:sz w:val="16"/>
                <w:szCs w:val="16"/>
              </w:rPr>
              <w:t>Interior, Función Pública y Justicia</w:t>
            </w:r>
          </w:p>
        </w:tc>
        <w:tc>
          <w:tcPr>
            <w:tcW w:w="1077" w:type="dxa"/>
            <w:tcBorders>
              <w:top w:val="single" w:sz="2" w:space="0" w:color="auto"/>
              <w:left w:val="nil"/>
              <w:bottom w:val="single" w:sz="2" w:space="0" w:color="auto"/>
              <w:right w:val="nil"/>
            </w:tcBorders>
            <w:shd w:val="clear" w:color="auto" w:fill="auto"/>
            <w:noWrap/>
            <w:vAlign w:val="center"/>
            <w:hideMark/>
          </w:tcPr>
          <w:p w14:paraId="556DE8CD"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30.378</w:t>
            </w:r>
          </w:p>
        </w:tc>
        <w:tc>
          <w:tcPr>
            <w:tcW w:w="1077" w:type="dxa"/>
            <w:tcBorders>
              <w:top w:val="single" w:sz="2" w:space="0" w:color="auto"/>
              <w:left w:val="nil"/>
              <w:bottom w:val="single" w:sz="2" w:space="0" w:color="auto"/>
              <w:right w:val="nil"/>
            </w:tcBorders>
            <w:shd w:val="clear" w:color="auto" w:fill="auto"/>
            <w:noWrap/>
            <w:vAlign w:val="center"/>
            <w:hideMark/>
          </w:tcPr>
          <w:p w14:paraId="7488F13D"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11.884.217</w:t>
            </w:r>
          </w:p>
        </w:tc>
        <w:tc>
          <w:tcPr>
            <w:tcW w:w="1077" w:type="dxa"/>
            <w:tcBorders>
              <w:top w:val="single" w:sz="2" w:space="0" w:color="auto"/>
              <w:left w:val="nil"/>
              <w:bottom w:val="single" w:sz="2" w:space="0" w:color="auto"/>
              <w:right w:val="nil"/>
            </w:tcBorders>
            <w:vAlign w:val="center"/>
          </w:tcPr>
          <w:p w14:paraId="449B9929"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193.115</w:t>
            </w:r>
          </w:p>
        </w:tc>
        <w:tc>
          <w:tcPr>
            <w:tcW w:w="1077" w:type="dxa"/>
            <w:tcBorders>
              <w:top w:val="single" w:sz="2" w:space="0" w:color="auto"/>
              <w:left w:val="nil"/>
              <w:bottom w:val="single" w:sz="2" w:space="0" w:color="auto"/>
              <w:right w:val="nil"/>
            </w:tcBorders>
            <w:shd w:val="clear" w:color="auto" w:fill="auto"/>
            <w:noWrap/>
            <w:vAlign w:val="bottom"/>
          </w:tcPr>
          <w:p w14:paraId="204F983B"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1.869.924</w:t>
            </w:r>
          </w:p>
        </w:tc>
        <w:tc>
          <w:tcPr>
            <w:tcW w:w="937" w:type="dxa"/>
            <w:tcBorders>
              <w:top w:val="single" w:sz="2" w:space="0" w:color="auto"/>
              <w:left w:val="nil"/>
              <w:bottom w:val="single" w:sz="2" w:space="0" w:color="auto"/>
              <w:right w:val="nil"/>
            </w:tcBorders>
            <w:shd w:val="clear" w:color="auto" w:fill="auto"/>
            <w:noWrap/>
            <w:vAlign w:val="center"/>
            <w:hideMark/>
          </w:tcPr>
          <w:p w14:paraId="288FDD36" w14:textId="77777777" w:rsidR="00C57E20" w:rsidRPr="007C087D" w:rsidRDefault="00C57E20" w:rsidP="008F3D39">
            <w:pPr>
              <w:jc w:val="right"/>
              <w:rPr>
                <w:rFonts w:ascii="Arial Narrow" w:hAnsi="Arial Narrow" w:cs="Calibri"/>
                <w:sz w:val="16"/>
                <w:szCs w:val="16"/>
              </w:rPr>
            </w:pPr>
            <w:r w:rsidRPr="007C087D">
              <w:rPr>
                <w:rFonts w:ascii="Arial Narrow" w:hAnsi="Arial Narrow" w:cs="Calibri"/>
                <w:sz w:val="16"/>
                <w:szCs w:val="16"/>
              </w:rPr>
              <w:t>0,26</w:t>
            </w:r>
          </w:p>
        </w:tc>
        <w:tc>
          <w:tcPr>
            <w:tcW w:w="1217" w:type="dxa"/>
            <w:tcBorders>
              <w:top w:val="single" w:sz="2" w:space="0" w:color="auto"/>
              <w:left w:val="nil"/>
              <w:bottom w:val="single" w:sz="2" w:space="0" w:color="auto"/>
              <w:right w:val="nil"/>
            </w:tcBorders>
            <w:shd w:val="clear" w:color="auto" w:fill="auto"/>
            <w:noWrap/>
            <w:vAlign w:val="center"/>
            <w:hideMark/>
          </w:tcPr>
          <w:p w14:paraId="322628ED" w14:textId="77777777" w:rsidR="00C57E20" w:rsidRPr="007C087D" w:rsidRDefault="00C57E20" w:rsidP="008F3D39">
            <w:pPr>
              <w:jc w:val="right"/>
              <w:rPr>
                <w:rFonts w:ascii="Arial Narrow" w:hAnsi="Arial Narrow" w:cs="Calibri"/>
                <w:sz w:val="16"/>
                <w:szCs w:val="16"/>
              </w:rPr>
            </w:pPr>
            <w:r w:rsidRPr="007C087D">
              <w:rPr>
                <w:rFonts w:ascii="Arial Narrow" w:hAnsi="Arial Narrow" w:cs="Calibri"/>
                <w:sz w:val="16"/>
                <w:szCs w:val="16"/>
              </w:rPr>
              <w:t>1,47</w:t>
            </w:r>
          </w:p>
        </w:tc>
      </w:tr>
      <w:tr w:rsidR="00C57E20" w:rsidRPr="007C087D" w14:paraId="797130B6" w14:textId="77777777" w:rsidTr="007C087D">
        <w:trPr>
          <w:trHeight w:val="80"/>
          <w:jc w:val="center"/>
        </w:trPr>
        <w:tc>
          <w:tcPr>
            <w:tcW w:w="2410" w:type="dxa"/>
            <w:tcBorders>
              <w:top w:val="single" w:sz="2" w:space="0" w:color="auto"/>
              <w:left w:val="nil"/>
              <w:bottom w:val="single" w:sz="2" w:space="0" w:color="auto"/>
              <w:right w:val="nil"/>
            </w:tcBorders>
            <w:shd w:val="clear" w:color="auto" w:fill="auto"/>
            <w:noWrap/>
            <w:vAlign w:val="center"/>
            <w:hideMark/>
          </w:tcPr>
          <w:p w14:paraId="08EF0953" w14:textId="77777777" w:rsidR="00C57E20" w:rsidRPr="007C087D" w:rsidRDefault="00C57E20" w:rsidP="00060DBC">
            <w:pPr>
              <w:rPr>
                <w:rFonts w:ascii="Arial Narrow" w:hAnsi="Arial Narrow" w:cs="Calibri"/>
                <w:sz w:val="16"/>
                <w:szCs w:val="16"/>
              </w:rPr>
            </w:pPr>
            <w:r w:rsidRPr="007C087D">
              <w:rPr>
                <w:rFonts w:ascii="Arial Narrow" w:hAnsi="Arial Narrow" w:cs="Calibri"/>
                <w:sz w:val="16"/>
                <w:szCs w:val="16"/>
              </w:rPr>
              <w:t>Presidencia e Igualdad</w:t>
            </w:r>
          </w:p>
        </w:tc>
        <w:tc>
          <w:tcPr>
            <w:tcW w:w="1077" w:type="dxa"/>
            <w:tcBorders>
              <w:top w:val="single" w:sz="2" w:space="0" w:color="auto"/>
              <w:left w:val="nil"/>
              <w:bottom w:val="single" w:sz="2" w:space="0" w:color="auto"/>
              <w:right w:val="nil"/>
            </w:tcBorders>
            <w:shd w:val="clear" w:color="auto" w:fill="auto"/>
            <w:noWrap/>
            <w:vAlign w:val="center"/>
            <w:hideMark/>
          </w:tcPr>
          <w:p w14:paraId="55457883"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258.859</w:t>
            </w:r>
          </w:p>
        </w:tc>
        <w:tc>
          <w:tcPr>
            <w:tcW w:w="1077" w:type="dxa"/>
            <w:tcBorders>
              <w:top w:val="single" w:sz="2" w:space="0" w:color="auto"/>
              <w:left w:val="nil"/>
              <w:bottom w:val="single" w:sz="2" w:space="0" w:color="auto"/>
              <w:right w:val="nil"/>
            </w:tcBorders>
            <w:shd w:val="clear" w:color="auto" w:fill="auto"/>
            <w:noWrap/>
            <w:vAlign w:val="center"/>
            <w:hideMark/>
          </w:tcPr>
          <w:p w14:paraId="652D1EBE"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31.045.310</w:t>
            </w:r>
          </w:p>
        </w:tc>
        <w:tc>
          <w:tcPr>
            <w:tcW w:w="1077" w:type="dxa"/>
            <w:tcBorders>
              <w:top w:val="single" w:sz="2" w:space="0" w:color="auto"/>
              <w:left w:val="nil"/>
              <w:bottom w:val="single" w:sz="2" w:space="0" w:color="auto"/>
              <w:right w:val="nil"/>
            </w:tcBorders>
            <w:vAlign w:val="center"/>
          </w:tcPr>
          <w:p w14:paraId="0F01411C"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1.191.891</w:t>
            </w:r>
          </w:p>
        </w:tc>
        <w:tc>
          <w:tcPr>
            <w:tcW w:w="1077" w:type="dxa"/>
            <w:tcBorders>
              <w:top w:val="single" w:sz="2" w:space="0" w:color="auto"/>
              <w:left w:val="nil"/>
              <w:bottom w:val="single" w:sz="2" w:space="0" w:color="auto"/>
              <w:right w:val="nil"/>
            </w:tcBorders>
            <w:shd w:val="clear" w:color="auto" w:fill="auto"/>
            <w:noWrap/>
            <w:vAlign w:val="bottom"/>
          </w:tcPr>
          <w:p w14:paraId="3E2B79BB"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10.101.750</w:t>
            </w:r>
          </w:p>
        </w:tc>
        <w:tc>
          <w:tcPr>
            <w:tcW w:w="937" w:type="dxa"/>
            <w:tcBorders>
              <w:top w:val="single" w:sz="2" w:space="0" w:color="auto"/>
              <w:left w:val="nil"/>
              <w:bottom w:val="single" w:sz="2" w:space="0" w:color="auto"/>
              <w:right w:val="nil"/>
            </w:tcBorders>
            <w:shd w:val="clear" w:color="auto" w:fill="auto"/>
            <w:noWrap/>
            <w:vAlign w:val="center"/>
            <w:hideMark/>
          </w:tcPr>
          <w:p w14:paraId="24E9DB5E" w14:textId="77777777" w:rsidR="00C57E20" w:rsidRPr="007C087D" w:rsidRDefault="00C57E20" w:rsidP="008F3D39">
            <w:pPr>
              <w:jc w:val="right"/>
              <w:rPr>
                <w:rFonts w:ascii="Arial Narrow" w:hAnsi="Arial Narrow" w:cs="Calibri"/>
                <w:sz w:val="16"/>
                <w:szCs w:val="16"/>
              </w:rPr>
            </w:pPr>
            <w:r w:rsidRPr="007C087D">
              <w:rPr>
                <w:rFonts w:ascii="Arial Narrow" w:hAnsi="Arial Narrow" w:cs="Calibri"/>
                <w:sz w:val="16"/>
                <w:szCs w:val="16"/>
              </w:rPr>
              <w:t>0,83</w:t>
            </w:r>
          </w:p>
        </w:tc>
        <w:tc>
          <w:tcPr>
            <w:tcW w:w="1217" w:type="dxa"/>
            <w:tcBorders>
              <w:top w:val="single" w:sz="2" w:space="0" w:color="auto"/>
              <w:left w:val="nil"/>
              <w:bottom w:val="single" w:sz="2" w:space="0" w:color="auto"/>
              <w:right w:val="nil"/>
            </w:tcBorders>
            <w:shd w:val="clear" w:color="auto" w:fill="auto"/>
            <w:noWrap/>
            <w:vAlign w:val="center"/>
            <w:hideMark/>
          </w:tcPr>
          <w:p w14:paraId="3A917639" w14:textId="77777777" w:rsidR="00C57E20" w:rsidRPr="007C087D" w:rsidRDefault="00C57E20" w:rsidP="008F3D39">
            <w:pPr>
              <w:jc w:val="right"/>
              <w:rPr>
                <w:rFonts w:ascii="Arial Narrow" w:hAnsi="Arial Narrow" w:cs="Calibri"/>
                <w:sz w:val="16"/>
                <w:szCs w:val="16"/>
              </w:rPr>
            </w:pPr>
            <w:r w:rsidRPr="007C087D">
              <w:rPr>
                <w:rFonts w:ascii="Arial Narrow" w:hAnsi="Arial Narrow" w:cs="Calibri"/>
                <w:sz w:val="16"/>
                <w:szCs w:val="16"/>
              </w:rPr>
              <w:t>2,29</w:t>
            </w:r>
          </w:p>
        </w:tc>
      </w:tr>
      <w:tr w:rsidR="00C57E20" w:rsidRPr="007C087D" w14:paraId="4EBCFA75" w14:textId="77777777" w:rsidTr="007C087D">
        <w:trPr>
          <w:trHeight w:val="60"/>
          <w:jc w:val="center"/>
        </w:trPr>
        <w:tc>
          <w:tcPr>
            <w:tcW w:w="2410" w:type="dxa"/>
            <w:tcBorders>
              <w:top w:val="single" w:sz="2" w:space="0" w:color="auto"/>
              <w:left w:val="nil"/>
              <w:bottom w:val="single" w:sz="2" w:space="0" w:color="auto"/>
              <w:right w:val="nil"/>
            </w:tcBorders>
            <w:shd w:val="clear" w:color="auto" w:fill="auto"/>
            <w:noWrap/>
            <w:vAlign w:val="center"/>
            <w:hideMark/>
          </w:tcPr>
          <w:p w14:paraId="0666A551" w14:textId="77777777" w:rsidR="00C57E20" w:rsidRPr="007C087D" w:rsidRDefault="00C57E20" w:rsidP="00060DBC">
            <w:pPr>
              <w:rPr>
                <w:rFonts w:ascii="Arial Narrow" w:hAnsi="Arial Narrow" w:cs="Calibri"/>
                <w:sz w:val="16"/>
                <w:szCs w:val="16"/>
              </w:rPr>
            </w:pPr>
            <w:r w:rsidRPr="007C087D">
              <w:rPr>
                <w:rFonts w:ascii="Arial Narrow" w:hAnsi="Arial Narrow" w:cs="Calibri"/>
                <w:sz w:val="16"/>
                <w:szCs w:val="16"/>
              </w:rPr>
              <w:t>Derechos sociales</w:t>
            </w:r>
          </w:p>
        </w:tc>
        <w:tc>
          <w:tcPr>
            <w:tcW w:w="1077" w:type="dxa"/>
            <w:tcBorders>
              <w:top w:val="single" w:sz="2" w:space="0" w:color="auto"/>
              <w:left w:val="nil"/>
              <w:bottom w:val="single" w:sz="2" w:space="0" w:color="auto"/>
              <w:right w:val="nil"/>
            </w:tcBorders>
            <w:shd w:val="clear" w:color="auto" w:fill="auto"/>
            <w:noWrap/>
            <w:vAlign w:val="center"/>
            <w:hideMark/>
          </w:tcPr>
          <w:p w14:paraId="2AE0B6D2"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943.033</w:t>
            </w:r>
          </w:p>
        </w:tc>
        <w:tc>
          <w:tcPr>
            <w:tcW w:w="1077" w:type="dxa"/>
            <w:tcBorders>
              <w:top w:val="single" w:sz="2" w:space="0" w:color="auto"/>
              <w:left w:val="nil"/>
              <w:bottom w:val="single" w:sz="2" w:space="0" w:color="auto"/>
              <w:right w:val="nil"/>
            </w:tcBorders>
            <w:shd w:val="clear" w:color="auto" w:fill="auto"/>
            <w:noWrap/>
            <w:vAlign w:val="center"/>
            <w:hideMark/>
          </w:tcPr>
          <w:p w14:paraId="09D25814"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168.398.813</w:t>
            </w:r>
          </w:p>
        </w:tc>
        <w:tc>
          <w:tcPr>
            <w:tcW w:w="1077" w:type="dxa"/>
            <w:tcBorders>
              <w:top w:val="single" w:sz="2" w:space="0" w:color="auto"/>
              <w:left w:val="nil"/>
              <w:bottom w:val="single" w:sz="2" w:space="0" w:color="auto"/>
              <w:right w:val="nil"/>
            </w:tcBorders>
            <w:vAlign w:val="center"/>
          </w:tcPr>
          <w:p w14:paraId="6589BD2C"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52.132.202</w:t>
            </w:r>
          </w:p>
        </w:tc>
        <w:tc>
          <w:tcPr>
            <w:tcW w:w="1077" w:type="dxa"/>
            <w:tcBorders>
              <w:top w:val="single" w:sz="2" w:space="0" w:color="auto"/>
              <w:left w:val="nil"/>
              <w:bottom w:val="single" w:sz="2" w:space="0" w:color="auto"/>
              <w:right w:val="nil"/>
            </w:tcBorders>
            <w:shd w:val="clear" w:color="auto" w:fill="auto"/>
            <w:noWrap/>
            <w:vAlign w:val="bottom"/>
          </w:tcPr>
          <w:p w14:paraId="702B2CE1"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5.766.228</w:t>
            </w:r>
          </w:p>
        </w:tc>
        <w:tc>
          <w:tcPr>
            <w:tcW w:w="937" w:type="dxa"/>
            <w:tcBorders>
              <w:top w:val="single" w:sz="2" w:space="0" w:color="auto"/>
              <w:left w:val="nil"/>
              <w:bottom w:val="single" w:sz="2" w:space="0" w:color="auto"/>
              <w:right w:val="nil"/>
            </w:tcBorders>
            <w:shd w:val="clear" w:color="auto" w:fill="auto"/>
            <w:noWrap/>
            <w:vAlign w:val="center"/>
            <w:hideMark/>
          </w:tcPr>
          <w:p w14:paraId="4365A328" w14:textId="77777777" w:rsidR="00C57E20" w:rsidRPr="007C087D" w:rsidRDefault="00C57E20" w:rsidP="008F3D39">
            <w:pPr>
              <w:jc w:val="right"/>
              <w:rPr>
                <w:rFonts w:ascii="Arial Narrow" w:hAnsi="Arial Narrow" w:cs="Calibri"/>
                <w:sz w:val="16"/>
                <w:szCs w:val="16"/>
              </w:rPr>
            </w:pPr>
            <w:r w:rsidRPr="007C087D">
              <w:rPr>
                <w:rFonts w:ascii="Arial Narrow" w:hAnsi="Arial Narrow" w:cs="Calibri"/>
                <w:sz w:val="16"/>
                <w:szCs w:val="16"/>
              </w:rPr>
              <w:t>0,56</w:t>
            </w:r>
          </w:p>
        </w:tc>
        <w:tc>
          <w:tcPr>
            <w:tcW w:w="1217" w:type="dxa"/>
            <w:tcBorders>
              <w:top w:val="single" w:sz="2" w:space="0" w:color="auto"/>
              <w:left w:val="nil"/>
              <w:bottom w:val="single" w:sz="2" w:space="0" w:color="auto"/>
              <w:right w:val="nil"/>
            </w:tcBorders>
            <w:shd w:val="clear" w:color="auto" w:fill="auto"/>
            <w:noWrap/>
            <w:vAlign w:val="center"/>
            <w:hideMark/>
          </w:tcPr>
          <w:p w14:paraId="2D311345" w14:textId="77777777" w:rsidR="00C57E20" w:rsidRPr="007C087D" w:rsidRDefault="00C57E20" w:rsidP="008F3D39">
            <w:pPr>
              <w:jc w:val="right"/>
              <w:rPr>
                <w:rFonts w:ascii="Arial Narrow" w:hAnsi="Arial Narrow" w:cs="Calibri"/>
                <w:sz w:val="16"/>
                <w:szCs w:val="16"/>
              </w:rPr>
            </w:pPr>
            <w:r w:rsidRPr="007C087D">
              <w:rPr>
                <w:rFonts w:ascii="Arial Narrow" w:hAnsi="Arial Narrow" w:cs="Calibri"/>
                <w:sz w:val="16"/>
                <w:szCs w:val="16"/>
              </w:rPr>
              <w:t>1,63</w:t>
            </w:r>
          </w:p>
        </w:tc>
      </w:tr>
      <w:tr w:rsidR="00C57E20" w:rsidRPr="007C087D" w14:paraId="01E702F9" w14:textId="77777777" w:rsidTr="007C087D">
        <w:trPr>
          <w:trHeight w:val="60"/>
          <w:jc w:val="center"/>
        </w:trPr>
        <w:tc>
          <w:tcPr>
            <w:tcW w:w="2410" w:type="dxa"/>
            <w:tcBorders>
              <w:top w:val="single" w:sz="2" w:space="0" w:color="auto"/>
              <w:left w:val="nil"/>
              <w:bottom w:val="single" w:sz="2" w:space="0" w:color="auto"/>
              <w:right w:val="nil"/>
            </w:tcBorders>
            <w:shd w:val="clear" w:color="auto" w:fill="auto"/>
            <w:noWrap/>
            <w:vAlign w:val="center"/>
            <w:hideMark/>
          </w:tcPr>
          <w:p w14:paraId="42E143C7" w14:textId="77777777" w:rsidR="00C57E20" w:rsidRPr="007C087D" w:rsidRDefault="00C57E20" w:rsidP="00060DBC">
            <w:pPr>
              <w:rPr>
                <w:rFonts w:ascii="Arial Narrow" w:hAnsi="Arial Narrow" w:cs="Calibri"/>
                <w:sz w:val="16"/>
                <w:szCs w:val="16"/>
              </w:rPr>
            </w:pPr>
            <w:r w:rsidRPr="007C087D">
              <w:rPr>
                <w:rFonts w:ascii="Arial Narrow" w:hAnsi="Arial Narrow" w:cs="Calibri"/>
                <w:sz w:val="16"/>
                <w:szCs w:val="16"/>
              </w:rPr>
              <w:t>Cohesión territorial</w:t>
            </w:r>
          </w:p>
        </w:tc>
        <w:tc>
          <w:tcPr>
            <w:tcW w:w="1077" w:type="dxa"/>
            <w:tcBorders>
              <w:top w:val="single" w:sz="2" w:space="0" w:color="auto"/>
              <w:left w:val="nil"/>
              <w:bottom w:val="single" w:sz="2" w:space="0" w:color="auto"/>
              <w:right w:val="nil"/>
            </w:tcBorders>
            <w:shd w:val="clear" w:color="auto" w:fill="auto"/>
            <w:noWrap/>
            <w:vAlign w:val="center"/>
            <w:hideMark/>
          </w:tcPr>
          <w:p w14:paraId="56F20B00"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6.280</w:t>
            </w:r>
          </w:p>
        </w:tc>
        <w:tc>
          <w:tcPr>
            <w:tcW w:w="1077" w:type="dxa"/>
            <w:tcBorders>
              <w:top w:val="single" w:sz="2" w:space="0" w:color="auto"/>
              <w:left w:val="nil"/>
              <w:bottom w:val="single" w:sz="2" w:space="0" w:color="auto"/>
              <w:right w:val="nil"/>
            </w:tcBorders>
            <w:shd w:val="clear" w:color="auto" w:fill="auto"/>
            <w:noWrap/>
            <w:vAlign w:val="center"/>
            <w:hideMark/>
          </w:tcPr>
          <w:p w14:paraId="1E9CD372"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172.368.549</w:t>
            </w:r>
          </w:p>
        </w:tc>
        <w:tc>
          <w:tcPr>
            <w:tcW w:w="1077" w:type="dxa"/>
            <w:tcBorders>
              <w:top w:val="single" w:sz="2" w:space="0" w:color="auto"/>
              <w:left w:val="nil"/>
              <w:bottom w:val="single" w:sz="2" w:space="0" w:color="auto"/>
              <w:right w:val="nil"/>
            </w:tcBorders>
            <w:vAlign w:val="center"/>
          </w:tcPr>
          <w:p w14:paraId="01688B18"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38.800.565</w:t>
            </w:r>
          </w:p>
        </w:tc>
        <w:tc>
          <w:tcPr>
            <w:tcW w:w="1077" w:type="dxa"/>
            <w:tcBorders>
              <w:top w:val="single" w:sz="2" w:space="0" w:color="auto"/>
              <w:left w:val="nil"/>
              <w:bottom w:val="single" w:sz="2" w:space="0" w:color="auto"/>
              <w:right w:val="nil"/>
            </w:tcBorders>
            <w:shd w:val="clear" w:color="auto" w:fill="auto"/>
            <w:noWrap/>
            <w:vAlign w:val="bottom"/>
          </w:tcPr>
          <w:p w14:paraId="22ACC08F"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1.693.029</w:t>
            </w:r>
          </w:p>
        </w:tc>
        <w:tc>
          <w:tcPr>
            <w:tcW w:w="937" w:type="dxa"/>
            <w:tcBorders>
              <w:top w:val="single" w:sz="2" w:space="0" w:color="auto"/>
              <w:left w:val="nil"/>
              <w:bottom w:val="single" w:sz="2" w:space="0" w:color="auto"/>
              <w:right w:val="nil"/>
            </w:tcBorders>
            <w:shd w:val="clear" w:color="auto" w:fill="auto"/>
            <w:noWrap/>
            <w:vAlign w:val="center"/>
            <w:hideMark/>
          </w:tcPr>
          <w:p w14:paraId="5863E133" w14:textId="77777777" w:rsidR="00C57E20" w:rsidRPr="007C087D" w:rsidRDefault="00C57E20" w:rsidP="008F3D39">
            <w:pPr>
              <w:jc w:val="right"/>
              <w:rPr>
                <w:rFonts w:ascii="Arial Narrow" w:hAnsi="Arial Narrow" w:cs="Calibri"/>
                <w:sz w:val="16"/>
                <w:szCs w:val="16"/>
              </w:rPr>
            </w:pPr>
            <w:r w:rsidRPr="007C087D">
              <w:rPr>
                <w:rFonts w:ascii="Arial Narrow" w:hAnsi="Arial Narrow" w:cs="Calibri"/>
                <w:sz w:val="16"/>
                <w:szCs w:val="16"/>
              </w:rPr>
              <w:t>0,00</w:t>
            </w:r>
          </w:p>
        </w:tc>
        <w:tc>
          <w:tcPr>
            <w:tcW w:w="1217" w:type="dxa"/>
            <w:tcBorders>
              <w:top w:val="single" w:sz="2" w:space="0" w:color="auto"/>
              <w:left w:val="nil"/>
              <w:bottom w:val="single" w:sz="2" w:space="0" w:color="auto"/>
              <w:right w:val="nil"/>
            </w:tcBorders>
            <w:shd w:val="clear" w:color="auto" w:fill="auto"/>
            <w:noWrap/>
            <w:vAlign w:val="center"/>
            <w:hideMark/>
          </w:tcPr>
          <w:p w14:paraId="0AC3502A" w14:textId="77777777" w:rsidR="00C57E20" w:rsidRPr="007C087D" w:rsidRDefault="00C57E20" w:rsidP="008F3D39">
            <w:pPr>
              <w:jc w:val="right"/>
              <w:rPr>
                <w:rFonts w:ascii="Arial Narrow" w:hAnsi="Arial Narrow" w:cs="Calibri"/>
                <w:sz w:val="16"/>
                <w:szCs w:val="16"/>
              </w:rPr>
            </w:pPr>
            <w:r w:rsidRPr="007C087D">
              <w:rPr>
                <w:rFonts w:ascii="Arial Narrow" w:hAnsi="Arial Narrow" w:cs="Calibri"/>
                <w:sz w:val="16"/>
                <w:szCs w:val="16"/>
              </w:rPr>
              <w:t>0,02</w:t>
            </w:r>
          </w:p>
        </w:tc>
      </w:tr>
      <w:tr w:rsidR="00C57E20" w:rsidRPr="007C087D" w14:paraId="439D7932" w14:textId="77777777" w:rsidTr="007C087D">
        <w:trPr>
          <w:trHeight w:val="60"/>
          <w:jc w:val="center"/>
        </w:trPr>
        <w:tc>
          <w:tcPr>
            <w:tcW w:w="2410" w:type="dxa"/>
            <w:tcBorders>
              <w:top w:val="single" w:sz="2" w:space="0" w:color="auto"/>
              <w:left w:val="nil"/>
              <w:bottom w:val="single" w:sz="4" w:space="0" w:color="auto"/>
              <w:right w:val="nil"/>
            </w:tcBorders>
            <w:shd w:val="clear" w:color="auto" w:fill="auto"/>
            <w:noWrap/>
            <w:vAlign w:val="center"/>
            <w:hideMark/>
          </w:tcPr>
          <w:p w14:paraId="1669C847" w14:textId="77777777" w:rsidR="00C57E20" w:rsidRPr="007C087D" w:rsidRDefault="00C57E20" w:rsidP="00060DBC">
            <w:pPr>
              <w:rPr>
                <w:rFonts w:ascii="Arial Narrow" w:hAnsi="Arial Narrow" w:cs="Calibri"/>
                <w:sz w:val="16"/>
                <w:szCs w:val="16"/>
              </w:rPr>
            </w:pPr>
            <w:r w:rsidRPr="007C087D">
              <w:rPr>
                <w:rFonts w:ascii="Arial Narrow" w:hAnsi="Arial Narrow" w:cs="Calibri"/>
                <w:sz w:val="16"/>
                <w:szCs w:val="16"/>
              </w:rPr>
              <w:t>Desarrollo Rural</w:t>
            </w:r>
          </w:p>
        </w:tc>
        <w:tc>
          <w:tcPr>
            <w:tcW w:w="1077" w:type="dxa"/>
            <w:tcBorders>
              <w:top w:val="single" w:sz="2" w:space="0" w:color="auto"/>
              <w:left w:val="nil"/>
              <w:bottom w:val="single" w:sz="4" w:space="0" w:color="auto"/>
              <w:right w:val="nil"/>
            </w:tcBorders>
            <w:shd w:val="clear" w:color="auto" w:fill="auto"/>
            <w:noWrap/>
            <w:vAlign w:val="center"/>
            <w:hideMark/>
          </w:tcPr>
          <w:p w14:paraId="7334F9A6"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26.154</w:t>
            </w:r>
          </w:p>
        </w:tc>
        <w:tc>
          <w:tcPr>
            <w:tcW w:w="1077" w:type="dxa"/>
            <w:tcBorders>
              <w:top w:val="single" w:sz="2" w:space="0" w:color="auto"/>
              <w:left w:val="nil"/>
              <w:bottom w:val="single" w:sz="4" w:space="0" w:color="auto"/>
              <w:right w:val="nil"/>
            </w:tcBorders>
            <w:shd w:val="clear" w:color="auto" w:fill="auto"/>
            <w:noWrap/>
            <w:vAlign w:val="center"/>
            <w:hideMark/>
          </w:tcPr>
          <w:p w14:paraId="525A4C71"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25.637.920</w:t>
            </w:r>
          </w:p>
        </w:tc>
        <w:tc>
          <w:tcPr>
            <w:tcW w:w="1077" w:type="dxa"/>
            <w:tcBorders>
              <w:top w:val="single" w:sz="2" w:space="0" w:color="auto"/>
              <w:left w:val="nil"/>
              <w:bottom w:val="single" w:sz="4" w:space="0" w:color="auto"/>
              <w:right w:val="nil"/>
            </w:tcBorders>
            <w:vAlign w:val="center"/>
          </w:tcPr>
          <w:p w14:paraId="6D335DB2"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1.690.747</w:t>
            </w:r>
          </w:p>
        </w:tc>
        <w:tc>
          <w:tcPr>
            <w:tcW w:w="1077" w:type="dxa"/>
            <w:tcBorders>
              <w:top w:val="single" w:sz="2" w:space="0" w:color="auto"/>
              <w:left w:val="nil"/>
              <w:bottom w:val="single" w:sz="4" w:space="0" w:color="auto"/>
              <w:right w:val="nil"/>
            </w:tcBorders>
            <w:shd w:val="clear" w:color="auto" w:fill="auto"/>
            <w:noWrap/>
            <w:vAlign w:val="bottom"/>
          </w:tcPr>
          <w:p w14:paraId="669E5CEA" w14:textId="77777777" w:rsidR="00C57E20" w:rsidRPr="007C087D" w:rsidRDefault="00C57E20" w:rsidP="00060DBC">
            <w:pPr>
              <w:jc w:val="right"/>
              <w:rPr>
                <w:rFonts w:ascii="Arial Narrow" w:hAnsi="Arial Narrow" w:cs="Calibri"/>
                <w:sz w:val="16"/>
                <w:szCs w:val="16"/>
              </w:rPr>
            </w:pPr>
            <w:r w:rsidRPr="007C087D">
              <w:rPr>
                <w:rFonts w:ascii="Arial Narrow" w:hAnsi="Arial Narrow" w:cs="Calibri"/>
                <w:sz w:val="16"/>
                <w:szCs w:val="16"/>
              </w:rPr>
              <w:t>4.955.950</w:t>
            </w:r>
          </w:p>
        </w:tc>
        <w:tc>
          <w:tcPr>
            <w:tcW w:w="937" w:type="dxa"/>
            <w:tcBorders>
              <w:top w:val="single" w:sz="2" w:space="0" w:color="auto"/>
              <w:left w:val="nil"/>
              <w:bottom w:val="single" w:sz="4" w:space="0" w:color="auto"/>
              <w:right w:val="nil"/>
            </w:tcBorders>
            <w:shd w:val="clear" w:color="auto" w:fill="auto"/>
            <w:noWrap/>
            <w:vAlign w:val="center"/>
            <w:hideMark/>
          </w:tcPr>
          <w:p w14:paraId="645F6289" w14:textId="77777777" w:rsidR="00C57E20" w:rsidRPr="007C087D" w:rsidRDefault="00C57E20" w:rsidP="008F3D39">
            <w:pPr>
              <w:jc w:val="right"/>
              <w:rPr>
                <w:rFonts w:ascii="Arial Narrow" w:hAnsi="Arial Narrow" w:cs="Calibri"/>
                <w:sz w:val="16"/>
                <w:szCs w:val="16"/>
              </w:rPr>
            </w:pPr>
            <w:r w:rsidRPr="007C087D">
              <w:rPr>
                <w:rFonts w:ascii="Arial Narrow" w:hAnsi="Arial Narrow" w:cs="Calibri"/>
                <w:sz w:val="16"/>
                <w:szCs w:val="16"/>
              </w:rPr>
              <w:t>0,10</w:t>
            </w:r>
          </w:p>
        </w:tc>
        <w:tc>
          <w:tcPr>
            <w:tcW w:w="1217" w:type="dxa"/>
            <w:tcBorders>
              <w:top w:val="single" w:sz="2" w:space="0" w:color="auto"/>
              <w:left w:val="nil"/>
              <w:bottom w:val="single" w:sz="4" w:space="0" w:color="auto"/>
              <w:right w:val="nil"/>
            </w:tcBorders>
            <w:shd w:val="clear" w:color="auto" w:fill="auto"/>
            <w:noWrap/>
            <w:vAlign w:val="center"/>
            <w:hideMark/>
          </w:tcPr>
          <w:p w14:paraId="3A540054" w14:textId="77777777" w:rsidR="00C57E20" w:rsidRPr="007C087D" w:rsidRDefault="00C57E20" w:rsidP="008F3D39">
            <w:pPr>
              <w:jc w:val="right"/>
              <w:rPr>
                <w:rFonts w:ascii="Arial Narrow" w:hAnsi="Arial Narrow" w:cs="Calibri"/>
                <w:sz w:val="16"/>
                <w:szCs w:val="16"/>
              </w:rPr>
            </w:pPr>
            <w:r w:rsidRPr="007C087D">
              <w:rPr>
                <w:rFonts w:ascii="Arial Narrow" w:hAnsi="Arial Narrow" w:cs="Calibri"/>
                <w:sz w:val="16"/>
                <w:szCs w:val="16"/>
              </w:rPr>
              <w:t>0,39</w:t>
            </w:r>
          </w:p>
        </w:tc>
      </w:tr>
      <w:tr w:rsidR="00C57E20" w:rsidRPr="00810207" w14:paraId="1A5301AC" w14:textId="77777777" w:rsidTr="00810207">
        <w:trPr>
          <w:trHeight w:val="198"/>
          <w:jc w:val="center"/>
        </w:trPr>
        <w:tc>
          <w:tcPr>
            <w:tcW w:w="2410" w:type="dxa"/>
            <w:tcBorders>
              <w:top w:val="single" w:sz="4" w:space="0" w:color="auto"/>
              <w:left w:val="nil"/>
              <w:bottom w:val="single" w:sz="2" w:space="0" w:color="auto"/>
              <w:right w:val="nil"/>
            </w:tcBorders>
            <w:shd w:val="clear" w:color="000000" w:fill="8DB3E2"/>
            <w:noWrap/>
            <w:vAlign w:val="center"/>
            <w:hideMark/>
          </w:tcPr>
          <w:p w14:paraId="0B3F5579" w14:textId="77777777" w:rsidR="00C57E20" w:rsidRPr="00810207" w:rsidRDefault="00C57E20" w:rsidP="00060DBC">
            <w:pPr>
              <w:rPr>
                <w:rFonts w:ascii="Arial Narrow" w:hAnsi="Arial Narrow" w:cs="Arial"/>
                <w:b/>
                <w:sz w:val="16"/>
                <w:szCs w:val="16"/>
              </w:rPr>
            </w:pPr>
            <w:r w:rsidRPr="00810207">
              <w:rPr>
                <w:rFonts w:ascii="Arial Narrow" w:hAnsi="Arial Narrow" w:cs="Arial"/>
                <w:b/>
                <w:sz w:val="16"/>
                <w:szCs w:val="16"/>
              </w:rPr>
              <w:t>Total ACFN</w:t>
            </w:r>
          </w:p>
        </w:tc>
        <w:tc>
          <w:tcPr>
            <w:tcW w:w="1077" w:type="dxa"/>
            <w:tcBorders>
              <w:top w:val="single" w:sz="4" w:space="0" w:color="auto"/>
              <w:left w:val="nil"/>
              <w:bottom w:val="single" w:sz="2" w:space="0" w:color="auto"/>
              <w:right w:val="nil"/>
            </w:tcBorders>
            <w:shd w:val="clear" w:color="000000" w:fill="8DB3E2"/>
            <w:noWrap/>
            <w:vAlign w:val="center"/>
          </w:tcPr>
          <w:p w14:paraId="17BEC26D" w14:textId="77777777" w:rsidR="00C57E20" w:rsidRPr="00810207" w:rsidRDefault="00C57E20" w:rsidP="00060DBC">
            <w:pPr>
              <w:jc w:val="right"/>
              <w:rPr>
                <w:rFonts w:ascii="Arial Narrow" w:hAnsi="Arial Narrow" w:cs="Arial"/>
                <w:b/>
                <w:sz w:val="16"/>
                <w:szCs w:val="16"/>
              </w:rPr>
            </w:pPr>
            <w:r w:rsidRPr="00810207">
              <w:rPr>
                <w:rFonts w:ascii="Arial Narrow" w:hAnsi="Arial Narrow" w:cs="Arial"/>
                <w:b/>
                <w:sz w:val="16"/>
                <w:szCs w:val="16"/>
              </w:rPr>
              <w:t>2.668.122</w:t>
            </w:r>
          </w:p>
        </w:tc>
        <w:tc>
          <w:tcPr>
            <w:tcW w:w="1077" w:type="dxa"/>
            <w:tcBorders>
              <w:top w:val="single" w:sz="4" w:space="0" w:color="auto"/>
              <w:left w:val="nil"/>
              <w:bottom w:val="single" w:sz="2" w:space="0" w:color="auto"/>
              <w:right w:val="nil"/>
            </w:tcBorders>
            <w:shd w:val="clear" w:color="000000" w:fill="8DB3E2"/>
            <w:noWrap/>
            <w:vAlign w:val="center"/>
          </w:tcPr>
          <w:p w14:paraId="0C357D4F" w14:textId="77777777" w:rsidR="00C57E20" w:rsidRPr="00810207" w:rsidRDefault="00C57E20" w:rsidP="00060DBC">
            <w:pPr>
              <w:jc w:val="right"/>
              <w:rPr>
                <w:rFonts w:ascii="Arial Narrow" w:hAnsi="Arial Narrow" w:cs="Arial"/>
                <w:b/>
                <w:sz w:val="16"/>
                <w:szCs w:val="16"/>
              </w:rPr>
            </w:pPr>
            <w:r w:rsidRPr="00810207">
              <w:rPr>
                <w:rFonts w:ascii="Arial Narrow" w:hAnsi="Arial Narrow" w:cs="Arial"/>
                <w:b/>
                <w:sz w:val="16"/>
                <w:szCs w:val="16"/>
              </w:rPr>
              <w:t>567.214.304</w:t>
            </w:r>
          </w:p>
        </w:tc>
        <w:tc>
          <w:tcPr>
            <w:tcW w:w="1077" w:type="dxa"/>
            <w:tcBorders>
              <w:top w:val="single" w:sz="4" w:space="0" w:color="auto"/>
              <w:left w:val="nil"/>
              <w:bottom w:val="single" w:sz="2" w:space="0" w:color="auto"/>
              <w:right w:val="nil"/>
            </w:tcBorders>
            <w:shd w:val="clear" w:color="000000" w:fill="8DB3E2"/>
            <w:vAlign w:val="center"/>
          </w:tcPr>
          <w:p w14:paraId="7B14EB87" w14:textId="77777777" w:rsidR="00C57E20" w:rsidRPr="00810207" w:rsidRDefault="00C57E20" w:rsidP="00060DBC">
            <w:pPr>
              <w:jc w:val="right"/>
              <w:rPr>
                <w:rFonts w:ascii="Arial Narrow" w:hAnsi="Arial Narrow" w:cs="Arial"/>
                <w:b/>
                <w:sz w:val="16"/>
                <w:szCs w:val="16"/>
              </w:rPr>
            </w:pPr>
            <w:r w:rsidRPr="00810207">
              <w:rPr>
                <w:rFonts w:ascii="Arial Narrow" w:hAnsi="Arial Narrow" w:cs="Arial"/>
                <w:b/>
                <w:sz w:val="16"/>
                <w:szCs w:val="16"/>
              </w:rPr>
              <w:t>143.199.466</w:t>
            </w:r>
          </w:p>
        </w:tc>
        <w:tc>
          <w:tcPr>
            <w:tcW w:w="1077" w:type="dxa"/>
            <w:tcBorders>
              <w:top w:val="single" w:sz="4" w:space="0" w:color="auto"/>
              <w:left w:val="nil"/>
              <w:bottom w:val="single" w:sz="2" w:space="0" w:color="auto"/>
              <w:right w:val="nil"/>
            </w:tcBorders>
            <w:shd w:val="clear" w:color="000000" w:fill="8DB3E2"/>
            <w:noWrap/>
            <w:vAlign w:val="center"/>
          </w:tcPr>
          <w:p w14:paraId="6C9CA435" w14:textId="77777777" w:rsidR="00C57E20" w:rsidRPr="00810207" w:rsidRDefault="00C57E20" w:rsidP="00060DBC">
            <w:pPr>
              <w:jc w:val="right"/>
              <w:rPr>
                <w:rFonts w:ascii="Arial Narrow" w:hAnsi="Arial Narrow" w:cs="Arial"/>
                <w:b/>
                <w:sz w:val="16"/>
                <w:szCs w:val="16"/>
              </w:rPr>
            </w:pPr>
            <w:r w:rsidRPr="00810207">
              <w:rPr>
                <w:rFonts w:ascii="Arial Narrow" w:hAnsi="Arial Narrow" w:cs="Arial"/>
                <w:b/>
                <w:sz w:val="16"/>
                <w:szCs w:val="16"/>
              </w:rPr>
              <w:t>42.918.034</w:t>
            </w:r>
          </w:p>
        </w:tc>
        <w:tc>
          <w:tcPr>
            <w:tcW w:w="937" w:type="dxa"/>
            <w:tcBorders>
              <w:top w:val="single" w:sz="4" w:space="0" w:color="auto"/>
              <w:left w:val="nil"/>
              <w:bottom w:val="single" w:sz="2" w:space="0" w:color="auto"/>
              <w:right w:val="nil"/>
            </w:tcBorders>
            <w:shd w:val="clear" w:color="000000" w:fill="8DB3E2"/>
            <w:noWrap/>
            <w:vAlign w:val="center"/>
          </w:tcPr>
          <w:p w14:paraId="5054835C" w14:textId="77777777" w:rsidR="00C57E20" w:rsidRPr="00810207" w:rsidRDefault="00C57E20" w:rsidP="008F3D39">
            <w:pPr>
              <w:jc w:val="right"/>
              <w:rPr>
                <w:rFonts w:ascii="Arial Narrow" w:hAnsi="Arial Narrow" w:cs="Arial"/>
                <w:b/>
                <w:sz w:val="16"/>
                <w:szCs w:val="16"/>
              </w:rPr>
            </w:pPr>
            <w:r w:rsidRPr="00810207">
              <w:rPr>
                <w:rFonts w:ascii="Arial Narrow" w:hAnsi="Arial Narrow" w:cs="Arial"/>
                <w:b/>
                <w:sz w:val="16"/>
                <w:szCs w:val="16"/>
              </w:rPr>
              <w:t>0,47</w:t>
            </w:r>
          </w:p>
        </w:tc>
        <w:tc>
          <w:tcPr>
            <w:tcW w:w="1217" w:type="dxa"/>
            <w:tcBorders>
              <w:top w:val="single" w:sz="4" w:space="0" w:color="auto"/>
              <w:left w:val="nil"/>
              <w:bottom w:val="single" w:sz="2" w:space="0" w:color="auto"/>
              <w:right w:val="nil"/>
            </w:tcBorders>
            <w:shd w:val="clear" w:color="000000" w:fill="8DB3E2"/>
            <w:noWrap/>
            <w:vAlign w:val="center"/>
          </w:tcPr>
          <w:p w14:paraId="55402EDF" w14:textId="77777777" w:rsidR="00C57E20" w:rsidRPr="00810207" w:rsidRDefault="00C57E20" w:rsidP="008F3D39">
            <w:pPr>
              <w:jc w:val="right"/>
              <w:rPr>
                <w:rFonts w:ascii="Arial Narrow" w:hAnsi="Arial Narrow" w:cs="Arial"/>
                <w:b/>
                <w:sz w:val="16"/>
                <w:szCs w:val="16"/>
              </w:rPr>
            </w:pPr>
            <w:r w:rsidRPr="00810207">
              <w:rPr>
                <w:rFonts w:ascii="Arial Narrow" w:hAnsi="Arial Narrow" w:cs="Arial"/>
                <w:b/>
                <w:sz w:val="16"/>
                <w:szCs w:val="16"/>
              </w:rPr>
              <w:t>1,43</w:t>
            </w:r>
          </w:p>
        </w:tc>
      </w:tr>
      <w:tr w:rsidR="00C57E20" w:rsidRPr="007C087D" w14:paraId="44B22734" w14:textId="77777777" w:rsidTr="007C087D">
        <w:trPr>
          <w:trHeight w:val="198"/>
          <w:jc w:val="center"/>
        </w:trPr>
        <w:tc>
          <w:tcPr>
            <w:tcW w:w="2410" w:type="dxa"/>
            <w:tcBorders>
              <w:top w:val="single" w:sz="2" w:space="0" w:color="auto"/>
              <w:left w:val="nil"/>
              <w:bottom w:val="single" w:sz="2" w:space="0" w:color="auto"/>
              <w:right w:val="nil"/>
            </w:tcBorders>
            <w:shd w:val="clear" w:color="auto" w:fill="auto"/>
            <w:noWrap/>
            <w:vAlign w:val="center"/>
            <w:hideMark/>
          </w:tcPr>
          <w:p w14:paraId="7D73E318" w14:textId="77777777" w:rsidR="00C57E20" w:rsidRPr="00810207" w:rsidRDefault="00C57E20" w:rsidP="00060DBC">
            <w:pPr>
              <w:rPr>
                <w:rFonts w:ascii="Arial Narrow" w:hAnsi="Arial Narrow" w:cs="Calibri"/>
                <w:sz w:val="18"/>
                <w:szCs w:val="18"/>
              </w:rPr>
            </w:pPr>
            <w:r w:rsidRPr="00810207">
              <w:rPr>
                <w:rFonts w:ascii="Arial Narrow" w:hAnsi="Arial Narrow" w:cs="Calibri"/>
                <w:sz w:val="18"/>
                <w:szCs w:val="18"/>
              </w:rPr>
              <w:t>GAN</w:t>
            </w:r>
          </w:p>
        </w:tc>
        <w:tc>
          <w:tcPr>
            <w:tcW w:w="1077" w:type="dxa"/>
            <w:tcBorders>
              <w:top w:val="single" w:sz="2" w:space="0" w:color="auto"/>
              <w:left w:val="nil"/>
              <w:bottom w:val="single" w:sz="2" w:space="0" w:color="auto"/>
              <w:right w:val="nil"/>
            </w:tcBorders>
            <w:shd w:val="clear" w:color="auto" w:fill="auto"/>
            <w:noWrap/>
            <w:vAlign w:val="center"/>
            <w:hideMark/>
          </w:tcPr>
          <w:p w14:paraId="61DC1816"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408.871</w:t>
            </w:r>
          </w:p>
        </w:tc>
        <w:tc>
          <w:tcPr>
            <w:tcW w:w="1077" w:type="dxa"/>
            <w:tcBorders>
              <w:top w:val="single" w:sz="2" w:space="0" w:color="auto"/>
              <w:left w:val="nil"/>
              <w:bottom w:val="single" w:sz="2" w:space="0" w:color="auto"/>
              <w:right w:val="nil"/>
            </w:tcBorders>
            <w:shd w:val="clear" w:color="auto" w:fill="auto"/>
            <w:noWrap/>
            <w:vAlign w:val="center"/>
          </w:tcPr>
          <w:p w14:paraId="5394F44F"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077" w:type="dxa"/>
            <w:tcBorders>
              <w:top w:val="single" w:sz="2" w:space="0" w:color="auto"/>
              <w:left w:val="nil"/>
              <w:bottom w:val="single" w:sz="2" w:space="0" w:color="auto"/>
              <w:right w:val="nil"/>
            </w:tcBorders>
            <w:vAlign w:val="center"/>
          </w:tcPr>
          <w:p w14:paraId="146D5F42"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2.465.473</w:t>
            </w:r>
          </w:p>
        </w:tc>
        <w:tc>
          <w:tcPr>
            <w:tcW w:w="1077" w:type="dxa"/>
            <w:tcBorders>
              <w:top w:val="single" w:sz="2" w:space="0" w:color="auto"/>
              <w:left w:val="nil"/>
              <w:bottom w:val="single" w:sz="2" w:space="0" w:color="auto"/>
              <w:right w:val="nil"/>
            </w:tcBorders>
            <w:shd w:val="clear" w:color="auto" w:fill="auto"/>
            <w:noWrap/>
            <w:vAlign w:val="bottom"/>
          </w:tcPr>
          <w:p w14:paraId="42EC1150"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966.747</w:t>
            </w:r>
          </w:p>
        </w:tc>
        <w:tc>
          <w:tcPr>
            <w:tcW w:w="937" w:type="dxa"/>
            <w:tcBorders>
              <w:top w:val="single" w:sz="2" w:space="0" w:color="auto"/>
              <w:left w:val="nil"/>
              <w:bottom w:val="single" w:sz="2" w:space="0" w:color="auto"/>
              <w:right w:val="nil"/>
            </w:tcBorders>
            <w:shd w:val="clear" w:color="auto" w:fill="auto"/>
            <w:noWrap/>
            <w:vAlign w:val="center"/>
            <w:hideMark/>
          </w:tcPr>
          <w:p w14:paraId="7560F596"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217" w:type="dxa"/>
            <w:tcBorders>
              <w:top w:val="single" w:sz="2" w:space="0" w:color="auto"/>
              <w:left w:val="nil"/>
              <w:bottom w:val="single" w:sz="2" w:space="0" w:color="auto"/>
              <w:right w:val="nil"/>
            </w:tcBorders>
            <w:shd w:val="clear" w:color="auto" w:fill="auto"/>
            <w:noWrap/>
            <w:vAlign w:val="center"/>
            <w:hideMark/>
          </w:tcPr>
          <w:p w14:paraId="23BA7F4B" w14:textId="77777777" w:rsidR="00C57E20" w:rsidRPr="00810207" w:rsidRDefault="00C57E20" w:rsidP="008F3D39">
            <w:pPr>
              <w:jc w:val="right"/>
              <w:rPr>
                <w:rFonts w:ascii="Arial Narrow" w:hAnsi="Arial Narrow" w:cs="Calibri"/>
                <w:sz w:val="18"/>
                <w:szCs w:val="18"/>
              </w:rPr>
            </w:pPr>
            <w:r w:rsidRPr="00810207">
              <w:rPr>
                <w:rFonts w:ascii="Arial Narrow" w:hAnsi="Arial Narrow" w:cs="Calibri"/>
                <w:sz w:val="18"/>
                <w:szCs w:val="18"/>
              </w:rPr>
              <w:t>11,91</w:t>
            </w:r>
          </w:p>
        </w:tc>
      </w:tr>
      <w:tr w:rsidR="00C57E20" w:rsidRPr="007C087D" w14:paraId="25A59568" w14:textId="77777777" w:rsidTr="007C087D">
        <w:trPr>
          <w:trHeight w:val="198"/>
          <w:jc w:val="center"/>
        </w:trPr>
        <w:tc>
          <w:tcPr>
            <w:tcW w:w="2410" w:type="dxa"/>
            <w:tcBorders>
              <w:top w:val="single" w:sz="2" w:space="0" w:color="auto"/>
              <w:left w:val="nil"/>
              <w:bottom w:val="single" w:sz="2" w:space="0" w:color="auto"/>
              <w:right w:val="nil"/>
            </w:tcBorders>
            <w:shd w:val="clear" w:color="auto" w:fill="auto"/>
            <w:noWrap/>
            <w:vAlign w:val="center"/>
            <w:hideMark/>
          </w:tcPr>
          <w:p w14:paraId="0196D042" w14:textId="77777777" w:rsidR="00C57E20" w:rsidRPr="00810207" w:rsidRDefault="00C57E20" w:rsidP="00060DBC">
            <w:pPr>
              <w:rPr>
                <w:rFonts w:ascii="Arial Narrow" w:hAnsi="Arial Narrow" w:cs="Calibri"/>
                <w:sz w:val="18"/>
                <w:szCs w:val="18"/>
              </w:rPr>
            </w:pPr>
            <w:r w:rsidRPr="00810207">
              <w:rPr>
                <w:rFonts w:ascii="Arial Narrow" w:hAnsi="Arial Narrow" w:cs="Calibri"/>
                <w:sz w:val="18"/>
                <w:szCs w:val="18"/>
              </w:rPr>
              <w:t>NILSA</w:t>
            </w:r>
          </w:p>
        </w:tc>
        <w:tc>
          <w:tcPr>
            <w:tcW w:w="1077" w:type="dxa"/>
            <w:tcBorders>
              <w:top w:val="single" w:sz="2" w:space="0" w:color="auto"/>
              <w:left w:val="nil"/>
              <w:bottom w:val="single" w:sz="2" w:space="0" w:color="auto"/>
              <w:right w:val="nil"/>
            </w:tcBorders>
            <w:shd w:val="clear" w:color="auto" w:fill="auto"/>
            <w:noWrap/>
            <w:vAlign w:val="center"/>
            <w:hideMark/>
          </w:tcPr>
          <w:p w14:paraId="11C029B4"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221.180</w:t>
            </w:r>
          </w:p>
        </w:tc>
        <w:tc>
          <w:tcPr>
            <w:tcW w:w="1077" w:type="dxa"/>
            <w:tcBorders>
              <w:top w:val="single" w:sz="2" w:space="0" w:color="auto"/>
              <w:left w:val="nil"/>
              <w:bottom w:val="single" w:sz="2" w:space="0" w:color="auto"/>
              <w:right w:val="nil"/>
            </w:tcBorders>
            <w:shd w:val="clear" w:color="auto" w:fill="auto"/>
            <w:noWrap/>
            <w:vAlign w:val="center"/>
          </w:tcPr>
          <w:p w14:paraId="140C9AF0"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077" w:type="dxa"/>
            <w:tcBorders>
              <w:top w:val="single" w:sz="2" w:space="0" w:color="auto"/>
              <w:left w:val="nil"/>
              <w:bottom w:val="single" w:sz="2" w:space="0" w:color="auto"/>
              <w:right w:val="nil"/>
            </w:tcBorders>
            <w:vAlign w:val="center"/>
          </w:tcPr>
          <w:p w14:paraId="42A09F2C"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7.020.935</w:t>
            </w:r>
          </w:p>
        </w:tc>
        <w:tc>
          <w:tcPr>
            <w:tcW w:w="1077" w:type="dxa"/>
            <w:tcBorders>
              <w:top w:val="single" w:sz="2" w:space="0" w:color="auto"/>
              <w:left w:val="nil"/>
              <w:bottom w:val="single" w:sz="2" w:space="0" w:color="auto"/>
              <w:right w:val="nil"/>
            </w:tcBorders>
            <w:shd w:val="clear" w:color="auto" w:fill="auto"/>
            <w:noWrap/>
            <w:vAlign w:val="bottom"/>
          </w:tcPr>
          <w:p w14:paraId="27074319"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498.662</w:t>
            </w:r>
          </w:p>
        </w:tc>
        <w:tc>
          <w:tcPr>
            <w:tcW w:w="937" w:type="dxa"/>
            <w:tcBorders>
              <w:top w:val="single" w:sz="2" w:space="0" w:color="auto"/>
              <w:left w:val="nil"/>
              <w:bottom w:val="single" w:sz="2" w:space="0" w:color="auto"/>
              <w:right w:val="nil"/>
            </w:tcBorders>
            <w:shd w:val="clear" w:color="auto" w:fill="auto"/>
            <w:noWrap/>
            <w:vAlign w:val="center"/>
          </w:tcPr>
          <w:p w14:paraId="5CA5EBA6"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217" w:type="dxa"/>
            <w:tcBorders>
              <w:top w:val="single" w:sz="2" w:space="0" w:color="auto"/>
              <w:left w:val="nil"/>
              <w:bottom w:val="single" w:sz="2" w:space="0" w:color="auto"/>
              <w:right w:val="nil"/>
            </w:tcBorders>
            <w:shd w:val="clear" w:color="auto" w:fill="auto"/>
            <w:noWrap/>
            <w:vAlign w:val="center"/>
            <w:hideMark/>
          </w:tcPr>
          <w:p w14:paraId="644E29C7" w14:textId="77777777" w:rsidR="00C57E20" w:rsidRPr="00810207" w:rsidRDefault="00C57E20" w:rsidP="008F3D39">
            <w:pPr>
              <w:jc w:val="right"/>
              <w:rPr>
                <w:rFonts w:ascii="Arial Narrow" w:hAnsi="Arial Narrow" w:cs="Calibri"/>
                <w:sz w:val="18"/>
                <w:szCs w:val="18"/>
              </w:rPr>
            </w:pPr>
            <w:r w:rsidRPr="00810207">
              <w:rPr>
                <w:rFonts w:ascii="Arial Narrow" w:hAnsi="Arial Narrow" w:cs="Calibri"/>
                <w:sz w:val="18"/>
                <w:szCs w:val="18"/>
              </w:rPr>
              <w:t>2,94</w:t>
            </w:r>
          </w:p>
        </w:tc>
      </w:tr>
      <w:tr w:rsidR="00C57E20" w:rsidRPr="007C087D" w14:paraId="4D20E548" w14:textId="77777777" w:rsidTr="007C087D">
        <w:trPr>
          <w:trHeight w:val="198"/>
          <w:jc w:val="center"/>
        </w:trPr>
        <w:tc>
          <w:tcPr>
            <w:tcW w:w="2410" w:type="dxa"/>
            <w:tcBorders>
              <w:top w:val="single" w:sz="2" w:space="0" w:color="auto"/>
              <w:left w:val="nil"/>
              <w:bottom w:val="single" w:sz="2" w:space="0" w:color="auto"/>
              <w:right w:val="nil"/>
            </w:tcBorders>
            <w:shd w:val="clear" w:color="auto" w:fill="auto"/>
            <w:noWrap/>
            <w:vAlign w:val="center"/>
            <w:hideMark/>
          </w:tcPr>
          <w:p w14:paraId="5C616FA7" w14:textId="77777777" w:rsidR="00C57E20" w:rsidRPr="00810207" w:rsidRDefault="00C57E20" w:rsidP="00060DBC">
            <w:pPr>
              <w:rPr>
                <w:rFonts w:ascii="Arial Narrow" w:hAnsi="Arial Narrow" w:cs="Calibri"/>
                <w:sz w:val="18"/>
                <w:szCs w:val="18"/>
              </w:rPr>
            </w:pPr>
            <w:r w:rsidRPr="00810207">
              <w:rPr>
                <w:rFonts w:ascii="Arial Narrow" w:hAnsi="Arial Narrow" w:cs="Calibri"/>
                <w:sz w:val="18"/>
                <w:szCs w:val="18"/>
              </w:rPr>
              <w:t>NICDO</w:t>
            </w:r>
          </w:p>
        </w:tc>
        <w:tc>
          <w:tcPr>
            <w:tcW w:w="1077" w:type="dxa"/>
            <w:tcBorders>
              <w:top w:val="single" w:sz="2" w:space="0" w:color="auto"/>
              <w:left w:val="nil"/>
              <w:bottom w:val="single" w:sz="2" w:space="0" w:color="auto"/>
              <w:right w:val="nil"/>
            </w:tcBorders>
            <w:shd w:val="clear" w:color="auto" w:fill="auto"/>
            <w:noWrap/>
            <w:vAlign w:val="center"/>
            <w:hideMark/>
          </w:tcPr>
          <w:p w14:paraId="21052E57"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103.458</w:t>
            </w:r>
          </w:p>
        </w:tc>
        <w:tc>
          <w:tcPr>
            <w:tcW w:w="1077" w:type="dxa"/>
            <w:tcBorders>
              <w:top w:val="single" w:sz="2" w:space="0" w:color="auto"/>
              <w:left w:val="nil"/>
              <w:bottom w:val="single" w:sz="2" w:space="0" w:color="auto"/>
              <w:right w:val="nil"/>
            </w:tcBorders>
            <w:shd w:val="clear" w:color="auto" w:fill="auto"/>
            <w:noWrap/>
            <w:vAlign w:val="center"/>
          </w:tcPr>
          <w:p w14:paraId="5ECF7CD2"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077" w:type="dxa"/>
            <w:tcBorders>
              <w:top w:val="single" w:sz="2" w:space="0" w:color="auto"/>
              <w:left w:val="nil"/>
              <w:bottom w:val="single" w:sz="2" w:space="0" w:color="auto"/>
              <w:right w:val="nil"/>
            </w:tcBorders>
            <w:vAlign w:val="center"/>
          </w:tcPr>
          <w:p w14:paraId="58F46D7D"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620.941</w:t>
            </w:r>
          </w:p>
        </w:tc>
        <w:tc>
          <w:tcPr>
            <w:tcW w:w="1077" w:type="dxa"/>
            <w:tcBorders>
              <w:top w:val="single" w:sz="2" w:space="0" w:color="auto"/>
              <w:left w:val="nil"/>
              <w:bottom w:val="single" w:sz="2" w:space="0" w:color="auto"/>
              <w:right w:val="nil"/>
            </w:tcBorders>
            <w:shd w:val="clear" w:color="auto" w:fill="auto"/>
            <w:noWrap/>
            <w:vAlign w:val="bottom"/>
          </w:tcPr>
          <w:p w14:paraId="34192F26"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2.636.203</w:t>
            </w:r>
          </w:p>
        </w:tc>
        <w:tc>
          <w:tcPr>
            <w:tcW w:w="937" w:type="dxa"/>
            <w:tcBorders>
              <w:top w:val="single" w:sz="2" w:space="0" w:color="auto"/>
              <w:left w:val="nil"/>
              <w:bottom w:val="single" w:sz="2" w:space="0" w:color="auto"/>
              <w:right w:val="nil"/>
            </w:tcBorders>
            <w:shd w:val="clear" w:color="auto" w:fill="auto"/>
            <w:noWrap/>
            <w:vAlign w:val="center"/>
          </w:tcPr>
          <w:p w14:paraId="45329D5F"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217" w:type="dxa"/>
            <w:tcBorders>
              <w:top w:val="single" w:sz="2" w:space="0" w:color="auto"/>
              <w:left w:val="nil"/>
              <w:bottom w:val="single" w:sz="2" w:space="0" w:color="auto"/>
              <w:right w:val="nil"/>
            </w:tcBorders>
            <w:shd w:val="clear" w:color="auto" w:fill="auto"/>
            <w:noWrap/>
            <w:vAlign w:val="center"/>
            <w:hideMark/>
          </w:tcPr>
          <w:p w14:paraId="41CC13D0" w14:textId="77777777" w:rsidR="00C57E20" w:rsidRPr="00810207" w:rsidRDefault="00C57E20" w:rsidP="008F3D39">
            <w:pPr>
              <w:jc w:val="right"/>
              <w:rPr>
                <w:rFonts w:ascii="Arial Narrow" w:hAnsi="Arial Narrow" w:cs="Calibri"/>
                <w:sz w:val="18"/>
                <w:szCs w:val="18"/>
              </w:rPr>
            </w:pPr>
            <w:r w:rsidRPr="00810207">
              <w:rPr>
                <w:rFonts w:ascii="Arial Narrow" w:hAnsi="Arial Narrow" w:cs="Calibri"/>
                <w:sz w:val="18"/>
                <w:szCs w:val="18"/>
              </w:rPr>
              <w:t>3,18</w:t>
            </w:r>
          </w:p>
        </w:tc>
      </w:tr>
      <w:tr w:rsidR="00C57E20" w:rsidRPr="007C087D" w14:paraId="487138A3" w14:textId="77777777" w:rsidTr="007C087D">
        <w:trPr>
          <w:trHeight w:val="198"/>
          <w:jc w:val="center"/>
        </w:trPr>
        <w:tc>
          <w:tcPr>
            <w:tcW w:w="2410" w:type="dxa"/>
            <w:tcBorders>
              <w:top w:val="single" w:sz="2" w:space="0" w:color="auto"/>
              <w:left w:val="nil"/>
              <w:bottom w:val="single" w:sz="2" w:space="0" w:color="auto"/>
              <w:right w:val="nil"/>
            </w:tcBorders>
            <w:shd w:val="clear" w:color="auto" w:fill="auto"/>
            <w:noWrap/>
            <w:vAlign w:val="center"/>
            <w:hideMark/>
          </w:tcPr>
          <w:p w14:paraId="0208E961" w14:textId="77777777" w:rsidR="00C57E20" w:rsidRPr="00810207" w:rsidRDefault="00C57E20" w:rsidP="00060DBC">
            <w:pPr>
              <w:rPr>
                <w:rFonts w:ascii="Arial Narrow" w:hAnsi="Arial Narrow" w:cs="Calibri"/>
                <w:sz w:val="18"/>
                <w:szCs w:val="18"/>
              </w:rPr>
            </w:pPr>
            <w:r w:rsidRPr="00810207">
              <w:rPr>
                <w:rFonts w:ascii="Arial Narrow" w:hAnsi="Arial Narrow" w:cs="Calibri"/>
                <w:sz w:val="18"/>
                <w:szCs w:val="18"/>
              </w:rPr>
              <w:t>CEIN</w:t>
            </w:r>
          </w:p>
        </w:tc>
        <w:tc>
          <w:tcPr>
            <w:tcW w:w="1077" w:type="dxa"/>
            <w:tcBorders>
              <w:top w:val="single" w:sz="2" w:space="0" w:color="auto"/>
              <w:left w:val="nil"/>
              <w:bottom w:val="single" w:sz="2" w:space="0" w:color="auto"/>
              <w:right w:val="nil"/>
            </w:tcBorders>
            <w:shd w:val="clear" w:color="auto" w:fill="auto"/>
            <w:noWrap/>
            <w:vAlign w:val="center"/>
            <w:hideMark/>
          </w:tcPr>
          <w:p w14:paraId="2AEDE922"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3.147</w:t>
            </w:r>
          </w:p>
        </w:tc>
        <w:tc>
          <w:tcPr>
            <w:tcW w:w="1077" w:type="dxa"/>
            <w:tcBorders>
              <w:top w:val="single" w:sz="2" w:space="0" w:color="auto"/>
              <w:left w:val="nil"/>
              <w:bottom w:val="single" w:sz="2" w:space="0" w:color="auto"/>
              <w:right w:val="nil"/>
            </w:tcBorders>
            <w:shd w:val="clear" w:color="auto" w:fill="auto"/>
            <w:noWrap/>
            <w:vAlign w:val="center"/>
          </w:tcPr>
          <w:p w14:paraId="04158E5B"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077" w:type="dxa"/>
            <w:tcBorders>
              <w:top w:val="single" w:sz="2" w:space="0" w:color="auto"/>
              <w:left w:val="nil"/>
              <w:bottom w:val="single" w:sz="2" w:space="0" w:color="auto"/>
              <w:right w:val="nil"/>
            </w:tcBorders>
            <w:vAlign w:val="center"/>
          </w:tcPr>
          <w:p w14:paraId="4A02EABC"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0</w:t>
            </w:r>
          </w:p>
        </w:tc>
        <w:tc>
          <w:tcPr>
            <w:tcW w:w="1077" w:type="dxa"/>
            <w:tcBorders>
              <w:top w:val="single" w:sz="2" w:space="0" w:color="auto"/>
              <w:left w:val="nil"/>
              <w:bottom w:val="single" w:sz="2" w:space="0" w:color="auto"/>
              <w:right w:val="nil"/>
            </w:tcBorders>
            <w:shd w:val="clear" w:color="auto" w:fill="auto"/>
            <w:noWrap/>
            <w:vAlign w:val="bottom"/>
          </w:tcPr>
          <w:p w14:paraId="6CF4188B"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490.635</w:t>
            </w:r>
          </w:p>
        </w:tc>
        <w:tc>
          <w:tcPr>
            <w:tcW w:w="937" w:type="dxa"/>
            <w:tcBorders>
              <w:top w:val="single" w:sz="2" w:space="0" w:color="auto"/>
              <w:left w:val="nil"/>
              <w:bottom w:val="single" w:sz="2" w:space="0" w:color="auto"/>
              <w:right w:val="nil"/>
            </w:tcBorders>
            <w:shd w:val="clear" w:color="auto" w:fill="auto"/>
            <w:noWrap/>
            <w:vAlign w:val="center"/>
          </w:tcPr>
          <w:p w14:paraId="6B5E7C10"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217" w:type="dxa"/>
            <w:tcBorders>
              <w:top w:val="single" w:sz="2" w:space="0" w:color="auto"/>
              <w:left w:val="nil"/>
              <w:bottom w:val="single" w:sz="2" w:space="0" w:color="auto"/>
              <w:right w:val="nil"/>
            </w:tcBorders>
            <w:shd w:val="clear" w:color="auto" w:fill="auto"/>
            <w:noWrap/>
            <w:vAlign w:val="center"/>
            <w:hideMark/>
          </w:tcPr>
          <w:p w14:paraId="22CA5D7D" w14:textId="77777777" w:rsidR="00C57E20" w:rsidRPr="00810207" w:rsidRDefault="00C57E20" w:rsidP="008F3D39">
            <w:pPr>
              <w:jc w:val="right"/>
              <w:rPr>
                <w:rFonts w:ascii="Arial Narrow" w:hAnsi="Arial Narrow" w:cs="Calibri"/>
                <w:sz w:val="18"/>
                <w:szCs w:val="18"/>
              </w:rPr>
            </w:pPr>
            <w:r w:rsidRPr="00810207">
              <w:rPr>
                <w:rFonts w:ascii="Arial Narrow" w:hAnsi="Arial Narrow" w:cs="Calibri"/>
                <w:sz w:val="18"/>
                <w:szCs w:val="18"/>
              </w:rPr>
              <w:t>0,64</w:t>
            </w:r>
          </w:p>
        </w:tc>
      </w:tr>
      <w:tr w:rsidR="00C57E20" w:rsidRPr="007C087D" w14:paraId="62F26C50" w14:textId="77777777" w:rsidTr="007C087D">
        <w:trPr>
          <w:trHeight w:val="198"/>
          <w:jc w:val="center"/>
        </w:trPr>
        <w:tc>
          <w:tcPr>
            <w:tcW w:w="2410" w:type="dxa"/>
            <w:tcBorders>
              <w:top w:val="single" w:sz="2" w:space="0" w:color="auto"/>
              <w:left w:val="nil"/>
              <w:bottom w:val="single" w:sz="2" w:space="0" w:color="auto"/>
              <w:right w:val="nil"/>
            </w:tcBorders>
            <w:shd w:val="clear" w:color="auto" w:fill="auto"/>
            <w:noWrap/>
            <w:vAlign w:val="center"/>
            <w:hideMark/>
          </w:tcPr>
          <w:p w14:paraId="3A968FD8" w14:textId="77777777" w:rsidR="00C57E20" w:rsidRPr="00810207" w:rsidRDefault="00C57E20" w:rsidP="00060DBC">
            <w:pPr>
              <w:rPr>
                <w:rFonts w:ascii="Arial Narrow" w:hAnsi="Arial Narrow" w:cs="Calibri"/>
                <w:sz w:val="18"/>
                <w:szCs w:val="18"/>
              </w:rPr>
            </w:pPr>
            <w:r w:rsidRPr="00810207">
              <w:rPr>
                <w:rFonts w:ascii="Arial Narrow" w:hAnsi="Arial Narrow" w:cs="Calibri"/>
                <w:sz w:val="18"/>
                <w:szCs w:val="18"/>
              </w:rPr>
              <w:t>NASUVINSA</w:t>
            </w:r>
          </w:p>
        </w:tc>
        <w:tc>
          <w:tcPr>
            <w:tcW w:w="1077" w:type="dxa"/>
            <w:tcBorders>
              <w:top w:val="single" w:sz="2" w:space="0" w:color="auto"/>
              <w:left w:val="nil"/>
              <w:bottom w:val="single" w:sz="2" w:space="0" w:color="auto"/>
              <w:right w:val="nil"/>
            </w:tcBorders>
            <w:shd w:val="clear" w:color="auto" w:fill="auto"/>
            <w:noWrap/>
            <w:vAlign w:val="center"/>
            <w:hideMark/>
          </w:tcPr>
          <w:p w14:paraId="3D192803"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1.079.961</w:t>
            </w:r>
          </w:p>
        </w:tc>
        <w:tc>
          <w:tcPr>
            <w:tcW w:w="1077" w:type="dxa"/>
            <w:tcBorders>
              <w:top w:val="single" w:sz="2" w:space="0" w:color="auto"/>
              <w:left w:val="nil"/>
              <w:bottom w:val="single" w:sz="2" w:space="0" w:color="auto"/>
              <w:right w:val="nil"/>
            </w:tcBorders>
            <w:shd w:val="clear" w:color="auto" w:fill="auto"/>
            <w:noWrap/>
            <w:vAlign w:val="center"/>
          </w:tcPr>
          <w:p w14:paraId="0920CD11"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077" w:type="dxa"/>
            <w:tcBorders>
              <w:top w:val="single" w:sz="2" w:space="0" w:color="auto"/>
              <w:left w:val="nil"/>
              <w:bottom w:val="single" w:sz="2" w:space="0" w:color="auto"/>
              <w:right w:val="nil"/>
            </w:tcBorders>
            <w:vAlign w:val="center"/>
          </w:tcPr>
          <w:p w14:paraId="4A67ADB6"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32.263.019</w:t>
            </w:r>
          </w:p>
        </w:tc>
        <w:tc>
          <w:tcPr>
            <w:tcW w:w="1077" w:type="dxa"/>
            <w:tcBorders>
              <w:top w:val="single" w:sz="2" w:space="0" w:color="auto"/>
              <w:left w:val="nil"/>
              <w:bottom w:val="single" w:sz="2" w:space="0" w:color="auto"/>
              <w:right w:val="nil"/>
            </w:tcBorders>
            <w:shd w:val="clear" w:color="auto" w:fill="auto"/>
            <w:noWrap/>
            <w:vAlign w:val="bottom"/>
          </w:tcPr>
          <w:p w14:paraId="0680033A"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2.159.647</w:t>
            </w:r>
          </w:p>
        </w:tc>
        <w:tc>
          <w:tcPr>
            <w:tcW w:w="937" w:type="dxa"/>
            <w:tcBorders>
              <w:top w:val="single" w:sz="2" w:space="0" w:color="auto"/>
              <w:left w:val="nil"/>
              <w:bottom w:val="single" w:sz="2" w:space="0" w:color="auto"/>
              <w:right w:val="nil"/>
            </w:tcBorders>
            <w:shd w:val="clear" w:color="auto" w:fill="auto"/>
            <w:noWrap/>
            <w:vAlign w:val="center"/>
          </w:tcPr>
          <w:p w14:paraId="78086EF4"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217" w:type="dxa"/>
            <w:tcBorders>
              <w:top w:val="single" w:sz="2" w:space="0" w:color="auto"/>
              <w:left w:val="nil"/>
              <w:bottom w:val="single" w:sz="2" w:space="0" w:color="auto"/>
              <w:right w:val="nil"/>
            </w:tcBorders>
            <w:shd w:val="clear" w:color="auto" w:fill="auto"/>
            <w:noWrap/>
            <w:vAlign w:val="center"/>
            <w:hideMark/>
          </w:tcPr>
          <w:p w14:paraId="76959141" w14:textId="77777777" w:rsidR="00C57E20" w:rsidRPr="00810207" w:rsidRDefault="00C57E20" w:rsidP="008F3D39">
            <w:pPr>
              <w:jc w:val="right"/>
              <w:rPr>
                <w:rFonts w:ascii="Arial Narrow" w:hAnsi="Arial Narrow" w:cs="Calibri"/>
                <w:sz w:val="18"/>
                <w:szCs w:val="18"/>
              </w:rPr>
            </w:pPr>
            <w:r w:rsidRPr="00810207">
              <w:rPr>
                <w:rFonts w:ascii="Arial Narrow" w:hAnsi="Arial Narrow" w:cs="Calibri"/>
                <w:sz w:val="18"/>
                <w:szCs w:val="18"/>
              </w:rPr>
              <w:t>3,14</w:t>
            </w:r>
          </w:p>
        </w:tc>
      </w:tr>
      <w:tr w:rsidR="00C57E20" w:rsidRPr="007C087D" w14:paraId="569AEABF" w14:textId="77777777" w:rsidTr="007C087D">
        <w:trPr>
          <w:trHeight w:val="198"/>
          <w:jc w:val="center"/>
        </w:trPr>
        <w:tc>
          <w:tcPr>
            <w:tcW w:w="2410" w:type="dxa"/>
            <w:tcBorders>
              <w:top w:val="single" w:sz="2" w:space="0" w:color="auto"/>
              <w:left w:val="nil"/>
              <w:bottom w:val="single" w:sz="2" w:space="0" w:color="auto"/>
              <w:right w:val="nil"/>
            </w:tcBorders>
            <w:shd w:val="clear" w:color="auto" w:fill="auto"/>
            <w:noWrap/>
            <w:vAlign w:val="center"/>
            <w:hideMark/>
          </w:tcPr>
          <w:p w14:paraId="09322317" w14:textId="77777777" w:rsidR="00C57E20" w:rsidRPr="00810207" w:rsidRDefault="00C57E20" w:rsidP="00060DBC">
            <w:pPr>
              <w:rPr>
                <w:rFonts w:ascii="Arial Narrow" w:hAnsi="Arial Narrow" w:cs="Calibri"/>
                <w:sz w:val="18"/>
                <w:szCs w:val="18"/>
              </w:rPr>
            </w:pPr>
            <w:r w:rsidRPr="00810207">
              <w:rPr>
                <w:rFonts w:ascii="Arial Narrow" w:hAnsi="Arial Narrow" w:cs="Calibri"/>
                <w:sz w:val="18"/>
                <w:szCs w:val="18"/>
              </w:rPr>
              <w:t>CPEN</w:t>
            </w:r>
          </w:p>
        </w:tc>
        <w:tc>
          <w:tcPr>
            <w:tcW w:w="1077" w:type="dxa"/>
            <w:tcBorders>
              <w:top w:val="single" w:sz="2" w:space="0" w:color="auto"/>
              <w:left w:val="nil"/>
              <w:bottom w:val="single" w:sz="2" w:space="0" w:color="auto"/>
              <w:right w:val="nil"/>
            </w:tcBorders>
            <w:shd w:val="clear" w:color="auto" w:fill="auto"/>
            <w:noWrap/>
            <w:vAlign w:val="center"/>
            <w:hideMark/>
          </w:tcPr>
          <w:p w14:paraId="6378DDA7"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1.111</w:t>
            </w:r>
          </w:p>
        </w:tc>
        <w:tc>
          <w:tcPr>
            <w:tcW w:w="1077" w:type="dxa"/>
            <w:tcBorders>
              <w:top w:val="single" w:sz="2" w:space="0" w:color="auto"/>
              <w:left w:val="nil"/>
              <w:bottom w:val="single" w:sz="2" w:space="0" w:color="auto"/>
              <w:right w:val="nil"/>
            </w:tcBorders>
            <w:shd w:val="clear" w:color="auto" w:fill="auto"/>
            <w:noWrap/>
            <w:vAlign w:val="center"/>
          </w:tcPr>
          <w:p w14:paraId="2EDC47A1"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077" w:type="dxa"/>
            <w:tcBorders>
              <w:top w:val="single" w:sz="2" w:space="0" w:color="auto"/>
              <w:left w:val="nil"/>
              <w:bottom w:val="single" w:sz="2" w:space="0" w:color="auto"/>
              <w:right w:val="nil"/>
            </w:tcBorders>
            <w:vAlign w:val="center"/>
          </w:tcPr>
          <w:p w14:paraId="53B4BDE9"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0</w:t>
            </w:r>
          </w:p>
        </w:tc>
        <w:tc>
          <w:tcPr>
            <w:tcW w:w="1077" w:type="dxa"/>
            <w:tcBorders>
              <w:top w:val="single" w:sz="2" w:space="0" w:color="auto"/>
              <w:left w:val="nil"/>
              <w:bottom w:val="single" w:sz="2" w:space="0" w:color="auto"/>
              <w:right w:val="nil"/>
            </w:tcBorders>
            <w:shd w:val="clear" w:color="auto" w:fill="auto"/>
            <w:noWrap/>
            <w:vAlign w:val="bottom"/>
          </w:tcPr>
          <w:p w14:paraId="57E665FD"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204.906</w:t>
            </w:r>
          </w:p>
        </w:tc>
        <w:tc>
          <w:tcPr>
            <w:tcW w:w="937" w:type="dxa"/>
            <w:tcBorders>
              <w:top w:val="single" w:sz="2" w:space="0" w:color="auto"/>
              <w:left w:val="nil"/>
              <w:bottom w:val="single" w:sz="2" w:space="0" w:color="auto"/>
              <w:right w:val="nil"/>
            </w:tcBorders>
            <w:shd w:val="clear" w:color="auto" w:fill="auto"/>
            <w:noWrap/>
            <w:vAlign w:val="center"/>
          </w:tcPr>
          <w:p w14:paraId="3CE38CA7"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217" w:type="dxa"/>
            <w:tcBorders>
              <w:top w:val="single" w:sz="2" w:space="0" w:color="auto"/>
              <w:left w:val="nil"/>
              <w:bottom w:val="single" w:sz="2" w:space="0" w:color="auto"/>
              <w:right w:val="nil"/>
            </w:tcBorders>
            <w:shd w:val="clear" w:color="auto" w:fill="auto"/>
            <w:noWrap/>
            <w:vAlign w:val="center"/>
            <w:hideMark/>
          </w:tcPr>
          <w:p w14:paraId="0097B22C" w14:textId="77777777" w:rsidR="00C57E20" w:rsidRPr="00810207" w:rsidRDefault="00C57E20" w:rsidP="008F3D39">
            <w:pPr>
              <w:jc w:val="right"/>
              <w:rPr>
                <w:rFonts w:ascii="Arial Narrow" w:hAnsi="Arial Narrow" w:cs="Calibri"/>
                <w:sz w:val="18"/>
                <w:szCs w:val="18"/>
              </w:rPr>
            </w:pPr>
            <w:r w:rsidRPr="00810207">
              <w:rPr>
                <w:rFonts w:ascii="Arial Narrow" w:hAnsi="Arial Narrow" w:cs="Calibri"/>
                <w:sz w:val="18"/>
                <w:szCs w:val="18"/>
              </w:rPr>
              <w:t>0,54</w:t>
            </w:r>
          </w:p>
        </w:tc>
      </w:tr>
      <w:tr w:rsidR="00C57E20" w:rsidRPr="007C087D" w14:paraId="38232E2E" w14:textId="77777777" w:rsidTr="007C087D">
        <w:trPr>
          <w:trHeight w:val="198"/>
          <w:jc w:val="center"/>
        </w:trPr>
        <w:tc>
          <w:tcPr>
            <w:tcW w:w="2410" w:type="dxa"/>
            <w:tcBorders>
              <w:top w:val="single" w:sz="2" w:space="0" w:color="auto"/>
              <w:left w:val="nil"/>
              <w:bottom w:val="single" w:sz="2" w:space="0" w:color="auto"/>
              <w:right w:val="nil"/>
            </w:tcBorders>
            <w:shd w:val="clear" w:color="auto" w:fill="auto"/>
            <w:noWrap/>
            <w:vAlign w:val="center"/>
            <w:hideMark/>
          </w:tcPr>
          <w:p w14:paraId="102C7409" w14:textId="77777777" w:rsidR="00C57E20" w:rsidRPr="00810207" w:rsidRDefault="00C57E20" w:rsidP="00060DBC">
            <w:pPr>
              <w:rPr>
                <w:rFonts w:ascii="Arial Narrow" w:hAnsi="Arial Narrow" w:cs="Calibri"/>
                <w:sz w:val="18"/>
                <w:szCs w:val="18"/>
              </w:rPr>
            </w:pPr>
            <w:r w:rsidRPr="00810207">
              <w:rPr>
                <w:rFonts w:ascii="Arial Narrow" w:hAnsi="Arial Narrow" w:cs="Calibri"/>
                <w:sz w:val="18"/>
                <w:szCs w:val="18"/>
              </w:rPr>
              <w:t>NASERTIC</w:t>
            </w:r>
          </w:p>
        </w:tc>
        <w:tc>
          <w:tcPr>
            <w:tcW w:w="1077" w:type="dxa"/>
            <w:tcBorders>
              <w:top w:val="single" w:sz="2" w:space="0" w:color="auto"/>
              <w:left w:val="nil"/>
              <w:bottom w:val="single" w:sz="2" w:space="0" w:color="auto"/>
              <w:right w:val="nil"/>
            </w:tcBorders>
            <w:shd w:val="clear" w:color="auto" w:fill="auto"/>
            <w:noWrap/>
            <w:vAlign w:val="center"/>
            <w:hideMark/>
          </w:tcPr>
          <w:p w14:paraId="146C49A0"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6.863</w:t>
            </w:r>
          </w:p>
        </w:tc>
        <w:tc>
          <w:tcPr>
            <w:tcW w:w="1077" w:type="dxa"/>
            <w:tcBorders>
              <w:top w:val="single" w:sz="2" w:space="0" w:color="auto"/>
              <w:left w:val="nil"/>
              <w:bottom w:val="single" w:sz="2" w:space="0" w:color="auto"/>
              <w:right w:val="nil"/>
            </w:tcBorders>
            <w:shd w:val="clear" w:color="auto" w:fill="auto"/>
            <w:noWrap/>
            <w:vAlign w:val="center"/>
          </w:tcPr>
          <w:p w14:paraId="19513620"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077" w:type="dxa"/>
            <w:tcBorders>
              <w:top w:val="single" w:sz="2" w:space="0" w:color="auto"/>
              <w:left w:val="nil"/>
              <w:bottom w:val="single" w:sz="2" w:space="0" w:color="auto"/>
              <w:right w:val="nil"/>
            </w:tcBorders>
            <w:vAlign w:val="center"/>
          </w:tcPr>
          <w:p w14:paraId="5B96298A"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2.016.268</w:t>
            </w:r>
          </w:p>
        </w:tc>
        <w:tc>
          <w:tcPr>
            <w:tcW w:w="1077" w:type="dxa"/>
            <w:tcBorders>
              <w:top w:val="single" w:sz="2" w:space="0" w:color="auto"/>
              <w:left w:val="nil"/>
              <w:bottom w:val="single" w:sz="2" w:space="0" w:color="auto"/>
              <w:right w:val="nil"/>
            </w:tcBorders>
            <w:shd w:val="clear" w:color="auto" w:fill="auto"/>
            <w:noWrap/>
            <w:vAlign w:val="bottom"/>
          </w:tcPr>
          <w:p w14:paraId="2AC46AA7"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564.397</w:t>
            </w:r>
          </w:p>
        </w:tc>
        <w:tc>
          <w:tcPr>
            <w:tcW w:w="937" w:type="dxa"/>
            <w:tcBorders>
              <w:top w:val="single" w:sz="2" w:space="0" w:color="auto"/>
              <w:left w:val="nil"/>
              <w:bottom w:val="single" w:sz="2" w:space="0" w:color="auto"/>
              <w:right w:val="nil"/>
            </w:tcBorders>
            <w:shd w:val="clear" w:color="auto" w:fill="auto"/>
            <w:noWrap/>
            <w:vAlign w:val="center"/>
          </w:tcPr>
          <w:p w14:paraId="4C3C4223"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217" w:type="dxa"/>
            <w:tcBorders>
              <w:top w:val="single" w:sz="2" w:space="0" w:color="auto"/>
              <w:left w:val="nil"/>
              <w:bottom w:val="single" w:sz="2" w:space="0" w:color="auto"/>
              <w:right w:val="nil"/>
            </w:tcBorders>
            <w:shd w:val="clear" w:color="auto" w:fill="auto"/>
            <w:noWrap/>
            <w:vAlign w:val="center"/>
            <w:hideMark/>
          </w:tcPr>
          <w:p w14:paraId="3EC21EC4" w14:textId="77777777" w:rsidR="00C57E20" w:rsidRPr="00810207" w:rsidRDefault="00C57E20" w:rsidP="008F3D39">
            <w:pPr>
              <w:jc w:val="right"/>
              <w:rPr>
                <w:rFonts w:ascii="Arial Narrow" w:hAnsi="Arial Narrow" w:cs="Calibri"/>
                <w:sz w:val="18"/>
                <w:szCs w:val="18"/>
              </w:rPr>
            </w:pPr>
            <w:r w:rsidRPr="00810207">
              <w:rPr>
                <w:rFonts w:ascii="Arial Narrow" w:hAnsi="Arial Narrow" w:cs="Calibri"/>
                <w:sz w:val="18"/>
                <w:szCs w:val="18"/>
              </w:rPr>
              <w:t>0,27</w:t>
            </w:r>
          </w:p>
        </w:tc>
      </w:tr>
      <w:tr w:rsidR="00C57E20" w:rsidRPr="007C087D" w14:paraId="3772E581" w14:textId="77777777" w:rsidTr="007C087D">
        <w:trPr>
          <w:trHeight w:val="198"/>
          <w:jc w:val="center"/>
        </w:trPr>
        <w:tc>
          <w:tcPr>
            <w:tcW w:w="2410" w:type="dxa"/>
            <w:tcBorders>
              <w:top w:val="single" w:sz="2" w:space="0" w:color="auto"/>
              <w:left w:val="nil"/>
              <w:bottom w:val="single" w:sz="2" w:space="0" w:color="auto"/>
              <w:right w:val="nil"/>
            </w:tcBorders>
            <w:shd w:val="clear" w:color="auto" w:fill="auto"/>
            <w:noWrap/>
            <w:vAlign w:val="center"/>
            <w:hideMark/>
          </w:tcPr>
          <w:p w14:paraId="38AF608B" w14:textId="77777777" w:rsidR="00C57E20" w:rsidRPr="00810207" w:rsidRDefault="00C57E20" w:rsidP="00060DBC">
            <w:pPr>
              <w:rPr>
                <w:rFonts w:ascii="Arial Narrow" w:hAnsi="Arial Narrow" w:cs="Calibri"/>
                <w:sz w:val="18"/>
                <w:szCs w:val="18"/>
              </w:rPr>
            </w:pPr>
            <w:r w:rsidRPr="00810207">
              <w:rPr>
                <w:rFonts w:ascii="Arial Narrow" w:hAnsi="Arial Narrow" w:cs="Calibri"/>
                <w:sz w:val="18"/>
                <w:szCs w:val="18"/>
              </w:rPr>
              <w:t>SODENA</w:t>
            </w:r>
          </w:p>
        </w:tc>
        <w:tc>
          <w:tcPr>
            <w:tcW w:w="1077" w:type="dxa"/>
            <w:tcBorders>
              <w:top w:val="single" w:sz="2" w:space="0" w:color="auto"/>
              <w:left w:val="nil"/>
              <w:bottom w:val="single" w:sz="2" w:space="0" w:color="auto"/>
              <w:right w:val="nil"/>
            </w:tcBorders>
            <w:shd w:val="clear" w:color="auto" w:fill="auto"/>
            <w:noWrap/>
            <w:vAlign w:val="center"/>
            <w:hideMark/>
          </w:tcPr>
          <w:p w14:paraId="3B17996D"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1.400</w:t>
            </w:r>
          </w:p>
        </w:tc>
        <w:tc>
          <w:tcPr>
            <w:tcW w:w="1077" w:type="dxa"/>
            <w:tcBorders>
              <w:top w:val="single" w:sz="2" w:space="0" w:color="auto"/>
              <w:left w:val="nil"/>
              <w:bottom w:val="single" w:sz="2" w:space="0" w:color="auto"/>
              <w:right w:val="nil"/>
            </w:tcBorders>
            <w:shd w:val="clear" w:color="auto" w:fill="auto"/>
            <w:noWrap/>
            <w:vAlign w:val="center"/>
          </w:tcPr>
          <w:p w14:paraId="1365B7C7"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077" w:type="dxa"/>
            <w:tcBorders>
              <w:top w:val="single" w:sz="2" w:space="0" w:color="auto"/>
              <w:left w:val="nil"/>
              <w:bottom w:val="single" w:sz="2" w:space="0" w:color="auto"/>
              <w:right w:val="nil"/>
            </w:tcBorders>
            <w:vAlign w:val="center"/>
          </w:tcPr>
          <w:p w14:paraId="40480437"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0</w:t>
            </w:r>
          </w:p>
        </w:tc>
        <w:tc>
          <w:tcPr>
            <w:tcW w:w="1077" w:type="dxa"/>
            <w:tcBorders>
              <w:top w:val="single" w:sz="2" w:space="0" w:color="auto"/>
              <w:left w:val="nil"/>
              <w:bottom w:val="single" w:sz="2" w:space="0" w:color="auto"/>
              <w:right w:val="nil"/>
            </w:tcBorders>
            <w:shd w:val="clear" w:color="auto" w:fill="auto"/>
            <w:noWrap/>
            <w:vAlign w:val="bottom"/>
          </w:tcPr>
          <w:p w14:paraId="25D6914B"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1.281.814</w:t>
            </w:r>
          </w:p>
        </w:tc>
        <w:tc>
          <w:tcPr>
            <w:tcW w:w="937" w:type="dxa"/>
            <w:tcBorders>
              <w:top w:val="single" w:sz="2" w:space="0" w:color="auto"/>
              <w:left w:val="nil"/>
              <w:bottom w:val="single" w:sz="2" w:space="0" w:color="auto"/>
              <w:right w:val="nil"/>
            </w:tcBorders>
            <w:shd w:val="clear" w:color="auto" w:fill="auto"/>
            <w:noWrap/>
            <w:vAlign w:val="center"/>
          </w:tcPr>
          <w:p w14:paraId="33909F85"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217" w:type="dxa"/>
            <w:tcBorders>
              <w:top w:val="single" w:sz="2" w:space="0" w:color="auto"/>
              <w:left w:val="nil"/>
              <w:bottom w:val="single" w:sz="2" w:space="0" w:color="auto"/>
              <w:right w:val="nil"/>
            </w:tcBorders>
            <w:shd w:val="clear" w:color="auto" w:fill="auto"/>
            <w:noWrap/>
            <w:vAlign w:val="center"/>
            <w:hideMark/>
          </w:tcPr>
          <w:p w14:paraId="4E4490C6" w14:textId="77777777" w:rsidR="00C57E20" w:rsidRPr="00810207" w:rsidRDefault="00C57E20" w:rsidP="008F3D39">
            <w:pPr>
              <w:jc w:val="right"/>
              <w:rPr>
                <w:rFonts w:ascii="Arial Narrow" w:hAnsi="Arial Narrow" w:cs="Calibri"/>
                <w:sz w:val="18"/>
                <w:szCs w:val="18"/>
              </w:rPr>
            </w:pPr>
            <w:r w:rsidRPr="00810207">
              <w:rPr>
                <w:rFonts w:ascii="Arial Narrow" w:hAnsi="Arial Narrow" w:cs="Calibri"/>
                <w:sz w:val="18"/>
                <w:szCs w:val="18"/>
              </w:rPr>
              <w:t>0,11</w:t>
            </w:r>
          </w:p>
        </w:tc>
      </w:tr>
      <w:tr w:rsidR="00C57E20" w:rsidRPr="007C087D" w14:paraId="67949D99" w14:textId="77777777" w:rsidTr="007C087D">
        <w:trPr>
          <w:trHeight w:val="198"/>
          <w:jc w:val="center"/>
        </w:trPr>
        <w:tc>
          <w:tcPr>
            <w:tcW w:w="2410" w:type="dxa"/>
            <w:tcBorders>
              <w:top w:val="single" w:sz="2" w:space="0" w:color="auto"/>
              <w:left w:val="nil"/>
              <w:bottom w:val="single" w:sz="2" w:space="0" w:color="auto"/>
              <w:right w:val="nil"/>
            </w:tcBorders>
            <w:shd w:val="clear" w:color="auto" w:fill="auto"/>
            <w:noWrap/>
            <w:vAlign w:val="center"/>
            <w:hideMark/>
          </w:tcPr>
          <w:p w14:paraId="4DDB5D14" w14:textId="77777777" w:rsidR="00C57E20" w:rsidRPr="00810207" w:rsidRDefault="00C57E20" w:rsidP="00060DBC">
            <w:pPr>
              <w:rPr>
                <w:rFonts w:ascii="Arial Narrow" w:hAnsi="Arial Narrow" w:cs="Calibri"/>
                <w:sz w:val="18"/>
                <w:szCs w:val="18"/>
              </w:rPr>
            </w:pPr>
            <w:r w:rsidRPr="00810207">
              <w:rPr>
                <w:rFonts w:ascii="Arial Narrow" w:hAnsi="Arial Narrow" w:cs="Calibri"/>
                <w:sz w:val="18"/>
                <w:szCs w:val="18"/>
              </w:rPr>
              <w:t>POSUSA</w:t>
            </w:r>
          </w:p>
        </w:tc>
        <w:tc>
          <w:tcPr>
            <w:tcW w:w="1077" w:type="dxa"/>
            <w:tcBorders>
              <w:top w:val="single" w:sz="2" w:space="0" w:color="auto"/>
              <w:left w:val="nil"/>
              <w:bottom w:val="single" w:sz="2" w:space="0" w:color="auto"/>
              <w:right w:val="nil"/>
            </w:tcBorders>
            <w:shd w:val="clear" w:color="auto" w:fill="auto"/>
            <w:noWrap/>
            <w:vAlign w:val="center"/>
            <w:hideMark/>
          </w:tcPr>
          <w:p w14:paraId="738EB296"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0</w:t>
            </w:r>
          </w:p>
        </w:tc>
        <w:tc>
          <w:tcPr>
            <w:tcW w:w="1077" w:type="dxa"/>
            <w:tcBorders>
              <w:top w:val="single" w:sz="2" w:space="0" w:color="auto"/>
              <w:left w:val="nil"/>
              <w:bottom w:val="single" w:sz="2" w:space="0" w:color="auto"/>
              <w:right w:val="nil"/>
            </w:tcBorders>
            <w:shd w:val="clear" w:color="auto" w:fill="auto"/>
            <w:noWrap/>
            <w:vAlign w:val="center"/>
          </w:tcPr>
          <w:p w14:paraId="44661B07"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077" w:type="dxa"/>
            <w:tcBorders>
              <w:top w:val="single" w:sz="2" w:space="0" w:color="auto"/>
              <w:left w:val="nil"/>
              <w:bottom w:val="single" w:sz="2" w:space="0" w:color="auto"/>
              <w:right w:val="nil"/>
            </w:tcBorders>
            <w:vAlign w:val="center"/>
          </w:tcPr>
          <w:p w14:paraId="1C27C32C"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0</w:t>
            </w:r>
          </w:p>
        </w:tc>
        <w:tc>
          <w:tcPr>
            <w:tcW w:w="1077" w:type="dxa"/>
            <w:tcBorders>
              <w:top w:val="single" w:sz="2" w:space="0" w:color="auto"/>
              <w:left w:val="nil"/>
              <w:bottom w:val="single" w:sz="2" w:space="0" w:color="auto"/>
              <w:right w:val="nil"/>
            </w:tcBorders>
            <w:shd w:val="clear" w:color="auto" w:fill="auto"/>
            <w:noWrap/>
            <w:vAlign w:val="bottom"/>
          </w:tcPr>
          <w:p w14:paraId="3C772A7A"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63.835</w:t>
            </w:r>
          </w:p>
        </w:tc>
        <w:tc>
          <w:tcPr>
            <w:tcW w:w="937" w:type="dxa"/>
            <w:tcBorders>
              <w:top w:val="single" w:sz="2" w:space="0" w:color="auto"/>
              <w:left w:val="nil"/>
              <w:bottom w:val="single" w:sz="2" w:space="0" w:color="auto"/>
              <w:right w:val="nil"/>
            </w:tcBorders>
            <w:shd w:val="clear" w:color="auto" w:fill="auto"/>
            <w:noWrap/>
            <w:vAlign w:val="center"/>
          </w:tcPr>
          <w:p w14:paraId="42A56CB4"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217" w:type="dxa"/>
            <w:tcBorders>
              <w:top w:val="single" w:sz="2" w:space="0" w:color="auto"/>
              <w:left w:val="nil"/>
              <w:bottom w:val="single" w:sz="2" w:space="0" w:color="auto"/>
              <w:right w:val="nil"/>
            </w:tcBorders>
            <w:shd w:val="clear" w:color="auto" w:fill="auto"/>
            <w:noWrap/>
            <w:vAlign w:val="center"/>
            <w:hideMark/>
          </w:tcPr>
          <w:p w14:paraId="5F47FBD2" w14:textId="77777777" w:rsidR="00C57E20" w:rsidRPr="00810207" w:rsidRDefault="00C57E20" w:rsidP="008F3D39">
            <w:pPr>
              <w:jc w:val="right"/>
              <w:rPr>
                <w:rFonts w:ascii="Arial Narrow" w:hAnsi="Arial Narrow" w:cs="Calibri"/>
                <w:sz w:val="18"/>
                <w:szCs w:val="18"/>
              </w:rPr>
            </w:pPr>
            <w:r w:rsidRPr="00810207">
              <w:rPr>
                <w:rFonts w:ascii="Arial Narrow" w:hAnsi="Arial Narrow" w:cs="Calibri"/>
                <w:sz w:val="18"/>
                <w:szCs w:val="18"/>
              </w:rPr>
              <w:t>0,00</w:t>
            </w:r>
          </w:p>
        </w:tc>
      </w:tr>
      <w:tr w:rsidR="00C57E20" w:rsidRPr="007C087D" w14:paraId="6CC4CD39" w14:textId="77777777" w:rsidTr="007C087D">
        <w:trPr>
          <w:trHeight w:val="198"/>
          <w:jc w:val="center"/>
        </w:trPr>
        <w:tc>
          <w:tcPr>
            <w:tcW w:w="2410" w:type="dxa"/>
            <w:tcBorders>
              <w:top w:val="single" w:sz="2" w:space="0" w:color="auto"/>
              <w:left w:val="nil"/>
              <w:bottom w:val="single" w:sz="2" w:space="0" w:color="auto"/>
              <w:right w:val="nil"/>
            </w:tcBorders>
            <w:shd w:val="clear" w:color="auto" w:fill="auto"/>
            <w:noWrap/>
            <w:vAlign w:val="center"/>
            <w:hideMark/>
          </w:tcPr>
          <w:p w14:paraId="4B6EEF84" w14:textId="77777777" w:rsidR="00C57E20" w:rsidRPr="00810207" w:rsidRDefault="00C57E20" w:rsidP="00060DBC">
            <w:pPr>
              <w:rPr>
                <w:rFonts w:ascii="Arial Narrow" w:hAnsi="Arial Narrow" w:cs="Calibri"/>
                <w:sz w:val="18"/>
                <w:szCs w:val="18"/>
              </w:rPr>
            </w:pPr>
            <w:r w:rsidRPr="00810207">
              <w:rPr>
                <w:rFonts w:ascii="Arial Narrow" w:hAnsi="Arial Narrow" w:cs="Calibri"/>
                <w:sz w:val="18"/>
                <w:szCs w:val="18"/>
              </w:rPr>
              <w:t>START UP</w:t>
            </w:r>
          </w:p>
        </w:tc>
        <w:tc>
          <w:tcPr>
            <w:tcW w:w="1077" w:type="dxa"/>
            <w:tcBorders>
              <w:top w:val="single" w:sz="2" w:space="0" w:color="auto"/>
              <w:left w:val="nil"/>
              <w:bottom w:val="single" w:sz="2" w:space="0" w:color="auto"/>
              <w:right w:val="nil"/>
            </w:tcBorders>
            <w:shd w:val="clear" w:color="auto" w:fill="auto"/>
            <w:noWrap/>
            <w:vAlign w:val="center"/>
            <w:hideMark/>
          </w:tcPr>
          <w:p w14:paraId="79E77B3C"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0</w:t>
            </w:r>
          </w:p>
        </w:tc>
        <w:tc>
          <w:tcPr>
            <w:tcW w:w="1077" w:type="dxa"/>
            <w:tcBorders>
              <w:top w:val="single" w:sz="2" w:space="0" w:color="auto"/>
              <w:left w:val="nil"/>
              <w:bottom w:val="single" w:sz="2" w:space="0" w:color="auto"/>
              <w:right w:val="nil"/>
            </w:tcBorders>
            <w:shd w:val="clear" w:color="auto" w:fill="auto"/>
            <w:noWrap/>
            <w:vAlign w:val="center"/>
          </w:tcPr>
          <w:p w14:paraId="406F964C"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077" w:type="dxa"/>
            <w:tcBorders>
              <w:top w:val="single" w:sz="2" w:space="0" w:color="auto"/>
              <w:left w:val="nil"/>
              <w:bottom w:val="single" w:sz="2" w:space="0" w:color="auto"/>
              <w:right w:val="nil"/>
            </w:tcBorders>
            <w:vAlign w:val="center"/>
          </w:tcPr>
          <w:p w14:paraId="13E5B1DC"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0</w:t>
            </w:r>
          </w:p>
        </w:tc>
        <w:tc>
          <w:tcPr>
            <w:tcW w:w="1077" w:type="dxa"/>
            <w:tcBorders>
              <w:top w:val="single" w:sz="2" w:space="0" w:color="auto"/>
              <w:left w:val="nil"/>
              <w:bottom w:val="single" w:sz="2" w:space="0" w:color="auto"/>
              <w:right w:val="nil"/>
            </w:tcBorders>
            <w:shd w:val="clear" w:color="auto" w:fill="auto"/>
            <w:noWrap/>
            <w:vAlign w:val="bottom"/>
          </w:tcPr>
          <w:p w14:paraId="6DE50D00"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580</w:t>
            </w:r>
          </w:p>
        </w:tc>
        <w:tc>
          <w:tcPr>
            <w:tcW w:w="937" w:type="dxa"/>
            <w:tcBorders>
              <w:top w:val="single" w:sz="2" w:space="0" w:color="auto"/>
              <w:left w:val="nil"/>
              <w:bottom w:val="single" w:sz="2" w:space="0" w:color="auto"/>
              <w:right w:val="nil"/>
            </w:tcBorders>
            <w:shd w:val="clear" w:color="auto" w:fill="auto"/>
            <w:noWrap/>
            <w:vAlign w:val="center"/>
          </w:tcPr>
          <w:p w14:paraId="0730AF2A"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217" w:type="dxa"/>
            <w:tcBorders>
              <w:top w:val="single" w:sz="2" w:space="0" w:color="auto"/>
              <w:left w:val="nil"/>
              <w:bottom w:val="single" w:sz="2" w:space="0" w:color="auto"/>
              <w:right w:val="nil"/>
            </w:tcBorders>
            <w:shd w:val="clear" w:color="auto" w:fill="auto"/>
            <w:noWrap/>
            <w:vAlign w:val="center"/>
            <w:hideMark/>
          </w:tcPr>
          <w:p w14:paraId="71BCA2F7" w14:textId="77777777" w:rsidR="00C57E20" w:rsidRPr="00810207" w:rsidRDefault="00C57E20" w:rsidP="008F3D39">
            <w:pPr>
              <w:jc w:val="right"/>
              <w:rPr>
                <w:rFonts w:ascii="Arial Narrow" w:hAnsi="Arial Narrow" w:cs="Calibri"/>
                <w:sz w:val="18"/>
                <w:szCs w:val="18"/>
              </w:rPr>
            </w:pPr>
            <w:r w:rsidRPr="00810207">
              <w:rPr>
                <w:rFonts w:ascii="Arial Narrow" w:hAnsi="Arial Narrow" w:cs="Calibri"/>
                <w:sz w:val="18"/>
                <w:szCs w:val="18"/>
              </w:rPr>
              <w:t>0,00</w:t>
            </w:r>
          </w:p>
        </w:tc>
      </w:tr>
      <w:tr w:rsidR="00C57E20" w:rsidRPr="007C087D" w14:paraId="4C5B92F9" w14:textId="77777777" w:rsidTr="007C087D">
        <w:trPr>
          <w:trHeight w:val="198"/>
          <w:jc w:val="center"/>
        </w:trPr>
        <w:tc>
          <w:tcPr>
            <w:tcW w:w="2410" w:type="dxa"/>
            <w:tcBorders>
              <w:top w:val="single" w:sz="2" w:space="0" w:color="auto"/>
              <w:left w:val="nil"/>
              <w:bottom w:val="single" w:sz="2" w:space="0" w:color="auto"/>
              <w:right w:val="nil"/>
            </w:tcBorders>
            <w:shd w:val="clear" w:color="auto" w:fill="auto"/>
            <w:noWrap/>
            <w:vAlign w:val="center"/>
            <w:hideMark/>
          </w:tcPr>
          <w:p w14:paraId="5501E856" w14:textId="77777777" w:rsidR="00C57E20" w:rsidRPr="00810207" w:rsidRDefault="00C57E20" w:rsidP="00060DBC">
            <w:pPr>
              <w:rPr>
                <w:rFonts w:ascii="Arial Narrow" w:hAnsi="Arial Narrow" w:cs="Calibri"/>
                <w:sz w:val="18"/>
                <w:szCs w:val="18"/>
              </w:rPr>
            </w:pPr>
            <w:proofErr w:type="spellStart"/>
            <w:r w:rsidRPr="00810207">
              <w:rPr>
                <w:rFonts w:ascii="Arial Narrow" w:hAnsi="Arial Narrow" w:cs="Calibri"/>
                <w:sz w:val="18"/>
                <w:szCs w:val="18"/>
              </w:rPr>
              <w:t>TRACASAi</w:t>
            </w:r>
            <w:proofErr w:type="spellEnd"/>
          </w:p>
        </w:tc>
        <w:tc>
          <w:tcPr>
            <w:tcW w:w="1077" w:type="dxa"/>
            <w:tcBorders>
              <w:top w:val="single" w:sz="2" w:space="0" w:color="auto"/>
              <w:left w:val="nil"/>
              <w:bottom w:val="single" w:sz="2" w:space="0" w:color="auto"/>
              <w:right w:val="nil"/>
            </w:tcBorders>
            <w:shd w:val="clear" w:color="auto" w:fill="auto"/>
            <w:noWrap/>
            <w:vAlign w:val="center"/>
            <w:hideMark/>
          </w:tcPr>
          <w:p w14:paraId="453B02FC"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48.343</w:t>
            </w:r>
          </w:p>
        </w:tc>
        <w:tc>
          <w:tcPr>
            <w:tcW w:w="1077" w:type="dxa"/>
            <w:tcBorders>
              <w:top w:val="single" w:sz="2" w:space="0" w:color="auto"/>
              <w:left w:val="nil"/>
              <w:bottom w:val="single" w:sz="2" w:space="0" w:color="auto"/>
              <w:right w:val="nil"/>
            </w:tcBorders>
            <w:shd w:val="clear" w:color="auto" w:fill="auto"/>
            <w:noWrap/>
            <w:vAlign w:val="center"/>
          </w:tcPr>
          <w:p w14:paraId="03EE4BED"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077" w:type="dxa"/>
            <w:tcBorders>
              <w:top w:val="single" w:sz="2" w:space="0" w:color="auto"/>
              <w:left w:val="nil"/>
              <w:bottom w:val="single" w:sz="2" w:space="0" w:color="auto"/>
              <w:right w:val="nil"/>
            </w:tcBorders>
            <w:vAlign w:val="center"/>
          </w:tcPr>
          <w:p w14:paraId="67E3766C"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304.100</w:t>
            </w:r>
          </w:p>
        </w:tc>
        <w:tc>
          <w:tcPr>
            <w:tcW w:w="1077" w:type="dxa"/>
            <w:tcBorders>
              <w:top w:val="single" w:sz="2" w:space="0" w:color="auto"/>
              <w:left w:val="nil"/>
              <w:bottom w:val="single" w:sz="2" w:space="0" w:color="auto"/>
              <w:right w:val="nil"/>
            </w:tcBorders>
            <w:shd w:val="clear" w:color="auto" w:fill="auto"/>
            <w:noWrap/>
            <w:vAlign w:val="bottom"/>
          </w:tcPr>
          <w:p w14:paraId="1C42F756"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419.271</w:t>
            </w:r>
          </w:p>
        </w:tc>
        <w:tc>
          <w:tcPr>
            <w:tcW w:w="937" w:type="dxa"/>
            <w:tcBorders>
              <w:top w:val="single" w:sz="2" w:space="0" w:color="auto"/>
              <w:left w:val="nil"/>
              <w:bottom w:val="single" w:sz="2" w:space="0" w:color="auto"/>
              <w:right w:val="nil"/>
            </w:tcBorders>
            <w:shd w:val="clear" w:color="auto" w:fill="auto"/>
            <w:noWrap/>
            <w:vAlign w:val="center"/>
          </w:tcPr>
          <w:p w14:paraId="50175983"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217" w:type="dxa"/>
            <w:tcBorders>
              <w:top w:val="single" w:sz="2" w:space="0" w:color="auto"/>
              <w:left w:val="nil"/>
              <w:bottom w:val="single" w:sz="2" w:space="0" w:color="auto"/>
              <w:right w:val="nil"/>
            </w:tcBorders>
            <w:shd w:val="clear" w:color="auto" w:fill="auto"/>
            <w:noWrap/>
            <w:vAlign w:val="center"/>
            <w:hideMark/>
          </w:tcPr>
          <w:p w14:paraId="2AD1C411" w14:textId="77777777" w:rsidR="00C57E20" w:rsidRPr="00810207" w:rsidRDefault="00C57E20" w:rsidP="008F3D39">
            <w:pPr>
              <w:jc w:val="right"/>
              <w:rPr>
                <w:rFonts w:ascii="Arial Narrow" w:hAnsi="Arial Narrow" w:cs="Calibri"/>
                <w:sz w:val="18"/>
                <w:szCs w:val="18"/>
              </w:rPr>
            </w:pPr>
            <w:r w:rsidRPr="00810207">
              <w:rPr>
                <w:rFonts w:ascii="Arial Narrow" w:hAnsi="Arial Narrow" w:cs="Calibri"/>
                <w:sz w:val="18"/>
                <w:szCs w:val="18"/>
              </w:rPr>
              <w:t>6,68</w:t>
            </w:r>
          </w:p>
        </w:tc>
      </w:tr>
      <w:tr w:rsidR="00C57E20" w:rsidRPr="007C087D" w14:paraId="1B47E2DA" w14:textId="77777777" w:rsidTr="007C087D">
        <w:trPr>
          <w:trHeight w:val="198"/>
          <w:jc w:val="center"/>
        </w:trPr>
        <w:tc>
          <w:tcPr>
            <w:tcW w:w="2410" w:type="dxa"/>
            <w:tcBorders>
              <w:top w:val="single" w:sz="2" w:space="0" w:color="auto"/>
              <w:left w:val="nil"/>
              <w:bottom w:val="single" w:sz="2" w:space="0" w:color="auto"/>
              <w:right w:val="nil"/>
            </w:tcBorders>
            <w:shd w:val="clear" w:color="auto" w:fill="auto"/>
            <w:noWrap/>
            <w:vAlign w:val="center"/>
            <w:hideMark/>
          </w:tcPr>
          <w:p w14:paraId="70222947" w14:textId="77777777" w:rsidR="00C57E20" w:rsidRPr="00810207" w:rsidRDefault="00C57E20" w:rsidP="00060DBC">
            <w:pPr>
              <w:rPr>
                <w:rFonts w:ascii="Arial Narrow" w:hAnsi="Arial Narrow" w:cs="Calibri"/>
                <w:sz w:val="18"/>
                <w:szCs w:val="18"/>
              </w:rPr>
            </w:pPr>
            <w:r w:rsidRPr="00810207">
              <w:rPr>
                <w:rFonts w:ascii="Arial Narrow" w:hAnsi="Arial Narrow" w:cs="Calibri"/>
                <w:sz w:val="18"/>
                <w:szCs w:val="18"/>
              </w:rPr>
              <w:t>TRACASA</w:t>
            </w:r>
          </w:p>
        </w:tc>
        <w:tc>
          <w:tcPr>
            <w:tcW w:w="1077" w:type="dxa"/>
            <w:tcBorders>
              <w:top w:val="single" w:sz="2" w:space="0" w:color="auto"/>
              <w:left w:val="nil"/>
              <w:bottom w:val="single" w:sz="2" w:space="0" w:color="auto"/>
              <w:right w:val="nil"/>
            </w:tcBorders>
            <w:shd w:val="clear" w:color="auto" w:fill="auto"/>
            <w:noWrap/>
            <w:vAlign w:val="center"/>
            <w:hideMark/>
          </w:tcPr>
          <w:p w14:paraId="69968C4A"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1.451</w:t>
            </w:r>
          </w:p>
        </w:tc>
        <w:tc>
          <w:tcPr>
            <w:tcW w:w="1077" w:type="dxa"/>
            <w:tcBorders>
              <w:top w:val="single" w:sz="2" w:space="0" w:color="auto"/>
              <w:left w:val="nil"/>
              <w:bottom w:val="single" w:sz="2" w:space="0" w:color="auto"/>
              <w:right w:val="nil"/>
            </w:tcBorders>
            <w:shd w:val="clear" w:color="auto" w:fill="auto"/>
            <w:noWrap/>
            <w:vAlign w:val="center"/>
          </w:tcPr>
          <w:p w14:paraId="4F90EAB1"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077" w:type="dxa"/>
            <w:tcBorders>
              <w:top w:val="single" w:sz="2" w:space="0" w:color="auto"/>
              <w:left w:val="nil"/>
              <w:bottom w:val="single" w:sz="2" w:space="0" w:color="auto"/>
              <w:right w:val="nil"/>
            </w:tcBorders>
            <w:vAlign w:val="center"/>
          </w:tcPr>
          <w:p w14:paraId="05887327"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148.386</w:t>
            </w:r>
          </w:p>
        </w:tc>
        <w:tc>
          <w:tcPr>
            <w:tcW w:w="1077" w:type="dxa"/>
            <w:tcBorders>
              <w:top w:val="single" w:sz="2" w:space="0" w:color="auto"/>
              <w:left w:val="nil"/>
              <w:bottom w:val="single" w:sz="2" w:space="0" w:color="auto"/>
              <w:right w:val="nil"/>
            </w:tcBorders>
            <w:shd w:val="clear" w:color="auto" w:fill="auto"/>
            <w:noWrap/>
            <w:vAlign w:val="bottom"/>
          </w:tcPr>
          <w:p w14:paraId="5EB65364"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254.232</w:t>
            </w:r>
          </w:p>
        </w:tc>
        <w:tc>
          <w:tcPr>
            <w:tcW w:w="937" w:type="dxa"/>
            <w:tcBorders>
              <w:top w:val="single" w:sz="2" w:space="0" w:color="auto"/>
              <w:left w:val="nil"/>
              <w:bottom w:val="single" w:sz="2" w:space="0" w:color="auto"/>
              <w:right w:val="nil"/>
            </w:tcBorders>
            <w:shd w:val="clear" w:color="auto" w:fill="auto"/>
            <w:noWrap/>
            <w:vAlign w:val="center"/>
          </w:tcPr>
          <w:p w14:paraId="13AA1453"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217" w:type="dxa"/>
            <w:tcBorders>
              <w:top w:val="single" w:sz="2" w:space="0" w:color="auto"/>
              <w:left w:val="nil"/>
              <w:bottom w:val="single" w:sz="2" w:space="0" w:color="auto"/>
              <w:right w:val="nil"/>
            </w:tcBorders>
            <w:shd w:val="clear" w:color="auto" w:fill="auto"/>
            <w:noWrap/>
            <w:vAlign w:val="center"/>
            <w:hideMark/>
          </w:tcPr>
          <w:p w14:paraId="7EDA6454" w14:textId="77777777" w:rsidR="00C57E20" w:rsidRPr="00810207" w:rsidRDefault="00C57E20" w:rsidP="008F3D39">
            <w:pPr>
              <w:jc w:val="right"/>
              <w:rPr>
                <w:rFonts w:ascii="Arial Narrow" w:hAnsi="Arial Narrow" w:cs="Calibri"/>
                <w:sz w:val="18"/>
                <w:szCs w:val="18"/>
              </w:rPr>
            </w:pPr>
            <w:r w:rsidRPr="00810207">
              <w:rPr>
                <w:rFonts w:ascii="Arial Narrow" w:hAnsi="Arial Narrow" w:cs="Calibri"/>
                <w:sz w:val="18"/>
                <w:szCs w:val="18"/>
              </w:rPr>
              <w:t>0,36</w:t>
            </w:r>
          </w:p>
        </w:tc>
      </w:tr>
      <w:tr w:rsidR="00C57E20" w:rsidRPr="007C087D" w14:paraId="3E4DBB4B" w14:textId="77777777" w:rsidTr="007C087D">
        <w:trPr>
          <w:trHeight w:val="198"/>
          <w:jc w:val="center"/>
        </w:trPr>
        <w:tc>
          <w:tcPr>
            <w:tcW w:w="2410" w:type="dxa"/>
            <w:tcBorders>
              <w:top w:val="single" w:sz="2" w:space="0" w:color="auto"/>
              <w:left w:val="nil"/>
              <w:bottom w:val="single" w:sz="2" w:space="0" w:color="auto"/>
              <w:right w:val="nil"/>
            </w:tcBorders>
            <w:shd w:val="clear" w:color="auto" w:fill="auto"/>
            <w:noWrap/>
            <w:vAlign w:val="center"/>
            <w:hideMark/>
          </w:tcPr>
          <w:p w14:paraId="2FD6943F" w14:textId="77777777" w:rsidR="00C57E20" w:rsidRPr="00810207" w:rsidRDefault="00C57E20" w:rsidP="00060DBC">
            <w:pPr>
              <w:rPr>
                <w:rFonts w:ascii="Arial Narrow" w:hAnsi="Arial Narrow" w:cs="Calibri"/>
                <w:sz w:val="18"/>
                <w:szCs w:val="18"/>
              </w:rPr>
            </w:pPr>
            <w:r w:rsidRPr="00810207">
              <w:rPr>
                <w:rFonts w:ascii="Arial Narrow" w:hAnsi="Arial Narrow" w:cs="Calibri"/>
                <w:sz w:val="18"/>
                <w:szCs w:val="18"/>
              </w:rPr>
              <w:t>CAT</w:t>
            </w:r>
          </w:p>
        </w:tc>
        <w:tc>
          <w:tcPr>
            <w:tcW w:w="1077" w:type="dxa"/>
            <w:tcBorders>
              <w:top w:val="single" w:sz="2" w:space="0" w:color="auto"/>
              <w:left w:val="nil"/>
              <w:bottom w:val="single" w:sz="2" w:space="0" w:color="auto"/>
              <w:right w:val="nil"/>
            </w:tcBorders>
            <w:shd w:val="clear" w:color="auto" w:fill="auto"/>
            <w:noWrap/>
            <w:vAlign w:val="center"/>
            <w:hideMark/>
          </w:tcPr>
          <w:p w14:paraId="56020090"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4.143</w:t>
            </w:r>
          </w:p>
        </w:tc>
        <w:tc>
          <w:tcPr>
            <w:tcW w:w="1077" w:type="dxa"/>
            <w:tcBorders>
              <w:top w:val="single" w:sz="2" w:space="0" w:color="auto"/>
              <w:left w:val="nil"/>
              <w:bottom w:val="single" w:sz="2" w:space="0" w:color="auto"/>
              <w:right w:val="nil"/>
            </w:tcBorders>
            <w:shd w:val="clear" w:color="auto" w:fill="auto"/>
            <w:noWrap/>
            <w:vAlign w:val="center"/>
          </w:tcPr>
          <w:p w14:paraId="25DC7FB0"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077" w:type="dxa"/>
            <w:tcBorders>
              <w:top w:val="single" w:sz="2" w:space="0" w:color="auto"/>
              <w:left w:val="nil"/>
              <w:bottom w:val="single" w:sz="2" w:space="0" w:color="auto"/>
              <w:right w:val="nil"/>
            </w:tcBorders>
            <w:vAlign w:val="center"/>
          </w:tcPr>
          <w:p w14:paraId="171B4195"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0</w:t>
            </w:r>
          </w:p>
        </w:tc>
        <w:tc>
          <w:tcPr>
            <w:tcW w:w="1077" w:type="dxa"/>
            <w:tcBorders>
              <w:top w:val="single" w:sz="2" w:space="0" w:color="auto"/>
              <w:left w:val="nil"/>
              <w:bottom w:val="single" w:sz="2" w:space="0" w:color="auto"/>
              <w:right w:val="nil"/>
            </w:tcBorders>
            <w:shd w:val="clear" w:color="auto" w:fill="auto"/>
            <w:noWrap/>
            <w:vAlign w:val="bottom"/>
          </w:tcPr>
          <w:p w14:paraId="0BAF9EEA"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466.314</w:t>
            </w:r>
          </w:p>
        </w:tc>
        <w:tc>
          <w:tcPr>
            <w:tcW w:w="937" w:type="dxa"/>
            <w:tcBorders>
              <w:top w:val="single" w:sz="2" w:space="0" w:color="auto"/>
              <w:left w:val="nil"/>
              <w:bottom w:val="single" w:sz="2" w:space="0" w:color="auto"/>
              <w:right w:val="nil"/>
            </w:tcBorders>
            <w:shd w:val="clear" w:color="auto" w:fill="auto"/>
            <w:noWrap/>
            <w:vAlign w:val="center"/>
          </w:tcPr>
          <w:p w14:paraId="6B7029CF"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217" w:type="dxa"/>
            <w:tcBorders>
              <w:top w:val="single" w:sz="2" w:space="0" w:color="auto"/>
              <w:left w:val="nil"/>
              <w:bottom w:val="single" w:sz="2" w:space="0" w:color="auto"/>
              <w:right w:val="nil"/>
            </w:tcBorders>
            <w:shd w:val="clear" w:color="auto" w:fill="auto"/>
            <w:noWrap/>
            <w:vAlign w:val="center"/>
            <w:hideMark/>
          </w:tcPr>
          <w:p w14:paraId="4900C9E2" w14:textId="77777777" w:rsidR="00C57E20" w:rsidRPr="00810207" w:rsidRDefault="00C57E20" w:rsidP="008F3D39">
            <w:pPr>
              <w:jc w:val="right"/>
              <w:rPr>
                <w:rFonts w:ascii="Arial Narrow" w:hAnsi="Arial Narrow" w:cs="Calibri"/>
                <w:sz w:val="18"/>
                <w:szCs w:val="18"/>
              </w:rPr>
            </w:pPr>
            <w:r w:rsidRPr="00810207">
              <w:rPr>
                <w:rFonts w:ascii="Arial Narrow" w:hAnsi="Arial Narrow" w:cs="Calibri"/>
                <w:sz w:val="18"/>
                <w:szCs w:val="18"/>
              </w:rPr>
              <w:t>0,89</w:t>
            </w:r>
          </w:p>
        </w:tc>
      </w:tr>
      <w:tr w:rsidR="00C57E20" w:rsidRPr="007C087D" w14:paraId="7B27306F" w14:textId="77777777" w:rsidTr="007C087D">
        <w:trPr>
          <w:trHeight w:val="198"/>
          <w:jc w:val="center"/>
        </w:trPr>
        <w:tc>
          <w:tcPr>
            <w:tcW w:w="2410" w:type="dxa"/>
            <w:tcBorders>
              <w:top w:val="single" w:sz="2" w:space="0" w:color="auto"/>
              <w:left w:val="nil"/>
              <w:bottom w:val="single" w:sz="2" w:space="0" w:color="auto"/>
              <w:right w:val="nil"/>
            </w:tcBorders>
            <w:shd w:val="clear" w:color="auto" w:fill="auto"/>
            <w:noWrap/>
            <w:vAlign w:val="center"/>
            <w:hideMark/>
          </w:tcPr>
          <w:p w14:paraId="4716FE11" w14:textId="77777777" w:rsidR="00C57E20" w:rsidRPr="00810207" w:rsidRDefault="00C57E20" w:rsidP="00060DBC">
            <w:pPr>
              <w:rPr>
                <w:rFonts w:ascii="Arial Narrow" w:hAnsi="Arial Narrow" w:cs="Calibri"/>
                <w:sz w:val="18"/>
                <w:szCs w:val="18"/>
              </w:rPr>
            </w:pPr>
            <w:r w:rsidRPr="00810207">
              <w:rPr>
                <w:rFonts w:ascii="Arial Narrow" w:hAnsi="Arial Narrow" w:cs="Calibri"/>
                <w:sz w:val="18"/>
                <w:szCs w:val="18"/>
              </w:rPr>
              <w:t>INTIA</w:t>
            </w:r>
          </w:p>
        </w:tc>
        <w:tc>
          <w:tcPr>
            <w:tcW w:w="1077" w:type="dxa"/>
            <w:tcBorders>
              <w:top w:val="single" w:sz="2" w:space="0" w:color="auto"/>
              <w:left w:val="nil"/>
              <w:bottom w:val="single" w:sz="2" w:space="0" w:color="auto"/>
              <w:right w:val="nil"/>
            </w:tcBorders>
            <w:shd w:val="clear" w:color="auto" w:fill="auto"/>
            <w:noWrap/>
            <w:vAlign w:val="center"/>
            <w:hideMark/>
          </w:tcPr>
          <w:p w14:paraId="581DB980"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47.382</w:t>
            </w:r>
          </w:p>
        </w:tc>
        <w:tc>
          <w:tcPr>
            <w:tcW w:w="1077" w:type="dxa"/>
            <w:tcBorders>
              <w:top w:val="single" w:sz="2" w:space="0" w:color="auto"/>
              <w:left w:val="nil"/>
              <w:bottom w:val="single" w:sz="2" w:space="0" w:color="auto"/>
              <w:right w:val="nil"/>
            </w:tcBorders>
            <w:shd w:val="clear" w:color="auto" w:fill="auto"/>
            <w:noWrap/>
            <w:vAlign w:val="center"/>
          </w:tcPr>
          <w:p w14:paraId="07624FDA"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077" w:type="dxa"/>
            <w:tcBorders>
              <w:top w:val="single" w:sz="2" w:space="0" w:color="auto"/>
              <w:left w:val="nil"/>
              <w:bottom w:val="single" w:sz="2" w:space="0" w:color="auto"/>
              <w:right w:val="nil"/>
            </w:tcBorders>
            <w:vAlign w:val="center"/>
          </w:tcPr>
          <w:p w14:paraId="619E0455"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252.764</w:t>
            </w:r>
          </w:p>
        </w:tc>
        <w:tc>
          <w:tcPr>
            <w:tcW w:w="1077" w:type="dxa"/>
            <w:tcBorders>
              <w:top w:val="single" w:sz="2" w:space="0" w:color="auto"/>
              <w:left w:val="nil"/>
              <w:bottom w:val="single" w:sz="2" w:space="0" w:color="auto"/>
              <w:right w:val="nil"/>
            </w:tcBorders>
            <w:shd w:val="clear" w:color="auto" w:fill="auto"/>
            <w:noWrap/>
            <w:vAlign w:val="bottom"/>
          </w:tcPr>
          <w:p w14:paraId="06191C2E"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1.071.728</w:t>
            </w:r>
          </w:p>
        </w:tc>
        <w:tc>
          <w:tcPr>
            <w:tcW w:w="937" w:type="dxa"/>
            <w:tcBorders>
              <w:top w:val="single" w:sz="2" w:space="0" w:color="auto"/>
              <w:left w:val="nil"/>
              <w:bottom w:val="single" w:sz="2" w:space="0" w:color="auto"/>
              <w:right w:val="nil"/>
            </w:tcBorders>
            <w:shd w:val="clear" w:color="auto" w:fill="auto"/>
            <w:noWrap/>
            <w:vAlign w:val="center"/>
          </w:tcPr>
          <w:p w14:paraId="0C5AC863"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217" w:type="dxa"/>
            <w:tcBorders>
              <w:top w:val="single" w:sz="2" w:space="0" w:color="auto"/>
              <w:left w:val="nil"/>
              <w:bottom w:val="single" w:sz="2" w:space="0" w:color="auto"/>
              <w:right w:val="nil"/>
            </w:tcBorders>
            <w:shd w:val="clear" w:color="auto" w:fill="auto"/>
            <w:noWrap/>
            <w:vAlign w:val="center"/>
            <w:hideMark/>
          </w:tcPr>
          <w:p w14:paraId="11C62FDF" w14:textId="77777777" w:rsidR="00C57E20" w:rsidRPr="00810207" w:rsidRDefault="00C57E20" w:rsidP="008F3D39">
            <w:pPr>
              <w:jc w:val="right"/>
              <w:rPr>
                <w:rFonts w:ascii="Arial Narrow" w:hAnsi="Arial Narrow" w:cs="Calibri"/>
                <w:sz w:val="18"/>
                <w:szCs w:val="18"/>
              </w:rPr>
            </w:pPr>
            <w:r w:rsidRPr="00810207">
              <w:rPr>
                <w:rFonts w:ascii="Arial Narrow" w:hAnsi="Arial Narrow" w:cs="Calibri"/>
                <w:sz w:val="18"/>
                <w:szCs w:val="18"/>
              </w:rPr>
              <w:t>3,58</w:t>
            </w:r>
          </w:p>
        </w:tc>
      </w:tr>
      <w:tr w:rsidR="00C57E20" w:rsidRPr="007C087D" w14:paraId="75D2CADD" w14:textId="77777777" w:rsidTr="00810207">
        <w:trPr>
          <w:trHeight w:val="198"/>
          <w:jc w:val="center"/>
        </w:trPr>
        <w:tc>
          <w:tcPr>
            <w:tcW w:w="2410" w:type="dxa"/>
            <w:tcBorders>
              <w:top w:val="single" w:sz="2" w:space="0" w:color="auto"/>
              <w:left w:val="nil"/>
              <w:bottom w:val="single" w:sz="4" w:space="0" w:color="auto"/>
              <w:right w:val="nil"/>
            </w:tcBorders>
            <w:shd w:val="clear" w:color="auto" w:fill="auto"/>
            <w:noWrap/>
            <w:vAlign w:val="center"/>
          </w:tcPr>
          <w:p w14:paraId="297A1BE5" w14:textId="77777777" w:rsidR="00C57E20" w:rsidRPr="00810207" w:rsidRDefault="00C57E20" w:rsidP="00060DBC">
            <w:pPr>
              <w:rPr>
                <w:rFonts w:ascii="Arial Narrow" w:hAnsi="Arial Narrow" w:cs="Calibri"/>
                <w:sz w:val="18"/>
                <w:szCs w:val="18"/>
              </w:rPr>
            </w:pPr>
            <w:r w:rsidRPr="00810207">
              <w:rPr>
                <w:rFonts w:ascii="Arial Narrow" w:hAnsi="Arial Narrow" w:cs="Calibri"/>
                <w:sz w:val="18"/>
                <w:szCs w:val="18"/>
              </w:rPr>
              <w:t>CNAI</w:t>
            </w:r>
          </w:p>
        </w:tc>
        <w:tc>
          <w:tcPr>
            <w:tcW w:w="1077" w:type="dxa"/>
            <w:tcBorders>
              <w:top w:val="single" w:sz="2" w:space="0" w:color="auto"/>
              <w:left w:val="nil"/>
              <w:bottom w:val="single" w:sz="4" w:space="0" w:color="auto"/>
              <w:right w:val="nil"/>
            </w:tcBorders>
            <w:shd w:val="clear" w:color="auto" w:fill="auto"/>
            <w:noWrap/>
            <w:vAlign w:val="center"/>
          </w:tcPr>
          <w:p w14:paraId="4C8CE68C"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14.635</w:t>
            </w:r>
          </w:p>
        </w:tc>
        <w:tc>
          <w:tcPr>
            <w:tcW w:w="1077" w:type="dxa"/>
            <w:tcBorders>
              <w:top w:val="single" w:sz="2" w:space="0" w:color="auto"/>
              <w:left w:val="nil"/>
              <w:bottom w:val="single" w:sz="4" w:space="0" w:color="auto"/>
              <w:right w:val="nil"/>
            </w:tcBorders>
            <w:shd w:val="clear" w:color="auto" w:fill="auto"/>
            <w:noWrap/>
            <w:vAlign w:val="center"/>
          </w:tcPr>
          <w:p w14:paraId="54757834"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077" w:type="dxa"/>
            <w:tcBorders>
              <w:top w:val="single" w:sz="2" w:space="0" w:color="auto"/>
              <w:left w:val="nil"/>
              <w:bottom w:val="single" w:sz="4" w:space="0" w:color="auto"/>
              <w:right w:val="nil"/>
            </w:tcBorders>
            <w:vAlign w:val="center"/>
          </w:tcPr>
          <w:p w14:paraId="39913995"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1.367</w:t>
            </w:r>
          </w:p>
        </w:tc>
        <w:tc>
          <w:tcPr>
            <w:tcW w:w="1077" w:type="dxa"/>
            <w:tcBorders>
              <w:top w:val="single" w:sz="2" w:space="0" w:color="auto"/>
              <w:left w:val="nil"/>
              <w:bottom w:val="single" w:sz="4" w:space="0" w:color="auto"/>
              <w:right w:val="nil"/>
            </w:tcBorders>
            <w:shd w:val="clear" w:color="auto" w:fill="auto"/>
            <w:noWrap/>
            <w:vAlign w:val="bottom"/>
          </w:tcPr>
          <w:p w14:paraId="135AE90A"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199.326</w:t>
            </w:r>
          </w:p>
        </w:tc>
        <w:tc>
          <w:tcPr>
            <w:tcW w:w="937" w:type="dxa"/>
            <w:tcBorders>
              <w:top w:val="single" w:sz="2" w:space="0" w:color="auto"/>
              <w:left w:val="nil"/>
              <w:bottom w:val="single" w:sz="4" w:space="0" w:color="auto"/>
              <w:right w:val="nil"/>
            </w:tcBorders>
            <w:shd w:val="clear" w:color="auto" w:fill="auto"/>
            <w:noWrap/>
            <w:vAlign w:val="center"/>
          </w:tcPr>
          <w:p w14:paraId="21AAEB4B" w14:textId="77777777" w:rsidR="00C57E20" w:rsidRPr="00810207" w:rsidRDefault="00C57E20" w:rsidP="00060DBC">
            <w:pPr>
              <w:jc w:val="right"/>
              <w:rPr>
                <w:rFonts w:ascii="Arial Narrow" w:hAnsi="Arial Narrow" w:cs="Calibri"/>
                <w:sz w:val="18"/>
                <w:szCs w:val="18"/>
              </w:rPr>
            </w:pPr>
            <w:r w:rsidRPr="00810207">
              <w:rPr>
                <w:rFonts w:ascii="Arial Narrow" w:hAnsi="Arial Narrow" w:cs="Calibri"/>
                <w:sz w:val="18"/>
                <w:szCs w:val="18"/>
              </w:rPr>
              <w:t>-</w:t>
            </w:r>
          </w:p>
        </w:tc>
        <w:tc>
          <w:tcPr>
            <w:tcW w:w="1217" w:type="dxa"/>
            <w:tcBorders>
              <w:top w:val="single" w:sz="2" w:space="0" w:color="auto"/>
              <w:left w:val="nil"/>
              <w:bottom w:val="single" w:sz="4" w:space="0" w:color="auto"/>
              <w:right w:val="nil"/>
            </w:tcBorders>
            <w:shd w:val="clear" w:color="auto" w:fill="auto"/>
            <w:noWrap/>
            <w:vAlign w:val="center"/>
          </w:tcPr>
          <w:p w14:paraId="35115ABD" w14:textId="77777777" w:rsidR="00C57E20" w:rsidRPr="00810207" w:rsidRDefault="00C57E20" w:rsidP="008F3D39">
            <w:pPr>
              <w:jc w:val="right"/>
              <w:rPr>
                <w:rFonts w:ascii="Arial Narrow" w:hAnsi="Arial Narrow" w:cs="Calibri"/>
                <w:sz w:val="18"/>
                <w:szCs w:val="18"/>
              </w:rPr>
            </w:pPr>
            <w:r w:rsidRPr="00810207">
              <w:rPr>
                <w:rFonts w:ascii="Arial Narrow" w:hAnsi="Arial Narrow" w:cs="Calibri"/>
                <w:sz w:val="18"/>
                <w:szCs w:val="18"/>
              </w:rPr>
              <w:t>7,29</w:t>
            </w:r>
          </w:p>
        </w:tc>
      </w:tr>
      <w:tr w:rsidR="00C57E20" w:rsidRPr="007C087D" w14:paraId="5ED463C3" w14:textId="77777777" w:rsidTr="00810207">
        <w:trPr>
          <w:trHeight w:val="261"/>
          <w:jc w:val="center"/>
        </w:trPr>
        <w:tc>
          <w:tcPr>
            <w:tcW w:w="2410" w:type="dxa"/>
            <w:tcBorders>
              <w:top w:val="single" w:sz="4" w:space="0" w:color="auto"/>
              <w:left w:val="nil"/>
              <w:bottom w:val="single" w:sz="4" w:space="0" w:color="auto"/>
              <w:right w:val="nil"/>
            </w:tcBorders>
            <w:shd w:val="clear" w:color="000000" w:fill="8DB3E2"/>
            <w:noWrap/>
            <w:vAlign w:val="center"/>
            <w:hideMark/>
          </w:tcPr>
          <w:p w14:paraId="32BD880E" w14:textId="77777777" w:rsidR="00C57E20" w:rsidRPr="007C087D" w:rsidRDefault="00C57E20" w:rsidP="00060DBC">
            <w:pPr>
              <w:rPr>
                <w:rFonts w:ascii="Arial" w:hAnsi="Arial" w:cs="Arial"/>
                <w:b/>
                <w:sz w:val="16"/>
                <w:szCs w:val="16"/>
              </w:rPr>
            </w:pPr>
            <w:r w:rsidRPr="007C087D">
              <w:rPr>
                <w:rFonts w:ascii="Arial" w:hAnsi="Arial" w:cs="Arial"/>
                <w:b/>
                <w:sz w:val="16"/>
                <w:szCs w:val="16"/>
              </w:rPr>
              <w:t>Total Sociedades Públicas</w:t>
            </w:r>
          </w:p>
        </w:tc>
        <w:tc>
          <w:tcPr>
            <w:tcW w:w="1077" w:type="dxa"/>
            <w:tcBorders>
              <w:top w:val="single" w:sz="4" w:space="0" w:color="auto"/>
              <w:left w:val="nil"/>
              <w:bottom w:val="single" w:sz="4" w:space="0" w:color="auto"/>
              <w:right w:val="nil"/>
            </w:tcBorders>
            <w:shd w:val="clear" w:color="000000" w:fill="8DB3E2"/>
            <w:noWrap/>
            <w:vAlign w:val="center"/>
          </w:tcPr>
          <w:p w14:paraId="2C196006" w14:textId="77777777" w:rsidR="00C57E20" w:rsidRPr="007C087D" w:rsidRDefault="00C57E20" w:rsidP="00060DBC">
            <w:pPr>
              <w:jc w:val="right"/>
              <w:rPr>
                <w:rFonts w:ascii="Arial" w:hAnsi="Arial" w:cs="Arial"/>
                <w:b/>
                <w:sz w:val="16"/>
                <w:szCs w:val="16"/>
              </w:rPr>
            </w:pPr>
            <w:r w:rsidRPr="007C087D">
              <w:rPr>
                <w:rFonts w:ascii="Arial" w:hAnsi="Arial" w:cs="Arial"/>
                <w:b/>
                <w:sz w:val="16"/>
                <w:szCs w:val="16"/>
              </w:rPr>
              <w:t>1.941.943</w:t>
            </w:r>
          </w:p>
        </w:tc>
        <w:tc>
          <w:tcPr>
            <w:tcW w:w="1077" w:type="dxa"/>
            <w:tcBorders>
              <w:top w:val="single" w:sz="4" w:space="0" w:color="auto"/>
              <w:left w:val="nil"/>
              <w:bottom w:val="single" w:sz="4" w:space="0" w:color="auto"/>
              <w:right w:val="nil"/>
            </w:tcBorders>
            <w:shd w:val="clear" w:color="000000" w:fill="8DB3E2"/>
            <w:noWrap/>
            <w:vAlign w:val="center"/>
          </w:tcPr>
          <w:p w14:paraId="64857EF9" w14:textId="77777777" w:rsidR="00C57E20" w:rsidRPr="007C087D" w:rsidRDefault="00C57E20" w:rsidP="00060DBC">
            <w:pPr>
              <w:jc w:val="right"/>
              <w:rPr>
                <w:rFonts w:ascii="Arial" w:hAnsi="Arial" w:cs="Arial"/>
                <w:b/>
                <w:sz w:val="16"/>
                <w:szCs w:val="16"/>
              </w:rPr>
            </w:pPr>
            <w:r w:rsidRPr="007C087D">
              <w:rPr>
                <w:rFonts w:ascii="Arial" w:hAnsi="Arial" w:cs="Arial"/>
                <w:b/>
                <w:sz w:val="16"/>
                <w:szCs w:val="16"/>
              </w:rPr>
              <w:t>-</w:t>
            </w:r>
          </w:p>
        </w:tc>
        <w:tc>
          <w:tcPr>
            <w:tcW w:w="1077" w:type="dxa"/>
            <w:tcBorders>
              <w:top w:val="single" w:sz="4" w:space="0" w:color="auto"/>
              <w:left w:val="nil"/>
              <w:bottom w:val="single" w:sz="4" w:space="0" w:color="auto"/>
              <w:right w:val="nil"/>
            </w:tcBorders>
            <w:shd w:val="clear" w:color="000000" w:fill="8DB3E2"/>
            <w:vAlign w:val="center"/>
          </w:tcPr>
          <w:p w14:paraId="70650A85" w14:textId="77777777" w:rsidR="00C57E20" w:rsidRPr="007C087D" w:rsidRDefault="00C57E20" w:rsidP="00060DBC">
            <w:pPr>
              <w:jc w:val="right"/>
              <w:rPr>
                <w:rFonts w:ascii="Arial" w:hAnsi="Arial" w:cs="Arial"/>
                <w:b/>
                <w:sz w:val="16"/>
                <w:szCs w:val="16"/>
              </w:rPr>
            </w:pPr>
            <w:r w:rsidRPr="007C087D">
              <w:rPr>
                <w:rFonts w:ascii="Arial" w:hAnsi="Arial" w:cs="Arial"/>
                <w:b/>
                <w:sz w:val="16"/>
                <w:szCs w:val="16"/>
              </w:rPr>
              <w:t>45.093.254</w:t>
            </w:r>
          </w:p>
        </w:tc>
        <w:tc>
          <w:tcPr>
            <w:tcW w:w="1077" w:type="dxa"/>
            <w:tcBorders>
              <w:top w:val="single" w:sz="4" w:space="0" w:color="auto"/>
              <w:left w:val="nil"/>
              <w:bottom w:val="single" w:sz="4" w:space="0" w:color="auto"/>
              <w:right w:val="nil"/>
            </w:tcBorders>
            <w:shd w:val="clear" w:color="000000" w:fill="8DB3E2"/>
            <w:noWrap/>
            <w:vAlign w:val="center"/>
          </w:tcPr>
          <w:p w14:paraId="6F517804" w14:textId="77777777" w:rsidR="00C57E20" w:rsidRPr="007C087D" w:rsidRDefault="00C57E20" w:rsidP="00060DBC">
            <w:pPr>
              <w:jc w:val="right"/>
              <w:rPr>
                <w:rFonts w:ascii="Arial" w:hAnsi="Arial" w:cs="Arial"/>
                <w:b/>
                <w:sz w:val="16"/>
                <w:szCs w:val="16"/>
              </w:rPr>
            </w:pPr>
            <w:r w:rsidRPr="007C087D">
              <w:rPr>
                <w:rFonts w:ascii="Arial" w:hAnsi="Arial" w:cs="Arial"/>
                <w:b/>
                <w:sz w:val="16"/>
                <w:szCs w:val="16"/>
              </w:rPr>
              <w:t>11.278.298</w:t>
            </w:r>
          </w:p>
        </w:tc>
        <w:tc>
          <w:tcPr>
            <w:tcW w:w="937" w:type="dxa"/>
            <w:tcBorders>
              <w:top w:val="single" w:sz="4" w:space="0" w:color="auto"/>
              <w:left w:val="nil"/>
              <w:bottom w:val="single" w:sz="4" w:space="0" w:color="auto"/>
              <w:right w:val="nil"/>
            </w:tcBorders>
            <w:shd w:val="clear" w:color="000000" w:fill="8DB3E2"/>
            <w:noWrap/>
            <w:vAlign w:val="center"/>
          </w:tcPr>
          <w:p w14:paraId="23761A48" w14:textId="77777777" w:rsidR="00C57E20" w:rsidRPr="007C087D" w:rsidRDefault="00C57E20" w:rsidP="00060DBC">
            <w:pPr>
              <w:jc w:val="right"/>
              <w:rPr>
                <w:rFonts w:ascii="Arial" w:hAnsi="Arial" w:cs="Arial"/>
                <w:b/>
                <w:sz w:val="16"/>
                <w:szCs w:val="16"/>
              </w:rPr>
            </w:pPr>
            <w:r w:rsidRPr="007C087D">
              <w:rPr>
                <w:rFonts w:ascii="Arial" w:hAnsi="Arial" w:cs="Arial"/>
                <w:b/>
                <w:sz w:val="16"/>
                <w:szCs w:val="16"/>
              </w:rPr>
              <w:t>-</w:t>
            </w:r>
          </w:p>
        </w:tc>
        <w:tc>
          <w:tcPr>
            <w:tcW w:w="1217" w:type="dxa"/>
            <w:tcBorders>
              <w:top w:val="single" w:sz="4" w:space="0" w:color="auto"/>
              <w:left w:val="nil"/>
              <w:bottom w:val="single" w:sz="4" w:space="0" w:color="auto"/>
              <w:right w:val="nil"/>
            </w:tcBorders>
            <w:shd w:val="clear" w:color="000000" w:fill="8DB3E2"/>
            <w:noWrap/>
            <w:vAlign w:val="center"/>
          </w:tcPr>
          <w:p w14:paraId="04DAF422" w14:textId="77777777" w:rsidR="00C57E20" w:rsidRPr="007C087D" w:rsidRDefault="00C57E20" w:rsidP="008F3D39">
            <w:pPr>
              <w:jc w:val="right"/>
              <w:rPr>
                <w:rFonts w:ascii="Arial" w:hAnsi="Arial" w:cs="Arial"/>
                <w:b/>
                <w:sz w:val="16"/>
                <w:szCs w:val="16"/>
              </w:rPr>
            </w:pPr>
            <w:r w:rsidRPr="007C087D">
              <w:rPr>
                <w:rFonts w:ascii="Arial" w:hAnsi="Arial" w:cs="Arial"/>
                <w:b/>
                <w:sz w:val="16"/>
                <w:szCs w:val="16"/>
              </w:rPr>
              <w:t>3,44</w:t>
            </w:r>
          </w:p>
        </w:tc>
      </w:tr>
    </w:tbl>
    <w:p w14:paraId="15041E83" w14:textId="77777777" w:rsidR="00C57E20" w:rsidRPr="006111F8" w:rsidRDefault="00C57E20" w:rsidP="002E6560">
      <w:pPr>
        <w:pStyle w:val="texto"/>
        <w:spacing w:before="240" w:after="240"/>
        <w:jc w:val="both"/>
      </w:pPr>
      <w:r w:rsidRPr="006111F8">
        <w:t xml:space="preserve">Los resultados a nivel agregado se reflejan en el siguiente cuadro: </w:t>
      </w:r>
    </w:p>
    <w:tbl>
      <w:tblPr>
        <w:tblW w:w="8789"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843"/>
        <w:gridCol w:w="2410"/>
        <w:gridCol w:w="2268"/>
        <w:gridCol w:w="2268"/>
      </w:tblGrid>
      <w:tr w:rsidR="00C57E20" w:rsidRPr="002E6560" w14:paraId="2A855B15" w14:textId="77777777" w:rsidTr="00A72532">
        <w:trPr>
          <w:trHeight w:val="115"/>
          <w:jc w:val="center"/>
        </w:trPr>
        <w:tc>
          <w:tcPr>
            <w:tcW w:w="1843" w:type="dxa"/>
            <w:tcBorders>
              <w:bottom w:val="single" w:sz="4" w:space="0" w:color="auto"/>
            </w:tcBorders>
            <w:shd w:val="clear" w:color="000000" w:fill="8DB3E2"/>
            <w:vAlign w:val="center"/>
            <w:hideMark/>
          </w:tcPr>
          <w:p w14:paraId="5A1345EE" w14:textId="77777777" w:rsidR="00C57E20" w:rsidRPr="002E6560" w:rsidRDefault="00C57E20" w:rsidP="00060DBC">
            <w:pPr>
              <w:rPr>
                <w:rFonts w:ascii="Arial" w:hAnsi="Arial" w:cs="Arial"/>
                <w:sz w:val="18"/>
                <w:szCs w:val="18"/>
              </w:rPr>
            </w:pPr>
            <w:r w:rsidRPr="002E6560">
              <w:rPr>
                <w:rFonts w:ascii="Arial" w:hAnsi="Arial" w:cs="Arial"/>
                <w:sz w:val="18"/>
                <w:szCs w:val="18"/>
              </w:rPr>
              <w:t> </w:t>
            </w:r>
          </w:p>
        </w:tc>
        <w:tc>
          <w:tcPr>
            <w:tcW w:w="2410" w:type="dxa"/>
            <w:tcBorders>
              <w:bottom w:val="single" w:sz="4" w:space="0" w:color="auto"/>
            </w:tcBorders>
            <w:shd w:val="clear" w:color="000000" w:fill="8DB3E2"/>
            <w:vAlign w:val="center"/>
            <w:hideMark/>
          </w:tcPr>
          <w:p w14:paraId="306E9A19" w14:textId="77777777" w:rsidR="00C57E20" w:rsidRPr="002E6560" w:rsidRDefault="00C57E20" w:rsidP="00060DBC">
            <w:pPr>
              <w:jc w:val="right"/>
              <w:rPr>
                <w:rFonts w:ascii="Arial" w:hAnsi="Arial" w:cs="Arial"/>
                <w:sz w:val="18"/>
                <w:szCs w:val="18"/>
              </w:rPr>
            </w:pPr>
            <w:r w:rsidRPr="002E6560">
              <w:rPr>
                <w:rFonts w:ascii="Arial" w:hAnsi="Arial" w:cs="Arial"/>
                <w:sz w:val="18"/>
                <w:szCs w:val="18"/>
              </w:rPr>
              <w:t>Importe contratos art. 36</w:t>
            </w:r>
          </w:p>
        </w:tc>
        <w:tc>
          <w:tcPr>
            <w:tcW w:w="2268" w:type="dxa"/>
            <w:tcBorders>
              <w:bottom w:val="single" w:sz="4" w:space="0" w:color="auto"/>
            </w:tcBorders>
            <w:shd w:val="clear" w:color="000000" w:fill="8DB3E2"/>
            <w:vAlign w:val="center"/>
            <w:hideMark/>
          </w:tcPr>
          <w:p w14:paraId="1E1A745F" w14:textId="77777777" w:rsidR="00C57E20" w:rsidRPr="002E6560" w:rsidRDefault="00C57E20" w:rsidP="008F3D39">
            <w:pPr>
              <w:jc w:val="right"/>
              <w:rPr>
                <w:rFonts w:ascii="Arial" w:hAnsi="Arial" w:cs="Arial"/>
                <w:sz w:val="18"/>
                <w:szCs w:val="18"/>
              </w:rPr>
            </w:pPr>
            <w:r w:rsidRPr="002E6560">
              <w:rPr>
                <w:rFonts w:ascii="Arial" w:hAnsi="Arial" w:cs="Arial"/>
                <w:sz w:val="18"/>
                <w:szCs w:val="18"/>
              </w:rPr>
              <w:t xml:space="preserve">ORN cap. 2 y 6 </w:t>
            </w:r>
          </w:p>
        </w:tc>
        <w:tc>
          <w:tcPr>
            <w:tcW w:w="2268" w:type="dxa"/>
            <w:tcBorders>
              <w:bottom w:val="single" w:sz="4" w:space="0" w:color="auto"/>
            </w:tcBorders>
            <w:shd w:val="clear" w:color="000000" w:fill="8DB3E2"/>
            <w:vAlign w:val="center"/>
            <w:hideMark/>
          </w:tcPr>
          <w:p w14:paraId="77EF1855" w14:textId="77777777" w:rsidR="00C57E20" w:rsidRPr="002E6560" w:rsidRDefault="00C57E20" w:rsidP="00060DBC">
            <w:pPr>
              <w:jc w:val="right"/>
              <w:rPr>
                <w:rFonts w:ascii="Arial" w:hAnsi="Arial" w:cs="Arial"/>
                <w:sz w:val="18"/>
                <w:szCs w:val="18"/>
              </w:rPr>
            </w:pPr>
            <w:r w:rsidRPr="002E6560">
              <w:rPr>
                <w:rFonts w:ascii="Arial" w:hAnsi="Arial" w:cs="Arial"/>
                <w:sz w:val="18"/>
                <w:szCs w:val="18"/>
              </w:rPr>
              <w:t>% Contrato art. 36</w:t>
            </w:r>
          </w:p>
        </w:tc>
      </w:tr>
      <w:tr w:rsidR="00C57E20" w:rsidRPr="007C087D" w14:paraId="038E14EA" w14:textId="77777777" w:rsidTr="00A72532">
        <w:trPr>
          <w:trHeight w:val="168"/>
          <w:jc w:val="center"/>
        </w:trPr>
        <w:tc>
          <w:tcPr>
            <w:tcW w:w="1843" w:type="dxa"/>
            <w:tcBorders>
              <w:bottom w:val="single" w:sz="2" w:space="0" w:color="auto"/>
            </w:tcBorders>
            <w:shd w:val="clear" w:color="auto" w:fill="auto"/>
            <w:vAlign w:val="center"/>
            <w:hideMark/>
          </w:tcPr>
          <w:p w14:paraId="5904052D" w14:textId="77777777" w:rsidR="00C57E20" w:rsidRPr="007C087D" w:rsidRDefault="00C57E20" w:rsidP="007C087D">
            <w:pPr>
              <w:ind w:hanging="71"/>
              <w:rPr>
                <w:rFonts w:ascii="Arial Narrow" w:hAnsi="Arial Narrow" w:cs="Calibri"/>
                <w:sz w:val="20"/>
                <w:szCs w:val="20"/>
              </w:rPr>
            </w:pPr>
            <w:r w:rsidRPr="007C087D">
              <w:rPr>
                <w:rFonts w:ascii="Arial Narrow" w:hAnsi="Arial Narrow" w:cs="Calibri"/>
                <w:sz w:val="18"/>
                <w:szCs w:val="18"/>
              </w:rPr>
              <w:t>ACFN</w:t>
            </w:r>
          </w:p>
        </w:tc>
        <w:tc>
          <w:tcPr>
            <w:tcW w:w="2410" w:type="dxa"/>
            <w:tcBorders>
              <w:bottom w:val="single" w:sz="2" w:space="0" w:color="auto"/>
            </w:tcBorders>
            <w:shd w:val="clear" w:color="auto" w:fill="auto"/>
            <w:vAlign w:val="center"/>
            <w:hideMark/>
          </w:tcPr>
          <w:p w14:paraId="0A47734E" w14:textId="77777777" w:rsidR="00C57E20" w:rsidRPr="007C087D" w:rsidRDefault="00C57E20" w:rsidP="00060DBC">
            <w:pPr>
              <w:jc w:val="right"/>
              <w:rPr>
                <w:rFonts w:ascii="Arial Narrow" w:hAnsi="Arial Narrow" w:cs="Calibri"/>
                <w:sz w:val="20"/>
                <w:szCs w:val="20"/>
              </w:rPr>
            </w:pPr>
            <w:r w:rsidRPr="007C087D">
              <w:rPr>
                <w:rFonts w:ascii="Arial Narrow" w:hAnsi="Arial Narrow" w:cs="Calibri"/>
                <w:sz w:val="20"/>
                <w:szCs w:val="20"/>
              </w:rPr>
              <w:t>2.668.122</w:t>
            </w:r>
          </w:p>
        </w:tc>
        <w:tc>
          <w:tcPr>
            <w:tcW w:w="2268" w:type="dxa"/>
            <w:tcBorders>
              <w:bottom w:val="single" w:sz="2" w:space="0" w:color="auto"/>
            </w:tcBorders>
            <w:shd w:val="clear" w:color="auto" w:fill="auto"/>
            <w:vAlign w:val="center"/>
            <w:hideMark/>
          </w:tcPr>
          <w:p w14:paraId="721F36A6" w14:textId="77777777" w:rsidR="00C57E20" w:rsidRPr="007C087D" w:rsidRDefault="00C57E20" w:rsidP="00060DBC">
            <w:pPr>
              <w:jc w:val="right"/>
              <w:rPr>
                <w:rFonts w:ascii="Arial Narrow" w:hAnsi="Arial Narrow" w:cs="Calibri"/>
                <w:sz w:val="20"/>
                <w:szCs w:val="20"/>
              </w:rPr>
            </w:pPr>
            <w:r w:rsidRPr="007C087D">
              <w:rPr>
                <w:rFonts w:ascii="Arial Narrow" w:hAnsi="Arial Narrow" w:cs="Calibri"/>
                <w:sz w:val="20"/>
                <w:szCs w:val="20"/>
              </w:rPr>
              <w:t>567.214.304</w:t>
            </w:r>
          </w:p>
        </w:tc>
        <w:tc>
          <w:tcPr>
            <w:tcW w:w="2268" w:type="dxa"/>
            <w:tcBorders>
              <w:bottom w:val="single" w:sz="2" w:space="0" w:color="auto"/>
            </w:tcBorders>
            <w:shd w:val="clear" w:color="auto" w:fill="auto"/>
            <w:vAlign w:val="center"/>
            <w:hideMark/>
          </w:tcPr>
          <w:p w14:paraId="32806ACD" w14:textId="77777777" w:rsidR="00C57E20" w:rsidRPr="007C087D" w:rsidRDefault="00C57E20" w:rsidP="008F3D39">
            <w:pPr>
              <w:jc w:val="right"/>
              <w:rPr>
                <w:rFonts w:ascii="Arial Narrow" w:hAnsi="Arial Narrow" w:cs="Calibri"/>
                <w:sz w:val="20"/>
                <w:szCs w:val="20"/>
              </w:rPr>
            </w:pPr>
            <w:r w:rsidRPr="007C087D">
              <w:rPr>
                <w:rFonts w:ascii="Arial Narrow" w:hAnsi="Arial Narrow" w:cs="Calibri"/>
                <w:sz w:val="20"/>
                <w:szCs w:val="20"/>
              </w:rPr>
              <w:t>0,47</w:t>
            </w:r>
          </w:p>
        </w:tc>
      </w:tr>
    </w:tbl>
    <w:p w14:paraId="7CC511B2" w14:textId="77777777" w:rsidR="00C57E20" w:rsidRPr="006111F8" w:rsidRDefault="00C57E20" w:rsidP="007C087D">
      <w:pPr>
        <w:spacing w:after="120"/>
        <w:jc w:val="both"/>
        <w:rPr>
          <w:b/>
          <w:sz w:val="26"/>
          <w:szCs w:val="26"/>
        </w:rPr>
      </w:pPr>
    </w:p>
    <w:tbl>
      <w:tblPr>
        <w:tblW w:w="8931" w:type="dxa"/>
        <w:jc w:val="center"/>
        <w:tblCellMar>
          <w:left w:w="70" w:type="dxa"/>
          <w:right w:w="70" w:type="dxa"/>
        </w:tblCellMar>
        <w:tblLook w:val="04A0" w:firstRow="1" w:lastRow="0" w:firstColumn="1" w:lastColumn="0" w:noHBand="0" w:noVBand="1"/>
      </w:tblPr>
      <w:tblGrid>
        <w:gridCol w:w="818"/>
        <w:gridCol w:w="307"/>
        <w:gridCol w:w="283"/>
        <w:gridCol w:w="358"/>
        <w:gridCol w:w="2487"/>
        <w:gridCol w:w="2410"/>
        <w:gridCol w:w="2268"/>
      </w:tblGrid>
      <w:tr w:rsidR="007C087D" w:rsidRPr="002E6560" w14:paraId="6FE50487" w14:textId="77777777" w:rsidTr="00A72532">
        <w:trPr>
          <w:trHeight w:val="170"/>
          <w:jc w:val="center"/>
        </w:trPr>
        <w:tc>
          <w:tcPr>
            <w:tcW w:w="0" w:type="auto"/>
            <w:tcBorders>
              <w:top w:val="single" w:sz="4" w:space="0" w:color="auto"/>
              <w:left w:val="nil"/>
              <w:bottom w:val="single" w:sz="4" w:space="0" w:color="auto"/>
              <w:right w:val="nil"/>
            </w:tcBorders>
            <w:shd w:val="clear" w:color="000000" w:fill="8DB3E2"/>
            <w:vAlign w:val="center"/>
            <w:hideMark/>
          </w:tcPr>
          <w:p w14:paraId="2F44DED0" w14:textId="77777777" w:rsidR="007C087D" w:rsidRPr="002E6560" w:rsidRDefault="007C087D" w:rsidP="00060DBC">
            <w:pPr>
              <w:rPr>
                <w:rFonts w:ascii="Arial" w:hAnsi="Arial" w:cs="Arial"/>
                <w:sz w:val="18"/>
                <w:szCs w:val="18"/>
              </w:rPr>
            </w:pPr>
            <w:r w:rsidRPr="002E6560">
              <w:rPr>
                <w:rFonts w:ascii="Arial" w:hAnsi="Arial" w:cs="Arial"/>
                <w:sz w:val="18"/>
                <w:szCs w:val="18"/>
              </w:rPr>
              <w:t> </w:t>
            </w:r>
          </w:p>
        </w:tc>
        <w:tc>
          <w:tcPr>
            <w:tcW w:w="935" w:type="dxa"/>
            <w:gridSpan w:val="3"/>
            <w:tcBorders>
              <w:top w:val="single" w:sz="4" w:space="0" w:color="auto"/>
              <w:left w:val="nil"/>
              <w:bottom w:val="single" w:sz="4" w:space="0" w:color="auto"/>
              <w:right w:val="nil"/>
            </w:tcBorders>
            <w:shd w:val="clear" w:color="000000" w:fill="8DB3E2"/>
          </w:tcPr>
          <w:p w14:paraId="0024A2DD" w14:textId="77777777" w:rsidR="007C087D" w:rsidRPr="002E6560" w:rsidRDefault="007C087D" w:rsidP="00060DBC">
            <w:pPr>
              <w:jc w:val="right"/>
              <w:rPr>
                <w:rFonts w:ascii="Arial" w:hAnsi="Arial" w:cs="Arial"/>
                <w:sz w:val="18"/>
                <w:szCs w:val="18"/>
              </w:rPr>
            </w:pPr>
          </w:p>
        </w:tc>
        <w:tc>
          <w:tcPr>
            <w:tcW w:w="2487" w:type="dxa"/>
            <w:tcBorders>
              <w:top w:val="single" w:sz="4" w:space="0" w:color="auto"/>
              <w:left w:val="nil"/>
              <w:bottom w:val="single" w:sz="4" w:space="0" w:color="auto"/>
              <w:right w:val="nil"/>
            </w:tcBorders>
            <w:shd w:val="clear" w:color="000000" w:fill="8DB3E2"/>
            <w:vAlign w:val="center"/>
            <w:hideMark/>
          </w:tcPr>
          <w:p w14:paraId="1888AED6" w14:textId="77777777" w:rsidR="007C087D" w:rsidRPr="002E6560" w:rsidRDefault="007C087D" w:rsidP="008F3D39">
            <w:pPr>
              <w:jc w:val="right"/>
              <w:rPr>
                <w:rFonts w:ascii="Arial" w:hAnsi="Arial" w:cs="Arial"/>
                <w:sz w:val="18"/>
                <w:szCs w:val="18"/>
              </w:rPr>
            </w:pPr>
            <w:r w:rsidRPr="002E6560">
              <w:rPr>
                <w:rFonts w:ascii="Arial" w:hAnsi="Arial" w:cs="Arial"/>
                <w:sz w:val="18"/>
                <w:szCs w:val="18"/>
              </w:rPr>
              <w:t>Importe contratos art. 36</w:t>
            </w:r>
          </w:p>
        </w:tc>
        <w:tc>
          <w:tcPr>
            <w:tcW w:w="2410" w:type="dxa"/>
            <w:tcBorders>
              <w:top w:val="single" w:sz="4" w:space="0" w:color="auto"/>
              <w:left w:val="nil"/>
              <w:bottom w:val="single" w:sz="4" w:space="0" w:color="auto"/>
              <w:right w:val="nil"/>
            </w:tcBorders>
            <w:shd w:val="clear" w:color="000000" w:fill="8DB3E2"/>
            <w:vAlign w:val="center"/>
            <w:hideMark/>
          </w:tcPr>
          <w:p w14:paraId="4EA80436" w14:textId="77777777" w:rsidR="008F3D39" w:rsidRDefault="007C087D" w:rsidP="008F3D39">
            <w:pPr>
              <w:jc w:val="right"/>
              <w:rPr>
                <w:rFonts w:ascii="Arial" w:hAnsi="Arial" w:cs="Arial"/>
                <w:sz w:val="18"/>
                <w:szCs w:val="18"/>
              </w:rPr>
            </w:pPr>
            <w:r w:rsidRPr="002E6560">
              <w:rPr>
                <w:rFonts w:ascii="Arial" w:hAnsi="Arial" w:cs="Arial"/>
                <w:sz w:val="18"/>
                <w:szCs w:val="18"/>
              </w:rPr>
              <w:t xml:space="preserve">Importe adjudicado 2022 + </w:t>
            </w:r>
          </w:p>
          <w:p w14:paraId="1EB663DE" w14:textId="77777777" w:rsidR="007C087D" w:rsidRPr="002E6560" w:rsidRDefault="007C087D" w:rsidP="008F3D39">
            <w:pPr>
              <w:jc w:val="right"/>
              <w:rPr>
                <w:rFonts w:ascii="Arial" w:hAnsi="Arial" w:cs="Arial"/>
                <w:sz w:val="18"/>
                <w:szCs w:val="18"/>
              </w:rPr>
            </w:pPr>
            <w:r w:rsidRPr="002E6560">
              <w:rPr>
                <w:rFonts w:ascii="Arial" w:hAnsi="Arial" w:cs="Arial"/>
                <w:sz w:val="18"/>
                <w:szCs w:val="18"/>
              </w:rPr>
              <w:t>Contratación menor 2022</w:t>
            </w:r>
          </w:p>
        </w:tc>
        <w:tc>
          <w:tcPr>
            <w:tcW w:w="2268" w:type="dxa"/>
            <w:tcBorders>
              <w:top w:val="single" w:sz="4" w:space="0" w:color="auto"/>
              <w:left w:val="nil"/>
              <w:bottom w:val="single" w:sz="4" w:space="0" w:color="auto"/>
              <w:right w:val="nil"/>
            </w:tcBorders>
            <w:shd w:val="clear" w:color="000000" w:fill="8DB3E2"/>
            <w:vAlign w:val="center"/>
            <w:hideMark/>
          </w:tcPr>
          <w:p w14:paraId="5621F5F1" w14:textId="77777777" w:rsidR="007C087D" w:rsidRPr="002E6560" w:rsidRDefault="007C087D" w:rsidP="00060DBC">
            <w:pPr>
              <w:jc w:val="right"/>
              <w:rPr>
                <w:rFonts w:ascii="Arial" w:hAnsi="Arial" w:cs="Arial"/>
                <w:sz w:val="18"/>
                <w:szCs w:val="18"/>
              </w:rPr>
            </w:pPr>
            <w:r w:rsidRPr="002E6560">
              <w:rPr>
                <w:rFonts w:ascii="Arial" w:hAnsi="Arial" w:cs="Arial"/>
                <w:sz w:val="18"/>
                <w:szCs w:val="18"/>
              </w:rPr>
              <w:t>% Contrato art. 36</w:t>
            </w:r>
          </w:p>
        </w:tc>
      </w:tr>
      <w:tr w:rsidR="007C087D" w:rsidRPr="003A1A2F" w14:paraId="42162309" w14:textId="77777777" w:rsidTr="00A72532">
        <w:trPr>
          <w:trHeight w:val="225"/>
          <w:jc w:val="center"/>
        </w:trPr>
        <w:tc>
          <w:tcPr>
            <w:tcW w:w="0" w:type="auto"/>
            <w:tcBorders>
              <w:top w:val="single" w:sz="4" w:space="0" w:color="auto"/>
              <w:left w:val="nil"/>
              <w:bottom w:val="single" w:sz="2" w:space="0" w:color="auto"/>
              <w:right w:val="nil"/>
            </w:tcBorders>
            <w:shd w:val="clear" w:color="auto" w:fill="auto"/>
            <w:noWrap/>
            <w:vAlign w:val="bottom"/>
            <w:hideMark/>
          </w:tcPr>
          <w:p w14:paraId="3FEB910D" w14:textId="77777777" w:rsidR="007C087D" w:rsidRPr="003A1A2F" w:rsidRDefault="007C087D" w:rsidP="00060DBC">
            <w:pPr>
              <w:rPr>
                <w:rFonts w:ascii="Arial Narrow" w:hAnsi="Arial Narrow" w:cs="Calibri"/>
                <w:sz w:val="20"/>
                <w:szCs w:val="20"/>
              </w:rPr>
            </w:pPr>
            <w:r w:rsidRPr="003A1A2F">
              <w:rPr>
                <w:rFonts w:ascii="Arial Narrow" w:hAnsi="Arial Narrow" w:cs="Calibri"/>
                <w:sz w:val="20"/>
                <w:szCs w:val="20"/>
              </w:rPr>
              <w:t>ACFN</w:t>
            </w:r>
          </w:p>
        </w:tc>
        <w:tc>
          <w:tcPr>
            <w:tcW w:w="294" w:type="dxa"/>
            <w:tcBorders>
              <w:top w:val="single" w:sz="4" w:space="0" w:color="auto"/>
              <w:left w:val="nil"/>
              <w:bottom w:val="single" w:sz="2" w:space="0" w:color="auto"/>
              <w:right w:val="nil"/>
            </w:tcBorders>
          </w:tcPr>
          <w:p w14:paraId="4B2869AD" w14:textId="77777777" w:rsidR="007C087D" w:rsidRPr="003A1A2F" w:rsidRDefault="007C087D" w:rsidP="00060DBC">
            <w:pPr>
              <w:jc w:val="right"/>
              <w:rPr>
                <w:rFonts w:ascii="Arial Narrow" w:hAnsi="Arial Narrow" w:cs="Calibri"/>
                <w:sz w:val="20"/>
                <w:szCs w:val="20"/>
              </w:rPr>
            </w:pPr>
          </w:p>
        </w:tc>
        <w:tc>
          <w:tcPr>
            <w:tcW w:w="3128" w:type="dxa"/>
            <w:gridSpan w:val="3"/>
            <w:tcBorders>
              <w:top w:val="single" w:sz="4" w:space="0" w:color="auto"/>
              <w:left w:val="nil"/>
              <w:bottom w:val="single" w:sz="2" w:space="0" w:color="auto"/>
              <w:right w:val="nil"/>
            </w:tcBorders>
            <w:shd w:val="clear" w:color="auto" w:fill="auto"/>
            <w:noWrap/>
            <w:vAlign w:val="bottom"/>
            <w:hideMark/>
          </w:tcPr>
          <w:p w14:paraId="686AF666" w14:textId="77777777" w:rsidR="007C087D" w:rsidRPr="003A1A2F" w:rsidRDefault="007C087D" w:rsidP="008F3D39">
            <w:pPr>
              <w:jc w:val="right"/>
              <w:rPr>
                <w:rFonts w:ascii="Arial Narrow" w:hAnsi="Arial Narrow" w:cs="Calibri"/>
                <w:sz w:val="20"/>
                <w:szCs w:val="20"/>
              </w:rPr>
            </w:pPr>
            <w:r w:rsidRPr="003A1A2F">
              <w:rPr>
                <w:rFonts w:ascii="Arial Narrow" w:hAnsi="Arial Narrow" w:cs="Calibri"/>
                <w:sz w:val="20"/>
                <w:szCs w:val="20"/>
              </w:rPr>
              <w:t>2.668.122</w:t>
            </w:r>
          </w:p>
        </w:tc>
        <w:tc>
          <w:tcPr>
            <w:tcW w:w="2410" w:type="dxa"/>
            <w:tcBorders>
              <w:top w:val="single" w:sz="4" w:space="0" w:color="auto"/>
              <w:left w:val="nil"/>
              <w:bottom w:val="single" w:sz="2" w:space="0" w:color="auto"/>
              <w:right w:val="nil"/>
            </w:tcBorders>
            <w:shd w:val="clear" w:color="auto" w:fill="auto"/>
            <w:noWrap/>
            <w:vAlign w:val="bottom"/>
          </w:tcPr>
          <w:p w14:paraId="6A7B9E1D" w14:textId="77777777" w:rsidR="007C087D" w:rsidRPr="003A1A2F" w:rsidRDefault="007C087D" w:rsidP="008F3D39">
            <w:pPr>
              <w:jc w:val="right"/>
              <w:rPr>
                <w:rFonts w:ascii="Arial Narrow" w:hAnsi="Arial Narrow" w:cs="Calibri"/>
                <w:sz w:val="20"/>
                <w:szCs w:val="20"/>
              </w:rPr>
            </w:pPr>
            <w:r w:rsidRPr="003A1A2F">
              <w:rPr>
                <w:rFonts w:ascii="Arial Narrow" w:hAnsi="Arial Narrow" w:cs="Calibri"/>
                <w:sz w:val="20"/>
                <w:szCs w:val="20"/>
              </w:rPr>
              <w:t>186.117.500</w:t>
            </w:r>
          </w:p>
        </w:tc>
        <w:tc>
          <w:tcPr>
            <w:tcW w:w="2268" w:type="dxa"/>
            <w:tcBorders>
              <w:top w:val="single" w:sz="4" w:space="0" w:color="auto"/>
              <w:left w:val="nil"/>
              <w:bottom w:val="single" w:sz="2" w:space="0" w:color="auto"/>
              <w:right w:val="nil"/>
            </w:tcBorders>
            <w:shd w:val="clear" w:color="auto" w:fill="auto"/>
            <w:noWrap/>
            <w:vAlign w:val="bottom"/>
          </w:tcPr>
          <w:p w14:paraId="236DB06E" w14:textId="77777777" w:rsidR="007C087D" w:rsidRPr="003A1A2F" w:rsidRDefault="007C087D" w:rsidP="008F3D39">
            <w:pPr>
              <w:jc w:val="right"/>
              <w:rPr>
                <w:rFonts w:ascii="Arial Narrow" w:hAnsi="Arial Narrow" w:cs="Calibri"/>
                <w:sz w:val="20"/>
                <w:szCs w:val="20"/>
              </w:rPr>
            </w:pPr>
            <w:r w:rsidRPr="003A1A2F">
              <w:rPr>
                <w:rFonts w:ascii="Arial Narrow" w:hAnsi="Arial Narrow" w:cs="Calibri"/>
                <w:sz w:val="20"/>
                <w:szCs w:val="20"/>
              </w:rPr>
              <w:t>1,43</w:t>
            </w:r>
          </w:p>
        </w:tc>
      </w:tr>
      <w:tr w:rsidR="007C087D" w:rsidRPr="003A1A2F" w14:paraId="429B2199" w14:textId="77777777" w:rsidTr="00A72532">
        <w:trPr>
          <w:trHeight w:val="128"/>
          <w:jc w:val="center"/>
        </w:trPr>
        <w:tc>
          <w:tcPr>
            <w:tcW w:w="1125" w:type="dxa"/>
            <w:gridSpan w:val="2"/>
            <w:tcBorders>
              <w:top w:val="single" w:sz="2" w:space="0" w:color="auto"/>
              <w:left w:val="nil"/>
              <w:bottom w:val="single" w:sz="4" w:space="0" w:color="auto"/>
              <w:right w:val="nil"/>
            </w:tcBorders>
            <w:shd w:val="clear" w:color="auto" w:fill="auto"/>
            <w:noWrap/>
            <w:vAlign w:val="bottom"/>
            <w:hideMark/>
          </w:tcPr>
          <w:p w14:paraId="664AD726" w14:textId="77777777" w:rsidR="007C087D" w:rsidRPr="003A1A2F" w:rsidRDefault="007C087D" w:rsidP="00060DBC">
            <w:pPr>
              <w:rPr>
                <w:rFonts w:ascii="Arial Narrow" w:hAnsi="Arial Narrow" w:cs="Calibri"/>
                <w:sz w:val="20"/>
                <w:szCs w:val="20"/>
              </w:rPr>
            </w:pPr>
            <w:r w:rsidRPr="003A1A2F">
              <w:rPr>
                <w:rFonts w:ascii="Arial Narrow" w:hAnsi="Arial Narrow" w:cs="Calibri"/>
                <w:sz w:val="20"/>
                <w:szCs w:val="20"/>
              </w:rPr>
              <w:t>Sociedades</w:t>
            </w:r>
          </w:p>
        </w:tc>
        <w:tc>
          <w:tcPr>
            <w:tcW w:w="283" w:type="dxa"/>
            <w:tcBorders>
              <w:top w:val="single" w:sz="2" w:space="0" w:color="auto"/>
              <w:left w:val="nil"/>
              <w:bottom w:val="single" w:sz="4" w:space="0" w:color="auto"/>
              <w:right w:val="nil"/>
            </w:tcBorders>
          </w:tcPr>
          <w:p w14:paraId="602CC690" w14:textId="77777777" w:rsidR="007C087D" w:rsidRPr="003A1A2F" w:rsidRDefault="007C087D" w:rsidP="00060DBC">
            <w:pPr>
              <w:jc w:val="right"/>
              <w:rPr>
                <w:rFonts w:ascii="Arial Narrow" w:hAnsi="Arial Narrow" w:cs="Calibri"/>
                <w:sz w:val="20"/>
                <w:szCs w:val="20"/>
              </w:rPr>
            </w:pPr>
          </w:p>
        </w:tc>
        <w:tc>
          <w:tcPr>
            <w:tcW w:w="2845" w:type="dxa"/>
            <w:gridSpan w:val="2"/>
            <w:tcBorders>
              <w:top w:val="single" w:sz="2" w:space="0" w:color="auto"/>
              <w:left w:val="nil"/>
              <w:bottom w:val="single" w:sz="4" w:space="0" w:color="auto"/>
              <w:right w:val="nil"/>
            </w:tcBorders>
            <w:shd w:val="clear" w:color="auto" w:fill="auto"/>
            <w:noWrap/>
            <w:vAlign w:val="bottom"/>
            <w:hideMark/>
          </w:tcPr>
          <w:p w14:paraId="30CA6286" w14:textId="77777777" w:rsidR="007C087D" w:rsidRPr="003A1A2F" w:rsidRDefault="007C087D" w:rsidP="008F3D39">
            <w:pPr>
              <w:jc w:val="right"/>
              <w:rPr>
                <w:rFonts w:ascii="Arial Narrow" w:hAnsi="Arial Narrow" w:cs="Calibri"/>
                <w:sz w:val="20"/>
                <w:szCs w:val="20"/>
              </w:rPr>
            </w:pPr>
            <w:r w:rsidRPr="003A1A2F">
              <w:rPr>
                <w:rFonts w:ascii="Arial Narrow" w:hAnsi="Arial Narrow" w:cs="Calibri"/>
                <w:sz w:val="20"/>
                <w:szCs w:val="20"/>
              </w:rPr>
              <w:t>1.941.943</w:t>
            </w:r>
          </w:p>
        </w:tc>
        <w:tc>
          <w:tcPr>
            <w:tcW w:w="2410" w:type="dxa"/>
            <w:tcBorders>
              <w:top w:val="single" w:sz="2" w:space="0" w:color="auto"/>
              <w:left w:val="nil"/>
              <w:bottom w:val="single" w:sz="4" w:space="0" w:color="auto"/>
              <w:right w:val="nil"/>
            </w:tcBorders>
            <w:shd w:val="clear" w:color="auto" w:fill="auto"/>
            <w:noWrap/>
            <w:vAlign w:val="bottom"/>
          </w:tcPr>
          <w:p w14:paraId="5F326AD8" w14:textId="77777777" w:rsidR="007C087D" w:rsidRPr="003A1A2F" w:rsidRDefault="007C087D" w:rsidP="008F3D39">
            <w:pPr>
              <w:jc w:val="right"/>
              <w:rPr>
                <w:rFonts w:ascii="Arial Narrow" w:hAnsi="Arial Narrow" w:cs="Calibri"/>
                <w:sz w:val="20"/>
                <w:szCs w:val="20"/>
              </w:rPr>
            </w:pPr>
            <w:r w:rsidRPr="003A1A2F">
              <w:rPr>
                <w:rFonts w:ascii="Arial Narrow" w:hAnsi="Arial Narrow" w:cs="Calibri"/>
                <w:sz w:val="20"/>
                <w:szCs w:val="20"/>
              </w:rPr>
              <w:t>56.371.552</w:t>
            </w:r>
          </w:p>
        </w:tc>
        <w:tc>
          <w:tcPr>
            <w:tcW w:w="2268" w:type="dxa"/>
            <w:tcBorders>
              <w:top w:val="single" w:sz="2" w:space="0" w:color="auto"/>
              <w:left w:val="nil"/>
              <w:bottom w:val="single" w:sz="4" w:space="0" w:color="auto"/>
              <w:right w:val="nil"/>
            </w:tcBorders>
            <w:shd w:val="clear" w:color="auto" w:fill="auto"/>
            <w:noWrap/>
            <w:vAlign w:val="bottom"/>
          </w:tcPr>
          <w:p w14:paraId="2C39DB34" w14:textId="77777777" w:rsidR="007C087D" w:rsidRPr="003A1A2F" w:rsidRDefault="007C087D" w:rsidP="008F3D39">
            <w:pPr>
              <w:jc w:val="right"/>
              <w:rPr>
                <w:rFonts w:ascii="Arial Narrow" w:hAnsi="Arial Narrow" w:cs="Calibri"/>
                <w:sz w:val="20"/>
                <w:szCs w:val="20"/>
              </w:rPr>
            </w:pPr>
            <w:r w:rsidRPr="003A1A2F">
              <w:rPr>
                <w:rFonts w:ascii="Arial Narrow" w:hAnsi="Arial Narrow" w:cs="Calibri"/>
                <w:sz w:val="20"/>
                <w:szCs w:val="20"/>
              </w:rPr>
              <w:t>3,44</w:t>
            </w:r>
          </w:p>
        </w:tc>
      </w:tr>
    </w:tbl>
    <w:p w14:paraId="5464BDE7" w14:textId="77777777" w:rsidR="00C57E20" w:rsidRPr="002C11F3" w:rsidRDefault="00C57E20" w:rsidP="002E6560">
      <w:pPr>
        <w:pStyle w:val="texto"/>
        <w:spacing w:before="240"/>
        <w:jc w:val="both"/>
      </w:pPr>
      <w:r w:rsidRPr="002C11F3">
        <w:t xml:space="preserve">Sobre los datos que hemos reflejado en los cuadros anteriores, destacamos las siguientes cuestiones relevantes: </w:t>
      </w:r>
    </w:p>
    <w:p w14:paraId="37D62029" w14:textId="77777777" w:rsidR="00C57E20" w:rsidRDefault="00C57E20" w:rsidP="008F3D39">
      <w:pPr>
        <w:pStyle w:val="texto"/>
        <w:numPr>
          <w:ilvl w:val="0"/>
          <w:numId w:val="6"/>
        </w:numPr>
        <w:tabs>
          <w:tab w:val="clear" w:pos="360"/>
          <w:tab w:val="num" w:pos="300"/>
          <w:tab w:val="left" w:pos="480"/>
          <w:tab w:val="num" w:pos="600"/>
        </w:tabs>
        <w:spacing w:before="120" w:after="120"/>
        <w:ind w:firstLine="289"/>
        <w:jc w:val="both"/>
      </w:pPr>
      <w:r w:rsidRPr="002C11F3">
        <w:t xml:space="preserve">El importe reservado en el ejercicio 2023, incluye tanto el gasto en contratos de menor cuantía, como el gasto derivado de licitaciones con reserva del propio ejercicio 2023, o con origen en algún ejercicio anterior. Si bien este criterio es el establecido con carácter general en las sociedades públicas, entendemos que no es homogéneo en el caso de la ACFN, ya que existe heterogeneidad entre los </w:t>
      </w:r>
      <w:r w:rsidRPr="002C11F3">
        <w:lastRenderedPageBreak/>
        <w:t xml:space="preserve">datos de gasto ejecutado e importes de licitación, con independencia de su ejecución presupuestaria. </w:t>
      </w:r>
    </w:p>
    <w:p w14:paraId="2C9C852F" w14:textId="77777777" w:rsidR="00C57E20" w:rsidRPr="006111F8" w:rsidRDefault="00C57E20" w:rsidP="00D4277E">
      <w:pPr>
        <w:pStyle w:val="texto"/>
        <w:numPr>
          <w:ilvl w:val="0"/>
          <w:numId w:val="6"/>
        </w:numPr>
        <w:tabs>
          <w:tab w:val="clear" w:pos="360"/>
          <w:tab w:val="num" w:pos="300"/>
          <w:tab w:val="left" w:pos="480"/>
          <w:tab w:val="num" w:pos="600"/>
        </w:tabs>
        <w:spacing w:after="120"/>
        <w:ind w:firstLine="289"/>
        <w:jc w:val="both"/>
      </w:pPr>
      <w:r w:rsidRPr="006111F8">
        <w:t>Los datos del I</w:t>
      </w:r>
      <w:r w:rsidR="00785EA3">
        <w:t>SPLN</w:t>
      </w:r>
      <w:r w:rsidRPr="006111F8">
        <w:t xml:space="preserve"> se corresponden únicamente con el citado organismo autónomo, sin tener en cuenta la información del Departamento de Salud, ya que ésta no nos ha sido remitida. En cualquier caso, respecto a la información del citado organismo, indicamos lo siguiente:</w:t>
      </w:r>
    </w:p>
    <w:p w14:paraId="0BAE3013" w14:textId="77777777" w:rsidR="00C57E20" w:rsidRPr="006111F8" w:rsidRDefault="00C57E20" w:rsidP="00D4277E">
      <w:pPr>
        <w:pStyle w:val="texto"/>
        <w:numPr>
          <w:ilvl w:val="0"/>
          <w:numId w:val="26"/>
        </w:numPr>
        <w:tabs>
          <w:tab w:val="left" w:pos="426"/>
        </w:tabs>
        <w:spacing w:after="120"/>
        <w:ind w:left="0" w:firstLine="284"/>
        <w:jc w:val="both"/>
      </w:pPr>
      <w:r w:rsidRPr="006111F8">
        <w:t xml:space="preserve">El ISPLN </w:t>
      </w:r>
      <w:r w:rsidR="00785EA3">
        <w:rPr>
          <w:noProof/>
        </w:rPr>
        <w:t xml:space="preserve">explica que deben ser excluidos de la información el elevado gasto en fármacos para no distorsionarla, ya que </w:t>
      </w:r>
      <w:r w:rsidRPr="006111F8">
        <w:t xml:space="preserve">consideran que este tipo de </w:t>
      </w:r>
      <w:proofErr w:type="gramStart"/>
      <w:r w:rsidRPr="006111F8">
        <w:t>gasto,</w:t>
      </w:r>
      <w:proofErr w:type="gramEnd"/>
      <w:r w:rsidRPr="006111F8">
        <w:t xml:space="preserve"> difícilmente tiene vinculación con los contratos reservados por motivos sociales. Esta Cámara considera razonable este criterio, por lo que sería deseable un análisis similar por el resto de </w:t>
      </w:r>
      <w:proofErr w:type="gramStart"/>
      <w:r w:rsidRPr="006111F8">
        <w:t>departamentos</w:t>
      </w:r>
      <w:proofErr w:type="gramEnd"/>
      <w:r w:rsidRPr="006111F8">
        <w:t xml:space="preserve">, para dar un tratamiento más homogéneo a la información. </w:t>
      </w:r>
    </w:p>
    <w:p w14:paraId="3476EDC5" w14:textId="77777777" w:rsidR="00C57E20" w:rsidRPr="006111F8" w:rsidRDefault="00C57E20" w:rsidP="00D4277E">
      <w:pPr>
        <w:pStyle w:val="texto"/>
        <w:numPr>
          <w:ilvl w:val="0"/>
          <w:numId w:val="26"/>
        </w:numPr>
        <w:tabs>
          <w:tab w:val="left" w:pos="426"/>
        </w:tabs>
        <w:spacing w:after="120"/>
        <w:ind w:left="0" w:firstLine="284"/>
        <w:jc w:val="both"/>
      </w:pPr>
      <w:r w:rsidRPr="006111F8">
        <w:t>Si bien es significativo el alto porcentaje de reserva (</w:t>
      </w:r>
      <w:r>
        <w:t xml:space="preserve">19,45 </w:t>
      </w:r>
      <w:r w:rsidRPr="006111F8">
        <w:t>por ciento), este dato no puede entenderse como tal, dado que la variable adjudicación del ejercicio anterior, condiciona su resultado y no otorga fiabilidad sobre un</w:t>
      </w:r>
      <w:r w:rsidR="00785EA3">
        <w:t>a</w:t>
      </w:r>
      <w:r w:rsidRPr="006111F8">
        <w:t xml:space="preserve"> mayor o menor reserva de este tipo de contratos. En esta entidad se evidencia precisamente el efecto que tiene un factor tan variable como es el importe de adjudicación del ejercicio anterior. </w:t>
      </w:r>
    </w:p>
    <w:p w14:paraId="518C6021" w14:textId="77777777" w:rsidR="00C57E20" w:rsidRPr="002C11F3" w:rsidRDefault="00C57E20" w:rsidP="00D4277E">
      <w:pPr>
        <w:pStyle w:val="texto"/>
        <w:numPr>
          <w:ilvl w:val="0"/>
          <w:numId w:val="6"/>
        </w:numPr>
        <w:tabs>
          <w:tab w:val="clear" w:pos="360"/>
          <w:tab w:val="num" w:pos="300"/>
          <w:tab w:val="left" w:pos="480"/>
          <w:tab w:val="num" w:pos="600"/>
        </w:tabs>
        <w:spacing w:after="120"/>
        <w:ind w:firstLine="289"/>
        <w:jc w:val="both"/>
      </w:pPr>
      <w:r w:rsidRPr="002C11F3">
        <w:t>En el caso de las alternativas previstas que prevé el artículo 36.5</w:t>
      </w:r>
      <w:r w:rsidRPr="002C11F3">
        <w:rPr>
          <w:rStyle w:val="Refdenotaalpie"/>
        </w:rPr>
        <w:footnoteReference w:id="29"/>
      </w:r>
      <w:r w:rsidRPr="002C11F3">
        <w:t xml:space="preserve"> de la LFC, entendemos que existe otra limitación, y es que no es posible cuantificar su impacto económico hasta la finalización de cada contrato, siempre y cuando los respectivos órganos de </w:t>
      </w:r>
      <w:proofErr w:type="gramStart"/>
      <w:r w:rsidRPr="002C11F3">
        <w:t>contratación,</w:t>
      </w:r>
      <w:proofErr w:type="gramEnd"/>
      <w:r w:rsidRPr="002C11F3">
        <w:t xml:space="preserve"> lleven a cabo las correspondientes actuaciones de verificación y control de su cumplimiento. </w:t>
      </w:r>
    </w:p>
    <w:p w14:paraId="1150A95C" w14:textId="77777777" w:rsidR="00C57E20" w:rsidRPr="002C11F3" w:rsidRDefault="00C57E20" w:rsidP="00D4277E">
      <w:pPr>
        <w:pStyle w:val="texto"/>
        <w:numPr>
          <w:ilvl w:val="0"/>
          <w:numId w:val="6"/>
        </w:numPr>
        <w:tabs>
          <w:tab w:val="clear" w:pos="360"/>
          <w:tab w:val="num" w:pos="300"/>
          <w:tab w:val="left" w:pos="480"/>
          <w:tab w:val="num" w:pos="600"/>
        </w:tabs>
        <w:spacing w:after="120"/>
        <w:ind w:firstLine="289"/>
        <w:jc w:val="both"/>
      </w:pPr>
      <w:r w:rsidRPr="002C11F3">
        <w:t xml:space="preserve">Los porcentajes de reserva que hemos cuantificado, dadas las limitaciones y dudas interpretativas que hemos reflejado, no significan por parte de esta Cámara un pronunciamiento sobre el cumplimiento o incumplimiento de lo previsto en la LFC. </w:t>
      </w:r>
    </w:p>
    <w:p w14:paraId="5E7DD9F4" w14:textId="77777777" w:rsidR="00C57E20" w:rsidRPr="002C11F3" w:rsidRDefault="00C57E20" w:rsidP="00D4277E">
      <w:pPr>
        <w:pStyle w:val="texto"/>
        <w:spacing w:after="120"/>
        <w:jc w:val="both"/>
      </w:pPr>
      <w:r w:rsidRPr="002C11F3">
        <w:t>No obstante, destacamos que únicamente las sociedades públicas han acreditado cumplir con la obligación de publicar con carácter anual el listado, y el importe total de los contratos reservados a Centros Especiales de Empleo y Empresas de Inserción.</w:t>
      </w:r>
    </w:p>
    <w:p w14:paraId="1D1F53F0" w14:textId="77777777" w:rsidR="00C57E20" w:rsidRPr="002C11F3" w:rsidRDefault="00C57E20" w:rsidP="00D4277E">
      <w:pPr>
        <w:spacing w:after="120"/>
        <w:jc w:val="both"/>
        <w:rPr>
          <w:spacing w:val="6"/>
          <w:sz w:val="26"/>
          <w:szCs w:val="26"/>
        </w:rPr>
      </w:pPr>
      <w:r w:rsidRPr="002C11F3">
        <w:rPr>
          <w:b/>
          <w:spacing w:val="6"/>
          <w:sz w:val="26"/>
          <w:szCs w:val="26"/>
        </w:rPr>
        <w:t>En definitiva</w:t>
      </w:r>
      <w:r w:rsidRPr="002C11F3">
        <w:rPr>
          <w:spacing w:val="6"/>
          <w:sz w:val="26"/>
          <w:szCs w:val="26"/>
        </w:rPr>
        <w:t xml:space="preserve">, y a modo de reflexión final, consideramos lo siguiente: </w:t>
      </w:r>
    </w:p>
    <w:p w14:paraId="55E3E00C" w14:textId="77777777" w:rsidR="00C57E20" w:rsidRPr="002C11F3" w:rsidRDefault="00C57E20" w:rsidP="00D4277E">
      <w:pPr>
        <w:pStyle w:val="texto"/>
        <w:numPr>
          <w:ilvl w:val="0"/>
          <w:numId w:val="29"/>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2C11F3">
        <w:rPr>
          <w:rFonts w:cs="Arial"/>
          <w:lang w:val="es-ES_tradnl" w:eastAsia="en-US"/>
        </w:rPr>
        <w:t xml:space="preserve">En la LFC se ha establecido la obligatoriedad de reservar contratos por motivos sociales, un mínimo del seis por ciento, en relación con el importe de adjudicación del ejercicio anterior. </w:t>
      </w:r>
    </w:p>
    <w:p w14:paraId="22171F9A" w14:textId="77777777" w:rsidR="00C57E20" w:rsidRPr="002C11F3" w:rsidRDefault="00C57E20" w:rsidP="00145398">
      <w:pPr>
        <w:pStyle w:val="texto"/>
        <w:spacing w:after="120"/>
        <w:jc w:val="both"/>
      </w:pPr>
      <w:r w:rsidRPr="002C11F3">
        <w:t xml:space="preserve">El establecimiento legal de un indicador tan </w:t>
      </w:r>
      <w:proofErr w:type="gramStart"/>
      <w:r w:rsidRPr="002C11F3">
        <w:t>generalista,</w:t>
      </w:r>
      <w:proofErr w:type="gramEnd"/>
      <w:r w:rsidRPr="002C11F3">
        <w:t xml:space="preserve"> ocasiona además de las dudas razonables de interpretación que hemos desarrollado, otra limitación </w:t>
      </w:r>
      <w:r w:rsidRPr="002C11F3">
        <w:lastRenderedPageBreak/>
        <w:t xml:space="preserve">relevante y es que resulta evidente que los límites van a estar condicionados por la actividad que realicen las entidades beneficiarias. Dicho de otro modo, es razonable entender que no todos los contratos y no en todos los sectores a los que se recurre con la contratación pública, este tipo de entidades pueden intervenir. </w:t>
      </w:r>
    </w:p>
    <w:p w14:paraId="6C24185B" w14:textId="77777777" w:rsidR="00C57E20" w:rsidRPr="002C11F3" w:rsidRDefault="00C57E20" w:rsidP="00C57E20">
      <w:pPr>
        <w:pStyle w:val="texto"/>
        <w:numPr>
          <w:ilvl w:val="0"/>
          <w:numId w:val="29"/>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2C11F3">
        <w:rPr>
          <w:rFonts w:cs="Arial"/>
          <w:lang w:val="es-ES_tradnl" w:eastAsia="en-US"/>
        </w:rPr>
        <w:t>Dado el tipo de entidades al que van dirigidos este tipo de contratos, uno de cuyos objetivos es atender e integrar al mayor número de personas con discapacidad, parece razonable que las actividades intensivas en mano de obra, sea el tipo de actividades que se les reservan, pero no está reglamentado, como tampoco está reglamentado las áreas de actividad susceptibles de esta reserva y las condiciones mínimas para garantizar su cumplimiento.</w:t>
      </w:r>
    </w:p>
    <w:p w14:paraId="3FC74ADA" w14:textId="77777777" w:rsidR="00C57E20" w:rsidRPr="002C11F3" w:rsidRDefault="00C57E20" w:rsidP="00C57E20">
      <w:pPr>
        <w:pStyle w:val="texto"/>
        <w:numPr>
          <w:ilvl w:val="0"/>
          <w:numId w:val="29"/>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2C11F3">
        <w:rPr>
          <w:rFonts w:cs="Arial"/>
          <w:lang w:val="es-ES_tradnl" w:eastAsia="en-US"/>
        </w:rPr>
        <w:t xml:space="preserve">En todo caso, se debe garantizar entre este tipo de entidades la inexistencia de restricciones a la libre competencia. La figura del contrato de menor cuantía </w:t>
      </w:r>
      <w:r>
        <w:rPr>
          <w:rFonts w:cs="Arial"/>
          <w:lang w:val="es-ES_tradnl" w:eastAsia="en-US"/>
        </w:rPr>
        <w:t xml:space="preserve">puede </w:t>
      </w:r>
      <w:r w:rsidRPr="002C11F3">
        <w:rPr>
          <w:rFonts w:cs="Arial"/>
          <w:lang w:val="es-ES_tradnl" w:eastAsia="en-US"/>
        </w:rPr>
        <w:t>genera</w:t>
      </w:r>
      <w:r>
        <w:rPr>
          <w:rFonts w:cs="Arial"/>
          <w:lang w:val="es-ES_tradnl" w:eastAsia="en-US"/>
        </w:rPr>
        <w:t>r</w:t>
      </w:r>
      <w:r w:rsidRPr="002C11F3">
        <w:rPr>
          <w:rFonts w:cs="Arial"/>
          <w:lang w:val="es-ES_tradnl" w:eastAsia="en-US"/>
        </w:rPr>
        <w:t xml:space="preserve"> dudas sobre este precepto, a diferencia de los procedimientos de adjud</w:t>
      </w:r>
      <w:r>
        <w:rPr>
          <w:rFonts w:cs="Arial"/>
          <w:lang w:val="es-ES_tradnl" w:eastAsia="en-US"/>
        </w:rPr>
        <w:t>icación abierto y simplificado. T</w:t>
      </w:r>
      <w:r w:rsidRPr="002C11F3">
        <w:rPr>
          <w:rFonts w:cs="Arial"/>
          <w:lang w:val="es-ES_tradnl" w:eastAsia="en-US"/>
        </w:rPr>
        <w:t>ampoco está reglamentado el recurso a este procedimiento de adjudicación.</w:t>
      </w:r>
    </w:p>
    <w:p w14:paraId="5B8F6755" w14:textId="77777777" w:rsidR="00C57E20" w:rsidRPr="002C11F3" w:rsidRDefault="00C57E20" w:rsidP="00D4277E">
      <w:pPr>
        <w:tabs>
          <w:tab w:val="center" w:pos="2835"/>
          <w:tab w:val="center" w:pos="3969"/>
          <w:tab w:val="center" w:pos="5103"/>
          <w:tab w:val="center" w:pos="6237"/>
          <w:tab w:val="center" w:pos="7371"/>
        </w:tabs>
        <w:spacing w:after="120"/>
        <w:ind w:firstLine="284"/>
        <w:jc w:val="both"/>
        <w:rPr>
          <w:spacing w:val="6"/>
          <w:sz w:val="26"/>
          <w:szCs w:val="26"/>
        </w:rPr>
      </w:pPr>
      <w:r w:rsidRPr="002C11F3">
        <w:rPr>
          <w:spacing w:val="6"/>
          <w:sz w:val="26"/>
          <w:szCs w:val="26"/>
        </w:rPr>
        <w:t xml:space="preserve">En cualquier caso, se echa en falta una adecuada identificación de los contratos </w:t>
      </w:r>
      <w:r w:rsidR="00785EA3">
        <w:rPr>
          <w:spacing w:val="6"/>
          <w:sz w:val="26"/>
          <w:szCs w:val="26"/>
        </w:rPr>
        <w:t xml:space="preserve">reservados </w:t>
      </w:r>
      <w:r w:rsidRPr="002C11F3">
        <w:rPr>
          <w:spacing w:val="6"/>
          <w:sz w:val="26"/>
          <w:szCs w:val="26"/>
        </w:rPr>
        <w:t xml:space="preserve">de menor cuantía en SAP. </w:t>
      </w:r>
    </w:p>
    <w:p w14:paraId="277C156D" w14:textId="77777777" w:rsidR="00C57E20" w:rsidRPr="002C11F3" w:rsidRDefault="00C57E20" w:rsidP="00C57E20">
      <w:pPr>
        <w:pStyle w:val="texto"/>
        <w:numPr>
          <w:ilvl w:val="0"/>
          <w:numId w:val="29"/>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lang w:val="es-ES_tradnl" w:eastAsia="en-US"/>
        </w:rPr>
      </w:pPr>
      <w:r w:rsidRPr="002C11F3">
        <w:rPr>
          <w:rFonts w:cs="Arial"/>
          <w:lang w:val="es-ES_tradnl" w:eastAsia="en-US"/>
        </w:rPr>
        <w:t xml:space="preserve">Por estos motivos, a juicio de esta Cámara y entendiendo que la reserva de este tipo de contratos debe responder a un concepto estratégico y de compromiso político-social, no es suficiente el establecimiento de un mínimo legal exigible sobre un dato como es la adjudicación del ejercicio anterior, porque se evidencia las dificultades en su aplicación, y en consecuencia es más que razonable que sin una adecuada planificación estratégica, se incumpla de forma sistemática, cuando el objetivo deseable es integrar de una forma lógica y razonable a este tipo de entidades en la contratación pública. </w:t>
      </w:r>
    </w:p>
    <w:p w14:paraId="5E4EBF80" w14:textId="77777777" w:rsidR="00C57E20" w:rsidRPr="002C11F3" w:rsidRDefault="00C57E20" w:rsidP="00D4277E">
      <w:pPr>
        <w:pStyle w:val="texto"/>
        <w:spacing w:after="120"/>
        <w:jc w:val="both"/>
      </w:pPr>
      <w:r w:rsidRPr="002C11F3">
        <w:t xml:space="preserve">Por todo lo anterior, efectuamos las siguientes </w:t>
      </w:r>
      <w:r w:rsidRPr="00D4277E">
        <w:rPr>
          <w:i/>
        </w:rPr>
        <w:t>recomendaciones</w:t>
      </w:r>
      <w:r w:rsidRPr="002C11F3">
        <w:t>:</w:t>
      </w:r>
    </w:p>
    <w:p w14:paraId="0E158797" w14:textId="77777777" w:rsidR="00C57E20" w:rsidRPr="002C11F3" w:rsidRDefault="00C57E20" w:rsidP="00C57E20">
      <w:pPr>
        <w:pStyle w:val="texto"/>
        <w:numPr>
          <w:ilvl w:val="0"/>
          <w:numId w:val="29"/>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rPr>
          <w:rFonts w:cs="Arial"/>
          <w:i/>
          <w:lang w:val="es-ES_tradnl" w:eastAsia="en-US"/>
        </w:rPr>
      </w:pPr>
      <w:r w:rsidRPr="002C11F3">
        <w:rPr>
          <w:rFonts w:cs="Arial"/>
          <w:i/>
          <w:lang w:val="es-ES_tradnl" w:eastAsia="en-US"/>
        </w:rPr>
        <w:t>Revisar el artículo 36.4 de la LFC y en todo caso, establecer con carácter previo y con la finalidad de dotar de mayor seguridad a los órganos de contratación, las oportunas instrucciones estratégicas (anuales/plurianuales) por el Gobierno de N</w:t>
      </w:r>
      <w:r>
        <w:rPr>
          <w:rFonts w:cs="Arial"/>
          <w:i/>
          <w:lang w:val="es-ES_tradnl" w:eastAsia="en-US"/>
        </w:rPr>
        <w:t>avarra</w:t>
      </w:r>
      <w:r w:rsidRPr="002C11F3">
        <w:rPr>
          <w:rFonts w:cs="Arial"/>
          <w:i/>
          <w:lang w:val="es-ES_tradnl" w:eastAsia="en-US"/>
        </w:rPr>
        <w:t xml:space="preserve">, de las condiciones en las que se debe integrar estas entidades y garantizar de la forma más adecuada su reserva de contratos. </w:t>
      </w:r>
    </w:p>
    <w:p w14:paraId="6AFF6985" w14:textId="77777777" w:rsidR="00C57E20" w:rsidRPr="006111F8" w:rsidRDefault="00C57E20" w:rsidP="00C57E20">
      <w:pPr>
        <w:pStyle w:val="texto"/>
        <w:numPr>
          <w:ilvl w:val="0"/>
          <w:numId w:val="29"/>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pPr>
      <w:r w:rsidRPr="006111F8">
        <w:rPr>
          <w:rFonts w:cs="Arial"/>
          <w:i/>
          <w:lang w:val="es-ES_tradnl" w:eastAsia="en-US"/>
        </w:rPr>
        <w:t>Implementar</w:t>
      </w:r>
      <w:r w:rsidR="00785EA3">
        <w:rPr>
          <w:rFonts w:cs="Arial"/>
          <w:i/>
          <w:lang w:val="es-ES_tradnl" w:eastAsia="en-US"/>
        </w:rPr>
        <w:t xml:space="preserve"> </w:t>
      </w:r>
      <w:r w:rsidRPr="006111F8">
        <w:rPr>
          <w:rFonts w:cs="Arial"/>
          <w:i/>
          <w:lang w:val="es-ES_tradnl" w:eastAsia="en-US"/>
        </w:rPr>
        <w:t>en el Portal de Contratación, un apartado específico que permita que la información de este tipo de contratos sea identificable y accesible.</w:t>
      </w:r>
    </w:p>
    <w:p w14:paraId="637FFFF6" w14:textId="77777777" w:rsidR="00C57E20" w:rsidRPr="002C11F3" w:rsidRDefault="00C57E20" w:rsidP="00C57E20">
      <w:pPr>
        <w:pStyle w:val="texto"/>
        <w:numPr>
          <w:ilvl w:val="0"/>
          <w:numId w:val="29"/>
        </w:numPr>
        <w:tabs>
          <w:tab w:val="clear" w:pos="2835"/>
          <w:tab w:val="clear" w:pos="3969"/>
          <w:tab w:val="num" w:pos="300"/>
          <w:tab w:val="num" w:pos="360"/>
          <w:tab w:val="left" w:pos="480"/>
          <w:tab w:val="num" w:pos="600"/>
          <w:tab w:val="num" w:pos="720"/>
          <w:tab w:val="num" w:pos="1320"/>
          <w:tab w:val="num" w:pos="2062"/>
          <w:tab w:val="num" w:pos="4472"/>
        </w:tabs>
        <w:spacing w:after="120"/>
        <w:ind w:left="0" w:firstLine="289"/>
        <w:jc w:val="both"/>
      </w:pPr>
      <w:r w:rsidRPr="006111F8">
        <w:rPr>
          <w:rFonts w:cs="Arial"/>
          <w:i/>
          <w:lang w:val="es-ES_tradnl" w:eastAsia="en-US"/>
        </w:rPr>
        <w:t>Cumplir por parte de la ACFN, la obligación de publicar con carácter anual el listado y el importe total de los contratos reservados</w:t>
      </w:r>
      <w:r w:rsidR="00A72532">
        <w:rPr>
          <w:rFonts w:cs="Arial"/>
          <w:i/>
          <w:lang w:val="es-ES_tradnl" w:eastAsia="en-US"/>
        </w:rPr>
        <w:t>.</w:t>
      </w:r>
    </w:p>
    <w:p w14:paraId="408B68E4" w14:textId="77777777" w:rsidR="00FF7571" w:rsidRDefault="00FF7571">
      <w:pPr>
        <w:rPr>
          <w:rFonts w:ascii="Arial" w:hAnsi="Arial"/>
          <w:bCs/>
          <w:iCs/>
          <w:spacing w:val="10"/>
          <w:kern w:val="28"/>
          <w:sz w:val="25"/>
          <w:szCs w:val="26"/>
        </w:rPr>
      </w:pPr>
      <w:bookmarkStart w:id="128" w:name="_Toc52267373"/>
      <w:bookmarkStart w:id="129" w:name="_Toc525907444"/>
      <w:bookmarkStart w:id="130" w:name="_Toc494270388"/>
      <w:bookmarkStart w:id="131" w:name="_Toc427311456"/>
      <w:bookmarkStart w:id="132" w:name="_Toc146471248"/>
      <w:bookmarkStart w:id="133" w:name="_Toc182464284"/>
      <w:r>
        <w:br w:type="page"/>
      </w:r>
    </w:p>
    <w:p w14:paraId="3F43DB94" w14:textId="77777777" w:rsidR="00614DC4" w:rsidRDefault="00D4277E" w:rsidP="00614DC4">
      <w:pPr>
        <w:pStyle w:val="atitulo2"/>
        <w:spacing w:before="240" w:after="200"/>
        <w:rPr>
          <w:color w:val="auto"/>
        </w:rPr>
      </w:pPr>
      <w:r>
        <w:rPr>
          <w:color w:val="auto"/>
        </w:rPr>
        <w:lastRenderedPageBreak/>
        <w:t>5.6</w:t>
      </w:r>
      <w:r w:rsidR="00614DC4">
        <w:rPr>
          <w:color w:val="auto"/>
        </w:rPr>
        <w:t xml:space="preserve"> Gastos de transferencias corrientes y de capital</w:t>
      </w:r>
      <w:bookmarkEnd w:id="128"/>
      <w:bookmarkEnd w:id="129"/>
      <w:bookmarkEnd w:id="130"/>
      <w:bookmarkEnd w:id="131"/>
      <w:bookmarkEnd w:id="132"/>
      <w:bookmarkEnd w:id="133"/>
    </w:p>
    <w:p w14:paraId="294B940F" w14:textId="77777777" w:rsidR="00614DC4" w:rsidRPr="00F076CD" w:rsidRDefault="00614DC4" w:rsidP="00D4277E">
      <w:pPr>
        <w:pStyle w:val="atitulo3"/>
        <w:spacing w:before="240"/>
      </w:pPr>
      <w:r w:rsidRPr="00F076CD">
        <w:t>Transferencias corrientes</w:t>
      </w:r>
    </w:p>
    <w:p w14:paraId="537BCE60" w14:textId="77777777" w:rsidR="00614DC4" w:rsidRDefault="00164B4E" w:rsidP="002D15F8">
      <w:pPr>
        <w:pStyle w:val="texto"/>
        <w:spacing w:after="120"/>
        <w:jc w:val="both"/>
      </w:pPr>
      <w:r>
        <w:t xml:space="preserve">El gasto en </w:t>
      </w:r>
      <w:r w:rsidR="00614DC4">
        <w:t xml:space="preserve">transferencias corrientes </w:t>
      </w:r>
      <w:r>
        <w:t>en 2023</w:t>
      </w:r>
      <w:r w:rsidR="00614DC4">
        <w:t xml:space="preserve"> ascend</w:t>
      </w:r>
      <w:r>
        <w:t xml:space="preserve">ió </w:t>
      </w:r>
      <w:r w:rsidR="003D0EF2">
        <w:t>a 2.331,70</w:t>
      </w:r>
      <w:r w:rsidR="0012270A">
        <w:t xml:space="preserve"> millones y supusieron el 4</w:t>
      </w:r>
      <w:r w:rsidR="003D0EF2">
        <w:t>0</w:t>
      </w:r>
      <w:r w:rsidR="00614DC4">
        <w:t xml:space="preserve"> por ciento del total de obligaciones reconocidas. Estos gastos aumentaron un </w:t>
      </w:r>
      <w:r w:rsidR="0012270A">
        <w:t xml:space="preserve">uno </w:t>
      </w:r>
      <w:r w:rsidR="00614DC4">
        <w:t>por ciento respecto a los de 202</w:t>
      </w:r>
      <w:r w:rsidR="0012270A">
        <w:t>2</w:t>
      </w:r>
      <w:r w:rsidR="00614DC4">
        <w:t xml:space="preserve"> </w:t>
      </w:r>
      <w:r w:rsidR="0012270A">
        <w:t xml:space="preserve">(32,78 millones) </w:t>
      </w:r>
      <w:r w:rsidR="00614DC4">
        <w:t>tal y como se muestra a continuación:</w:t>
      </w:r>
    </w:p>
    <w:p w14:paraId="4FA92B4A" w14:textId="77777777" w:rsidR="0069768F" w:rsidRPr="00627F85" w:rsidRDefault="0069768F" w:rsidP="0069768F">
      <w:pPr>
        <w:pStyle w:val="texto"/>
        <w:spacing w:after="120"/>
        <w:jc w:val="right"/>
        <w:rPr>
          <w:sz w:val="17"/>
          <w:szCs w:val="17"/>
        </w:rPr>
      </w:pPr>
      <w:r w:rsidRPr="00627F85">
        <w:rPr>
          <w:rFonts w:ascii="Arial" w:hAnsi="Arial" w:cs="Arial"/>
          <w:sz w:val="17"/>
          <w:szCs w:val="17"/>
        </w:rPr>
        <w:t>(en miles)</w:t>
      </w:r>
    </w:p>
    <w:tbl>
      <w:tblPr>
        <w:tblStyle w:val="Tablaconcuadrcula"/>
        <w:tblW w:w="50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19"/>
        <w:gridCol w:w="2109"/>
        <w:gridCol w:w="32"/>
        <w:gridCol w:w="2093"/>
        <w:gridCol w:w="44"/>
        <w:gridCol w:w="1091"/>
        <w:gridCol w:w="49"/>
      </w:tblGrid>
      <w:tr w:rsidR="0069768F" w:rsidRPr="0069768F" w14:paraId="662ABE32" w14:textId="77777777" w:rsidTr="0069768F">
        <w:trPr>
          <w:trHeight w:val="255"/>
        </w:trPr>
        <w:tc>
          <w:tcPr>
            <w:tcW w:w="1935" w:type="pct"/>
            <w:gridSpan w:val="2"/>
            <w:tcBorders>
              <w:top w:val="single" w:sz="4" w:space="0" w:color="auto"/>
              <w:left w:val="nil"/>
              <w:bottom w:val="single" w:sz="4" w:space="0" w:color="auto"/>
              <w:right w:val="nil"/>
            </w:tcBorders>
            <w:shd w:val="clear" w:color="auto" w:fill="8DB3E2"/>
            <w:vAlign w:val="center"/>
            <w:hideMark/>
          </w:tcPr>
          <w:p w14:paraId="27EE9DBC" w14:textId="77777777" w:rsidR="0069768F" w:rsidRPr="0069768F" w:rsidRDefault="0069768F" w:rsidP="00EF078E">
            <w:pPr>
              <w:pStyle w:val="cuadroCabe"/>
              <w:rPr>
                <w:szCs w:val="18"/>
              </w:rPr>
            </w:pPr>
            <w:r w:rsidRPr="0069768F">
              <w:rPr>
                <w:lang w:val="es-ES_tradnl"/>
              </w:rPr>
              <w:t>Artículo presupuestario</w:t>
            </w:r>
          </w:p>
        </w:tc>
        <w:tc>
          <w:tcPr>
            <w:tcW w:w="1211" w:type="pct"/>
            <w:gridSpan w:val="2"/>
            <w:tcBorders>
              <w:top w:val="single" w:sz="4" w:space="0" w:color="auto"/>
              <w:left w:val="nil"/>
              <w:bottom w:val="single" w:sz="4" w:space="0" w:color="auto"/>
              <w:right w:val="nil"/>
            </w:tcBorders>
            <w:shd w:val="clear" w:color="auto" w:fill="8DB3E2"/>
            <w:vAlign w:val="center"/>
            <w:hideMark/>
          </w:tcPr>
          <w:p w14:paraId="082605B3" w14:textId="77777777" w:rsidR="0069768F" w:rsidRPr="0069768F" w:rsidRDefault="0069768F" w:rsidP="008F3D39">
            <w:pPr>
              <w:pStyle w:val="cuadroCabe"/>
              <w:spacing w:after="0"/>
              <w:jc w:val="right"/>
              <w:rPr>
                <w:lang w:val="es-ES_tradnl"/>
              </w:rPr>
            </w:pPr>
            <w:proofErr w:type="spellStart"/>
            <w:r w:rsidRPr="0069768F">
              <w:rPr>
                <w:lang w:val="es-ES_tradnl"/>
              </w:rPr>
              <w:t>Obligac</w:t>
            </w:r>
            <w:proofErr w:type="spellEnd"/>
            <w:r w:rsidRPr="0069768F">
              <w:rPr>
                <w:lang w:val="es-ES_tradnl"/>
              </w:rPr>
              <w:t xml:space="preserve">. Reconocidas </w:t>
            </w:r>
          </w:p>
          <w:p w14:paraId="35B553AF" w14:textId="77777777" w:rsidR="0069768F" w:rsidRPr="0069768F" w:rsidRDefault="0069768F" w:rsidP="008F3D39">
            <w:pPr>
              <w:pStyle w:val="cuadroCabe"/>
              <w:spacing w:after="0"/>
              <w:jc w:val="right"/>
              <w:rPr>
                <w:szCs w:val="18"/>
              </w:rPr>
            </w:pPr>
            <w:r w:rsidRPr="0069768F">
              <w:rPr>
                <w:lang w:val="es-ES_tradnl"/>
              </w:rPr>
              <w:t>Netas 202</w:t>
            </w:r>
            <w:r>
              <w:rPr>
                <w:lang w:val="es-ES_tradnl"/>
              </w:rPr>
              <w:t>2</w:t>
            </w:r>
          </w:p>
        </w:tc>
        <w:tc>
          <w:tcPr>
            <w:tcW w:w="1209" w:type="pct"/>
            <w:gridSpan w:val="2"/>
            <w:tcBorders>
              <w:top w:val="single" w:sz="4" w:space="0" w:color="auto"/>
              <w:left w:val="nil"/>
              <w:bottom w:val="single" w:sz="4" w:space="0" w:color="auto"/>
              <w:right w:val="nil"/>
            </w:tcBorders>
            <w:shd w:val="clear" w:color="auto" w:fill="8DB3E2"/>
            <w:vAlign w:val="center"/>
            <w:hideMark/>
          </w:tcPr>
          <w:p w14:paraId="08582822" w14:textId="77777777" w:rsidR="0069768F" w:rsidRPr="0069768F" w:rsidRDefault="0069768F" w:rsidP="008F3D39">
            <w:pPr>
              <w:pStyle w:val="cuadroCabe"/>
              <w:spacing w:after="0"/>
              <w:jc w:val="right"/>
              <w:rPr>
                <w:lang w:val="es-ES_tradnl"/>
              </w:rPr>
            </w:pPr>
            <w:proofErr w:type="spellStart"/>
            <w:r w:rsidRPr="0069768F">
              <w:rPr>
                <w:lang w:val="es-ES_tradnl"/>
              </w:rPr>
              <w:t>Obligac</w:t>
            </w:r>
            <w:proofErr w:type="spellEnd"/>
            <w:r w:rsidRPr="0069768F">
              <w:rPr>
                <w:lang w:val="es-ES_tradnl"/>
              </w:rPr>
              <w:t xml:space="preserve">. Reconocidas </w:t>
            </w:r>
          </w:p>
          <w:p w14:paraId="390865BC" w14:textId="77777777" w:rsidR="0069768F" w:rsidRPr="0069768F" w:rsidRDefault="0069768F" w:rsidP="008F3D39">
            <w:pPr>
              <w:pStyle w:val="cuadroCabe"/>
              <w:spacing w:after="0"/>
              <w:jc w:val="right"/>
              <w:rPr>
                <w:szCs w:val="18"/>
              </w:rPr>
            </w:pPr>
            <w:r w:rsidRPr="0069768F">
              <w:rPr>
                <w:lang w:val="es-ES_tradnl"/>
              </w:rPr>
              <w:t>Netas 202</w:t>
            </w:r>
            <w:r>
              <w:rPr>
                <w:lang w:val="es-ES_tradnl"/>
              </w:rPr>
              <w:t>3</w:t>
            </w:r>
          </w:p>
        </w:tc>
        <w:tc>
          <w:tcPr>
            <w:tcW w:w="645" w:type="pct"/>
            <w:gridSpan w:val="2"/>
            <w:tcBorders>
              <w:top w:val="single" w:sz="4" w:space="0" w:color="auto"/>
              <w:left w:val="nil"/>
              <w:bottom w:val="single" w:sz="4" w:space="0" w:color="auto"/>
              <w:right w:val="nil"/>
            </w:tcBorders>
            <w:shd w:val="clear" w:color="auto" w:fill="8DB3E2"/>
            <w:vAlign w:val="center"/>
            <w:hideMark/>
          </w:tcPr>
          <w:p w14:paraId="1233BEC8" w14:textId="77777777" w:rsidR="0069768F" w:rsidRPr="0069768F" w:rsidRDefault="0069768F" w:rsidP="008F3D39">
            <w:pPr>
              <w:pStyle w:val="cuadroCabe"/>
              <w:jc w:val="right"/>
              <w:rPr>
                <w:szCs w:val="18"/>
              </w:rPr>
            </w:pPr>
            <w:r w:rsidRPr="0069768F">
              <w:rPr>
                <w:szCs w:val="18"/>
              </w:rPr>
              <w:t>% Var. 202</w:t>
            </w:r>
            <w:r>
              <w:rPr>
                <w:szCs w:val="18"/>
              </w:rPr>
              <w:t>3</w:t>
            </w:r>
            <w:r w:rsidRPr="0069768F">
              <w:rPr>
                <w:szCs w:val="18"/>
              </w:rPr>
              <w:t>/202</w:t>
            </w:r>
            <w:r>
              <w:rPr>
                <w:szCs w:val="18"/>
              </w:rPr>
              <w:t>2</w:t>
            </w:r>
          </w:p>
        </w:tc>
      </w:tr>
      <w:tr w:rsidR="0069768F" w:rsidRPr="0069768F" w14:paraId="0B22CA4B" w14:textId="77777777" w:rsidTr="00627F85">
        <w:trPr>
          <w:gridAfter w:val="1"/>
          <w:wAfter w:w="28" w:type="pct"/>
          <w:trHeight w:val="198"/>
        </w:trPr>
        <w:tc>
          <w:tcPr>
            <w:tcW w:w="1924" w:type="pct"/>
            <w:tcBorders>
              <w:top w:val="single" w:sz="2" w:space="0" w:color="auto"/>
              <w:left w:val="nil"/>
              <w:bottom w:val="single" w:sz="2" w:space="0" w:color="auto"/>
              <w:right w:val="nil"/>
            </w:tcBorders>
            <w:vAlign w:val="center"/>
            <w:hideMark/>
          </w:tcPr>
          <w:p w14:paraId="10CF5F35" w14:textId="77777777" w:rsidR="0069768F" w:rsidRPr="0069768F" w:rsidRDefault="0069768F" w:rsidP="0069768F">
            <w:pPr>
              <w:spacing w:after="0"/>
              <w:ind w:right="-103" w:firstLine="0"/>
              <w:jc w:val="left"/>
              <w:rPr>
                <w:rFonts w:ascii="Arial Narrow" w:hAnsi="Arial Narrow"/>
                <w:sz w:val="20"/>
                <w:szCs w:val="20"/>
                <w:lang w:val="es-ES_tradnl"/>
              </w:rPr>
            </w:pPr>
            <w:r w:rsidRPr="0069768F">
              <w:rPr>
                <w:rFonts w:ascii="Arial Narrow" w:hAnsi="Arial Narrow"/>
                <w:sz w:val="20"/>
                <w:szCs w:val="20"/>
                <w:lang w:val="es-ES_tradnl"/>
              </w:rPr>
              <w:t>A la Administración del Estado</w:t>
            </w:r>
          </w:p>
        </w:tc>
        <w:tc>
          <w:tcPr>
            <w:tcW w:w="1204" w:type="pct"/>
            <w:gridSpan w:val="2"/>
            <w:tcBorders>
              <w:top w:val="single" w:sz="2" w:space="0" w:color="auto"/>
              <w:bottom w:val="single" w:sz="2" w:space="0" w:color="auto"/>
            </w:tcBorders>
            <w:vAlign w:val="center"/>
          </w:tcPr>
          <w:p w14:paraId="7E841BF6" w14:textId="77777777" w:rsidR="0069768F" w:rsidRPr="0069768F" w:rsidRDefault="0069768F" w:rsidP="0069768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20"/>
                <w:szCs w:val="20"/>
                <w:lang w:val="es-ES_tradnl"/>
              </w:rPr>
            </w:pPr>
            <w:r w:rsidRPr="0069768F">
              <w:rPr>
                <w:rFonts w:ascii="Arial Narrow" w:hAnsi="Arial Narrow"/>
                <w:spacing w:val="6"/>
                <w:sz w:val="20"/>
                <w:szCs w:val="20"/>
                <w:lang w:val="es-ES_tradnl"/>
              </w:rPr>
              <w:t>882.687</w:t>
            </w:r>
          </w:p>
        </w:tc>
        <w:tc>
          <w:tcPr>
            <w:tcW w:w="1202" w:type="pct"/>
            <w:gridSpan w:val="2"/>
            <w:tcBorders>
              <w:top w:val="single" w:sz="2" w:space="0" w:color="auto"/>
              <w:bottom w:val="single" w:sz="2" w:space="0" w:color="auto"/>
            </w:tcBorders>
            <w:vAlign w:val="center"/>
          </w:tcPr>
          <w:p w14:paraId="2D31B6E9" w14:textId="77777777" w:rsidR="0069768F" w:rsidRPr="0069768F" w:rsidRDefault="0069768F" w:rsidP="0069768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20"/>
                <w:szCs w:val="20"/>
                <w:lang w:val="es-ES_tradnl"/>
              </w:rPr>
            </w:pPr>
            <w:r>
              <w:rPr>
                <w:rFonts w:ascii="Arial Narrow" w:hAnsi="Arial Narrow"/>
                <w:spacing w:val="6"/>
                <w:sz w:val="20"/>
                <w:szCs w:val="20"/>
                <w:lang w:val="es-ES_tradnl"/>
              </w:rPr>
              <w:t>911.730</w:t>
            </w:r>
          </w:p>
        </w:tc>
        <w:tc>
          <w:tcPr>
            <w:tcW w:w="642" w:type="pct"/>
            <w:gridSpan w:val="2"/>
            <w:tcBorders>
              <w:top w:val="single" w:sz="2" w:space="0" w:color="auto"/>
              <w:bottom w:val="single" w:sz="2" w:space="0" w:color="auto"/>
            </w:tcBorders>
            <w:vAlign w:val="center"/>
          </w:tcPr>
          <w:p w14:paraId="6742DCF0" w14:textId="77777777" w:rsidR="0069768F" w:rsidRPr="0069768F" w:rsidRDefault="0069768F" w:rsidP="0069768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20"/>
                <w:szCs w:val="20"/>
                <w:lang w:val="es-ES_tradnl"/>
              </w:rPr>
            </w:pPr>
            <w:r>
              <w:rPr>
                <w:rFonts w:ascii="Arial Narrow" w:hAnsi="Arial Narrow"/>
                <w:spacing w:val="6"/>
                <w:sz w:val="20"/>
                <w:szCs w:val="20"/>
                <w:lang w:val="es-ES_tradnl"/>
              </w:rPr>
              <w:t>3</w:t>
            </w:r>
          </w:p>
        </w:tc>
      </w:tr>
      <w:tr w:rsidR="0069768F" w:rsidRPr="0069768F" w14:paraId="7FCC5AEC" w14:textId="77777777" w:rsidTr="0069768F">
        <w:trPr>
          <w:gridAfter w:val="1"/>
          <w:wAfter w:w="28" w:type="pct"/>
          <w:trHeight w:val="198"/>
        </w:trPr>
        <w:tc>
          <w:tcPr>
            <w:tcW w:w="1924" w:type="pct"/>
            <w:tcBorders>
              <w:top w:val="single" w:sz="2" w:space="0" w:color="auto"/>
              <w:left w:val="nil"/>
              <w:bottom w:val="single" w:sz="2" w:space="0" w:color="auto"/>
              <w:right w:val="nil"/>
            </w:tcBorders>
            <w:vAlign w:val="center"/>
            <w:hideMark/>
          </w:tcPr>
          <w:p w14:paraId="50B75053" w14:textId="77777777" w:rsidR="0069768F" w:rsidRPr="0069768F" w:rsidRDefault="0069768F" w:rsidP="0069768F">
            <w:pPr>
              <w:spacing w:after="0"/>
              <w:ind w:right="-103" w:firstLine="0"/>
              <w:jc w:val="left"/>
              <w:rPr>
                <w:rFonts w:ascii="Arial Narrow" w:hAnsi="Arial Narrow"/>
                <w:sz w:val="20"/>
                <w:szCs w:val="20"/>
                <w:lang w:val="es-ES_tradnl"/>
              </w:rPr>
            </w:pPr>
            <w:r w:rsidRPr="0069768F">
              <w:rPr>
                <w:rFonts w:ascii="Arial Narrow" w:hAnsi="Arial Narrow"/>
                <w:sz w:val="20"/>
                <w:szCs w:val="20"/>
                <w:lang w:val="es-ES_tradnl"/>
              </w:rPr>
              <w:t>A fundaciones</w:t>
            </w:r>
          </w:p>
        </w:tc>
        <w:tc>
          <w:tcPr>
            <w:tcW w:w="1204" w:type="pct"/>
            <w:gridSpan w:val="2"/>
            <w:tcBorders>
              <w:top w:val="single" w:sz="2" w:space="0" w:color="auto"/>
              <w:bottom w:val="single" w:sz="2" w:space="0" w:color="auto"/>
            </w:tcBorders>
            <w:vAlign w:val="center"/>
          </w:tcPr>
          <w:p w14:paraId="23915905" w14:textId="77777777" w:rsidR="0069768F" w:rsidRPr="0069768F" w:rsidRDefault="0069768F" w:rsidP="0069768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20"/>
                <w:szCs w:val="20"/>
                <w:lang w:val="es-ES_tradnl"/>
              </w:rPr>
            </w:pPr>
            <w:r w:rsidRPr="0069768F">
              <w:rPr>
                <w:rFonts w:ascii="Arial Narrow" w:hAnsi="Arial Narrow"/>
                <w:spacing w:val="6"/>
                <w:sz w:val="20"/>
                <w:szCs w:val="20"/>
                <w:lang w:val="es-ES_tradnl"/>
              </w:rPr>
              <w:t>13.712</w:t>
            </w:r>
          </w:p>
        </w:tc>
        <w:tc>
          <w:tcPr>
            <w:tcW w:w="1202" w:type="pct"/>
            <w:gridSpan w:val="2"/>
            <w:tcBorders>
              <w:top w:val="single" w:sz="2" w:space="0" w:color="auto"/>
              <w:bottom w:val="single" w:sz="2" w:space="0" w:color="auto"/>
            </w:tcBorders>
            <w:vAlign w:val="center"/>
          </w:tcPr>
          <w:p w14:paraId="1A10D8A1" w14:textId="77777777" w:rsidR="0069768F" w:rsidRPr="0069768F" w:rsidRDefault="0069768F" w:rsidP="0069768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20"/>
                <w:szCs w:val="20"/>
                <w:lang w:val="es-ES_tradnl"/>
              </w:rPr>
            </w:pPr>
            <w:r>
              <w:rPr>
                <w:rFonts w:ascii="Arial Narrow" w:hAnsi="Arial Narrow"/>
                <w:spacing w:val="6"/>
                <w:sz w:val="20"/>
                <w:szCs w:val="20"/>
                <w:lang w:val="es-ES_tradnl"/>
              </w:rPr>
              <w:t>13.409</w:t>
            </w:r>
          </w:p>
        </w:tc>
        <w:tc>
          <w:tcPr>
            <w:tcW w:w="642" w:type="pct"/>
            <w:gridSpan w:val="2"/>
            <w:tcBorders>
              <w:top w:val="single" w:sz="2" w:space="0" w:color="auto"/>
              <w:bottom w:val="single" w:sz="2" w:space="0" w:color="auto"/>
            </w:tcBorders>
            <w:vAlign w:val="center"/>
          </w:tcPr>
          <w:p w14:paraId="13535ABA" w14:textId="77777777" w:rsidR="0069768F" w:rsidRPr="0069768F" w:rsidRDefault="0069768F" w:rsidP="0069768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20"/>
                <w:szCs w:val="20"/>
                <w:lang w:val="es-ES_tradnl"/>
              </w:rPr>
            </w:pPr>
            <w:r>
              <w:rPr>
                <w:rFonts w:ascii="Arial Narrow" w:hAnsi="Arial Narrow"/>
                <w:spacing w:val="6"/>
                <w:sz w:val="20"/>
                <w:szCs w:val="20"/>
                <w:lang w:val="es-ES_tradnl"/>
              </w:rPr>
              <w:t>-2</w:t>
            </w:r>
          </w:p>
        </w:tc>
      </w:tr>
      <w:tr w:rsidR="0069768F" w:rsidRPr="0069768F" w14:paraId="4591A233" w14:textId="77777777" w:rsidTr="0069768F">
        <w:trPr>
          <w:gridAfter w:val="1"/>
          <w:wAfter w:w="28" w:type="pct"/>
          <w:trHeight w:val="198"/>
        </w:trPr>
        <w:tc>
          <w:tcPr>
            <w:tcW w:w="1924" w:type="pct"/>
            <w:tcBorders>
              <w:top w:val="single" w:sz="2" w:space="0" w:color="auto"/>
              <w:left w:val="nil"/>
              <w:bottom w:val="single" w:sz="2" w:space="0" w:color="auto"/>
              <w:right w:val="nil"/>
            </w:tcBorders>
            <w:vAlign w:val="center"/>
            <w:hideMark/>
          </w:tcPr>
          <w:p w14:paraId="5DC90944" w14:textId="77777777" w:rsidR="0069768F" w:rsidRPr="0069768F" w:rsidRDefault="0069768F" w:rsidP="0069768F">
            <w:pPr>
              <w:spacing w:after="0"/>
              <w:ind w:right="-103" w:firstLine="0"/>
              <w:jc w:val="left"/>
              <w:rPr>
                <w:rFonts w:ascii="Arial Narrow" w:hAnsi="Arial Narrow"/>
                <w:sz w:val="20"/>
                <w:szCs w:val="20"/>
                <w:lang w:val="es-ES_tradnl"/>
              </w:rPr>
            </w:pPr>
            <w:r w:rsidRPr="0069768F">
              <w:rPr>
                <w:rFonts w:ascii="Arial Narrow" w:hAnsi="Arial Narrow"/>
                <w:sz w:val="20"/>
                <w:szCs w:val="20"/>
                <w:lang w:val="es-ES_tradnl"/>
              </w:rPr>
              <w:t>A empresas públicas y otros entes públicos</w:t>
            </w:r>
          </w:p>
        </w:tc>
        <w:tc>
          <w:tcPr>
            <w:tcW w:w="1204" w:type="pct"/>
            <w:gridSpan w:val="2"/>
            <w:tcBorders>
              <w:top w:val="single" w:sz="2" w:space="0" w:color="auto"/>
              <w:bottom w:val="single" w:sz="2" w:space="0" w:color="auto"/>
            </w:tcBorders>
            <w:vAlign w:val="center"/>
          </w:tcPr>
          <w:p w14:paraId="04756786" w14:textId="77777777" w:rsidR="0069768F" w:rsidRPr="0069768F" w:rsidRDefault="0069768F" w:rsidP="0069768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20"/>
                <w:szCs w:val="20"/>
                <w:lang w:val="es-ES_tradnl"/>
              </w:rPr>
            </w:pPr>
            <w:r w:rsidRPr="0069768F">
              <w:rPr>
                <w:rFonts w:ascii="Arial Narrow" w:hAnsi="Arial Narrow"/>
                <w:spacing w:val="6"/>
                <w:sz w:val="20"/>
                <w:szCs w:val="20"/>
                <w:lang w:val="es-ES_tradnl"/>
              </w:rPr>
              <w:t>114.579</w:t>
            </w:r>
          </w:p>
        </w:tc>
        <w:tc>
          <w:tcPr>
            <w:tcW w:w="1202" w:type="pct"/>
            <w:gridSpan w:val="2"/>
            <w:tcBorders>
              <w:top w:val="single" w:sz="2" w:space="0" w:color="auto"/>
              <w:bottom w:val="single" w:sz="2" w:space="0" w:color="auto"/>
            </w:tcBorders>
            <w:vAlign w:val="center"/>
          </w:tcPr>
          <w:p w14:paraId="27112FC9" w14:textId="77777777" w:rsidR="0069768F" w:rsidRPr="0069768F" w:rsidRDefault="0069768F" w:rsidP="0069768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20"/>
                <w:szCs w:val="20"/>
                <w:lang w:val="es-ES_tradnl"/>
              </w:rPr>
            </w:pPr>
            <w:r>
              <w:rPr>
                <w:rFonts w:ascii="Arial Narrow" w:hAnsi="Arial Narrow"/>
                <w:spacing w:val="6"/>
                <w:sz w:val="20"/>
                <w:szCs w:val="20"/>
                <w:lang w:val="es-ES_tradnl"/>
              </w:rPr>
              <w:t>120.961</w:t>
            </w:r>
          </w:p>
        </w:tc>
        <w:tc>
          <w:tcPr>
            <w:tcW w:w="642" w:type="pct"/>
            <w:gridSpan w:val="2"/>
            <w:tcBorders>
              <w:top w:val="single" w:sz="2" w:space="0" w:color="auto"/>
              <w:bottom w:val="single" w:sz="2" w:space="0" w:color="auto"/>
            </w:tcBorders>
            <w:vAlign w:val="center"/>
          </w:tcPr>
          <w:p w14:paraId="5962FD06" w14:textId="77777777" w:rsidR="0069768F" w:rsidRPr="0069768F" w:rsidRDefault="0069768F" w:rsidP="0069768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20"/>
                <w:szCs w:val="20"/>
                <w:lang w:val="es-ES_tradnl"/>
              </w:rPr>
            </w:pPr>
            <w:r>
              <w:rPr>
                <w:rFonts w:ascii="Arial Narrow" w:hAnsi="Arial Narrow"/>
                <w:spacing w:val="6"/>
                <w:sz w:val="20"/>
                <w:szCs w:val="20"/>
                <w:lang w:val="es-ES_tradnl"/>
              </w:rPr>
              <w:t>6</w:t>
            </w:r>
          </w:p>
        </w:tc>
      </w:tr>
      <w:tr w:rsidR="0069768F" w:rsidRPr="0069768F" w14:paraId="03F105CE" w14:textId="77777777" w:rsidTr="0069768F">
        <w:trPr>
          <w:gridAfter w:val="1"/>
          <w:wAfter w:w="28" w:type="pct"/>
          <w:trHeight w:val="198"/>
        </w:trPr>
        <w:tc>
          <w:tcPr>
            <w:tcW w:w="1924" w:type="pct"/>
            <w:tcBorders>
              <w:top w:val="single" w:sz="2" w:space="0" w:color="auto"/>
              <w:left w:val="nil"/>
              <w:bottom w:val="single" w:sz="2" w:space="0" w:color="auto"/>
              <w:right w:val="nil"/>
            </w:tcBorders>
            <w:vAlign w:val="center"/>
            <w:hideMark/>
          </w:tcPr>
          <w:p w14:paraId="7F086241" w14:textId="77777777" w:rsidR="0069768F" w:rsidRPr="0069768F" w:rsidRDefault="0069768F" w:rsidP="0069768F">
            <w:pPr>
              <w:spacing w:after="0"/>
              <w:ind w:right="-103" w:firstLine="0"/>
              <w:jc w:val="left"/>
              <w:rPr>
                <w:rFonts w:ascii="Arial Narrow" w:hAnsi="Arial Narrow"/>
                <w:sz w:val="20"/>
                <w:szCs w:val="20"/>
                <w:lang w:val="es-ES_tradnl"/>
              </w:rPr>
            </w:pPr>
            <w:r w:rsidRPr="0069768F">
              <w:rPr>
                <w:rFonts w:ascii="Arial Narrow" w:hAnsi="Arial Narrow"/>
                <w:sz w:val="20"/>
                <w:szCs w:val="20"/>
                <w:lang w:val="es-ES_tradnl"/>
              </w:rPr>
              <w:t>A entidades locales</w:t>
            </w:r>
          </w:p>
        </w:tc>
        <w:tc>
          <w:tcPr>
            <w:tcW w:w="1204" w:type="pct"/>
            <w:gridSpan w:val="2"/>
            <w:tcBorders>
              <w:top w:val="single" w:sz="2" w:space="0" w:color="auto"/>
              <w:bottom w:val="single" w:sz="2" w:space="0" w:color="auto"/>
            </w:tcBorders>
            <w:vAlign w:val="center"/>
          </w:tcPr>
          <w:p w14:paraId="7FAE4EBF" w14:textId="77777777" w:rsidR="0069768F" w:rsidRPr="0069768F" w:rsidRDefault="0069768F" w:rsidP="0069768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20"/>
                <w:szCs w:val="20"/>
                <w:lang w:val="es-ES_tradnl"/>
              </w:rPr>
            </w:pPr>
            <w:r w:rsidRPr="0069768F">
              <w:rPr>
                <w:rFonts w:ascii="Arial Narrow" w:hAnsi="Arial Narrow"/>
                <w:spacing w:val="6"/>
                <w:sz w:val="20"/>
                <w:szCs w:val="20"/>
                <w:lang w:val="es-ES_tradnl"/>
              </w:rPr>
              <w:t>368.869</w:t>
            </w:r>
          </w:p>
        </w:tc>
        <w:tc>
          <w:tcPr>
            <w:tcW w:w="1202" w:type="pct"/>
            <w:gridSpan w:val="2"/>
            <w:tcBorders>
              <w:top w:val="single" w:sz="2" w:space="0" w:color="auto"/>
              <w:bottom w:val="single" w:sz="2" w:space="0" w:color="auto"/>
            </w:tcBorders>
            <w:vAlign w:val="center"/>
          </w:tcPr>
          <w:p w14:paraId="5D0FEE65" w14:textId="77777777" w:rsidR="0069768F" w:rsidRPr="0069768F" w:rsidRDefault="0069768F" w:rsidP="0069768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20"/>
                <w:szCs w:val="20"/>
                <w:lang w:val="es-ES_tradnl"/>
              </w:rPr>
            </w:pPr>
            <w:r>
              <w:rPr>
                <w:rFonts w:ascii="Arial Narrow" w:hAnsi="Arial Narrow"/>
                <w:spacing w:val="6"/>
                <w:sz w:val="20"/>
                <w:szCs w:val="20"/>
                <w:lang w:val="es-ES_tradnl"/>
              </w:rPr>
              <w:t>421.542</w:t>
            </w:r>
          </w:p>
        </w:tc>
        <w:tc>
          <w:tcPr>
            <w:tcW w:w="642" w:type="pct"/>
            <w:gridSpan w:val="2"/>
            <w:tcBorders>
              <w:top w:val="single" w:sz="2" w:space="0" w:color="auto"/>
              <w:bottom w:val="single" w:sz="2" w:space="0" w:color="auto"/>
            </w:tcBorders>
            <w:vAlign w:val="center"/>
          </w:tcPr>
          <w:p w14:paraId="47398004" w14:textId="77777777" w:rsidR="0069768F" w:rsidRPr="0069768F" w:rsidRDefault="0069768F" w:rsidP="0069768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20"/>
                <w:szCs w:val="20"/>
                <w:lang w:val="es-ES_tradnl"/>
              </w:rPr>
            </w:pPr>
            <w:r>
              <w:rPr>
                <w:rFonts w:ascii="Arial Narrow" w:hAnsi="Arial Narrow"/>
                <w:spacing w:val="6"/>
                <w:sz w:val="20"/>
                <w:szCs w:val="20"/>
                <w:lang w:val="es-ES_tradnl"/>
              </w:rPr>
              <w:t>14</w:t>
            </w:r>
          </w:p>
        </w:tc>
      </w:tr>
      <w:tr w:rsidR="0069768F" w:rsidRPr="0069768F" w14:paraId="38BCD354" w14:textId="77777777" w:rsidTr="0069768F">
        <w:trPr>
          <w:gridAfter w:val="1"/>
          <w:wAfter w:w="28" w:type="pct"/>
          <w:trHeight w:val="198"/>
        </w:trPr>
        <w:tc>
          <w:tcPr>
            <w:tcW w:w="1924" w:type="pct"/>
            <w:tcBorders>
              <w:top w:val="single" w:sz="2" w:space="0" w:color="auto"/>
              <w:left w:val="nil"/>
              <w:bottom w:val="single" w:sz="2" w:space="0" w:color="auto"/>
              <w:right w:val="nil"/>
            </w:tcBorders>
            <w:vAlign w:val="center"/>
            <w:hideMark/>
          </w:tcPr>
          <w:p w14:paraId="507855F9" w14:textId="77777777" w:rsidR="0069768F" w:rsidRPr="0069768F" w:rsidRDefault="0069768F" w:rsidP="0069768F">
            <w:pPr>
              <w:spacing w:after="0"/>
              <w:ind w:right="-103" w:firstLine="0"/>
              <w:jc w:val="left"/>
              <w:rPr>
                <w:rFonts w:ascii="Arial Narrow" w:hAnsi="Arial Narrow"/>
                <w:sz w:val="20"/>
                <w:szCs w:val="20"/>
                <w:lang w:val="es-ES_tradnl"/>
              </w:rPr>
            </w:pPr>
            <w:r w:rsidRPr="0069768F">
              <w:rPr>
                <w:rFonts w:ascii="Arial Narrow" w:hAnsi="Arial Narrow"/>
                <w:sz w:val="20"/>
                <w:szCs w:val="20"/>
                <w:lang w:val="es-ES_tradnl"/>
              </w:rPr>
              <w:t>A empresas privadas</w:t>
            </w:r>
          </w:p>
        </w:tc>
        <w:tc>
          <w:tcPr>
            <w:tcW w:w="1204" w:type="pct"/>
            <w:gridSpan w:val="2"/>
            <w:tcBorders>
              <w:top w:val="single" w:sz="2" w:space="0" w:color="auto"/>
              <w:bottom w:val="single" w:sz="2" w:space="0" w:color="auto"/>
            </w:tcBorders>
            <w:vAlign w:val="center"/>
          </w:tcPr>
          <w:p w14:paraId="33871CC1" w14:textId="77777777" w:rsidR="0069768F" w:rsidRPr="0069768F" w:rsidRDefault="0069768F" w:rsidP="0069768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20"/>
                <w:szCs w:val="20"/>
                <w:lang w:val="es-ES_tradnl"/>
              </w:rPr>
            </w:pPr>
            <w:r w:rsidRPr="0069768F">
              <w:rPr>
                <w:rFonts w:ascii="Arial Narrow" w:hAnsi="Arial Narrow"/>
                <w:spacing w:val="6"/>
                <w:sz w:val="20"/>
                <w:szCs w:val="20"/>
                <w:lang w:val="es-ES_tradnl"/>
              </w:rPr>
              <w:t>304.604</w:t>
            </w:r>
          </w:p>
        </w:tc>
        <w:tc>
          <w:tcPr>
            <w:tcW w:w="1202" w:type="pct"/>
            <w:gridSpan w:val="2"/>
            <w:tcBorders>
              <w:top w:val="single" w:sz="2" w:space="0" w:color="auto"/>
              <w:bottom w:val="single" w:sz="2" w:space="0" w:color="auto"/>
            </w:tcBorders>
            <w:vAlign w:val="center"/>
          </w:tcPr>
          <w:p w14:paraId="6166F626" w14:textId="77777777" w:rsidR="0069768F" w:rsidRPr="0069768F" w:rsidRDefault="0069768F" w:rsidP="0069768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20"/>
                <w:szCs w:val="20"/>
                <w:lang w:val="es-ES_tradnl"/>
              </w:rPr>
            </w:pPr>
            <w:r>
              <w:rPr>
                <w:rFonts w:ascii="Arial Narrow" w:hAnsi="Arial Narrow"/>
                <w:spacing w:val="6"/>
                <w:sz w:val="20"/>
                <w:szCs w:val="20"/>
                <w:lang w:val="es-ES_tradnl"/>
              </w:rPr>
              <w:t>152.853</w:t>
            </w:r>
          </w:p>
        </w:tc>
        <w:tc>
          <w:tcPr>
            <w:tcW w:w="642" w:type="pct"/>
            <w:gridSpan w:val="2"/>
            <w:tcBorders>
              <w:top w:val="single" w:sz="2" w:space="0" w:color="auto"/>
              <w:bottom w:val="single" w:sz="2" w:space="0" w:color="auto"/>
            </w:tcBorders>
            <w:vAlign w:val="center"/>
          </w:tcPr>
          <w:p w14:paraId="45FDE812" w14:textId="77777777" w:rsidR="0069768F" w:rsidRPr="0069768F" w:rsidRDefault="0069768F" w:rsidP="0069768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20"/>
                <w:szCs w:val="20"/>
                <w:lang w:val="es-ES_tradnl"/>
              </w:rPr>
            </w:pPr>
            <w:r>
              <w:rPr>
                <w:rFonts w:ascii="Arial Narrow" w:hAnsi="Arial Narrow"/>
                <w:spacing w:val="6"/>
                <w:sz w:val="20"/>
                <w:szCs w:val="20"/>
                <w:lang w:val="es-ES_tradnl"/>
              </w:rPr>
              <w:t>-50</w:t>
            </w:r>
          </w:p>
        </w:tc>
      </w:tr>
      <w:tr w:rsidR="0069768F" w:rsidRPr="0069768F" w14:paraId="157A261E" w14:textId="77777777" w:rsidTr="0069768F">
        <w:trPr>
          <w:gridAfter w:val="1"/>
          <w:wAfter w:w="28" w:type="pct"/>
          <w:trHeight w:val="198"/>
        </w:trPr>
        <w:tc>
          <w:tcPr>
            <w:tcW w:w="1924" w:type="pct"/>
            <w:tcBorders>
              <w:top w:val="single" w:sz="2" w:space="0" w:color="auto"/>
              <w:left w:val="nil"/>
              <w:bottom w:val="single" w:sz="2" w:space="0" w:color="auto"/>
              <w:right w:val="nil"/>
            </w:tcBorders>
            <w:vAlign w:val="center"/>
            <w:hideMark/>
          </w:tcPr>
          <w:p w14:paraId="3F0420B9" w14:textId="77777777" w:rsidR="0069768F" w:rsidRPr="0069768F" w:rsidRDefault="0069768F" w:rsidP="0069768F">
            <w:pPr>
              <w:spacing w:after="0"/>
              <w:ind w:right="-103" w:firstLine="0"/>
              <w:jc w:val="left"/>
              <w:rPr>
                <w:rFonts w:ascii="Arial Narrow" w:hAnsi="Arial Narrow"/>
                <w:sz w:val="20"/>
                <w:szCs w:val="20"/>
                <w:lang w:val="es-ES_tradnl"/>
              </w:rPr>
            </w:pPr>
            <w:r w:rsidRPr="0069768F">
              <w:rPr>
                <w:rFonts w:ascii="Arial Narrow" w:hAnsi="Arial Narrow"/>
                <w:sz w:val="20"/>
                <w:szCs w:val="20"/>
                <w:lang w:val="es-ES_tradnl"/>
              </w:rPr>
              <w:t xml:space="preserve">A familias e </w:t>
            </w:r>
            <w:proofErr w:type="spellStart"/>
            <w:r w:rsidRPr="0069768F">
              <w:rPr>
                <w:rFonts w:ascii="Arial Narrow" w:hAnsi="Arial Narrow"/>
                <w:sz w:val="20"/>
                <w:szCs w:val="20"/>
                <w:lang w:val="es-ES_tradnl"/>
              </w:rPr>
              <w:t>instituc</w:t>
            </w:r>
            <w:proofErr w:type="spellEnd"/>
            <w:r w:rsidRPr="0069768F">
              <w:rPr>
                <w:rFonts w:ascii="Arial Narrow" w:hAnsi="Arial Narrow"/>
                <w:sz w:val="20"/>
                <w:szCs w:val="20"/>
                <w:lang w:val="es-ES_tradnl"/>
              </w:rPr>
              <w:t>. sin fines de lucro</w:t>
            </w:r>
          </w:p>
        </w:tc>
        <w:tc>
          <w:tcPr>
            <w:tcW w:w="1204" w:type="pct"/>
            <w:gridSpan w:val="2"/>
            <w:tcBorders>
              <w:top w:val="single" w:sz="2" w:space="0" w:color="auto"/>
              <w:bottom w:val="single" w:sz="2" w:space="0" w:color="auto"/>
            </w:tcBorders>
            <w:vAlign w:val="center"/>
          </w:tcPr>
          <w:p w14:paraId="1C681F91" w14:textId="77777777" w:rsidR="0069768F" w:rsidRPr="0069768F" w:rsidRDefault="0069768F" w:rsidP="0069768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20"/>
                <w:szCs w:val="20"/>
                <w:lang w:val="es-ES_tradnl"/>
              </w:rPr>
            </w:pPr>
            <w:r w:rsidRPr="0069768F">
              <w:rPr>
                <w:rFonts w:ascii="Arial Narrow" w:hAnsi="Arial Narrow"/>
                <w:spacing w:val="6"/>
                <w:sz w:val="20"/>
                <w:szCs w:val="20"/>
                <w:lang w:val="es-ES_tradnl"/>
              </w:rPr>
              <w:t>614.407</w:t>
            </w:r>
          </w:p>
        </w:tc>
        <w:tc>
          <w:tcPr>
            <w:tcW w:w="1202" w:type="pct"/>
            <w:gridSpan w:val="2"/>
            <w:tcBorders>
              <w:top w:val="single" w:sz="2" w:space="0" w:color="auto"/>
              <w:bottom w:val="single" w:sz="2" w:space="0" w:color="auto"/>
            </w:tcBorders>
            <w:vAlign w:val="center"/>
          </w:tcPr>
          <w:p w14:paraId="618FC6A7" w14:textId="77777777" w:rsidR="0069768F" w:rsidRPr="0069768F" w:rsidRDefault="0069768F" w:rsidP="0069768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20"/>
                <w:szCs w:val="20"/>
                <w:lang w:val="es-ES_tradnl"/>
              </w:rPr>
            </w:pPr>
            <w:r>
              <w:rPr>
                <w:rFonts w:ascii="Arial Narrow" w:hAnsi="Arial Narrow"/>
                <w:spacing w:val="6"/>
                <w:sz w:val="20"/>
                <w:szCs w:val="20"/>
                <w:lang w:val="es-ES_tradnl"/>
              </w:rPr>
              <w:t>711.148</w:t>
            </w:r>
          </w:p>
        </w:tc>
        <w:tc>
          <w:tcPr>
            <w:tcW w:w="642" w:type="pct"/>
            <w:gridSpan w:val="2"/>
            <w:tcBorders>
              <w:top w:val="single" w:sz="2" w:space="0" w:color="auto"/>
              <w:bottom w:val="single" w:sz="2" w:space="0" w:color="auto"/>
            </w:tcBorders>
            <w:vAlign w:val="center"/>
          </w:tcPr>
          <w:p w14:paraId="63C4F1B9" w14:textId="77777777" w:rsidR="0069768F" w:rsidRPr="0069768F" w:rsidRDefault="0069768F" w:rsidP="0069768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20"/>
                <w:szCs w:val="20"/>
                <w:lang w:val="es-ES_tradnl"/>
              </w:rPr>
            </w:pPr>
            <w:r>
              <w:rPr>
                <w:rFonts w:ascii="Arial Narrow" w:hAnsi="Arial Narrow"/>
                <w:spacing w:val="6"/>
                <w:sz w:val="20"/>
                <w:szCs w:val="20"/>
                <w:lang w:val="es-ES_tradnl"/>
              </w:rPr>
              <w:t>16</w:t>
            </w:r>
          </w:p>
        </w:tc>
      </w:tr>
      <w:tr w:rsidR="0069768F" w:rsidRPr="0069768F" w14:paraId="2B779B8A" w14:textId="77777777" w:rsidTr="007959C7">
        <w:trPr>
          <w:gridAfter w:val="1"/>
          <w:wAfter w:w="28" w:type="pct"/>
          <w:trHeight w:val="198"/>
        </w:trPr>
        <w:tc>
          <w:tcPr>
            <w:tcW w:w="1924" w:type="pct"/>
            <w:tcBorders>
              <w:top w:val="single" w:sz="2" w:space="0" w:color="auto"/>
              <w:left w:val="nil"/>
              <w:bottom w:val="single" w:sz="4" w:space="0" w:color="auto"/>
              <w:right w:val="nil"/>
            </w:tcBorders>
            <w:vAlign w:val="center"/>
            <w:hideMark/>
          </w:tcPr>
          <w:p w14:paraId="0A15138F" w14:textId="77777777" w:rsidR="0069768F" w:rsidRPr="0069768F" w:rsidRDefault="0069768F" w:rsidP="0069768F">
            <w:pPr>
              <w:spacing w:after="0"/>
              <w:ind w:right="-103" w:firstLine="0"/>
              <w:jc w:val="left"/>
              <w:rPr>
                <w:rFonts w:ascii="Arial Narrow" w:hAnsi="Arial Narrow"/>
                <w:sz w:val="20"/>
                <w:szCs w:val="20"/>
                <w:lang w:val="es-ES_tradnl"/>
              </w:rPr>
            </w:pPr>
            <w:r w:rsidRPr="0069768F">
              <w:rPr>
                <w:rFonts w:ascii="Arial Narrow" w:hAnsi="Arial Narrow"/>
                <w:sz w:val="20"/>
                <w:szCs w:val="20"/>
                <w:lang w:val="es-ES_tradnl"/>
              </w:rPr>
              <w:t>Al exterior</w:t>
            </w:r>
          </w:p>
        </w:tc>
        <w:tc>
          <w:tcPr>
            <w:tcW w:w="1204" w:type="pct"/>
            <w:gridSpan w:val="2"/>
            <w:tcBorders>
              <w:top w:val="single" w:sz="2" w:space="0" w:color="auto"/>
              <w:left w:val="nil"/>
              <w:bottom w:val="single" w:sz="4" w:space="0" w:color="auto"/>
              <w:right w:val="nil"/>
            </w:tcBorders>
            <w:vAlign w:val="center"/>
          </w:tcPr>
          <w:p w14:paraId="659C1370" w14:textId="77777777" w:rsidR="0069768F" w:rsidRPr="0069768F" w:rsidRDefault="0069768F" w:rsidP="0069768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20"/>
                <w:szCs w:val="20"/>
                <w:lang w:val="es-ES_tradnl"/>
              </w:rPr>
            </w:pPr>
            <w:r w:rsidRPr="0069768F">
              <w:rPr>
                <w:rFonts w:ascii="Arial Narrow" w:hAnsi="Arial Narrow"/>
                <w:spacing w:val="6"/>
                <w:sz w:val="20"/>
                <w:szCs w:val="20"/>
                <w:lang w:val="es-ES_tradnl"/>
              </w:rPr>
              <w:t>51</w:t>
            </w:r>
          </w:p>
        </w:tc>
        <w:tc>
          <w:tcPr>
            <w:tcW w:w="1202" w:type="pct"/>
            <w:gridSpan w:val="2"/>
            <w:tcBorders>
              <w:top w:val="single" w:sz="2" w:space="0" w:color="auto"/>
              <w:left w:val="nil"/>
              <w:bottom w:val="single" w:sz="4" w:space="0" w:color="auto"/>
              <w:right w:val="nil"/>
            </w:tcBorders>
            <w:vAlign w:val="center"/>
          </w:tcPr>
          <w:p w14:paraId="2FA29C43" w14:textId="77777777" w:rsidR="0069768F" w:rsidRPr="0069768F" w:rsidRDefault="0069768F" w:rsidP="0069768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20"/>
                <w:szCs w:val="20"/>
                <w:lang w:val="es-ES_tradnl"/>
              </w:rPr>
            </w:pPr>
            <w:r>
              <w:rPr>
                <w:rFonts w:ascii="Arial Narrow" w:hAnsi="Arial Narrow"/>
                <w:spacing w:val="6"/>
                <w:sz w:val="20"/>
                <w:szCs w:val="20"/>
                <w:lang w:val="es-ES_tradnl"/>
              </w:rPr>
              <w:t>54</w:t>
            </w:r>
          </w:p>
        </w:tc>
        <w:tc>
          <w:tcPr>
            <w:tcW w:w="642" w:type="pct"/>
            <w:gridSpan w:val="2"/>
            <w:tcBorders>
              <w:top w:val="single" w:sz="2" w:space="0" w:color="auto"/>
              <w:left w:val="nil"/>
              <w:bottom w:val="single" w:sz="4" w:space="0" w:color="auto"/>
              <w:right w:val="nil"/>
            </w:tcBorders>
            <w:vAlign w:val="center"/>
          </w:tcPr>
          <w:p w14:paraId="0C517163" w14:textId="77777777" w:rsidR="0069768F" w:rsidRPr="0069768F" w:rsidRDefault="0069768F" w:rsidP="0069768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20"/>
                <w:szCs w:val="20"/>
                <w:lang w:val="es-ES_tradnl"/>
              </w:rPr>
            </w:pPr>
            <w:r>
              <w:rPr>
                <w:rFonts w:ascii="Arial Narrow" w:hAnsi="Arial Narrow"/>
                <w:spacing w:val="6"/>
                <w:sz w:val="20"/>
                <w:szCs w:val="20"/>
                <w:lang w:val="es-ES_tradnl"/>
              </w:rPr>
              <w:t>4</w:t>
            </w:r>
          </w:p>
        </w:tc>
      </w:tr>
      <w:tr w:rsidR="0069768F" w:rsidRPr="0069768F" w14:paraId="1A84FD42" w14:textId="77777777" w:rsidTr="0069768F">
        <w:trPr>
          <w:gridAfter w:val="1"/>
          <w:wAfter w:w="28" w:type="pct"/>
          <w:trHeight w:val="255"/>
        </w:trPr>
        <w:tc>
          <w:tcPr>
            <w:tcW w:w="1924" w:type="pct"/>
            <w:tcBorders>
              <w:top w:val="single" w:sz="4" w:space="0" w:color="auto"/>
              <w:left w:val="nil"/>
              <w:bottom w:val="single" w:sz="4" w:space="0" w:color="auto"/>
              <w:right w:val="nil"/>
            </w:tcBorders>
            <w:shd w:val="clear" w:color="auto" w:fill="8DB3E2"/>
            <w:vAlign w:val="center"/>
            <w:hideMark/>
          </w:tcPr>
          <w:p w14:paraId="2696B5EE" w14:textId="77777777" w:rsidR="0069768F" w:rsidRPr="0069768F" w:rsidRDefault="0069768F" w:rsidP="0069768F">
            <w:pPr>
              <w:keepLines/>
              <w:tabs>
                <w:tab w:val="right" w:pos="2835"/>
                <w:tab w:val="right" w:pos="3969"/>
                <w:tab w:val="right" w:pos="5103"/>
                <w:tab w:val="right" w:pos="6237"/>
                <w:tab w:val="right" w:pos="7371"/>
              </w:tabs>
              <w:spacing w:after="0"/>
              <w:ind w:right="-103" w:firstLine="0"/>
              <w:jc w:val="left"/>
              <w:rPr>
                <w:rFonts w:ascii="Arial" w:hAnsi="Arial" w:cs="Arial"/>
                <w:spacing w:val="6"/>
                <w:sz w:val="18"/>
                <w:szCs w:val="18"/>
                <w:lang w:val="es-ES_tradnl"/>
              </w:rPr>
            </w:pPr>
            <w:r w:rsidRPr="0069768F">
              <w:rPr>
                <w:rFonts w:ascii="Arial" w:hAnsi="Arial" w:cs="Arial"/>
                <w:spacing w:val="6"/>
                <w:sz w:val="18"/>
                <w:szCs w:val="18"/>
                <w:lang w:val="es-ES_tradnl"/>
              </w:rPr>
              <w:t xml:space="preserve">Total </w:t>
            </w:r>
          </w:p>
        </w:tc>
        <w:tc>
          <w:tcPr>
            <w:tcW w:w="1204" w:type="pct"/>
            <w:gridSpan w:val="2"/>
            <w:tcBorders>
              <w:top w:val="single" w:sz="4" w:space="0" w:color="auto"/>
              <w:left w:val="nil"/>
              <w:bottom w:val="single" w:sz="4" w:space="0" w:color="auto"/>
              <w:right w:val="nil"/>
            </w:tcBorders>
            <w:shd w:val="clear" w:color="auto" w:fill="8DB3E2"/>
            <w:vAlign w:val="center"/>
          </w:tcPr>
          <w:p w14:paraId="7ECE3928" w14:textId="77777777" w:rsidR="0069768F" w:rsidRPr="0069768F" w:rsidRDefault="0069768F" w:rsidP="0069768F">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8"/>
                <w:szCs w:val="18"/>
                <w:lang w:val="es-ES_tradnl"/>
              </w:rPr>
            </w:pPr>
            <w:r w:rsidRPr="0069768F">
              <w:rPr>
                <w:rFonts w:ascii="Arial" w:hAnsi="Arial" w:cs="Arial"/>
                <w:spacing w:val="6"/>
                <w:sz w:val="18"/>
                <w:szCs w:val="18"/>
                <w:lang w:val="es-ES_tradnl"/>
              </w:rPr>
              <w:t>2.298.909</w:t>
            </w:r>
          </w:p>
        </w:tc>
        <w:tc>
          <w:tcPr>
            <w:tcW w:w="1202" w:type="pct"/>
            <w:gridSpan w:val="2"/>
            <w:tcBorders>
              <w:top w:val="single" w:sz="4" w:space="0" w:color="auto"/>
              <w:left w:val="nil"/>
              <w:bottom w:val="single" w:sz="4" w:space="0" w:color="auto"/>
              <w:right w:val="nil"/>
            </w:tcBorders>
            <w:shd w:val="clear" w:color="auto" w:fill="8DB3E2"/>
            <w:vAlign w:val="center"/>
          </w:tcPr>
          <w:p w14:paraId="4873C198" w14:textId="77777777" w:rsidR="0069768F" w:rsidRPr="0069768F" w:rsidRDefault="0069768F" w:rsidP="0069768F">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8"/>
                <w:szCs w:val="18"/>
                <w:lang w:val="es-ES_tradnl"/>
              </w:rPr>
            </w:pPr>
            <w:r>
              <w:rPr>
                <w:rFonts w:ascii="Arial" w:hAnsi="Arial" w:cs="Arial"/>
                <w:spacing w:val="6"/>
                <w:sz w:val="18"/>
                <w:szCs w:val="18"/>
                <w:lang w:val="es-ES_tradnl"/>
              </w:rPr>
              <w:t>2.331.696</w:t>
            </w:r>
          </w:p>
        </w:tc>
        <w:tc>
          <w:tcPr>
            <w:tcW w:w="642" w:type="pct"/>
            <w:gridSpan w:val="2"/>
            <w:tcBorders>
              <w:top w:val="single" w:sz="4" w:space="0" w:color="auto"/>
              <w:left w:val="nil"/>
              <w:bottom w:val="single" w:sz="4" w:space="0" w:color="auto"/>
              <w:right w:val="nil"/>
            </w:tcBorders>
            <w:shd w:val="clear" w:color="auto" w:fill="8DB3E2"/>
            <w:vAlign w:val="center"/>
          </w:tcPr>
          <w:p w14:paraId="1BD6CD0C" w14:textId="77777777" w:rsidR="0069768F" w:rsidRPr="0069768F" w:rsidRDefault="0069768F" w:rsidP="0069768F">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8"/>
                <w:szCs w:val="18"/>
                <w:lang w:val="es-ES_tradnl"/>
              </w:rPr>
            </w:pPr>
            <w:r>
              <w:rPr>
                <w:rFonts w:ascii="Arial" w:hAnsi="Arial" w:cs="Arial"/>
                <w:spacing w:val="6"/>
                <w:sz w:val="18"/>
                <w:szCs w:val="18"/>
                <w:lang w:val="es-ES_tradnl"/>
              </w:rPr>
              <w:t>1</w:t>
            </w:r>
          </w:p>
        </w:tc>
      </w:tr>
    </w:tbl>
    <w:p w14:paraId="7AF493C8" w14:textId="77777777" w:rsidR="0012270A" w:rsidRPr="0012270A" w:rsidRDefault="0012270A" w:rsidP="00D4277E">
      <w:pPr>
        <w:tabs>
          <w:tab w:val="left" w:pos="480"/>
        </w:tabs>
        <w:spacing w:before="240"/>
        <w:ind w:firstLine="284"/>
        <w:jc w:val="both"/>
        <w:rPr>
          <w:sz w:val="26"/>
          <w:szCs w:val="26"/>
        </w:rPr>
      </w:pPr>
      <w:r w:rsidRPr="0012270A">
        <w:rPr>
          <w:sz w:val="26"/>
          <w:szCs w:val="26"/>
        </w:rPr>
        <w:t xml:space="preserve">Si bien, el aumento más significativo en este capítulo de </w:t>
      </w:r>
      <w:proofErr w:type="gramStart"/>
      <w:r w:rsidRPr="0012270A">
        <w:rPr>
          <w:sz w:val="26"/>
          <w:szCs w:val="26"/>
        </w:rPr>
        <w:t>gastos,</w:t>
      </w:r>
      <w:proofErr w:type="gramEnd"/>
      <w:r w:rsidRPr="0012270A">
        <w:rPr>
          <w:sz w:val="26"/>
          <w:szCs w:val="26"/>
        </w:rPr>
        <w:t xml:space="preserve"> se debe principalmente al </w:t>
      </w:r>
      <w:r w:rsidR="008F0074">
        <w:rPr>
          <w:sz w:val="26"/>
          <w:szCs w:val="26"/>
        </w:rPr>
        <w:t xml:space="preserve">incremento </w:t>
      </w:r>
      <w:r w:rsidRPr="0012270A">
        <w:rPr>
          <w:sz w:val="26"/>
          <w:szCs w:val="26"/>
        </w:rPr>
        <w:t>en 9</w:t>
      </w:r>
      <w:r w:rsidR="000A0DC8">
        <w:rPr>
          <w:sz w:val="26"/>
          <w:szCs w:val="26"/>
        </w:rPr>
        <w:t>6,74</w:t>
      </w:r>
      <w:r w:rsidRPr="0012270A">
        <w:rPr>
          <w:sz w:val="26"/>
          <w:szCs w:val="26"/>
        </w:rPr>
        <w:t xml:space="preserve"> millones de las transferencias a familias e instituciones sin fines de lucro, lo más destacable es la disminución en 15</w:t>
      </w:r>
      <w:r w:rsidR="006451AD">
        <w:rPr>
          <w:sz w:val="26"/>
          <w:szCs w:val="26"/>
        </w:rPr>
        <w:t>1,75</w:t>
      </w:r>
      <w:r w:rsidRPr="0012270A">
        <w:rPr>
          <w:sz w:val="26"/>
          <w:szCs w:val="26"/>
        </w:rPr>
        <w:t xml:space="preserve"> millones (un 50</w:t>
      </w:r>
      <w:r w:rsidRPr="005D23E5">
        <w:rPr>
          <w:sz w:val="26"/>
          <w:szCs w:val="26"/>
        </w:rPr>
        <w:t xml:space="preserve"> por ciento</w:t>
      </w:r>
      <w:r w:rsidRPr="0012270A">
        <w:rPr>
          <w:sz w:val="26"/>
          <w:szCs w:val="26"/>
        </w:rPr>
        <w:t>) en las transferencias a empresas privadas. Esta disminución está motivada por los siguientes hechos:</w:t>
      </w:r>
    </w:p>
    <w:p w14:paraId="13D65273" w14:textId="77777777" w:rsidR="0012270A" w:rsidRPr="000C099C" w:rsidRDefault="0012270A" w:rsidP="008C2B8E">
      <w:pPr>
        <w:pStyle w:val="texto"/>
        <w:numPr>
          <w:ilvl w:val="0"/>
          <w:numId w:val="6"/>
        </w:numPr>
        <w:tabs>
          <w:tab w:val="clear" w:pos="360"/>
          <w:tab w:val="num" w:pos="300"/>
          <w:tab w:val="left" w:pos="480"/>
          <w:tab w:val="num" w:pos="600"/>
        </w:tabs>
        <w:spacing w:before="120"/>
        <w:ind w:firstLine="289"/>
        <w:jc w:val="both"/>
      </w:pPr>
      <w:r w:rsidRPr="000C099C">
        <w:t>Reducción de 132,8</w:t>
      </w:r>
      <w:r w:rsidR="003D0EF2">
        <w:t>9</w:t>
      </w:r>
      <w:r w:rsidRPr="000C099C">
        <w:t xml:space="preserve"> millones en las ayudas por bonificación de combustibles como línea de ayuda específica en 2022 en el marco del Plan Nacional de respuesta a las consecuencias económicas y sociales de la guerra en Ucrania, con vigencia hasta el 31 de diciembre de 2022. </w:t>
      </w:r>
    </w:p>
    <w:p w14:paraId="2025C3BF" w14:textId="77777777" w:rsidR="0012270A" w:rsidRPr="000C099C" w:rsidRDefault="0012270A" w:rsidP="008C2B8E">
      <w:pPr>
        <w:pStyle w:val="texto"/>
        <w:numPr>
          <w:ilvl w:val="0"/>
          <w:numId w:val="6"/>
        </w:numPr>
        <w:tabs>
          <w:tab w:val="clear" w:pos="360"/>
          <w:tab w:val="num" w:pos="300"/>
          <w:tab w:val="left" w:pos="480"/>
          <w:tab w:val="num" w:pos="600"/>
        </w:tabs>
        <w:spacing w:before="120"/>
        <w:ind w:firstLine="289"/>
        <w:jc w:val="both"/>
      </w:pPr>
      <w:r w:rsidRPr="000C099C">
        <w:t>Reducción de 1</w:t>
      </w:r>
      <w:r w:rsidR="006451AD" w:rsidRPr="000C099C">
        <w:t>8</w:t>
      </w:r>
      <w:r w:rsidRPr="000C099C">
        <w:t>,8</w:t>
      </w:r>
      <w:r w:rsidR="006451AD" w:rsidRPr="000C099C">
        <w:t>7</w:t>
      </w:r>
      <w:r w:rsidRPr="000C099C">
        <w:t xml:space="preserve"> millones en las ayudas a empresas afectadas por los altos precios de la energía, en el marco del plan citado anteriormente. </w:t>
      </w:r>
    </w:p>
    <w:p w14:paraId="63D3322D" w14:textId="77777777" w:rsidR="0012270A" w:rsidRPr="0012270A" w:rsidRDefault="0012270A" w:rsidP="002D15F8">
      <w:pPr>
        <w:tabs>
          <w:tab w:val="center" w:pos="2835"/>
          <w:tab w:val="center" w:pos="3969"/>
          <w:tab w:val="center" w:pos="5103"/>
          <w:tab w:val="center" w:pos="6237"/>
          <w:tab w:val="center" w:pos="7371"/>
        </w:tabs>
        <w:spacing w:before="240" w:after="240"/>
        <w:ind w:firstLine="284"/>
        <w:jc w:val="both"/>
        <w:rPr>
          <w:sz w:val="26"/>
          <w:szCs w:val="26"/>
        </w:rPr>
      </w:pPr>
      <w:r w:rsidRPr="0012270A">
        <w:rPr>
          <w:sz w:val="26"/>
          <w:szCs w:val="26"/>
        </w:rPr>
        <w:t>En relación con el aumento en las transferencias a familias e instituciones sin ánimo de lucro, por 96,74 millones, se destacan las partidas presupuestarias en las que se concentra principalmente este aumento:</w:t>
      </w:r>
    </w:p>
    <w:p w14:paraId="3838E69A" w14:textId="77777777" w:rsidR="000C35AC" w:rsidRDefault="00B02371" w:rsidP="00B02371">
      <w:pPr>
        <w:tabs>
          <w:tab w:val="left" w:pos="480"/>
        </w:tabs>
        <w:spacing w:after="80"/>
        <w:ind w:firstLine="284"/>
        <w:jc w:val="both"/>
        <w:rPr>
          <w:sz w:val="26"/>
          <w:szCs w:val="26"/>
        </w:rPr>
      </w:pPr>
      <w:r>
        <w:rPr>
          <w:sz w:val="26"/>
          <w:szCs w:val="26"/>
        </w:rPr>
        <w:t xml:space="preserve">- </w:t>
      </w:r>
      <w:r w:rsidR="0012270A" w:rsidRPr="000C35AC">
        <w:rPr>
          <w:sz w:val="26"/>
          <w:szCs w:val="26"/>
        </w:rPr>
        <w:t xml:space="preserve">Ingreso mínimo vital </w:t>
      </w:r>
      <w:r w:rsidR="00305F73" w:rsidRPr="000C35AC">
        <w:rPr>
          <w:sz w:val="26"/>
          <w:szCs w:val="26"/>
        </w:rPr>
        <w:t xml:space="preserve">(en adelante IMV) </w:t>
      </w:r>
      <w:r w:rsidR="0012270A" w:rsidRPr="000C35AC">
        <w:rPr>
          <w:sz w:val="26"/>
          <w:szCs w:val="26"/>
        </w:rPr>
        <w:t xml:space="preserve">con </w:t>
      </w:r>
      <w:r w:rsidR="004944C1">
        <w:rPr>
          <w:sz w:val="26"/>
          <w:szCs w:val="26"/>
        </w:rPr>
        <w:t xml:space="preserve">un incremento de 42,07 millones, dado que </w:t>
      </w:r>
      <w:r w:rsidR="004944C1" w:rsidRPr="004944C1">
        <w:rPr>
          <w:sz w:val="26"/>
          <w:szCs w:val="26"/>
        </w:rPr>
        <w:t xml:space="preserve">el traspaso de competencias en la gestión de esta prestación comenzó en noviembre de 2022. </w:t>
      </w:r>
    </w:p>
    <w:p w14:paraId="79F37E41" w14:textId="77777777" w:rsidR="0012270A" w:rsidRPr="000C35AC" w:rsidRDefault="00B02371" w:rsidP="00B02371">
      <w:pPr>
        <w:tabs>
          <w:tab w:val="left" w:pos="480"/>
        </w:tabs>
        <w:spacing w:after="80"/>
        <w:ind w:firstLine="284"/>
        <w:jc w:val="both"/>
        <w:rPr>
          <w:sz w:val="26"/>
          <w:szCs w:val="26"/>
        </w:rPr>
      </w:pPr>
      <w:r>
        <w:rPr>
          <w:sz w:val="26"/>
          <w:szCs w:val="26"/>
        </w:rPr>
        <w:t xml:space="preserve">- </w:t>
      </w:r>
      <w:r w:rsidR="0012270A" w:rsidRPr="000C35AC">
        <w:rPr>
          <w:sz w:val="26"/>
          <w:szCs w:val="26"/>
        </w:rPr>
        <w:t>Ayudas económicas de apoyo a familias con menores de 0 a 3, en 7,72 millones (en 2022 no constaba esta ayuda).</w:t>
      </w:r>
    </w:p>
    <w:p w14:paraId="0D3F7B6D" w14:textId="77777777" w:rsidR="0012270A" w:rsidRDefault="00B02371" w:rsidP="00B02371">
      <w:pPr>
        <w:tabs>
          <w:tab w:val="left" w:pos="480"/>
        </w:tabs>
        <w:ind w:firstLine="284"/>
        <w:jc w:val="both"/>
        <w:rPr>
          <w:sz w:val="26"/>
          <w:szCs w:val="26"/>
        </w:rPr>
      </w:pPr>
      <w:r>
        <w:rPr>
          <w:sz w:val="26"/>
          <w:szCs w:val="26"/>
        </w:rPr>
        <w:t xml:space="preserve">- </w:t>
      </w:r>
      <w:r w:rsidR="0012270A" w:rsidRPr="0012270A">
        <w:rPr>
          <w:sz w:val="26"/>
          <w:szCs w:val="26"/>
        </w:rPr>
        <w:t>Bono social térmico con un aumento de 6,29 millones.</w:t>
      </w:r>
    </w:p>
    <w:p w14:paraId="576EC928" w14:textId="77777777" w:rsidR="00FF7571" w:rsidRDefault="00FF7571">
      <w:pPr>
        <w:rPr>
          <w:sz w:val="26"/>
          <w:szCs w:val="26"/>
        </w:rPr>
      </w:pPr>
      <w:r>
        <w:rPr>
          <w:sz w:val="26"/>
          <w:szCs w:val="26"/>
        </w:rPr>
        <w:br w:type="page"/>
      </w:r>
    </w:p>
    <w:p w14:paraId="5027E516" w14:textId="77777777" w:rsidR="00CF6BC0" w:rsidRDefault="00CF6BC0" w:rsidP="00CF6BC0">
      <w:pPr>
        <w:tabs>
          <w:tab w:val="center" w:pos="2835"/>
          <w:tab w:val="center" w:pos="3969"/>
          <w:tab w:val="center" w:pos="5103"/>
          <w:tab w:val="center" w:pos="6237"/>
          <w:tab w:val="center" w:pos="7371"/>
        </w:tabs>
        <w:spacing w:before="240" w:after="240"/>
        <w:jc w:val="both"/>
        <w:rPr>
          <w:sz w:val="26"/>
          <w:szCs w:val="26"/>
        </w:rPr>
      </w:pPr>
      <w:r>
        <w:rPr>
          <w:sz w:val="26"/>
          <w:szCs w:val="26"/>
        </w:rPr>
        <w:lastRenderedPageBreak/>
        <w:t>En este capítulo presupuestario, hemos revisado lo siguiente:</w:t>
      </w:r>
    </w:p>
    <w:p w14:paraId="258C69DD" w14:textId="77777777" w:rsidR="00CF6BC0" w:rsidRPr="00723F0A" w:rsidRDefault="00305F73" w:rsidP="00D4277E">
      <w:pPr>
        <w:pStyle w:val="atitulo3"/>
      </w:pPr>
      <w:r w:rsidRPr="00723F0A">
        <w:t>Ayudas económicas de apoyo a familias con menores de 0 a 3 años a su cargo.</w:t>
      </w:r>
    </w:p>
    <w:p w14:paraId="16C61A34" w14:textId="77777777" w:rsidR="004944C1" w:rsidRDefault="004944C1" w:rsidP="00D4277E">
      <w:pPr>
        <w:spacing w:after="120"/>
        <w:ind w:firstLine="284"/>
        <w:jc w:val="both"/>
        <w:rPr>
          <w:iCs/>
          <w:spacing w:val="10"/>
          <w:kern w:val="28"/>
          <w:sz w:val="26"/>
          <w:szCs w:val="26"/>
        </w:rPr>
      </w:pPr>
      <w:bookmarkStart w:id="134" w:name="TMB1548795328"/>
      <w:bookmarkStart w:id="135" w:name="_Toc418853784"/>
      <w:bookmarkStart w:id="136" w:name="_Toc402180194"/>
      <w:bookmarkEnd w:id="134"/>
      <w:r>
        <w:rPr>
          <w:iCs/>
          <w:spacing w:val="10"/>
          <w:kern w:val="28"/>
          <w:sz w:val="26"/>
          <w:szCs w:val="26"/>
        </w:rPr>
        <w:t>E</w:t>
      </w:r>
      <w:r w:rsidRPr="00B2381E">
        <w:rPr>
          <w:iCs/>
          <w:spacing w:val="10"/>
          <w:kern w:val="28"/>
          <w:sz w:val="26"/>
          <w:szCs w:val="26"/>
        </w:rPr>
        <w:t xml:space="preserve">l 1 de enero de 2023 entró en vigor la prestación por crianza establecida en el anteproyecto de la Ley de Familias en el conjunto del Estado, por lo que, </w:t>
      </w:r>
      <w:r>
        <w:rPr>
          <w:iCs/>
          <w:spacing w:val="10"/>
          <w:kern w:val="28"/>
          <w:sz w:val="26"/>
          <w:szCs w:val="26"/>
        </w:rPr>
        <w:t xml:space="preserve">el citado departamento consideró oportuno </w:t>
      </w:r>
      <w:r w:rsidRPr="00B2381E">
        <w:rPr>
          <w:iCs/>
          <w:spacing w:val="10"/>
          <w:kern w:val="28"/>
          <w:sz w:val="26"/>
          <w:szCs w:val="26"/>
        </w:rPr>
        <w:t xml:space="preserve">regular la ayuda en la Comunidad </w:t>
      </w:r>
      <w:r>
        <w:rPr>
          <w:iCs/>
          <w:spacing w:val="10"/>
          <w:kern w:val="28"/>
          <w:sz w:val="26"/>
          <w:szCs w:val="26"/>
        </w:rPr>
        <w:t>F</w:t>
      </w:r>
      <w:r w:rsidRPr="00B2381E">
        <w:rPr>
          <w:iCs/>
          <w:spacing w:val="10"/>
          <w:kern w:val="28"/>
          <w:sz w:val="26"/>
          <w:szCs w:val="26"/>
        </w:rPr>
        <w:t xml:space="preserve">oral </w:t>
      </w:r>
      <w:r>
        <w:rPr>
          <w:iCs/>
          <w:spacing w:val="10"/>
          <w:kern w:val="28"/>
          <w:sz w:val="26"/>
          <w:szCs w:val="26"/>
        </w:rPr>
        <w:t xml:space="preserve">de Navarra </w:t>
      </w:r>
      <w:r w:rsidRPr="00B2381E">
        <w:rPr>
          <w:iCs/>
          <w:spacing w:val="10"/>
          <w:kern w:val="28"/>
          <w:sz w:val="26"/>
          <w:szCs w:val="26"/>
        </w:rPr>
        <w:t xml:space="preserve">en el </w:t>
      </w:r>
      <w:r>
        <w:rPr>
          <w:iCs/>
          <w:spacing w:val="10"/>
          <w:kern w:val="28"/>
          <w:sz w:val="26"/>
          <w:szCs w:val="26"/>
        </w:rPr>
        <w:t xml:space="preserve">ejercicio 2023, para evitar una desventaja respecto a las familias navarras. </w:t>
      </w:r>
    </w:p>
    <w:p w14:paraId="48E80B57" w14:textId="77777777" w:rsidR="00B2381E" w:rsidRDefault="00B2381E" w:rsidP="00D4277E">
      <w:pPr>
        <w:spacing w:after="120"/>
        <w:ind w:firstLine="284"/>
        <w:jc w:val="both"/>
        <w:rPr>
          <w:iCs/>
          <w:spacing w:val="10"/>
          <w:kern w:val="28"/>
          <w:sz w:val="26"/>
          <w:szCs w:val="26"/>
        </w:rPr>
      </w:pPr>
      <w:r w:rsidRPr="00B2381E">
        <w:rPr>
          <w:iCs/>
          <w:spacing w:val="10"/>
          <w:kern w:val="28"/>
          <w:sz w:val="26"/>
          <w:szCs w:val="26"/>
        </w:rPr>
        <w:t xml:space="preserve">Mediante el Decreto-Ley Foral 1/2023, de 24 </w:t>
      </w:r>
      <w:r>
        <w:rPr>
          <w:iCs/>
          <w:spacing w:val="10"/>
          <w:kern w:val="28"/>
          <w:sz w:val="26"/>
          <w:szCs w:val="26"/>
        </w:rPr>
        <w:t>de abril, se aprobó un suplemen</w:t>
      </w:r>
      <w:r w:rsidRPr="00B2381E">
        <w:rPr>
          <w:iCs/>
          <w:spacing w:val="10"/>
          <w:kern w:val="28"/>
          <w:sz w:val="26"/>
          <w:szCs w:val="26"/>
        </w:rPr>
        <w:t>to de crédito</w:t>
      </w:r>
      <w:r>
        <w:rPr>
          <w:iCs/>
          <w:spacing w:val="10"/>
          <w:kern w:val="28"/>
          <w:sz w:val="26"/>
          <w:szCs w:val="26"/>
        </w:rPr>
        <w:t xml:space="preserve"> para varios departamentos, entre los que se incluía al De</w:t>
      </w:r>
      <w:r w:rsidR="00B47521">
        <w:rPr>
          <w:iCs/>
          <w:spacing w:val="10"/>
          <w:kern w:val="28"/>
          <w:sz w:val="26"/>
          <w:szCs w:val="26"/>
        </w:rPr>
        <w:t xml:space="preserve">partamento de Derechos Sociales </w:t>
      </w:r>
      <w:r>
        <w:rPr>
          <w:iCs/>
          <w:spacing w:val="10"/>
          <w:kern w:val="28"/>
          <w:sz w:val="26"/>
          <w:szCs w:val="26"/>
        </w:rPr>
        <w:t>con una financiación de 10 millones, destinadas a la posterior aprobación de una convocatoria pública de ayudas económicas de apoyo a familias con menores de 0 a 3 años a su cargo.</w:t>
      </w:r>
    </w:p>
    <w:p w14:paraId="0907E944" w14:textId="77777777" w:rsidR="00803B89" w:rsidRDefault="00B2381E" w:rsidP="00D4277E">
      <w:pPr>
        <w:spacing w:after="120"/>
        <w:ind w:firstLine="284"/>
        <w:jc w:val="both"/>
        <w:rPr>
          <w:iCs/>
          <w:spacing w:val="10"/>
          <w:kern w:val="28"/>
          <w:sz w:val="26"/>
          <w:szCs w:val="26"/>
        </w:rPr>
      </w:pPr>
      <w:r w:rsidRPr="00B2381E">
        <w:rPr>
          <w:iCs/>
          <w:spacing w:val="10"/>
          <w:kern w:val="28"/>
          <w:sz w:val="26"/>
          <w:szCs w:val="26"/>
        </w:rPr>
        <w:t>En el B</w:t>
      </w:r>
      <w:r>
        <w:rPr>
          <w:iCs/>
          <w:spacing w:val="10"/>
          <w:kern w:val="28"/>
          <w:sz w:val="26"/>
          <w:szCs w:val="26"/>
        </w:rPr>
        <w:t>ON de</w:t>
      </w:r>
      <w:r w:rsidRPr="00B2381E">
        <w:rPr>
          <w:iCs/>
          <w:spacing w:val="10"/>
          <w:kern w:val="28"/>
          <w:sz w:val="26"/>
          <w:szCs w:val="26"/>
        </w:rPr>
        <w:t xml:space="preserve"> 31 de julio de 2023 se publicó la </w:t>
      </w:r>
      <w:r w:rsidR="003D0EF2">
        <w:rPr>
          <w:iCs/>
          <w:spacing w:val="10"/>
          <w:kern w:val="28"/>
          <w:sz w:val="26"/>
          <w:szCs w:val="26"/>
        </w:rPr>
        <w:t xml:space="preserve">convocatoria de ayudas, y sus bases reguladoras, en régimen de evaluación individualizada, autorizándose </w:t>
      </w:r>
      <w:r>
        <w:rPr>
          <w:iCs/>
          <w:spacing w:val="10"/>
          <w:kern w:val="28"/>
          <w:sz w:val="26"/>
          <w:szCs w:val="26"/>
        </w:rPr>
        <w:t xml:space="preserve">un gasto por </w:t>
      </w:r>
      <w:r w:rsidR="003D0EF2">
        <w:rPr>
          <w:iCs/>
          <w:spacing w:val="10"/>
          <w:kern w:val="28"/>
          <w:sz w:val="26"/>
          <w:szCs w:val="26"/>
        </w:rPr>
        <w:t>10 millones</w:t>
      </w:r>
      <w:r w:rsidR="00803B89">
        <w:rPr>
          <w:iCs/>
          <w:spacing w:val="10"/>
          <w:kern w:val="28"/>
          <w:sz w:val="26"/>
          <w:szCs w:val="26"/>
        </w:rPr>
        <w:t>.</w:t>
      </w:r>
      <w:r w:rsidR="00812EC8">
        <w:rPr>
          <w:iCs/>
          <w:spacing w:val="10"/>
          <w:kern w:val="28"/>
          <w:sz w:val="26"/>
          <w:szCs w:val="26"/>
        </w:rPr>
        <w:t xml:space="preserve"> Destacamos que estas ayudas son incompatibles con la percepción de la renta garantizada</w:t>
      </w:r>
      <w:r w:rsidR="00305F73">
        <w:rPr>
          <w:iCs/>
          <w:spacing w:val="10"/>
          <w:kern w:val="28"/>
          <w:sz w:val="26"/>
          <w:szCs w:val="26"/>
        </w:rPr>
        <w:t xml:space="preserve"> (en adelante RG) </w:t>
      </w:r>
      <w:r w:rsidR="003D0EF2">
        <w:rPr>
          <w:iCs/>
          <w:spacing w:val="10"/>
          <w:kern w:val="28"/>
          <w:sz w:val="26"/>
          <w:szCs w:val="26"/>
        </w:rPr>
        <w:t xml:space="preserve">y </w:t>
      </w:r>
      <w:r w:rsidR="00812EC8">
        <w:rPr>
          <w:iCs/>
          <w:spacing w:val="10"/>
          <w:kern w:val="28"/>
          <w:sz w:val="26"/>
          <w:szCs w:val="26"/>
        </w:rPr>
        <w:t xml:space="preserve">con el </w:t>
      </w:r>
      <w:r w:rsidR="00305F73">
        <w:rPr>
          <w:iCs/>
          <w:spacing w:val="10"/>
          <w:kern w:val="28"/>
          <w:sz w:val="26"/>
          <w:szCs w:val="26"/>
        </w:rPr>
        <w:t xml:space="preserve">IMV y están condicionadas por el nivel de ingresos de los beneficiarios. </w:t>
      </w:r>
    </w:p>
    <w:p w14:paraId="0F8C9552" w14:textId="77777777" w:rsidR="00812EC8" w:rsidRDefault="00812EC8" w:rsidP="00627F85">
      <w:pPr>
        <w:spacing w:after="240"/>
        <w:ind w:firstLine="284"/>
        <w:jc w:val="both"/>
      </w:pPr>
      <w:r w:rsidRPr="00305F73">
        <w:rPr>
          <w:iCs/>
          <w:spacing w:val="10"/>
          <w:kern w:val="28"/>
          <w:sz w:val="26"/>
          <w:szCs w:val="26"/>
        </w:rPr>
        <w:t xml:space="preserve">El resultado de las solicitudes </w:t>
      </w:r>
      <w:proofErr w:type="gramStart"/>
      <w:r w:rsidRPr="00305F73">
        <w:rPr>
          <w:iCs/>
          <w:spacing w:val="10"/>
          <w:kern w:val="28"/>
          <w:sz w:val="26"/>
          <w:szCs w:val="26"/>
        </w:rPr>
        <w:t>recibidas,</w:t>
      </w:r>
      <w:proofErr w:type="gramEnd"/>
      <w:r w:rsidRPr="00305F73">
        <w:rPr>
          <w:iCs/>
          <w:spacing w:val="10"/>
          <w:kern w:val="28"/>
          <w:sz w:val="26"/>
          <w:szCs w:val="26"/>
        </w:rPr>
        <w:t xml:space="preserve"> se refleja en el siguiente cuadro: </w:t>
      </w:r>
    </w:p>
    <w:tbl>
      <w:tblPr>
        <w:tblW w:w="0" w:type="auto"/>
        <w:jc w:val="center"/>
        <w:tblCellMar>
          <w:left w:w="30" w:type="dxa"/>
          <w:right w:w="30" w:type="dxa"/>
        </w:tblCellMar>
        <w:tblLook w:val="04A0" w:firstRow="1" w:lastRow="0" w:firstColumn="1" w:lastColumn="0" w:noHBand="0" w:noVBand="1"/>
      </w:tblPr>
      <w:tblGrid>
        <w:gridCol w:w="2706"/>
        <w:gridCol w:w="4807"/>
        <w:gridCol w:w="1276"/>
      </w:tblGrid>
      <w:tr w:rsidR="003D0EF2" w:rsidRPr="00F56DF5" w14:paraId="1BCA1908" w14:textId="77777777" w:rsidTr="003D0EF2">
        <w:trPr>
          <w:trHeight w:val="255"/>
          <w:jc w:val="center"/>
        </w:trPr>
        <w:tc>
          <w:tcPr>
            <w:tcW w:w="2706" w:type="dxa"/>
            <w:tcBorders>
              <w:top w:val="single" w:sz="4" w:space="0" w:color="auto"/>
              <w:left w:val="nil"/>
              <w:bottom w:val="single" w:sz="4" w:space="0" w:color="auto"/>
              <w:right w:val="nil"/>
            </w:tcBorders>
            <w:shd w:val="clear" w:color="auto" w:fill="8DB3E2"/>
            <w:vAlign w:val="center"/>
          </w:tcPr>
          <w:p w14:paraId="1F49266F" w14:textId="77777777" w:rsidR="003D0EF2" w:rsidRPr="00F56DF5" w:rsidRDefault="003D0EF2" w:rsidP="003D0EF2">
            <w:pPr>
              <w:pStyle w:val="cuadroCabe"/>
            </w:pPr>
            <w:r>
              <w:t>Estado de las solicitudes</w:t>
            </w:r>
          </w:p>
        </w:tc>
        <w:tc>
          <w:tcPr>
            <w:tcW w:w="4807" w:type="dxa"/>
            <w:tcBorders>
              <w:top w:val="single" w:sz="4" w:space="0" w:color="auto"/>
              <w:left w:val="nil"/>
              <w:bottom w:val="single" w:sz="4" w:space="0" w:color="auto"/>
              <w:right w:val="nil"/>
            </w:tcBorders>
            <w:shd w:val="clear" w:color="auto" w:fill="8DB3E2"/>
            <w:vAlign w:val="center"/>
          </w:tcPr>
          <w:p w14:paraId="54543A47" w14:textId="77777777" w:rsidR="003D0EF2" w:rsidRPr="00F56DF5" w:rsidRDefault="003D0EF2" w:rsidP="003D0EF2">
            <w:pPr>
              <w:pStyle w:val="cuadroCabe"/>
              <w:jc w:val="right"/>
            </w:pPr>
            <w:r>
              <w:t xml:space="preserve">Número </w:t>
            </w:r>
          </w:p>
        </w:tc>
        <w:tc>
          <w:tcPr>
            <w:tcW w:w="1276" w:type="dxa"/>
            <w:tcBorders>
              <w:top w:val="single" w:sz="4" w:space="0" w:color="auto"/>
              <w:left w:val="nil"/>
              <w:bottom w:val="single" w:sz="4" w:space="0" w:color="auto"/>
              <w:right w:val="nil"/>
            </w:tcBorders>
            <w:shd w:val="clear" w:color="auto" w:fill="8DB3E2"/>
            <w:vAlign w:val="center"/>
          </w:tcPr>
          <w:p w14:paraId="3E4C9A59" w14:textId="77777777" w:rsidR="003D0EF2" w:rsidRPr="00F56DF5" w:rsidRDefault="003D0EF2" w:rsidP="003D0EF2">
            <w:pPr>
              <w:pStyle w:val="cuadroCabe"/>
              <w:jc w:val="right"/>
            </w:pPr>
            <w:r>
              <w:t xml:space="preserve">Importe </w:t>
            </w:r>
          </w:p>
        </w:tc>
      </w:tr>
      <w:tr w:rsidR="003D0EF2" w:rsidRPr="007E4397" w14:paraId="76F34599" w14:textId="77777777" w:rsidTr="00627F85">
        <w:trPr>
          <w:trHeight w:val="198"/>
          <w:jc w:val="center"/>
        </w:trPr>
        <w:tc>
          <w:tcPr>
            <w:tcW w:w="2706" w:type="dxa"/>
            <w:tcBorders>
              <w:top w:val="single" w:sz="4" w:space="0" w:color="auto"/>
              <w:left w:val="nil"/>
              <w:bottom w:val="single" w:sz="2" w:space="0" w:color="auto"/>
              <w:right w:val="nil"/>
            </w:tcBorders>
            <w:vAlign w:val="center"/>
          </w:tcPr>
          <w:p w14:paraId="332F136F" w14:textId="77777777" w:rsidR="003D0EF2" w:rsidRPr="007E4397" w:rsidRDefault="003D0EF2" w:rsidP="003D0EF2">
            <w:pPr>
              <w:pStyle w:val="cuatexto"/>
              <w:rPr>
                <w:szCs w:val="20"/>
              </w:rPr>
            </w:pPr>
            <w:r>
              <w:rPr>
                <w:szCs w:val="20"/>
              </w:rPr>
              <w:t>Concedidas</w:t>
            </w:r>
          </w:p>
        </w:tc>
        <w:tc>
          <w:tcPr>
            <w:tcW w:w="4807" w:type="dxa"/>
            <w:tcBorders>
              <w:top w:val="single" w:sz="2" w:space="0" w:color="auto"/>
              <w:left w:val="nil"/>
              <w:bottom w:val="single" w:sz="2" w:space="0" w:color="auto"/>
              <w:right w:val="nil"/>
            </w:tcBorders>
            <w:vAlign w:val="center"/>
          </w:tcPr>
          <w:p w14:paraId="300966C3" w14:textId="77777777" w:rsidR="003D0EF2" w:rsidRPr="007E4397" w:rsidRDefault="003D0EF2" w:rsidP="003D0EF2">
            <w:pPr>
              <w:jc w:val="right"/>
              <w:rPr>
                <w:rFonts w:ascii="Arial Narrow" w:hAnsi="Arial Narrow" w:cs="Calibri"/>
                <w:sz w:val="20"/>
                <w:szCs w:val="20"/>
              </w:rPr>
            </w:pPr>
            <w:r>
              <w:rPr>
                <w:rFonts w:ascii="Arial Narrow" w:hAnsi="Arial Narrow" w:cs="Calibri"/>
                <w:sz w:val="20"/>
                <w:szCs w:val="20"/>
              </w:rPr>
              <w:t>7.716</w:t>
            </w:r>
          </w:p>
        </w:tc>
        <w:tc>
          <w:tcPr>
            <w:tcW w:w="1276" w:type="dxa"/>
            <w:tcBorders>
              <w:top w:val="single" w:sz="2" w:space="0" w:color="auto"/>
              <w:left w:val="nil"/>
              <w:bottom w:val="single" w:sz="2" w:space="0" w:color="auto"/>
              <w:right w:val="nil"/>
            </w:tcBorders>
            <w:vAlign w:val="center"/>
          </w:tcPr>
          <w:p w14:paraId="73B80DB8" w14:textId="77777777" w:rsidR="003D0EF2" w:rsidRPr="007E4397" w:rsidRDefault="003D0EF2" w:rsidP="003D0EF2">
            <w:pPr>
              <w:jc w:val="right"/>
              <w:rPr>
                <w:rFonts w:ascii="Arial Narrow" w:hAnsi="Arial Narrow" w:cs="Calibri"/>
                <w:sz w:val="20"/>
                <w:szCs w:val="20"/>
              </w:rPr>
            </w:pPr>
            <w:r>
              <w:rPr>
                <w:rFonts w:ascii="Arial Narrow" w:hAnsi="Arial Narrow" w:cs="Calibri"/>
                <w:sz w:val="20"/>
                <w:szCs w:val="20"/>
              </w:rPr>
              <w:t>7.722.000</w:t>
            </w:r>
          </w:p>
        </w:tc>
      </w:tr>
      <w:tr w:rsidR="003D0EF2" w:rsidRPr="007E4397" w14:paraId="7F9B78B9" w14:textId="77777777" w:rsidTr="003D0EF2">
        <w:trPr>
          <w:trHeight w:val="198"/>
          <w:jc w:val="center"/>
        </w:trPr>
        <w:tc>
          <w:tcPr>
            <w:tcW w:w="2706" w:type="dxa"/>
            <w:tcBorders>
              <w:top w:val="single" w:sz="2" w:space="0" w:color="auto"/>
              <w:left w:val="nil"/>
              <w:bottom w:val="single" w:sz="2" w:space="0" w:color="auto"/>
              <w:right w:val="nil"/>
            </w:tcBorders>
            <w:vAlign w:val="center"/>
          </w:tcPr>
          <w:p w14:paraId="6DC2053A" w14:textId="77777777" w:rsidR="003D0EF2" w:rsidRPr="007E4397" w:rsidRDefault="003D0EF2" w:rsidP="003D0EF2">
            <w:pPr>
              <w:pStyle w:val="cuatexto"/>
              <w:rPr>
                <w:szCs w:val="20"/>
              </w:rPr>
            </w:pPr>
            <w:r>
              <w:rPr>
                <w:szCs w:val="20"/>
              </w:rPr>
              <w:t>Denegadas</w:t>
            </w:r>
          </w:p>
        </w:tc>
        <w:tc>
          <w:tcPr>
            <w:tcW w:w="4807" w:type="dxa"/>
            <w:tcBorders>
              <w:top w:val="single" w:sz="2" w:space="0" w:color="auto"/>
              <w:left w:val="nil"/>
              <w:bottom w:val="single" w:sz="2" w:space="0" w:color="auto"/>
              <w:right w:val="nil"/>
            </w:tcBorders>
            <w:vAlign w:val="center"/>
          </w:tcPr>
          <w:p w14:paraId="474F6BA5" w14:textId="77777777" w:rsidR="003D0EF2" w:rsidRPr="007E4397" w:rsidRDefault="003D0EF2" w:rsidP="003D0EF2">
            <w:pPr>
              <w:jc w:val="right"/>
              <w:rPr>
                <w:rFonts w:ascii="Arial Narrow" w:hAnsi="Arial Narrow" w:cs="Calibri"/>
                <w:sz w:val="20"/>
                <w:szCs w:val="20"/>
              </w:rPr>
            </w:pPr>
            <w:r>
              <w:rPr>
                <w:rFonts w:ascii="Arial Narrow" w:hAnsi="Arial Narrow" w:cs="Calibri"/>
                <w:sz w:val="20"/>
                <w:szCs w:val="20"/>
              </w:rPr>
              <w:t>1.120</w:t>
            </w:r>
          </w:p>
        </w:tc>
        <w:tc>
          <w:tcPr>
            <w:tcW w:w="1276" w:type="dxa"/>
            <w:tcBorders>
              <w:top w:val="single" w:sz="2" w:space="0" w:color="auto"/>
              <w:left w:val="nil"/>
              <w:bottom w:val="single" w:sz="2" w:space="0" w:color="auto"/>
              <w:right w:val="nil"/>
            </w:tcBorders>
            <w:vAlign w:val="center"/>
          </w:tcPr>
          <w:p w14:paraId="4CE1703B" w14:textId="77777777" w:rsidR="003D0EF2" w:rsidRPr="007E4397" w:rsidRDefault="003D0EF2" w:rsidP="003D0EF2">
            <w:pPr>
              <w:jc w:val="right"/>
              <w:rPr>
                <w:rFonts w:ascii="Arial Narrow" w:hAnsi="Arial Narrow" w:cs="Calibri"/>
                <w:sz w:val="20"/>
                <w:szCs w:val="20"/>
              </w:rPr>
            </w:pPr>
          </w:p>
        </w:tc>
      </w:tr>
      <w:tr w:rsidR="003D0EF2" w:rsidRPr="007E4397" w14:paraId="36FF9F3C" w14:textId="77777777" w:rsidTr="00627F85">
        <w:trPr>
          <w:trHeight w:val="198"/>
          <w:jc w:val="center"/>
        </w:trPr>
        <w:tc>
          <w:tcPr>
            <w:tcW w:w="2706" w:type="dxa"/>
            <w:tcBorders>
              <w:top w:val="single" w:sz="2" w:space="0" w:color="auto"/>
              <w:left w:val="nil"/>
              <w:bottom w:val="single" w:sz="4" w:space="0" w:color="auto"/>
              <w:right w:val="nil"/>
            </w:tcBorders>
            <w:vAlign w:val="center"/>
          </w:tcPr>
          <w:p w14:paraId="0A7343A0" w14:textId="77777777" w:rsidR="003D0EF2" w:rsidRPr="007E4397" w:rsidRDefault="003D0EF2" w:rsidP="003D0EF2">
            <w:pPr>
              <w:pStyle w:val="cuatexto"/>
              <w:rPr>
                <w:szCs w:val="20"/>
              </w:rPr>
            </w:pPr>
            <w:r>
              <w:rPr>
                <w:szCs w:val="20"/>
              </w:rPr>
              <w:t>Archivadas</w:t>
            </w:r>
          </w:p>
        </w:tc>
        <w:tc>
          <w:tcPr>
            <w:tcW w:w="4807" w:type="dxa"/>
            <w:tcBorders>
              <w:top w:val="single" w:sz="2" w:space="0" w:color="auto"/>
              <w:left w:val="nil"/>
              <w:bottom w:val="single" w:sz="4" w:space="0" w:color="auto"/>
              <w:right w:val="nil"/>
            </w:tcBorders>
            <w:vAlign w:val="center"/>
          </w:tcPr>
          <w:p w14:paraId="02F612B1" w14:textId="77777777" w:rsidR="003D0EF2" w:rsidRPr="007E4397" w:rsidRDefault="003D0EF2" w:rsidP="003D0EF2">
            <w:pPr>
              <w:jc w:val="right"/>
              <w:rPr>
                <w:rFonts w:ascii="Arial Narrow" w:hAnsi="Arial Narrow" w:cs="Calibri"/>
                <w:sz w:val="20"/>
                <w:szCs w:val="20"/>
              </w:rPr>
            </w:pPr>
            <w:r>
              <w:rPr>
                <w:rFonts w:ascii="Arial Narrow" w:hAnsi="Arial Narrow" w:cs="Calibri"/>
                <w:sz w:val="20"/>
                <w:szCs w:val="20"/>
              </w:rPr>
              <w:t>694</w:t>
            </w:r>
          </w:p>
        </w:tc>
        <w:tc>
          <w:tcPr>
            <w:tcW w:w="1276" w:type="dxa"/>
            <w:tcBorders>
              <w:top w:val="single" w:sz="2" w:space="0" w:color="auto"/>
              <w:left w:val="nil"/>
              <w:bottom w:val="single" w:sz="4" w:space="0" w:color="auto"/>
              <w:right w:val="nil"/>
            </w:tcBorders>
            <w:vAlign w:val="center"/>
          </w:tcPr>
          <w:p w14:paraId="3537C14E" w14:textId="77777777" w:rsidR="003D0EF2" w:rsidRPr="007E4397" w:rsidRDefault="003D0EF2" w:rsidP="003D0EF2">
            <w:pPr>
              <w:jc w:val="right"/>
              <w:rPr>
                <w:rFonts w:ascii="Arial Narrow" w:hAnsi="Arial Narrow" w:cs="Calibri"/>
                <w:sz w:val="20"/>
                <w:szCs w:val="20"/>
              </w:rPr>
            </w:pPr>
          </w:p>
        </w:tc>
      </w:tr>
      <w:tr w:rsidR="003D0EF2" w:rsidRPr="007E4397" w14:paraId="4D59E692" w14:textId="77777777" w:rsidTr="003D0EF2">
        <w:trPr>
          <w:trHeight w:val="255"/>
          <w:jc w:val="center"/>
        </w:trPr>
        <w:tc>
          <w:tcPr>
            <w:tcW w:w="2706" w:type="dxa"/>
            <w:tcBorders>
              <w:top w:val="single" w:sz="4" w:space="0" w:color="auto"/>
              <w:left w:val="nil"/>
              <w:bottom w:val="single" w:sz="4" w:space="0" w:color="auto"/>
              <w:right w:val="nil"/>
            </w:tcBorders>
            <w:shd w:val="clear" w:color="auto" w:fill="8DB3E2"/>
            <w:vAlign w:val="center"/>
            <w:hideMark/>
          </w:tcPr>
          <w:p w14:paraId="078C9FBC" w14:textId="77777777" w:rsidR="003D0EF2" w:rsidRPr="007E4397" w:rsidRDefault="003D0EF2" w:rsidP="003D0EF2">
            <w:pPr>
              <w:keepLines/>
              <w:tabs>
                <w:tab w:val="right" w:pos="2835"/>
                <w:tab w:val="right" w:pos="3969"/>
                <w:tab w:val="right" w:pos="5103"/>
                <w:tab w:val="right" w:pos="6237"/>
                <w:tab w:val="right" w:pos="7371"/>
              </w:tabs>
              <w:rPr>
                <w:rFonts w:ascii="Arial" w:hAnsi="Arial" w:cs="Arial"/>
                <w:spacing w:val="6"/>
                <w:sz w:val="18"/>
                <w:szCs w:val="18"/>
              </w:rPr>
            </w:pPr>
            <w:r w:rsidRPr="007E4397">
              <w:rPr>
                <w:rFonts w:ascii="Arial" w:hAnsi="Arial" w:cs="Arial"/>
                <w:spacing w:val="6"/>
                <w:sz w:val="18"/>
                <w:szCs w:val="18"/>
              </w:rPr>
              <w:t>Total</w:t>
            </w:r>
          </w:p>
        </w:tc>
        <w:tc>
          <w:tcPr>
            <w:tcW w:w="4807" w:type="dxa"/>
            <w:tcBorders>
              <w:top w:val="single" w:sz="4" w:space="0" w:color="auto"/>
              <w:left w:val="nil"/>
              <w:bottom w:val="single" w:sz="4" w:space="0" w:color="auto"/>
              <w:right w:val="nil"/>
            </w:tcBorders>
            <w:shd w:val="clear" w:color="auto" w:fill="8DB3E2"/>
            <w:vAlign w:val="center"/>
          </w:tcPr>
          <w:p w14:paraId="38D8A818" w14:textId="77777777" w:rsidR="003D0EF2" w:rsidRPr="007E4397" w:rsidRDefault="003D0EF2" w:rsidP="003D0EF2">
            <w:pPr>
              <w:jc w:val="right"/>
              <w:rPr>
                <w:rFonts w:ascii="Arial" w:hAnsi="Arial" w:cs="Arial"/>
                <w:sz w:val="18"/>
                <w:szCs w:val="18"/>
              </w:rPr>
            </w:pPr>
            <w:r>
              <w:rPr>
                <w:rFonts w:ascii="Arial" w:hAnsi="Arial" w:cs="Arial"/>
                <w:sz w:val="18"/>
                <w:szCs w:val="18"/>
              </w:rPr>
              <w:t>9.530</w:t>
            </w:r>
          </w:p>
        </w:tc>
        <w:tc>
          <w:tcPr>
            <w:tcW w:w="1276" w:type="dxa"/>
            <w:tcBorders>
              <w:top w:val="single" w:sz="4" w:space="0" w:color="auto"/>
              <w:left w:val="nil"/>
              <w:bottom w:val="single" w:sz="4" w:space="0" w:color="auto"/>
              <w:right w:val="nil"/>
            </w:tcBorders>
            <w:shd w:val="clear" w:color="auto" w:fill="8DB3E2"/>
            <w:vAlign w:val="center"/>
          </w:tcPr>
          <w:p w14:paraId="6AB56E6B" w14:textId="77777777" w:rsidR="003D0EF2" w:rsidRPr="007E4397" w:rsidRDefault="003D0EF2" w:rsidP="003D0EF2">
            <w:pPr>
              <w:jc w:val="right"/>
              <w:rPr>
                <w:rFonts w:ascii="Arial" w:hAnsi="Arial" w:cs="Arial"/>
                <w:sz w:val="18"/>
                <w:szCs w:val="18"/>
              </w:rPr>
            </w:pPr>
            <w:r>
              <w:rPr>
                <w:rFonts w:ascii="Arial" w:hAnsi="Arial" w:cs="Arial"/>
                <w:sz w:val="18"/>
                <w:szCs w:val="18"/>
              </w:rPr>
              <w:t>7.722.000</w:t>
            </w:r>
          </w:p>
        </w:tc>
      </w:tr>
    </w:tbl>
    <w:p w14:paraId="0CEF57DE" w14:textId="77777777" w:rsidR="006513CA" w:rsidRPr="004944C1" w:rsidRDefault="003D0EF2" w:rsidP="00627F85">
      <w:pPr>
        <w:spacing w:before="240" w:after="120"/>
        <w:ind w:firstLine="284"/>
        <w:jc w:val="both"/>
        <w:rPr>
          <w:sz w:val="26"/>
          <w:szCs w:val="26"/>
        </w:rPr>
      </w:pPr>
      <w:r w:rsidRPr="004944C1">
        <w:rPr>
          <w:sz w:val="26"/>
          <w:szCs w:val="26"/>
        </w:rPr>
        <w:t>D</w:t>
      </w:r>
      <w:r w:rsidR="00812EC8" w:rsidRPr="004944C1">
        <w:rPr>
          <w:sz w:val="26"/>
          <w:szCs w:val="26"/>
        </w:rPr>
        <w:t xml:space="preserve">e la revisión </w:t>
      </w:r>
      <w:r w:rsidR="00812EC8" w:rsidRPr="00D4277E">
        <w:rPr>
          <w:iCs/>
          <w:spacing w:val="10"/>
          <w:kern w:val="28"/>
          <w:sz w:val="26"/>
          <w:szCs w:val="26"/>
        </w:rPr>
        <w:t>que</w:t>
      </w:r>
      <w:r w:rsidR="00812EC8" w:rsidRPr="004944C1">
        <w:rPr>
          <w:sz w:val="26"/>
          <w:szCs w:val="26"/>
        </w:rPr>
        <w:t xml:space="preserve"> hemos llevado a cabo, la concesión de estas ayudas, se adecuan a lo establecido en la normativa de sub</w:t>
      </w:r>
      <w:r w:rsidR="004944C1" w:rsidRPr="004944C1">
        <w:rPr>
          <w:sz w:val="26"/>
          <w:szCs w:val="26"/>
        </w:rPr>
        <w:t xml:space="preserve">venciones, si bien destacamos que no </w:t>
      </w:r>
      <w:r w:rsidR="006513CA" w:rsidRPr="004944C1">
        <w:rPr>
          <w:sz w:val="26"/>
          <w:szCs w:val="26"/>
        </w:rPr>
        <w:t xml:space="preserve">consta </w:t>
      </w:r>
      <w:r w:rsidR="00634569" w:rsidRPr="004944C1">
        <w:rPr>
          <w:sz w:val="26"/>
          <w:szCs w:val="26"/>
        </w:rPr>
        <w:t>la finalidad de utilidad pública o social a que va encaminada la subvención, de conformidad con lo establecido en la Ley Foral 11/2005, de 9 de noviembre, de Subvenciones (en adelante LFS).</w:t>
      </w:r>
    </w:p>
    <w:p w14:paraId="550A978B" w14:textId="77777777" w:rsidR="00634569" w:rsidRPr="004944C1" w:rsidRDefault="004944C1" w:rsidP="004944C1">
      <w:pPr>
        <w:tabs>
          <w:tab w:val="center" w:pos="2835"/>
          <w:tab w:val="center" w:pos="3969"/>
          <w:tab w:val="center" w:pos="5103"/>
          <w:tab w:val="center" w:pos="6237"/>
          <w:tab w:val="center" w:pos="7371"/>
        </w:tabs>
        <w:spacing w:before="240" w:after="240"/>
        <w:ind w:firstLine="284"/>
        <w:jc w:val="both"/>
        <w:rPr>
          <w:i/>
          <w:sz w:val="26"/>
          <w:szCs w:val="26"/>
        </w:rPr>
      </w:pPr>
      <w:r w:rsidRPr="004944C1">
        <w:rPr>
          <w:i/>
          <w:sz w:val="26"/>
          <w:szCs w:val="26"/>
        </w:rPr>
        <w:t>Recomendamos i</w:t>
      </w:r>
      <w:r w:rsidR="00634569" w:rsidRPr="004944C1">
        <w:rPr>
          <w:i/>
          <w:sz w:val="26"/>
          <w:szCs w:val="26"/>
        </w:rPr>
        <w:t xml:space="preserve">dentificar </w:t>
      </w:r>
      <w:r>
        <w:rPr>
          <w:i/>
          <w:sz w:val="26"/>
          <w:szCs w:val="26"/>
        </w:rPr>
        <w:t xml:space="preserve">en las convocatorias de ayudas </w:t>
      </w:r>
      <w:r w:rsidR="00634569" w:rsidRPr="004944C1">
        <w:rPr>
          <w:i/>
          <w:sz w:val="26"/>
          <w:szCs w:val="26"/>
        </w:rPr>
        <w:t>la finalidad de utilidad pública o social a la</w:t>
      </w:r>
      <w:r>
        <w:rPr>
          <w:i/>
          <w:sz w:val="26"/>
          <w:szCs w:val="26"/>
        </w:rPr>
        <w:t>s</w:t>
      </w:r>
      <w:r w:rsidR="00634569" w:rsidRPr="004944C1">
        <w:rPr>
          <w:i/>
          <w:sz w:val="26"/>
          <w:szCs w:val="26"/>
        </w:rPr>
        <w:t xml:space="preserve"> que va</w:t>
      </w:r>
      <w:r>
        <w:rPr>
          <w:i/>
          <w:sz w:val="26"/>
          <w:szCs w:val="26"/>
        </w:rPr>
        <w:t>n</w:t>
      </w:r>
      <w:r w:rsidR="00634569" w:rsidRPr="004944C1">
        <w:rPr>
          <w:i/>
          <w:sz w:val="26"/>
          <w:szCs w:val="26"/>
        </w:rPr>
        <w:t xml:space="preserve"> encaminada</w:t>
      </w:r>
      <w:r>
        <w:rPr>
          <w:i/>
          <w:sz w:val="26"/>
          <w:szCs w:val="26"/>
        </w:rPr>
        <w:t xml:space="preserve">s. </w:t>
      </w:r>
    </w:p>
    <w:p w14:paraId="12649CAB" w14:textId="77777777" w:rsidR="008317BB" w:rsidRPr="00D4277E" w:rsidRDefault="008317BB" w:rsidP="00D4277E">
      <w:pPr>
        <w:pStyle w:val="atitulo3"/>
      </w:pPr>
      <w:r w:rsidRPr="00D4277E">
        <w:t>Seguimiento</w:t>
      </w:r>
      <w:r w:rsidR="009C452E" w:rsidRPr="00D4277E">
        <w:t xml:space="preserve"> de recomendaciones del informe sobre la eficacia y eficiencia de las ayudas a la contratación para incentivar el empleo entre 2017 y 2021</w:t>
      </w:r>
    </w:p>
    <w:p w14:paraId="38DB188C" w14:textId="77777777" w:rsidR="009C452E" w:rsidRPr="00B02371" w:rsidRDefault="009C452E" w:rsidP="00614173">
      <w:pPr>
        <w:spacing w:before="240" w:after="240"/>
        <w:ind w:firstLine="284"/>
        <w:jc w:val="both"/>
        <w:rPr>
          <w:sz w:val="26"/>
          <w:szCs w:val="26"/>
        </w:rPr>
      </w:pPr>
      <w:r w:rsidRPr="00B02371">
        <w:rPr>
          <w:sz w:val="26"/>
          <w:szCs w:val="26"/>
        </w:rPr>
        <w:t>En septiembre de 2022 esta Cámara publicó el informe “¿Han sido eficaces y eficientes las ayudas a la contratación para incentivar el empleo entre 2017 y 2021?”. En este informe se recomendó, entre otras cuestiones</w:t>
      </w:r>
      <w:r w:rsidR="00614173" w:rsidRPr="00B02371">
        <w:rPr>
          <w:sz w:val="26"/>
          <w:szCs w:val="26"/>
        </w:rPr>
        <w:t xml:space="preserve">: </w:t>
      </w:r>
      <w:r w:rsidRPr="00B02371">
        <w:rPr>
          <w:i/>
          <w:sz w:val="26"/>
          <w:szCs w:val="26"/>
        </w:rPr>
        <w:t xml:space="preserve">“Evaluar el impacto de los </w:t>
      </w:r>
      <w:r w:rsidRPr="00B02371">
        <w:rPr>
          <w:i/>
          <w:sz w:val="26"/>
          <w:szCs w:val="26"/>
        </w:rPr>
        <w:lastRenderedPageBreak/>
        <w:t>programas de empleo más relevantes, incluyendo la comparación de los resultados obtenidos con un grupo de control”.</w:t>
      </w:r>
    </w:p>
    <w:p w14:paraId="48499730" w14:textId="77777777" w:rsidR="009C452E" w:rsidRPr="00B02371" w:rsidRDefault="009C452E" w:rsidP="004944C1">
      <w:pPr>
        <w:pStyle w:val="texto"/>
        <w:tabs>
          <w:tab w:val="left" w:pos="480"/>
          <w:tab w:val="num" w:pos="600"/>
        </w:tabs>
        <w:spacing w:before="120"/>
        <w:jc w:val="both"/>
        <w:rPr>
          <w:iCs/>
          <w:spacing w:val="10"/>
          <w:kern w:val="28"/>
          <w:szCs w:val="26"/>
        </w:rPr>
      </w:pPr>
      <w:r w:rsidRPr="00B02371">
        <w:rPr>
          <w:iCs/>
          <w:spacing w:val="10"/>
          <w:kern w:val="28"/>
          <w:szCs w:val="26"/>
        </w:rPr>
        <w:t>En nuestro informe, sobre la evaluación de los programas realizada por el Servicio Navarro de Empleo</w:t>
      </w:r>
      <w:r w:rsidR="00D07572" w:rsidRPr="00B02371">
        <w:rPr>
          <w:iCs/>
          <w:spacing w:val="10"/>
          <w:kern w:val="28"/>
          <w:szCs w:val="26"/>
        </w:rPr>
        <w:t xml:space="preserve"> (en adelante SNS)</w:t>
      </w:r>
      <w:r w:rsidRPr="00B02371">
        <w:rPr>
          <w:iCs/>
          <w:spacing w:val="10"/>
          <w:kern w:val="28"/>
          <w:szCs w:val="26"/>
        </w:rPr>
        <w:t xml:space="preserve">, se explicaba que hasta 2015 cada servicio perteneciente al </w:t>
      </w:r>
      <w:r w:rsidR="00D07572" w:rsidRPr="00B02371">
        <w:rPr>
          <w:iCs/>
          <w:spacing w:val="10"/>
          <w:kern w:val="28"/>
          <w:szCs w:val="26"/>
        </w:rPr>
        <w:t xml:space="preserve">SNE, </w:t>
      </w:r>
      <w:r w:rsidRPr="00B02371">
        <w:rPr>
          <w:iCs/>
          <w:spacing w:val="10"/>
          <w:kern w:val="28"/>
          <w:szCs w:val="26"/>
        </w:rPr>
        <w:t>realizaba un seguimiento de los programas que financiaba. En 2019, con el cambio de legislatura, se creó una sección específica para llevar a cabo esta evaluación. Sin embargo, esas evaluaciones no se ha</w:t>
      </w:r>
      <w:r w:rsidR="00D3330F" w:rsidRPr="00B02371">
        <w:rPr>
          <w:iCs/>
          <w:spacing w:val="10"/>
          <w:kern w:val="28"/>
          <w:szCs w:val="26"/>
        </w:rPr>
        <w:t xml:space="preserve">cían </w:t>
      </w:r>
      <w:r w:rsidRPr="00B02371">
        <w:rPr>
          <w:szCs w:val="26"/>
        </w:rPr>
        <w:t>comparando</w:t>
      </w:r>
      <w:r w:rsidRPr="00B02371">
        <w:rPr>
          <w:iCs/>
          <w:spacing w:val="10"/>
          <w:kern w:val="28"/>
          <w:szCs w:val="26"/>
        </w:rPr>
        <w:t xml:space="preserve"> los resultados con un grupo de control</w:t>
      </w:r>
      <w:r w:rsidR="00D3330F" w:rsidRPr="00B02371">
        <w:rPr>
          <w:iCs/>
          <w:spacing w:val="10"/>
          <w:kern w:val="28"/>
          <w:szCs w:val="26"/>
        </w:rPr>
        <w:t>.</w:t>
      </w:r>
    </w:p>
    <w:p w14:paraId="4A39EE98" w14:textId="77777777" w:rsidR="009C452E" w:rsidRPr="00B02371" w:rsidRDefault="009C452E" w:rsidP="004944C1">
      <w:pPr>
        <w:pStyle w:val="texto"/>
        <w:tabs>
          <w:tab w:val="left" w:pos="480"/>
          <w:tab w:val="num" w:pos="600"/>
        </w:tabs>
        <w:spacing w:before="120"/>
        <w:jc w:val="both"/>
        <w:rPr>
          <w:szCs w:val="26"/>
        </w:rPr>
      </w:pPr>
      <w:r w:rsidRPr="00B02371">
        <w:rPr>
          <w:szCs w:val="26"/>
        </w:rPr>
        <w:t xml:space="preserve">Del seguimiento que hemos efectuado de la citada recomendación, hemos constatado la existencia de dos informes de evaluación de impacto en los que se especifica que han utilizado grupos de comparación o de control para realizar su análisis. </w:t>
      </w:r>
    </w:p>
    <w:p w14:paraId="2B83151C" w14:textId="77777777" w:rsidR="009C452E" w:rsidRPr="00B02371" w:rsidRDefault="009C452E" w:rsidP="00B02371">
      <w:pPr>
        <w:spacing w:before="120" w:after="240"/>
        <w:ind w:firstLine="284"/>
        <w:jc w:val="both"/>
        <w:rPr>
          <w:iCs/>
          <w:spacing w:val="10"/>
          <w:kern w:val="28"/>
          <w:sz w:val="26"/>
          <w:szCs w:val="26"/>
        </w:rPr>
      </w:pPr>
      <w:r w:rsidRPr="00B02371">
        <w:rPr>
          <w:iCs/>
          <w:spacing w:val="10"/>
          <w:kern w:val="28"/>
          <w:sz w:val="26"/>
          <w:szCs w:val="26"/>
        </w:rPr>
        <w:t>Esos informes se han realizado en 2023 y se refieren a partidas de gasto de 2021. Entre ambos informes se está evaluando un gasto de 0,87 millones (Evaluación de impacto del Servicio de Orientación Profesional para personas con discapacidad y en situación de exclusión social) y de 1,8 millones (Evaluación del impacto de los Programas Integrados de Fo</w:t>
      </w:r>
      <w:r w:rsidR="00E56149" w:rsidRPr="00B02371">
        <w:rPr>
          <w:iCs/>
          <w:spacing w:val="10"/>
          <w:kern w:val="28"/>
          <w:sz w:val="26"/>
          <w:szCs w:val="26"/>
        </w:rPr>
        <w:t>rmación y Empleo)</w:t>
      </w:r>
      <w:r w:rsidRPr="00B02371">
        <w:rPr>
          <w:iCs/>
          <w:spacing w:val="10"/>
          <w:kern w:val="28"/>
          <w:sz w:val="26"/>
          <w:szCs w:val="26"/>
        </w:rPr>
        <w:t xml:space="preserve">. </w:t>
      </w:r>
    </w:p>
    <w:p w14:paraId="5ECDAF7B" w14:textId="77777777" w:rsidR="009C452E" w:rsidRPr="00B02371" w:rsidRDefault="009C452E" w:rsidP="00426B0B">
      <w:pPr>
        <w:pStyle w:val="texto"/>
        <w:tabs>
          <w:tab w:val="left" w:pos="480"/>
          <w:tab w:val="num" w:pos="600"/>
        </w:tabs>
        <w:spacing w:before="120"/>
        <w:jc w:val="both"/>
        <w:rPr>
          <w:szCs w:val="26"/>
        </w:rPr>
      </w:pPr>
      <w:r w:rsidRPr="00B02371">
        <w:rPr>
          <w:szCs w:val="26"/>
        </w:rPr>
        <w:t>Por tanto, consideramos que la recomendación se ha cumplido razonablemente.</w:t>
      </w:r>
    </w:p>
    <w:p w14:paraId="13D1F97F" w14:textId="77777777" w:rsidR="000443D8" w:rsidRPr="0067243F" w:rsidRDefault="00B243AE" w:rsidP="00D4277E">
      <w:pPr>
        <w:pStyle w:val="atitulo3"/>
        <w:spacing w:before="240"/>
      </w:pPr>
      <w:r w:rsidRPr="0067243F">
        <w:t>Planes estratégicos de subvenciones</w:t>
      </w:r>
    </w:p>
    <w:p w14:paraId="795D419E" w14:textId="77777777" w:rsidR="00B243AE" w:rsidRPr="00B243AE" w:rsidRDefault="00B243AE" w:rsidP="00B243AE">
      <w:pPr>
        <w:spacing w:before="240" w:after="240"/>
        <w:ind w:firstLine="284"/>
        <w:jc w:val="both"/>
        <w:rPr>
          <w:iCs/>
          <w:spacing w:val="10"/>
          <w:kern w:val="28"/>
          <w:sz w:val="26"/>
          <w:szCs w:val="26"/>
        </w:rPr>
      </w:pPr>
      <w:r w:rsidRPr="00B243AE">
        <w:rPr>
          <w:iCs/>
          <w:spacing w:val="10"/>
          <w:kern w:val="28"/>
          <w:sz w:val="26"/>
          <w:szCs w:val="26"/>
        </w:rPr>
        <w:t>El artículo 5.bis de la L</w:t>
      </w:r>
      <w:r w:rsidR="008F0074">
        <w:rPr>
          <w:iCs/>
          <w:spacing w:val="10"/>
          <w:kern w:val="28"/>
          <w:sz w:val="26"/>
          <w:szCs w:val="26"/>
        </w:rPr>
        <w:t>ey Foral 11/2005, de 9 de noviembre, de Subvenciones (en adelante L</w:t>
      </w:r>
      <w:r w:rsidRPr="00B243AE">
        <w:rPr>
          <w:iCs/>
          <w:spacing w:val="10"/>
          <w:kern w:val="28"/>
          <w:sz w:val="26"/>
          <w:szCs w:val="26"/>
        </w:rPr>
        <w:t>FS</w:t>
      </w:r>
      <w:r w:rsidR="008F0074">
        <w:rPr>
          <w:iCs/>
          <w:spacing w:val="10"/>
          <w:kern w:val="28"/>
          <w:sz w:val="26"/>
          <w:szCs w:val="26"/>
        </w:rPr>
        <w:t>)</w:t>
      </w:r>
      <w:r w:rsidRPr="00B243AE">
        <w:rPr>
          <w:iCs/>
          <w:spacing w:val="10"/>
          <w:kern w:val="28"/>
          <w:sz w:val="26"/>
          <w:szCs w:val="26"/>
        </w:rPr>
        <w:t xml:space="preserve">, establece la obligación de realizar un </w:t>
      </w:r>
      <w:r w:rsidR="008F0074">
        <w:rPr>
          <w:iCs/>
          <w:spacing w:val="10"/>
          <w:kern w:val="28"/>
          <w:sz w:val="26"/>
          <w:szCs w:val="26"/>
        </w:rPr>
        <w:t>Plan Estratégico de S</w:t>
      </w:r>
      <w:r w:rsidRPr="00B243AE">
        <w:rPr>
          <w:iCs/>
          <w:spacing w:val="10"/>
          <w:kern w:val="28"/>
          <w:sz w:val="26"/>
          <w:szCs w:val="26"/>
        </w:rPr>
        <w:t>ubvenciones (en adelante PES) que concede la ACFN, con periodicidad trienal, desglosado por departamentos y líneas de actuación, que deberá ser revisado anualmente, incorporando las modificaciones y ajustes necesarios, y presentado ante la Comisión competente en materia económica del Parlamento de Navarra. Dicho plan, antes de su aprobación deberá contar con la autorización del Departamento de Economía y Hacienda.</w:t>
      </w:r>
    </w:p>
    <w:p w14:paraId="09AB4B5B" w14:textId="77777777" w:rsidR="00B243AE" w:rsidRPr="00B243AE" w:rsidRDefault="00B243AE" w:rsidP="000754FD">
      <w:pPr>
        <w:spacing w:after="120"/>
        <w:ind w:firstLine="284"/>
        <w:jc w:val="both"/>
        <w:rPr>
          <w:iCs/>
          <w:spacing w:val="10"/>
          <w:kern w:val="28"/>
          <w:sz w:val="26"/>
          <w:szCs w:val="26"/>
        </w:rPr>
      </w:pPr>
      <w:r w:rsidRPr="00B243AE">
        <w:rPr>
          <w:iCs/>
          <w:spacing w:val="10"/>
          <w:kern w:val="28"/>
          <w:sz w:val="26"/>
          <w:szCs w:val="26"/>
        </w:rPr>
        <w:t>Durante el primer cuatrimestre de cada año cada departamento y organismo autónomo elaborarán informes de evaluación de las convocatorias realizadas en el ejercicio precedente.</w:t>
      </w:r>
      <w:r>
        <w:rPr>
          <w:iCs/>
          <w:spacing w:val="10"/>
          <w:kern w:val="28"/>
          <w:sz w:val="26"/>
          <w:szCs w:val="26"/>
        </w:rPr>
        <w:t xml:space="preserve"> </w:t>
      </w:r>
      <w:r w:rsidRPr="00B243AE">
        <w:rPr>
          <w:iCs/>
          <w:spacing w:val="10"/>
          <w:kern w:val="28"/>
          <w:sz w:val="26"/>
          <w:szCs w:val="26"/>
        </w:rPr>
        <w:t>Dichos informes analizarán el cumplimiento de los objetivos planteados de forma individual en cada convocatoria, y de los objetivos estratégicos, el grado de cumplimiento de los plazos establecidos en el procedimiento de concesión, así como las cuestiones relevantes asociadas a las con</w:t>
      </w:r>
      <w:r w:rsidR="008F0074">
        <w:rPr>
          <w:iCs/>
          <w:spacing w:val="10"/>
          <w:kern w:val="28"/>
          <w:sz w:val="26"/>
          <w:szCs w:val="26"/>
        </w:rPr>
        <w:t>vocatorias. El informe de cada d</w:t>
      </w:r>
      <w:r w:rsidRPr="00B243AE">
        <w:rPr>
          <w:iCs/>
          <w:spacing w:val="10"/>
          <w:kern w:val="28"/>
          <w:sz w:val="26"/>
          <w:szCs w:val="26"/>
        </w:rPr>
        <w:t>epartamento será remitido a la Dir</w:t>
      </w:r>
      <w:r>
        <w:rPr>
          <w:iCs/>
          <w:spacing w:val="10"/>
          <w:kern w:val="28"/>
          <w:sz w:val="26"/>
          <w:szCs w:val="26"/>
        </w:rPr>
        <w:t xml:space="preserve">ección General de Intervención y a </w:t>
      </w:r>
      <w:r w:rsidR="008F0074">
        <w:rPr>
          <w:iCs/>
          <w:spacing w:val="10"/>
          <w:kern w:val="28"/>
          <w:sz w:val="26"/>
          <w:szCs w:val="26"/>
        </w:rPr>
        <w:t>la C</w:t>
      </w:r>
      <w:r w:rsidRPr="00B243AE">
        <w:rPr>
          <w:iCs/>
          <w:spacing w:val="10"/>
          <w:kern w:val="28"/>
          <w:sz w:val="26"/>
          <w:szCs w:val="26"/>
        </w:rPr>
        <w:t>omisión competente en materia de economía del Parlamento de Navarra</w:t>
      </w:r>
      <w:r>
        <w:rPr>
          <w:iCs/>
          <w:spacing w:val="10"/>
          <w:kern w:val="28"/>
          <w:sz w:val="26"/>
          <w:szCs w:val="26"/>
        </w:rPr>
        <w:t xml:space="preserve">. </w:t>
      </w:r>
    </w:p>
    <w:p w14:paraId="0B768667" w14:textId="77777777" w:rsidR="00B243AE" w:rsidRPr="00B243AE" w:rsidRDefault="00B243AE" w:rsidP="000754FD">
      <w:pPr>
        <w:spacing w:after="120"/>
        <w:ind w:firstLine="284"/>
        <w:jc w:val="both"/>
        <w:rPr>
          <w:iCs/>
          <w:spacing w:val="10"/>
          <w:kern w:val="28"/>
          <w:sz w:val="26"/>
          <w:szCs w:val="26"/>
        </w:rPr>
      </w:pPr>
      <w:r w:rsidRPr="00B243AE">
        <w:rPr>
          <w:iCs/>
          <w:spacing w:val="10"/>
          <w:kern w:val="28"/>
          <w:sz w:val="26"/>
          <w:szCs w:val="26"/>
        </w:rPr>
        <w:lastRenderedPageBreak/>
        <w:t xml:space="preserve">Mediante Acuerdo de Gobierno de Navarra de diciembre de 2017 se aprobó el primer PES de los años 2018-2020 de la ACFN. El Gobierno de Navarra por acuerdo de abril de 2023, aprobó la revisión y actualización del PES  2023-2025 de la ACFN. Este PES contiene un informe global y, para cada uno de los Departamentos, una ficha por </w:t>
      </w:r>
      <w:proofErr w:type="gramStart"/>
      <w:r w:rsidRPr="00B243AE">
        <w:rPr>
          <w:iCs/>
          <w:spacing w:val="10"/>
          <w:kern w:val="28"/>
          <w:sz w:val="26"/>
          <w:szCs w:val="26"/>
        </w:rPr>
        <w:t>línea</w:t>
      </w:r>
      <w:proofErr w:type="gramEnd"/>
      <w:r w:rsidRPr="00B243AE">
        <w:rPr>
          <w:iCs/>
          <w:spacing w:val="10"/>
          <w:kern w:val="28"/>
          <w:sz w:val="26"/>
          <w:szCs w:val="26"/>
        </w:rPr>
        <w:t xml:space="preserve"> de subvención de las partidas incluidas en los presupuestos del ejercicio 2023.</w:t>
      </w:r>
    </w:p>
    <w:p w14:paraId="5D0ED490" w14:textId="77777777" w:rsidR="00B243AE" w:rsidRPr="00B243AE" w:rsidRDefault="00B243AE" w:rsidP="000754FD">
      <w:pPr>
        <w:spacing w:after="120"/>
        <w:ind w:firstLine="284"/>
        <w:jc w:val="both"/>
        <w:rPr>
          <w:iCs/>
          <w:spacing w:val="10"/>
          <w:kern w:val="28"/>
          <w:sz w:val="26"/>
          <w:szCs w:val="26"/>
        </w:rPr>
      </w:pPr>
      <w:r w:rsidRPr="00B243AE">
        <w:rPr>
          <w:iCs/>
          <w:spacing w:val="10"/>
          <w:kern w:val="28"/>
          <w:sz w:val="26"/>
          <w:szCs w:val="26"/>
        </w:rPr>
        <w:t xml:space="preserve">Por su parte, la Dirección General de Intervención en septiembre de 2020 emitió un informe sobre “Auditoría de la planificación estratégica de subvenciones del Gobierno de Navarra”, en el que se realizó un análisis global de los PES 2018-2020 y PES 2019-2021, así como la evaluación del PES 2018-2020, por ser la única hasta aquella fecha. Por otro lado, esta Cámara, emitió en 2021 un informe sobre </w:t>
      </w:r>
      <w:r w:rsidR="00E56149">
        <w:rPr>
          <w:iCs/>
          <w:spacing w:val="10"/>
          <w:kern w:val="28"/>
          <w:sz w:val="26"/>
          <w:szCs w:val="26"/>
        </w:rPr>
        <w:t>“</w:t>
      </w:r>
      <w:hyperlink r:id="rId17" w:history="1">
        <w:r w:rsidRPr="00B243AE">
          <w:rPr>
            <w:iCs/>
            <w:spacing w:val="10"/>
            <w:kern w:val="28"/>
            <w:sz w:val="26"/>
            <w:szCs w:val="26"/>
          </w:rPr>
          <w:t>Subvenciones de la Administración de la Comunidad Foral de Navarra a empresas privadas, 2020</w:t>
        </w:r>
      </w:hyperlink>
      <w:r w:rsidR="00E56149">
        <w:rPr>
          <w:iCs/>
          <w:spacing w:val="10"/>
          <w:kern w:val="28"/>
          <w:sz w:val="26"/>
          <w:szCs w:val="26"/>
        </w:rPr>
        <w:t xml:space="preserve">” </w:t>
      </w:r>
      <w:r w:rsidRPr="00B243AE">
        <w:rPr>
          <w:iCs/>
          <w:spacing w:val="10"/>
          <w:kern w:val="28"/>
          <w:sz w:val="26"/>
          <w:szCs w:val="26"/>
        </w:rPr>
        <w:t xml:space="preserve">en el cual se incluyeron cinco recomendaciones relativas a los PES.  </w:t>
      </w:r>
    </w:p>
    <w:p w14:paraId="1CFD8C87" w14:textId="77777777" w:rsidR="008972AA" w:rsidRPr="00B243AE" w:rsidRDefault="008972AA" w:rsidP="000754FD">
      <w:pPr>
        <w:spacing w:after="120"/>
        <w:ind w:firstLine="284"/>
        <w:jc w:val="both"/>
        <w:rPr>
          <w:iCs/>
          <w:spacing w:val="10"/>
          <w:kern w:val="28"/>
          <w:sz w:val="26"/>
          <w:szCs w:val="26"/>
        </w:rPr>
      </w:pPr>
      <w:r>
        <w:rPr>
          <w:iCs/>
          <w:spacing w:val="10"/>
          <w:kern w:val="28"/>
          <w:sz w:val="26"/>
          <w:szCs w:val="26"/>
        </w:rPr>
        <w:t>E</w:t>
      </w:r>
      <w:r w:rsidRPr="00B243AE">
        <w:rPr>
          <w:iCs/>
          <w:spacing w:val="10"/>
          <w:kern w:val="28"/>
          <w:sz w:val="26"/>
          <w:szCs w:val="26"/>
        </w:rPr>
        <w:t>l Servicio de Presupuestos y Política Financiera en abril de 2019, aprobó una “Guía de objetivos e indicadores de los PES”. Esta guía surgió como resultado de un grupo de trabajo que se constituyó específicamente para mejorar las pautas a seguir por la ACFN en la elaboración y seguimiento de los PES.</w:t>
      </w:r>
      <w:r>
        <w:rPr>
          <w:iCs/>
          <w:spacing w:val="10"/>
          <w:kern w:val="28"/>
          <w:sz w:val="26"/>
          <w:szCs w:val="26"/>
        </w:rPr>
        <w:t xml:space="preserve"> </w:t>
      </w:r>
    </w:p>
    <w:p w14:paraId="4604E651" w14:textId="77777777" w:rsidR="00B243AE" w:rsidRDefault="00B243AE" w:rsidP="00B243AE">
      <w:pPr>
        <w:spacing w:before="240" w:after="240"/>
        <w:ind w:firstLine="284"/>
        <w:jc w:val="both"/>
        <w:rPr>
          <w:iCs/>
          <w:spacing w:val="10"/>
          <w:kern w:val="28"/>
          <w:sz w:val="26"/>
          <w:szCs w:val="26"/>
        </w:rPr>
      </w:pPr>
      <w:r w:rsidRPr="00B243AE">
        <w:rPr>
          <w:iCs/>
          <w:spacing w:val="10"/>
          <w:kern w:val="28"/>
          <w:sz w:val="26"/>
          <w:szCs w:val="26"/>
        </w:rPr>
        <w:t>Mediante Resolución</w:t>
      </w:r>
      <w:r w:rsidR="00C559FC">
        <w:rPr>
          <w:iCs/>
          <w:spacing w:val="10"/>
          <w:kern w:val="28"/>
          <w:sz w:val="26"/>
          <w:szCs w:val="26"/>
        </w:rPr>
        <w:t xml:space="preserve">, </w:t>
      </w:r>
      <w:r w:rsidRPr="00B243AE">
        <w:rPr>
          <w:iCs/>
          <w:spacing w:val="10"/>
          <w:kern w:val="28"/>
          <w:sz w:val="26"/>
          <w:szCs w:val="26"/>
        </w:rPr>
        <w:t>de 23 de abril, de la Directora General de Presupuestos, Patrimonio y Política Económica, se dictaron las instrucciones para la revisión del Plan Estratégico de Subvenciones 2024-2026 y la elaboración de los informes de evaluación de las convocatorias de 2023</w:t>
      </w:r>
      <w:r>
        <w:rPr>
          <w:iCs/>
          <w:spacing w:val="10"/>
          <w:kern w:val="28"/>
          <w:sz w:val="26"/>
          <w:szCs w:val="26"/>
        </w:rPr>
        <w:t xml:space="preserve">. </w:t>
      </w:r>
    </w:p>
    <w:p w14:paraId="45049202" w14:textId="77777777" w:rsidR="008F0074" w:rsidRDefault="008F0074">
      <w:pPr>
        <w:rPr>
          <w:iCs/>
          <w:spacing w:val="10"/>
          <w:kern w:val="28"/>
          <w:sz w:val="26"/>
          <w:szCs w:val="26"/>
        </w:rPr>
      </w:pPr>
      <w:r>
        <w:rPr>
          <w:iCs/>
          <w:spacing w:val="10"/>
          <w:kern w:val="28"/>
          <w:sz w:val="26"/>
          <w:szCs w:val="26"/>
        </w:rPr>
        <w:br w:type="page"/>
      </w:r>
    </w:p>
    <w:p w14:paraId="5B6235BC" w14:textId="77777777" w:rsidR="00B243AE" w:rsidRDefault="005C6A22" w:rsidP="00D4277E">
      <w:pPr>
        <w:spacing w:after="120"/>
        <w:ind w:firstLine="284"/>
        <w:jc w:val="both"/>
        <w:rPr>
          <w:iCs/>
          <w:spacing w:val="10"/>
          <w:kern w:val="28"/>
          <w:sz w:val="26"/>
          <w:szCs w:val="26"/>
        </w:rPr>
      </w:pPr>
      <w:r>
        <w:rPr>
          <w:iCs/>
          <w:spacing w:val="10"/>
          <w:kern w:val="28"/>
          <w:sz w:val="26"/>
          <w:szCs w:val="26"/>
        </w:rPr>
        <w:lastRenderedPageBreak/>
        <w:t xml:space="preserve">La </w:t>
      </w:r>
      <w:r w:rsidR="00B243AE" w:rsidRPr="00B243AE">
        <w:rPr>
          <w:iCs/>
          <w:spacing w:val="10"/>
          <w:kern w:val="28"/>
          <w:sz w:val="26"/>
          <w:szCs w:val="26"/>
        </w:rPr>
        <w:t>muestra</w:t>
      </w:r>
      <w:r w:rsidR="00563072">
        <w:rPr>
          <w:rStyle w:val="Refdenotaalpie"/>
          <w:iCs/>
          <w:spacing w:val="10"/>
          <w:kern w:val="28"/>
          <w:sz w:val="26"/>
          <w:szCs w:val="26"/>
        </w:rPr>
        <w:footnoteReference w:id="30"/>
      </w:r>
      <w:r>
        <w:rPr>
          <w:iCs/>
          <w:spacing w:val="10"/>
          <w:kern w:val="28"/>
          <w:sz w:val="26"/>
          <w:szCs w:val="26"/>
        </w:rPr>
        <w:t xml:space="preserve"> que hemos seleccionado, </w:t>
      </w:r>
      <w:r w:rsidR="008972AA">
        <w:rPr>
          <w:iCs/>
          <w:spacing w:val="10"/>
          <w:kern w:val="28"/>
          <w:sz w:val="26"/>
          <w:szCs w:val="26"/>
        </w:rPr>
        <w:t xml:space="preserve">de los informes de evaluación de las convocatorias de 2023, </w:t>
      </w:r>
      <w:r>
        <w:rPr>
          <w:iCs/>
          <w:spacing w:val="10"/>
          <w:kern w:val="28"/>
          <w:sz w:val="26"/>
          <w:szCs w:val="26"/>
        </w:rPr>
        <w:t xml:space="preserve">es la siguiente: </w:t>
      </w:r>
    </w:p>
    <w:p w14:paraId="61B4536C" w14:textId="77777777" w:rsidR="00607CDE" w:rsidRPr="00627F85" w:rsidRDefault="00607CDE" w:rsidP="00D4277E">
      <w:pPr>
        <w:pStyle w:val="texto"/>
        <w:spacing w:after="60"/>
        <w:jc w:val="right"/>
        <w:rPr>
          <w:rFonts w:ascii="Arial" w:hAnsi="Arial" w:cs="Arial"/>
          <w:sz w:val="17"/>
          <w:szCs w:val="17"/>
        </w:rPr>
      </w:pPr>
      <w:r w:rsidRPr="00627F85">
        <w:rPr>
          <w:rFonts w:ascii="Arial" w:hAnsi="Arial" w:cs="Arial"/>
          <w:sz w:val="17"/>
          <w:szCs w:val="17"/>
        </w:rPr>
        <w:t>(en millones)</w:t>
      </w:r>
    </w:p>
    <w:tbl>
      <w:tblPr>
        <w:tblW w:w="0" w:type="auto"/>
        <w:tblCellMar>
          <w:left w:w="70" w:type="dxa"/>
          <w:right w:w="70" w:type="dxa"/>
        </w:tblCellMar>
        <w:tblLook w:val="04A0" w:firstRow="1" w:lastRow="0" w:firstColumn="1" w:lastColumn="0" w:noHBand="0" w:noVBand="1"/>
      </w:tblPr>
      <w:tblGrid>
        <w:gridCol w:w="1750"/>
        <w:gridCol w:w="4204"/>
        <w:gridCol w:w="1984"/>
        <w:gridCol w:w="851"/>
      </w:tblGrid>
      <w:tr w:rsidR="0067243F" w14:paraId="53CC6123" w14:textId="77777777" w:rsidTr="003A1A2F">
        <w:trPr>
          <w:trHeight w:val="255"/>
        </w:trPr>
        <w:tc>
          <w:tcPr>
            <w:tcW w:w="0" w:type="auto"/>
            <w:tcBorders>
              <w:top w:val="single" w:sz="4" w:space="0" w:color="auto"/>
              <w:left w:val="nil"/>
              <w:bottom w:val="single" w:sz="4" w:space="0" w:color="auto"/>
              <w:right w:val="nil"/>
            </w:tcBorders>
            <w:shd w:val="clear" w:color="000000" w:fill="8DB3E2"/>
            <w:vAlign w:val="center"/>
            <w:hideMark/>
          </w:tcPr>
          <w:p w14:paraId="5DF1462D" w14:textId="77777777" w:rsidR="0067243F" w:rsidRDefault="0067243F">
            <w:pPr>
              <w:rPr>
                <w:rFonts w:ascii="Arial" w:hAnsi="Arial" w:cs="Arial"/>
                <w:color w:val="000000"/>
                <w:sz w:val="18"/>
                <w:szCs w:val="18"/>
              </w:rPr>
            </w:pPr>
            <w:r>
              <w:rPr>
                <w:rFonts w:ascii="Arial" w:hAnsi="Arial" w:cs="Arial"/>
                <w:color w:val="000000"/>
                <w:sz w:val="18"/>
                <w:szCs w:val="18"/>
              </w:rPr>
              <w:t>Departamento</w:t>
            </w:r>
          </w:p>
        </w:tc>
        <w:tc>
          <w:tcPr>
            <w:tcW w:w="4204" w:type="dxa"/>
            <w:tcBorders>
              <w:top w:val="single" w:sz="4" w:space="0" w:color="auto"/>
              <w:left w:val="nil"/>
              <w:bottom w:val="single" w:sz="4" w:space="0" w:color="auto"/>
              <w:right w:val="nil"/>
            </w:tcBorders>
            <w:shd w:val="clear" w:color="000000" w:fill="8DB3E2"/>
            <w:vAlign w:val="center"/>
            <w:hideMark/>
          </w:tcPr>
          <w:p w14:paraId="0C1E146D" w14:textId="77777777" w:rsidR="0067243F" w:rsidRDefault="0067243F" w:rsidP="0067243F">
            <w:pPr>
              <w:rPr>
                <w:rFonts w:ascii="Arial" w:hAnsi="Arial" w:cs="Arial"/>
                <w:color w:val="000000"/>
                <w:sz w:val="18"/>
                <w:szCs w:val="18"/>
              </w:rPr>
            </w:pPr>
            <w:r>
              <w:rPr>
                <w:rFonts w:ascii="Arial" w:hAnsi="Arial" w:cs="Arial"/>
                <w:color w:val="000000"/>
                <w:sz w:val="18"/>
                <w:szCs w:val="18"/>
              </w:rPr>
              <w:t>Convocatoria</w:t>
            </w:r>
          </w:p>
        </w:tc>
        <w:tc>
          <w:tcPr>
            <w:tcW w:w="1984" w:type="dxa"/>
            <w:tcBorders>
              <w:top w:val="single" w:sz="4" w:space="0" w:color="auto"/>
              <w:left w:val="nil"/>
              <w:bottom w:val="single" w:sz="4" w:space="0" w:color="auto"/>
              <w:right w:val="nil"/>
            </w:tcBorders>
            <w:shd w:val="clear" w:color="000000" w:fill="8DB3E2"/>
            <w:vAlign w:val="center"/>
            <w:hideMark/>
          </w:tcPr>
          <w:p w14:paraId="79025889" w14:textId="77777777" w:rsidR="0067243F" w:rsidRDefault="0067243F" w:rsidP="0067243F">
            <w:pPr>
              <w:rPr>
                <w:rFonts w:ascii="Arial" w:hAnsi="Arial" w:cs="Arial"/>
                <w:color w:val="000000"/>
                <w:sz w:val="18"/>
                <w:szCs w:val="18"/>
              </w:rPr>
            </w:pPr>
            <w:r>
              <w:rPr>
                <w:rFonts w:ascii="Arial" w:hAnsi="Arial" w:cs="Arial"/>
                <w:color w:val="000000"/>
                <w:sz w:val="18"/>
                <w:szCs w:val="18"/>
              </w:rPr>
              <w:t>Régimen concesión</w:t>
            </w:r>
          </w:p>
        </w:tc>
        <w:tc>
          <w:tcPr>
            <w:tcW w:w="851" w:type="dxa"/>
            <w:tcBorders>
              <w:top w:val="single" w:sz="4" w:space="0" w:color="auto"/>
              <w:left w:val="nil"/>
              <w:bottom w:val="single" w:sz="4" w:space="0" w:color="auto"/>
              <w:right w:val="nil"/>
            </w:tcBorders>
            <w:shd w:val="clear" w:color="000000" w:fill="8DB3E2"/>
            <w:vAlign w:val="center"/>
            <w:hideMark/>
          </w:tcPr>
          <w:p w14:paraId="6A0B6FC9" w14:textId="77777777" w:rsidR="0067243F" w:rsidRDefault="0067243F">
            <w:pPr>
              <w:jc w:val="right"/>
              <w:rPr>
                <w:rFonts w:ascii="Arial" w:hAnsi="Arial" w:cs="Arial"/>
                <w:color w:val="000000"/>
                <w:sz w:val="18"/>
                <w:szCs w:val="18"/>
              </w:rPr>
            </w:pPr>
            <w:r>
              <w:rPr>
                <w:rFonts w:ascii="Arial" w:hAnsi="Arial" w:cs="Arial"/>
                <w:color w:val="000000"/>
                <w:sz w:val="18"/>
                <w:szCs w:val="18"/>
              </w:rPr>
              <w:t>Importe</w:t>
            </w:r>
          </w:p>
        </w:tc>
      </w:tr>
      <w:tr w:rsidR="0067243F" w:rsidRPr="0067243F" w14:paraId="362DF91B" w14:textId="77777777" w:rsidTr="003A1A2F">
        <w:trPr>
          <w:trHeight w:val="315"/>
        </w:trPr>
        <w:tc>
          <w:tcPr>
            <w:tcW w:w="0" w:type="auto"/>
            <w:tcBorders>
              <w:top w:val="single" w:sz="4" w:space="0" w:color="auto"/>
              <w:left w:val="nil"/>
              <w:bottom w:val="single" w:sz="2" w:space="0" w:color="auto"/>
              <w:right w:val="nil"/>
            </w:tcBorders>
            <w:shd w:val="clear" w:color="auto" w:fill="auto"/>
            <w:vAlign w:val="center"/>
            <w:hideMark/>
          </w:tcPr>
          <w:p w14:paraId="62B763DD"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Vivienda, Juventud y Políticas Migratorias</w:t>
            </w:r>
          </w:p>
        </w:tc>
        <w:tc>
          <w:tcPr>
            <w:tcW w:w="4204" w:type="dxa"/>
            <w:tcBorders>
              <w:top w:val="single" w:sz="4" w:space="0" w:color="auto"/>
              <w:left w:val="nil"/>
              <w:bottom w:val="single" w:sz="2" w:space="0" w:color="auto"/>
              <w:right w:val="nil"/>
            </w:tcBorders>
            <w:shd w:val="clear" w:color="auto" w:fill="auto"/>
            <w:vAlign w:val="center"/>
            <w:hideMark/>
          </w:tcPr>
          <w:p w14:paraId="307F018F"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Subvenciones y subsidios para actuaciones en vivienda</w:t>
            </w:r>
          </w:p>
        </w:tc>
        <w:tc>
          <w:tcPr>
            <w:tcW w:w="1984" w:type="dxa"/>
            <w:tcBorders>
              <w:top w:val="single" w:sz="4" w:space="0" w:color="auto"/>
              <w:left w:val="nil"/>
              <w:bottom w:val="single" w:sz="2" w:space="0" w:color="auto"/>
              <w:right w:val="nil"/>
            </w:tcBorders>
            <w:shd w:val="clear" w:color="auto" w:fill="auto"/>
            <w:vAlign w:val="center"/>
            <w:hideMark/>
          </w:tcPr>
          <w:p w14:paraId="136B907C"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Evaluación individualizada (art. 17.1 LFS)</w:t>
            </w:r>
          </w:p>
        </w:tc>
        <w:tc>
          <w:tcPr>
            <w:tcW w:w="851" w:type="dxa"/>
            <w:tcBorders>
              <w:top w:val="single" w:sz="4" w:space="0" w:color="auto"/>
              <w:left w:val="nil"/>
              <w:bottom w:val="single" w:sz="2" w:space="0" w:color="auto"/>
              <w:right w:val="nil"/>
            </w:tcBorders>
            <w:shd w:val="clear" w:color="auto" w:fill="auto"/>
            <w:vAlign w:val="center"/>
            <w:hideMark/>
          </w:tcPr>
          <w:p w14:paraId="2092AE1B" w14:textId="77777777" w:rsidR="0067243F" w:rsidRPr="0067243F" w:rsidRDefault="0067243F">
            <w:pPr>
              <w:jc w:val="right"/>
              <w:rPr>
                <w:rFonts w:ascii="Arial Narrow" w:hAnsi="Arial Narrow" w:cs="Calibri"/>
                <w:color w:val="000000"/>
                <w:sz w:val="18"/>
                <w:szCs w:val="18"/>
              </w:rPr>
            </w:pPr>
            <w:r w:rsidRPr="0067243F">
              <w:rPr>
                <w:rFonts w:ascii="Arial Narrow" w:hAnsi="Arial Narrow" w:cs="Calibri"/>
                <w:color w:val="000000"/>
                <w:sz w:val="18"/>
                <w:szCs w:val="18"/>
              </w:rPr>
              <w:t>38,23</w:t>
            </w:r>
          </w:p>
        </w:tc>
      </w:tr>
      <w:tr w:rsidR="0067243F" w:rsidRPr="0067243F" w14:paraId="7306F9D0" w14:textId="77777777" w:rsidTr="003A1A2F">
        <w:trPr>
          <w:trHeight w:val="198"/>
        </w:trPr>
        <w:tc>
          <w:tcPr>
            <w:tcW w:w="0" w:type="auto"/>
            <w:tcBorders>
              <w:top w:val="single" w:sz="2" w:space="0" w:color="auto"/>
              <w:left w:val="nil"/>
              <w:bottom w:val="single" w:sz="2" w:space="0" w:color="auto"/>
              <w:right w:val="nil"/>
            </w:tcBorders>
            <w:shd w:val="clear" w:color="auto" w:fill="auto"/>
            <w:vAlign w:val="center"/>
            <w:hideMark/>
          </w:tcPr>
          <w:p w14:paraId="1CBA5C99"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Derechos Sociales, Economía Social y Empleo</w:t>
            </w:r>
          </w:p>
        </w:tc>
        <w:tc>
          <w:tcPr>
            <w:tcW w:w="4204" w:type="dxa"/>
            <w:tcBorders>
              <w:top w:val="single" w:sz="2" w:space="0" w:color="auto"/>
              <w:left w:val="nil"/>
              <w:bottom w:val="single" w:sz="2" w:space="0" w:color="auto"/>
              <w:right w:val="nil"/>
            </w:tcBorders>
            <w:shd w:val="clear" w:color="auto" w:fill="auto"/>
            <w:vAlign w:val="center"/>
            <w:hideMark/>
          </w:tcPr>
          <w:p w14:paraId="347F209D"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Subvenciones para la realización de intervenciones sociales y económicas en países en desarrollo</w:t>
            </w:r>
          </w:p>
        </w:tc>
        <w:tc>
          <w:tcPr>
            <w:tcW w:w="1984" w:type="dxa"/>
            <w:tcBorders>
              <w:top w:val="single" w:sz="2" w:space="0" w:color="auto"/>
              <w:left w:val="nil"/>
              <w:bottom w:val="single" w:sz="2" w:space="0" w:color="auto"/>
              <w:right w:val="nil"/>
            </w:tcBorders>
            <w:shd w:val="clear" w:color="auto" w:fill="auto"/>
            <w:vAlign w:val="center"/>
            <w:hideMark/>
          </w:tcPr>
          <w:p w14:paraId="0C13085F"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Concurrencia Competitiva (art. 17.1 LFS)</w:t>
            </w:r>
          </w:p>
        </w:tc>
        <w:tc>
          <w:tcPr>
            <w:tcW w:w="851" w:type="dxa"/>
            <w:tcBorders>
              <w:top w:val="single" w:sz="2" w:space="0" w:color="auto"/>
              <w:left w:val="nil"/>
              <w:bottom w:val="single" w:sz="2" w:space="0" w:color="auto"/>
              <w:right w:val="nil"/>
            </w:tcBorders>
            <w:shd w:val="clear" w:color="auto" w:fill="auto"/>
            <w:vAlign w:val="center"/>
            <w:hideMark/>
          </w:tcPr>
          <w:p w14:paraId="5134D61D" w14:textId="77777777" w:rsidR="0067243F" w:rsidRPr="0067243F" w:rsidRDefault="0067243F">
            <w:pPr>
              <w:jc w:val="right"/>
              <w:rPr>
                <w:rFonts w:ascii="Arial Narrow" w:hAnsi="Arial Narrow" w:cs="Calibri"/>
                <w:color w:val="000000"/>
                <w:sz w:val="18"/>
                <w:szCs w:val="18"/>
              </w:rPr>
            </w:pPr>
            <w:r w:rsidRPr="0067243F">
              <w:rPr>
                <w:rFonts w:ascii="Arial Narrow" w:hAnsi="Arial Narrow" w:cs="Calibri"/>
                <w:color w:val="000000"/>
                <w:sz w:val="18"/>
                <w:szCs w:val="18"/>
              </w:rPr>
              <w:t>14,42</w:t>
            </w:r>
          </w:p>
        </w:tc>
      </w:tr>
      <w:tr w:rsidR="0067243F" w:rsidRPr="0067243F" w14:paraId="452A55FB" w14:textId="77777777" w:rsidTr="003A1A2F">
        <w:trPr>
          <w:trHeight w:val="198"/>
        </w:trPr>
        <w:tc>
          <w:tcPr>
            <w:tcW w:w="0" w:type="auto"/>
            <w:tcBorders>
              <w:top w:val="single" w:sz="2" w:space="0" w:color="auto"/>
              <w:left w:val="nil"/>
              <w:bottom w:val="single" w:sz="2" w:space="0" w:color="auto"/>
              <w:right w:val="nil"/>
            </w:tcBorders>
            <w:shd w:val="clear" w:color="auto" w:fill="auto"/>
            <w:vAlign w:val="center"/>
            <w:hideMark/>
          </w:tcPr>
          <w:p w14:paraId="6DAA9440"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Desarrollo Rural y Medio Ambiente</w:t>
            </w:r>
          </w:p>
        </w:tc>
        <w:tc>
          <w:tcPr>
            <w:tcW w:w="4204" w:type="dxa"/>
            <w:tcBorders>
              <w:top w:val="single" w:sz="2" w:space="0" w:color="auto"/>
              <w:left w:val="nil"/>
              <w:bottom w:val="single" w:sz="2" w:space="0" w:color="auto"/>
              <w:right w:val="nil"/>
            </w:tcBorders>
            <w:shd w:val="clear" w:color="auto" w:fill="auto"/>
            <w:vAlign w:val="center"/>
            <w:hideMark/>
          </w:tcPr>
          <w:p w14:paraId="44064679"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Ayudas a la medida de "Inversiones en explotaciones agrarias" del programa de Desarrollo Rural de Navarra 2014-2020</w:t>
            </w:r>
          </w:p>
        </w:tc>
        <w:tc>
          <w:tcPr>
            <w:tcW w:w="1984" w:type="dxa"/>
            <w:tcBorders>
              <w:top w:val="single" w:sz="2" w:space="0" w:color="auto"/>
              <w:left w:val="nil"/>
              <w:bottom w:val="single" w:sz="2" w:space="0" w:color="auto"/>
              <w:right w:val="nil"/>
            </w:tcBorders>
            <w:shd w:val="clear" w:color="auto" w:fill="auto"/>
            <w:vAlign w:val="center"/>
            <w:hideMark/>
          </w:tcPr>
          <w:p w14:paraId="3FCA6719"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Concurrencia Competitiva (art. 17.1 LFS)</w:t>
            </w:r>
          </w:p>
        </w:tc>
        <w:tc>
          <w:tcPr>
            <w:tcW w:w="851" w:type="dxa"/>
            <w:tcBorders>
              <w:top w:val="single" w:sz="2" w:space="0" w:color="auto"/>
              <w:left w:val="nil"/>
              <w:bottom w:val="single" w:sz="2" w:space="0" w:color="auto"/>
              <w:right w:val="nil"/>
            </w:tcBorders>
            <w:shd w:val="clear" w:color="auto" w:fill="auto"/>
            <w:vAlign w:val="center"/>
            <w:hideMark/>
          </w:tcPr>
          <w:p w14:paraId="52E20D70" w14:textId="77777777" w:rsidR="0067243F" w:rsidRPr="0067243F" w:rsidRDefault="0067243F">
            <w:pPr>
              <w:jc w:val="right"/>
              <w:rPr>
                <w:rFonts w:ascii="Arial Narrow" w:hAnsi="Arial Narrow" w:cs="Calibri"/>
                <w:color w:val="000000"/>
                <w:sz w:val="18"/>
                <w:szCs w:val="18"/>
              </w:rPr>
            </w:pPr>
            <w:r w:rsidRPr="0067243F">
              <w:rPr>
                <w:rFonts w:ascii="Arial Narrow" w:hAnsi="Arial Narrow" w:cs="Calibri"/>
                <w:color w:val="000000"/>
                <w:sz w:val="18"/>
                <w:szCs w:val="18"/>
              </w:rPr>
              <w:t>11,32</w:t>
            </w:r>
          </w:p>
        </w:tc>
      </w:tr>
      <w:tr w:rsidR="0067243F" w:rsidRPr="0067243F" w14:paraId="10023DA7" w14:textId="77777777" w:rsidTr="003A1A2F">
        <w:trPr>
          <w:trHeight w:val="198"/>
        </w:trPr>
        <w:tc>
          <w:tcPr>
            <w:tcW w:w="0" w:type="auto"/>
            <w:tcBorders>
              <w:top w:val="single" w:sz="2" w:space="0" w:color="auto"/>
              <w:left w:val="nil"/>
              <w:bottom w:val="single" w:sz="2" w:space="0" w:color="auto"/>
              <w:right w:val="nil"/>
            </w:tcBorders>
            <w:shd w:val="clear" w:color="auto" w:fill="auto"/>
            <w:vAlign w:val="center"/>
            <w:hideMark/>
          </w:tcPr>
          <w:p w14:paraId="0431654A"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Desarrollo Económico y Empresarial</w:t>
            </w:r>
          </w:p>
        </w:tc>
        <w:tc>
          <w:tcPr>
            <w:tcW w:w="4204" w:type="dxa"/>
            <w:tcBorders>
              <w:top w:val="single" w:sz="2" w:space="0" w:color="auto"/>
              <w:left w:val="nil"/>
              <w:bottom w:val="single" w:sz="2" w:space="0" w:color="auto"/>
              <w:right w:val="nil"/>
            </w:tcBorders>
            <w:shd w:val="clear" w:color="auto" w:fill="auto"/>
            <w:vAlign w:val="center"/>
            <w:hideMark/>
          </w:tcPr>
          <w:p w14:paraId="760778F5"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 xml:space="preserve">PDR FEADER 2014-2020. Subvención para inversiones en industrialización </w:t>
            </w:r>
          </w:p>
        </w:tc>
        <w:tc>
          <w:tcPr>
            <w:tcW w:w="1984" w:type="dxa"/>
            <w:tcBorders>
              <w:top w:val="single" w:sz="2" w:space="0" w:color="auto"/>
              <w:left w:val="nil"/>
              <w:bottom w:val="single" w:sz="2" w:space="0" w:color="auto"/>
              <w:right w:val="nil"/>
            </w:tcBorders>
            <w:shd w:val="clear" w:color="auto" w:fill="auto"/>
            <w:vAlign w:val="center"/>
            <w:hideMark/>
          </w:tcPr>
          <w:p w14:paraId="17B84E3C"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Concurrencia Competitiva (art. 17.1 LFS)</w:t>
            </w:r>
          </w:p>
        </w:tc>
        <w:tc>
          <w:tcPr>
            <w:tcW w:w="851" w:type="dxa"/>
            <w:tcBorders>
              <w:top w:val="single" w:sz="2" w:space="0" w:color="auto"/>
              <w:left w:val="nil"/>
              <w:bottom w:val="single" w:sz="2" w:space="0" w:color="auto"/>
              <w:right w:val="nil"/>
            </w:tcBorders>
            <w:shd w:val="clear" w:color="auto" w:fill="auto"/>
            <w:vAlign w:val="center"/>
            <w:hideMark/>
          </w:tcPr>
          <w:p w14:paraId="149E17C3" w14:textId="77777777" w:rsidR="0067243F" w:rsidRPr="0067243F" w:rsidRDefault="0067243F">
            <w:pPr>
              <w:jc w:val="right"/>
              <w:rPr>
                <w:rFonts w:ascii="Arial Narrow" w:hAnsi="Arial Narrow" w:cs="Calibri"/>
                <w:color w:val="000000"/>
                <w:sz w:val="18"/>
                <w:szCs w:val="18"/>
              </w:rPr>
            </w:pPr>
            <w:r w:rsidRPr="0067243F">
              <w:rPr>
                <w:rFonts w:ascii="Arial Narrow" w:hAnsi="Arial Narrow" w:cs="Calibri"/>
                <w:color w:val="000000"/>
                <w:sz w:val="18"/>
                <w:szCs w:val="18"/>
              </w:rPr>
              <w:t>10</w:t>
            </w:r>
          </w:p>
        </w:tc>
      </w:tr>
      <w:tr w:rsidR="0067243F" w:rsidRPr="0067243F" w14:paraId="6A5DC00F" w14:textId="77777777" w:rsidTr="003A1A2F">
        <w:trPr>
          <w:trHeight w:val="198"/>
        </w:trPr>
        <w:tc>
          <w:tcPr>
            <w:tcW w:w="0" w:type="auto"/>
            <w:tcBorders>
              <w:top w:val="single" w:sz="2" w:space="0" w:color="auto"/>
              <w:left w:val="nil"/>
              <w:bottom w:val="single" w:sz="2" w:space="0" w:color="auto"/>
              <w:right w:val="nil"/>
            </w:tcBorders>
            <w:shd w:val="clear" w:color="auto" w:fill="auto"/>
            <w:vAlign w:val="center"/>
            <w:hideMark/>
          </w:tcPr>
          <w:p w14:paraId="4103F0C8"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Universidad, Innovación y Transformación Digital</w:t>
            </w:r>
          </w:p>
        </w:tc>
        <w:tc>
          <w:tcPr>
            <w:tcW w:w="4204" w:type="dxa"/>
            <w:tcBorders>
              <w:top w:val="single" w:sz="2" w:space="0" w:color="auto"/>
              <w:left w:val="nil"/>
              <w:bottom w:val="single" w:sz="2" w:space="0" w:color="auto"/>
              <w:right w:val="nil"/>
            </w:tcBorders>
            <w:shd w:val="clear" w:color="auto" w:fill="auto"/>
            <w:vAlign w:val="center"/>
            <w:hideMark/>
          </w:tcPr>
          <w:p w14:paraId="4F38FC93"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Ayudas a Agentes del SINAI para la realización de proyectos de I+D colaborativos</w:t>
            </w:r>
          </w:p>
        </w:tc>
        <w:tc>
          <w:tcPr>
            <w:tcW w:w="1984" w:type="dxa"/>
            <w:tcBorders>
              <w:top w:val="single" w:sz="2" w:space="0" w:color="auto"/>
              <w:left w:val="nil"/>
              <w:bottom w:val="single" w:sz="2" w:space="0" w:color="auto"/>
              <w:right w:val="nil"/>
            </w:tcBorders>
            <w:shd w:val="clear" w:color="auto" w:fill="auto"/>
            <w:vAlign w:val="center"/>
            <w:hideMark/>
          </w:tcPr>
          <w:p w14:paraId="583E7E06"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Concurrencia Competitiva (art. 17.1 LFS)</w:t>
            </w:r>
          </w:p>
        </w:tc>
        <w:tc>
          <w:tcPr>
            <w:tcW w:w="851" w:type="dxa"/>
            <w:tcBorders>
              <w:top w:val="single" w:sz="2" w:space="0" w:color="auto"/>
              <w:left w:val="nil"/>
              <w:bottom w:val="single" w:sz="2" w:space="0" w:color="auto"/>
              <w:right w:val="nil"/>
            </w:tcBorders>
            <w:shd w:val="clear" w:color="auto" w:fill="auto"/>
            <w:vAlign w:val="center"/>
            <w:hideMark/>
          </w:tcPr>
          <w:p w14:paraId="70759839" w14:textId="77777777" w:rsidR="0067243F" w:rsidRPr="0067243F" w:rsidRDefault="0067243F">
            <w:pPr>
              <w:jc w:val="right"/>
              <w:rPr>
                <w:rFonts w:ascii="Arial Narrow" w:hAnsi="Arial Narrow" w:cs="Calibri"/>
                <w:color w:val="000000"/>
                <w:sz w:val="18"/>
                <w:szCs w:val="18"/>
              </w:rPr>
            </w:pPr>
            <w:r w:rsidRPr="0067243F">
              <w:rPr>
                <w:rFonts w:ascii="Arial Narrow" w:hAnsi="Arial Narrow" w:cs="Calibri"/>
                <w:color w:val="000000"/>
                <w:sz w:val="18"/>
                <w:szCs w:val="18"/>
              </w:rPr>
              <w:t>5,55</w:t>
            </w:r>
          </w:p>
        </w:tc>
      </w:tr>
      <w:tr w:rsidR="0067243F" w:rsidRPr="0067243F" w14:paraId="1C1D6BA3" w14:textId="77777777" w:rsidTr="003A1A2F">
        <w:trPr>
          <w:trHeight w:val="198"/>
        </w:trPr>
        <w:tc>
          <w:tcPr>
            <w:tcW w:w="0" w:type="auto"/>
            <w:tcBorders>
              <w:top w:val="single" w:sz="2" w:space="0" w:color="auto"/>
              <w:left w:val="nil"/>
              <w:bottom w:val="single" w:sz="2" w:space="0" w:color="auto"/>
              <w:right w:val="nil"/>
            </w:tcBorders>
            <w:shd w:val="clear" w:color="auto" w:fill="auto"/>
            <w:vAlign w:val="center"/>
            <w:hideMark/>
          </w:tcPr>
          <w:p w14:paraId="299DFB4F"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Educación</w:t>
            </w:r>
          </w:p>
        </w:tc>
        <w:tc>
          <w:tcPr>
            <w:tcW w:w="4204" w:type="dxa"/>
            <w:tcBorders>
              <w:top w:val="single" w:sz="2" w:space="0" w:color="auto"/>
              <w:left w:val="nil"/>
              <w:bottom w:val="single" w:sz="2" w:space="0" w:color="auto"/>
              <w:right w:val="nil"/>
            </w:tcBorders>
            <w:shd w:val="clear" w:color="auto" w:fill="auto"/>
            <w:vAlign w:val="center"/>
            <w:hideMark/>
          </w:tcPr>
          <w:p w14:paraId="2CBEC2D8"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Acciones de formación profesional para el empleo en otros centros de formación. Conferencia Sectorial</w:t>
            </w:r>
          </w:p>
        </w:tc>
        <w:tc>
          <w:tcPr>
            <w:tcW w:w="1984" w:type="dxa"/>
            <w:tcBorders>
              <w:top w:val="single" w:sz="2" w:space="0" w:color="auto"/>
              <w:left w:val="nil"/>
              <w:bottom w:val="single" w:sz="2" w:space="0" w:color="auto"/>
              <w:right w:val="nil"/>
            </w:tcBorders>
            <w:shd w:val="clear" w:color="auto" w:fill="auto"/>
            <w:vAlign w:val="center"/>
            <w:hideMark/>
          </w:tcPr>
          <w:p w14:paraId="2D459457"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Concurrencia Competitiva (art. 17.1 LFS)</w:t>
            </w:r>
          </w:p>
        </w:tc>
        <w:tc>
          <w:tcPr>
            <w:tcW w:w="851" w:type="dxa"/>
            <w:tcBorders>
              <w:top w:val="single" w:sz="2" w:space="0" w:color="auto"/>
              <w:left w:val="nil"/>
              <w:bottom w:val="single" w:sz="2" w:space="0" w:color="auto"/>
              <w:right w:val="nil"/>
            </w:tcBorders>
            <w:shd w:val="clear" w:color="auto" w:fill="auto"/>
            <w:vAlign w:val="center"/>
            <w:hideMark/>
          </w:tcPr>
          <w:p w14:paraId="6158861A" w14:textId="77777777" w:rsidR="0067243F" w:rsidRPr="0067243F" w:rsidRDefault="0067243F">
            <w:pPr>
              <w:jc w:val="right"/>
              <w:rPr>
                <w:rFonts w:ascii="Arial Narrow" w:hAnsi="Arial Narrow" w:cs="Calibri"/>
                <w:color w:val="000000"/>
                <w:sz w:val="18"/>
                <w:szCs w:val="18"/>
              </w:rPr>
            </w:pPr>
            <w:r w:rsidRPr="0067243F">
              <w:rPr>
                <w:rFonts w:ascii="Arial Narrow" w:hAnsi="Arial Narrow" w:cs="Calibri"/>
                <w:color w:val="000000"/>
                <w:sz w:val="18"/>
                <w:szCs w:val="18"/>
              </w:rPr>
              <w:t>5,36</w:t>
            </w:r>
          </w:p>
        </w:tc>
      </w:tr>
      <w:tr w:rsidR="0067243F" w:rsidRPr="0067243F" w14:paraId="18AFFDA6" w14:textId="77777777" w:rsidTr="003A1A2F">
        <w:trPr>
          <w:trHeight w:val="198"/>
        </w:trPr>
        <w:tc>
          <w:tcPr>
            <w:tcW w:w="0" w:type="auto"/>
            <w:tcBorders>
              <w:top w:val="single" w:sz="2" w:space="0" w:color="auto"/>
              <w:left w:val="nil"/>
              <w:bottom w:val="single" w:sz="2" w:space="0" w:color="auto"/>
              <w:right w:val="nil"/>
            </w:tcBorders>
            <w:shd w:val="clear" w:color="auto" w:fill="auto"/>
            <w:vAlign w:val="center"/>
            <w:hideMark/>
          </w:tcPr>
          <w:p w14:paraId="2FB71E0A"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Cohesión territorial</w:t>
            </w:r>
          </w:p>
        </w:tc>
        <w:tc>
          <w:tcPr>
            <w:tcW w:w="4204" w:type="dxa"/>
            <w:tcBorders>
              <w:top w:val="single" w:sz="2" w:space="0" w:color="auto"/>
              <w:left w:val="nil"/>
              <w:bottom w:val="single" w:sz="2" w:space="0" w:color="auto"/>
              <w:right w:val="nil"/>
            </w:tcBorders>
            <w:shd w:val="clear" w:color="auto" w:fill="auto"/>
            <w:vAlign w:val="center"/>
            <w:hideMark/>
          </w:tcPr>
          <w:p w14:paraId="1F082699"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Subvenciones para la mejora del abastecimiento y reducción de pérdidas en redes de municipios de Navarra menores de 20.000 habitantes</w:t>
            </w:r>
          </w:p>
        </w:tc>
        <w:tc>
          <w:tcPr>
            <w:tcW w:w="1984" w:type="dxa"/>
            <w:tcBorders>
              <w:top w:val="single" w:sz="2" w:space="0" w:color="auto"/>
              <w:left w:val="nil"/>
              <w:bottom w:val="single" w:sz="2" w:space="0" w:color="auto"/>
              <w:right w:val="nil"/>
            </w:tcBorders>
            <w:shd w:val="clear" w:color="auto" w:fill="auto"/>
            <w:vAlign w:val="center"/>
            <w:hideMark/>
          </w:tcPr>
          <w:p w14:paraId="16BD8191"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Concurrencia Competitiva (art. 17.1 LFS)</w:t>
            </w:r>
          </w:p>
        </w:tc>
        <w:tc>
          <w:tcPr>
            <w:tcW w:w="851" w:type="dxa"/>
            <w:tcBorders>
              <w:top w:val="single" w:sz="2" w:space="0" w:color="auto"/>
              <w:left w:val="nil"/>
              <w:bottom w:val="single" w:sz="2" w:space="0" w:color="auto"/>
              <w:right w:val="nil"/>
            </w:tcBorders>
            <w:shd w:val="clear" w:color="auto" w:fill="auto"/>
            <w:vAlign w:val="center"/>
            <w:hideMark/>
          </w:tcPr>
          <w:p w14:paraId="7F20642D" w14:textId="77777777" w:rsidR="0067243F" w:rsidRPr="0067243F" w:rsidRDefault="0067243F">
            <w:pPr>
              <w:jc w:val="right"/>
              <w:rPr>
                <w:rFonts w:ascii="Arial Narrow" w:hAnsi="Arial Narrow" w:cs="Calibri"/>
                <w:color w:val="000000"/>
                <w:sz w:val="18"/>
                <w:szCs w:val="18"/>
              </w:rPr>
            </w:pPr>
            <w:r w:rsidRPr="0067243F">
              <w:rPr>
                <w:rFonts w:ascii="Arial Narrow" w:hAnsi="Arial Narrow" w:cs="Calibri"/>
                <w:color w:val="000000"/>
                <w:sz w:val="18"/>
                <w:szCs w:val="18"/>
              </w:rPr>
              <w:t>3,15</w:t>
            </w:r>
          </w:p>
        </w:tc>
      </w:tr>
      <w:tr w:rsidR="0067243F" w:rsidRPr="0067243F" w14:paraId="075FC2A6" w14:textId="77777777" w:rsidTr="003A1A2F">
        <w:trPr>
          <w:trHeight w:val="198"/>
        </w:trPr>
        <w:tc>
          <w:tcPr>
            <w:tcW w:w="0" w:type="auto"/>
            <w:tcBorders>
              <w:top w:val="single" w:sz="2" w:space="0" w:color="auto"/>
              <w:left w:val="nil"/>
              <w:bottom w:val="single" w:sz="2" w:space="0" w:color="auto"/>
              <w:right w:val="nil"/>
            </w:tcBorders>
            <w:shd w:val="clear" w:color="auto" w:fill="auto"/>
            <w:vAlign w:val="center"/>
            <w:hideMark/>
          </w:tcPr>
          <w:p w14:paraId="32A280FA"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Cultura, Deporte y Turismo</w:t>
            </w:r>
          </w:p>
        </w:tc>
        <w:tc>
          <w:tcPr>
            <w:tcW w:w="4204" w:type="dxa"/>
            <w:tcBorders>
              <w:top w:val="single" w:sz="2" w:space="0" w:color="auto"/>
              <w:left w:val="nil"/>
              <w:bottom w:val="single" w:sz="2" w:space="0" w:color="auto"/>
              <w:right w:val="nil"/>
            </w:tcBorders>
            <w:shd w:val="clear" w:color="auto" w:fill="auto"/>
            <w:vAlign w:val="center"/>
            <w:hideMark/>
          </w:tcPr>
          <w:p w14:paraId="1F3ACF17"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Subvenciones a Federaciones Deportivas de Navarra para el periodo comprendido entre el 1 de septiembre de 2022 y el 31 de agosto de 2023</w:t>
            </w:r>
          </w:p>
        </w:tc>
        <w:tc>
          <w:tcPr>
            <w:tcW w:w="1984" w:type="dxa"/>
            <w:tcBorders>
              <w:top w:val="single" w:sz="2" w:space="0" w:color="auto"/>
              <w:left w:val="nil"/>
              <w:bottom w:val="single" w:sz="2" w:space="0" w:color="auto"/>
              <w:right w:val="nil"/>
            </w:tcBorders>
            <w:shd w:val="clear" w:color="auto" w:fill="auto"/>
            <w:vAlign w:val="center"/>
            <w:hideMark/>
          </w:tcPr>
          <w:p w14:paraId="2E2757C9"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Concurrencia Competitiva (art. 17.1 LFS)</w:t>
            </w:r>
          </w:p>
        </w:tc>
        <w:tc>
          <w:tcPr>
            <w:tcW w:w="851" w:type="dxa"/>
            <w:tcBorders>
              <w:top w:val="single" w:sz="2" w:space="0" w:color="auto"/>
              <w:left w:val="nil"/>
              <w:bottom w:val="single" w:sz="2" w:space="0" w:color="auto"/>
              <w:right w:val="nil"/>
            </w:tcBorders>
            <w:shd w:val="clear" w:color="auto" w:fill="auto"/>
            <w:vAlign w:val="center"/>
            <w:hideMark/>
          </w:tcPr>
          <w:p w14:paraId="365F76DD" w14:textId="77777777" w:rsidR="0067243F" w:rsidRPr="0067243F" w:rsidRDefault="0067243F">
            <w:pPr>
              <w:jc w:val="right"/>
              <w:rPr>
                <w:rFonts w:ascii="Arial Narrow" w:hAnsi="Arial Narrow" w:cs="Calibri"/>
                <w:color w:val="000000"/>
                <w:sz w:val="18"/>
                <w:szCs w:val="18"/>
              </w:rPr>
            </w:pPr>
            <w:r w:rsidRPr="0067243F">
              <w:rPr>
                <w:rFonts w:ascii="Arial Narrow" w:hAnsi="Arial Narrow" w:cs="Calibri"/>
                <w:color w:val="000000"/>
                <w:sz w:val="18"/>
                <w:szCs w:val="18"/>
              </w:rPr>
              <w:t>2,8</w:t>
            </w:r>
          </w:p>
        </w:tc>
      </w:tr>
      <w:tr w:rsidR="0067243F" w:rsidRPr="0067243F" w14:paraId="227F26D9" w14:textId="77777777" w:rsidTr="003A1A2F">
        <w:trPr>
          <w:trHeight w:val="198"/>
        </w:trPr>
        <w:tc>
          <w:tcPr>
            <w:tcW w:w="0" w:type="auto"/>
            <w:tcBorders>
              <w:top w:val="single" w:sz="2" w:space="0" w:color="auto"/>
              <w:left w:val="nil"/>
              <w:bottom w:val="single" w:sz="2" w:space="0" w:color="auto"/>
              <w:right w:val="nil"/>
            </w:tcBorders>
            <w:shd w:val="clear" w:color="auto" w:fill="auto"/>
            <w:vAlign w:val="center"/>
            <w:hideMark/>
          </w:tcPr>
          <w:p w14:paraId="7FBAFCEB"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Memoria y Convivencia, Acción Exterior y Euskera</w:t>
            </w:r>
          </w:p>
        </w:tc>
        <w:tc>
          <w:tcPr>
            <w:tcW w:w="4204" w:type="dxa"/>
            <w:tcBorders>
              <w:top w:val="single" w:sz="2" w:space="0" w:color="auto"/>
              <w:left w:val="nil"/>
              <w:bottom w:val="single" w:sz="2" w:space="0" w:color="auto"/>
              <w:right w:val="nil"/>
            </w:tcBorders>
            <w:shd w:val="clear" w:color="auto" w:fill="auto"/>
            <w:vAlign w:val="center"/>
            <w:hideMark/>
          </w:tcPr>
          <w:p w14:paraId="4385C06D"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Subvención a entidades promotoras de la enseñanza de euskera a personas adultas</w:t>
            </w:r>
          </w:p>
        </w:tc>
        <w:tc>
          <w:tcPr>
            <w:tcW w:w="1984" w:type="dxa"/>
            <w:tcBorders>
              <w:top w:val="single" w:sz="2" w:space="0" w:color="auto"/>
              <w:left w:val="nil"/>
              <w:bottom w:val="single" w:sz="2" w:space="0" w:color="auto"/>
              <w:right w:val="nil"/>
            </w:tcBorders>
            <w:shd w:val="clear" w:color="auto" w:fill="auto"/>
            <w:vAlign w:val="center"/>
            <w:hideMark/>
          </w:tcPr>
          <w:p w14:paraId="7D33F594"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Concurrencia Competitiva (art. 17.1 LFS)</w:t>
            </w:r>
          </w:p>
        </w:tc>
        <w:tc>
          <w:tcPr>
            <w:tcW w:w="851" w:type="dxa"/>
            <w:tcBorders>
              <w:top w:val="single" w:sz="2" w:space="0" w:color="auto"/>
              <w:left w:val="nil"/>
              <w:bottom w:val="single" w:sz="2" w:space="0" w:color="auto"/>
              <w:right w:val="nil"/>
            </w:tcBorders>
            <w:shd w:val="clear" w:color="auto" w:fill="auto"/>
            <w:vAlign w:val="center"/>
            <w:hideMark/>
          </w:tcPr>
          <w:p w14:paraId="4D6122C1" w14:textId="77777777" w:rsidR="0067243F" w:rsidRPr="0067243F" w:rsidRDefault="0067243F">
            <w:pPr>
              <w:jc w:val="right"/>
              <w:rPr>
                <w:rFonts w:ascii="Arial Narrow" w:hAnsi="Arial Narrow" w:cs="Calibri"/>
                <w:color w:val="000000"/>
                <w:sz w:val="18"/>
                <w:szCs w:val="18"/>
              </w:rPr>
            </w:pPr>
            <w:r w:rsidRPr="0067243F">
              <w:rPr>
                <w:rFonts w:ascii="Arial Narrow" w:hAnsi="Arial Narrow" w:cs="Calibri"/>
                <w:color w:val="000000"/>
                <w:sz w:val="18"/>
                <w:szCs w:val="18"/>
              </w:rPr>
              <w:t>2,3</w:t>
            </w:r>
          </w:p>
        </w:tc>
      </w:tr>
      <w:tr w:rsidR="0067243F" w:rsidRPr="0067243F" w14:paraId="5C8E0F94" w14:textId="77777777" w:rsidTr="003A1A2F">
        <w:trPr>
          <w:trHeight w:val="198"/>
        </w:trPr>
        <w:tc>
          <w:tcPr>
            <w:tcW w:w="0" w:type="auto"/>
            <w:tcBorders>
              <w:top w:val="single" w:sz="2" w:space="0" w:color="auto"/>
              <w:left w:val="nil"/>
              <w:bottom w:val="single" w:sz="2" w:space="0" w:color="auto"/>
              <w:right w:val="nil"/>
            </w:tcBorders>
            <w:shd w:val="clear" w:color="auto" w:fill="auto"/>
            <w:vAlign w:val="center"/>
            <w:hideMark/>
          </w:tcPr>
          <w:p w14:paraId="0302196B"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Salud</w:t>
            </w:r>
          </w:p>
        </w:tc>
        <w:tc>
          <w:tcPr>
            <w:tcW w:w="4204" w:type="dxa"/>
            <w:tcBorders>
              <w:top w:val="single" w:sz="2" w:space="0" w:color="auto"/>
              <w:left w:val="nil"/>
              <w:bottom w:val="single" w:sz="2" w:space="0" w:color="auto"/>
              <w:right w:val="nil"/>
            </w:tcBorders>
            <w:shd w:val="clear" w:color="auto" w:fill="auto"/>
            <w:vAlign w:val="center"/>
            <w:hideMark/>
          </w:tcPr>
          <w:p w14:paraId="0295D566"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Prestaciones farmacéuticas</w:t>
            </w:r>
          </w:p>
        </w:tc>
        <w:tc>
          <w:tcPr>
            <w:tcW w:w="1984" w:type="dxa"/>
            <w:tcBorders>
              <w:top w:val="single" w:sz="2" w:space="0" w:color="auto"/>
              <w:left w:val="nil"/>
              <w:bottom w:val="single" w:sz="2" w:space="0" w:color="auto"/>
              <w:right w:val="nil"/>
            </w:tcBorders>
            <w:shd w:val="clear" w:color="auto" w:fill="auto"/>
            <w:vAlign w:val="center"/>
            <w:hideMark/>
          </w:tcPr>
          <w:p w14:paraId="49284E06"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Evaluación individualizada (art. 17.1 LFS)</w:t>
            </w:r>
          </w:p>
        </w:tc>
        <w:tc>
          <w:tcPr>
            <w:tcW w:w="851" w:type="dxa"/>
            <w:tcBorders>
              <w:top w:val="single" w:sz="2" w:space="0" w:color="auto"/>
              <w:left w:val="nil"/>
              <w:bottom w:val="single" w:sz="2" w:space="0" w:color="auto"/>
              <w:right w:val="nil"/>
            </w:tcBorders>
            <w:shd w:val="clear" w:color="auto" w:fill="auto"/>
            <w:vAlign w:val="center"/>
            <w:hideMark/>
          </w:tcPr>
          <w:p w14:paraId="2A460DD9" w14:textId="77777777" w:rsidR="0067243F" w:rsidRPr="0067243F" w:rsidRDefault="0067243F">
            <w:pPr>
              <w:jc w:val="right"/>
              <w:rPr>
                <w:rFonts w:ascii="Arial Narrow" w:hAnsi="Arial Narrow" w:cs="Calibri"/>
                <w:color w:val="000000"/>
                <w:sz w:val="18"/>
                <w:szCs w:val="18"/>
              </w:rPr>
            </w:pPr>
            <w:r w:rsidRPr="0067243F">
              <w:rPr>
                <w:rFonts w:ascii="Arial Narrow" w:hAnsi="Arial Narrow" w:cs="Calibri"/>
                <w:color w:val="000000"/>
                <w:sz w:val="18"/>
                <w:szCs w:val="18"/>
              </w:rPr>
              <w:t>1,73</w:t>
            </w:r>
          </w:p>
        </w:tc>
      </w:tr>
      <w:tr w:rsidR="0067243F" w:rsidRPr="0067243F" w14:paraId="1E0DF559" w14:textId="77777777" w:rsidTr="003A1A2F">
        <w:trPr>
          <w:trHeight w:val="198"/>
        </w:trPr>
        <w:tc>
          <w:tcPr>
            <w:tcW w:w="0" w:type="auto"/>
            <w:tcBorders>
              <w:top w:val="single" w:sz="2" w:space="0" w:color="auto"/>
              <w:left w:val="nil"/>
              <w:bottom w:val="single" w:sz="2" w:space="0" w:color="auto"/>
              <w:right w:val="nil"/>
            </w:tcBorders>
            <w:shd w:val="clear" w:color="auto" w:fill="auto"/>
            <w:vAlign w:val="center"/>
            <w:hideMark/>
          </w:tcPr>
          <w:p w14:paraId="50F8811F"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Presidencia e Igualdad</w:t>
            </w:r>
          </w:p>
        </w:tc>
        <w:tc>
          <w:tcPr>
            <w:tcW w:w="4204" w:type="dxa"/>
            <w:tcBorders>
              <w:top w:val="single" w:sz="2" w:space="0" w:color="auto"/>
              <w:left w:val="nil"/>
              <w:bottom w:val="single" w:sz="2" w:space="0" w:color="auto"/>
              <w:right w:val="nil"/>
            </w:tcBorders>
            <w:shd w:val="clear" w:color="auto" w:fill="auto"/>
            <w:vAlign w:val="center"/>
            <w:hideMark/>
          </w:tcPr>
          <w:p w14:paraId="687E72BA"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Televisiones autonómicas de Navarra. Ayudas a la producción audiovisual</w:t>
            </w:r>
          </w:p>
        </w:tc>
        <w:tc>
          <w:tcPr>
            <w:tcW w:w="1984" w:type="dxa"/>
            <w:tcBorders>
              <w:top w:val="single" w:sz="2" w:space="0" w:color="auto"/>
              <w:left w:val="nil"/>
              <w:bottom w:val="single" w:sz="2" w:space="0" w:color="auto"/>
              <w:right w:val="nil"/>
            </w:tcBorders>
            <w:shd w:val="clear" w:color="auto" w:fill="auto"/>
            <w:vAlign w:val="center"/>
            <w:hideMark/>
          </w:tcPr>
          <w:p w14:paraId="56043C0F"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Directa Excepcional (art. 17.2.c ) - impuesto por norma de rango legal…</w:t>
            </w:r>
          </w:p>
        </w:tc>
        <w:tc>
          <w:tcPr>
            <w:tcW w:w="851" w:type="dxa"/>
            <w:tcBorders>
              <w:top w:val="single" w:sz="2" w:space="0" w:color="auto"/>
              <w:left w:val="nil"/>
              <w:bottom w:val="single" w:sz="2" w:space="0" w:color="auto"/>
              <w:right w:val="nil"/>
            </w:tcBorders>
            <w:shd w:val="clear" w:color="auto" w:fill="auto"/>
            <w:vAlign w:val="center"/>
            <w:hideMark/>
          </w:tcPr>
          <w:p w14:paraId="7B80FA44" w14:textId="77777777" w:rsidR="0067243F" w:rsidRPr="0067243F" w:rsidRDefault="0067243F">
            <w:pPr>
              <w:jc w:val="right"/>
              <w:rPr>
                <w:rFonts w:ascii="Arial Narrow" w:hAnsi="Arial Narrow" w:cs="Calibri"/>
                <w:color w:val="000000"/>
                <w:sz w:val="18"/>
                <w:szCs w:val="18"/>
              </w:rPr>
            </w:pPr>
            <w:r w:rsidRPr="0067243F">
              <w:rPr>
                <w:rFonts w:ascii="Arial Narrow" w:hAnsi="Arial Narrow" w:cs="Calibri"/>
                <w:color w:val="000000"/>
                <w:sz w:val="18"/>
                <w:szCs w:val="18"/>
              </w:rPr>
              <w:t>1,4</w:t>
            </w:r>
          </w:p>
        </w:tc>
      </w:tr>
      <w:tr w:rsidR="0067243F" w:rsidRPr="0067243F" w14:paraId="391B7D76" w14:textId="77777777" w:rsidTr="003A1A2F">
        <w:trPr>
          <w:trHeight w:val="315"/>
        </w:trPr>
        <w:tc>
          <w:tcPr>
            <w:tcW w:w="0" w:type="auto"/>
            <w:tcBorders>
              <w:top w:val="single" w:sz="2" w:space="0" w:color="auto"/>
              <w:left w:val="nil"/>
              <w:bottom w:val="single" w:sz="4" w:space="0" w:color="auto"/>
              <w:right w:val="nil"/>
            </w:tcBorders>
            <w:shd w:val="clear" w:color="auto" w:fill="auto"/>
            <w:vAlign w:val="center"/>
            <w:hideMark/>
          </w:tcPr>
          <w:p w14:paraId="188A0783"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Interior, Función Pública y Justicia</w:t>
            </w:r>
          </w:p>
        </w:tc>
        <w:tc>
          <w:tcPr>
            <w:tcW w:w="4204" w:type="dxa"/>
            <w:tcBorders>
              <w:top w:val="single" w:sz="2" w:space="0" w:color="auto"/>
              <w:left w:val="nil"/>
              <w:bottom w:val="single" w:sz="4" w:space="0" w:color="auto"/>
              <w:right w:val="nil"/>
            </w:tcBorders>
            <w:shd w:val="clear" w:color="auto" w:fill="auto"/>
            <w:vAlign w:val="center"/>
            <w:hideMark/>
          </w:tcPr>
          <w:p w14:paraId="024EFE91"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Convenio con la Cruz Roja para gastos corrientes</w:t>
            </w:r>
          </w:p>
        </w:tc>
        <w:tc>
          <w:tcPr>
            <w:tcW w:w="1984" w:type="dxa"/>
            <w:tcBorders>
              <w:top w:val="single" w:sz="2" w:space="0" w:color="auto"/>
              <w:left w:val="nil"/>
              <w:bottom w:val="single" w:sz="4" w:space="0" w:color="auto"/>
              <w:right w:val="nil"/>
            </w:tcBorders>
            <w:shd w:val="clear" w:color="auto" w:fill="auto"/>
            <w:vAlign w:val="center"/>
            <w:hideMark/>
          </w:tcPr>
          <w:p w14:paraId="2B88A937" w14:textId="77777777" w:rsidR="0067243F" w:rsidRPr="0067243F" w:rsidRDefault="0067243F">
            <w:pPr>
              <w:rPr>
                <w:rFonts w:ascii="Arial Narrow" w:hAnsi="Arial Narrow" w:cs="Calibri"/>
                <w:color w:val="000000"/>
                <w:sz w:val="18"/>
                <w:szCs w:val="18"/>
              </w:rPr>
            </w:pPr>
            <w:r w:rsidRPr="0067243F">
              <w:rPr>
                <w:rFonts w:ascii="Arial Narrow" w:hAnsi="Arial Narrow" w:cs="Calibri"/>
                <w:color w:val="000000"/>
                <w:sz w:val="18"/>
                <w:szCs w:val="18"/>
              </w:rPr>
              <w:t>Directa Nominativa (art. 17.2.a )</w:t>
            </w:r>
          </w:p>
        </w:tc>
        <w:tc>
          <w:tcPr>
            <w:tcW w:w="851" w:type="dxa"/>
            <w:tcBorders>
              <w:top w:val="single" w:sz="2" w:space="0" w:color="auto"/>
              <w:left w:val="nil"/>
              <w:bottom w:val="single" w:sz="4" w:space="0" w:color="auto"/>
              <w:right w:val="nil"/>
            </w:tcBorders>
            <w:shd w:val="clear" w:color="auto" w:fill="auto"/>
            <w:vAlign w:val="center"/>
            <w:hideMark/>
          </w:tcPr>
          <w:p w14:paraId="34D060BA" w14:textId="77777777" w:rsidR="0067243F" w:rsidRPr="0067243F" w:rsidRDefault="0067243F">
            <w:pPr>
              <w:jc w:val="right"/>
              <w:rPr>
                <w:rFonts w:ascii="Arial Narrow" w:hAnsi="Arial Narrow" w:cs="Calibri"/>
                <w:color w:val="000000"/>
                <w:sz w:val="18"/>
                <w:szCs w:val="18"/>
              </w:rPr>
            </w:pPr>
            <w:r w:rsidRPr="0067243F">
              <w:rPr>
                <w:rFonts w:ascii="Arial Narrow" w:hAnsi="Arial Narrow" w:cs="Calibri"/>
                <w:color w:val="000000"/>
                <w:sz w:val="18"/>
                <w:szCs w:val="18"/>
              </w:rPr>
              <w:t>0,19</w:t>
            </w:r>
          </w:p>
        </w:tc>
      </w:tr>
    </w:tbl>
    <w:p w14:paraId="6EA8F30D" w14:textId="77777777" w:rsidR="00563072" w:rsidRPr="00B243AE" w:rsidRDefault="00B243AE" w:rsidP="000754FD">
      <w:pPr>
        <w:spacing w:before="240" w:after="120"/>
        <w:ind w:firstLine="284"/>
        <w:jc w:val="both"/>
      </w:pPr>
      <w:r w:rsidRPr="006A2E61">
        <w:rPr>
          <w:iCs/>
          <w:spacing w:val="10"/>
          <w:kern w:val="28"/>
          <w:sz w:val="26"/>
          <w:szCs w:val="26"/>
        </w:rPr>
        <w:t>De la revisión realizada cabe destacar lo siguiente:</w:t>
      </w:r>
    </w:p>
    <w:p w14:paraId="62813C19" w14:textId="77777777" w:rsidR="00B243AE" w:rsidRPr="00B243AE" w:rsidRDefault="00B243AE" w:rsidP="000754FD">
      <w:pPr>
        <w:pStyle w:val="texto"/>
        <w:numPr>
          <w:ilvl w:val="0"/>
          <w:numId w:val="6"/>
        </w:numPr>
        <w:tabs>
          <w:tab w:val="clear" w:pos="360"/>
          <w:tab w:val="num" w:pos="300"/>
          <w:tab w:val="left" w:pos="480"/>
          <w:tab w:val="num" w:pos="600"/>
        </w:tabs>
        <w:spacing w:after="120"/>
        <w:ind w:firstLine="289"/>
        <w:jc w:val="both"/>
      </w:pPr>
      <w:r w:rsidRPr="008E7C24">
        <w:t>El</w:t>
      </w:r>
      <w:r w:rsidRPr="00607CDE">
        <w:rPr>
          <w:iCs/>
          <w:spacing w:val="10"/>
          <w:kern w:val="28"/>
          <w:szCs w:val="26"/>
        </w:rPr>
        <w:t xml:space="preserve"> informe de evaluación de </w:t>
      </w:r>
      <w:r w:rsidR="000E67F1">
        <w:rPr>
          <w:iCs/>
          <w:spacing w:val="10"/>
          <w:kern w:val="28"/>
          <w:szCs w:val="26"/>
        </w:rPr>
        <w:t xml:space="preserve">11 </w:t>
      </w:r>
      <w:r w:rsidRPr="00607CDE">
        <w:rPr>
          <w:iCs/>
          <w:spacing w:val="10"/>
          <w:kern w:val="28"/>
          <w:szCs w:val="26"/>
        </w:rPr>
        <w:t xml:space="preserve">de las </w:t>
      </w:r>
      <w:r w:rsidR="000E67F1">
        <w:rPr>
          <w:iCs/>
          <w:spacing w:val="10"/>
          <w:kern w:val="28"/>
          <w:szCs w:val="26"/>
        </w:rPr>
        <w:t xml:space="preserve">12 </w:t>
      </w:r>
      <w:r w:rsidRPr="00607CDE">
        <w:rPr>
          <w:iCs/>
          <w:spacing w:val="10"/>
          <w:kern w:val="28"/>
          <w:szCs w:val="26"/>
        </w:rPr>
        <w:t xml:space="preserve">subvenciones revisadas está en formato PDF. Por tanto, los formatos no son explotables, tal y como </w:t>
      </w:r>
      <w:r w:rsidR="00607CDE">
        <w:rPr>
          <w:iCs/>
          <w:spacing w:val="10"/>
          <w:kern w:val="28"/>
          <w:szCs w:val="26"/>
        </w:rPr>
        <w:t>recomendamos en</w:t>
      </w:r>
      <w:r w:rsidRPr="00607CDE">
        <w:rPr>
          <w:iCs/>
          <w:spacing w:val="10"/>
          <w:kern w:val="28"/>
          <w:szCs w:val="26"/>
        </w:rPr>
        <w:t xml:space="preserve"> nuestro informe sobre </w:t>
      </w:r>
      <w:r w:rsidR="00563072" w:rsidRPr="00607CDE">
        <w:rPr>
          <w:iCs/>
          <w:spacing w:val="10"/>
          <w:kern w:val="28"/>
          <w:szCs w:val="26"/>
        </w:rPr>
        <w:t>“</w:t>
      </w:r>
      <w:hyperlink r:id="rId18" w:history="1">
        <w:r w:rsidRPr="00607CDE">
          <w:rPr>
            <w:iCs/>
            <w:spacing w:val="10"/>
            <w:kern w:val="28"/>
            <w:szCs w:val="26"/>
          </w:rPr>
          <w:t>Subvenciones de la Administración de la Comunidad Foral de Navarra a empresas privadas, 2020</w:t>
        </w:r>
      </w:hyperlink>
      <w:r w:rsidR="00563072">
        <w:t>”</w:t>
      </w:r>
    </w:p>
    <w:p w14:paraId="12EB6706" w14:textId="77777777" w:rsidR="006A2E61" w:rsidRDefault="006A2E61" w:rsidP="000754FD">
      <w:pPr>
        <w:pStyle w:val="texto"/>
        <w:numPr>
          <w:ilvl w:val="0"/>
          <w:numId w:val="6"/>
        </w:numPr>
        <w:tabs>
          <w:tab w:val="clear" w:pos="360"/>
          <w:tab w:val="num" w:pos="300"/>
          <w:tab w:val="left" w:pos="480"/>
          <w:tab w:val="num" w:pos="600"/>
        </w:tabs>
        <w:spacing w:after="120"/>
        <w:ind w:firstLine="289"/>
        <w:jc w:val="both"/>
      </w:pPr>
      <w:r w:rsidRPr="00607CDE">
        <w:t>De las cinco recomendaciones efectuadas en nuestro informe de 2020, únicamente hemos constatado la aplicación de una</w:t>
      </w:r>
      <w:r>
        <w:rPr>
          <w:rStyle w:val="Refdenotaalpie"/>
        </w:rPr>
        <w:footnoteReference w:id="31"/>
      </w:r>
      <w:r>
        <w:t xml:space="preserve"> de ellas. </w:t>
      </w:r>
    </w:p>
    <w:p w14:paraId="6BDBFFC8" w14:textId="77777777" w:rsidR="00B243AE" w:rsidRPr="002C38B6" w:rsidRDefault="00B243AE" w:rsidP="000754FD">
      <w:pPr>
        <w:pStyle w:val="texto"/>
        <w:numPr>
          <w:ilvl w:val="0"/>
          <w:numId w:val="6"/>
        </w:numPr>
        <w:tabs>
          <w:tab w:val="clear" w:pos="360"/>
          <w:tab w:val="num" w:pos="300"/>
          <w:tab w:val="left" w:pos="480"/>
          <w:tab w:val="num" w:pos="600"/>
        </w:tabs>
        <w:spacing w:after="120"/>
        <w:ind w:firstLine="289"/>
        <w:jc w:val="both"/>
        <w:rPr>
          <w:iCs/>
          <w:spacing w:val="10"/>
          <w:kern w:val="28"/>
          <w:szCs w:val="26"/>
        </w:rPr>
      </w:pPr>
      <w:r w:rsidRPr="002C38B6">
        <w:rPr>
          <w:iCs/>
          <w:spacing w:val="10"/>
          <w:kern w:val="28"/>
          <w:szCs w:val="26"/>
        </w:rPr>
        <w:t>Falta correlación entre la denominación de las partidas y los títulos de las subvenciones en las convocatorias y en la BDNS</w:t>
      </w:r>
      <w:r w:rsidR="000E67F1">
        <w:rPr>
          <w:iCs/>
          <w:spacing w:val="10"/>
          <w:kern w:val="28"/>
          <w:szCs w:val="26"/>
        </w:rPr>
        <w:t xml:space="preserve"> en dos de las 12 líneas revisadas. </w:t>
      </w:r>
    </w:p>
    <w:p w14:paraId="71F09B1B" w14:textId="77777777" w:rsidR="003A1A2F" w:rsidRDefault="00B243AE" w:rsidP="00627F85">
      <w:pPr>
        <w:pStyle w:val="texto"/>
        <w:spacing w:after="120"/>
        <w:jc w:val="both"/>
        <w:rPr>
          <w:iCs/>
          <w:spacing w:val="10"/>
          <w:kern w:val="28"/>
          <w:szCs w:val="26"/>
        </w:rPr>
      </w:pPr>
      <w:r w:rsidRPr="002C38B6">
        <w:rPr>
          <w:iCs/>
          <w:spacing w:val="10"/>
          <w:kern w:val="28"/>
          <w:szCs w:val="26"/>
        </w:rPr>
        <w:lastRenderedPageBreak/>
        <w:t>Objetivos</w:t>
      </w:r>
      <w:r w:rsidR="00DD1F49">
        <w:rPr>
          <w:iCs/>
          <w:spacing w:val="10"/>
          <w:kern w:val="28"/>
          <w:szCs w:val="26"/>
        </w:rPr>
        <w:t xml:space="preserve"> estratégicos</w:t>
      </w:r>
      <w:r w:rsidRPr="002C38B6">
        <w:rPr>
          <w:iCs/>
          <w:spacing w:val="10"/>
          <w:kern w:val="28"/>
          <w:szCs w:val="26"/>
        </w:rPr>
        <w:t xml:space="preserve">. En todas las fichas revisadas se cumplimentan los campos de objetivos estratégicos y objetivos operativos. Los objetivos estratégicos consideramos que, </w:t>
      </w:r>
      <w:r w:rsidR="00DD1F49">
        <w:rPr>
          <w:iCs/>
          <w:spacing w:val="10"/>
          <w:kern w:val="28"/>
          <w:szCs w:val="26"/>
        </w:rPr>
        <w:t xml:space="preserve">si bien, en general </w:t>
      </w:r>
      <w:r w:rsidRPr="002C38B6">
        <w:rPr>
          <w:iCs/>
          <w:spacing w:val="10"/>
          <w:kern w:val="28"/>
          <w:szCs w:val="26"/>
        </w:rPr>
        <w:t>so</w:t>
      </w:r>
      <w:r w:rsidR="00DD1F49">
        <w:rPr>
          <w:iCs/>
          <w:spacing w:val="10"/>
          <w:kern w:val="28"/>
          <w:szCs w:val="26"/>
        </w:rPr>
        <w:t xml:space="preserve">n razonables en su descripción, no están vinculados con los objetivos de los programas presupuestarios. </w:t>
      </w:r>
    </w:p>
    <w:p w14:paraId="367B59F6" w14:textId="77777777" w:rsidR="00DD1F49" w:rsidRDefault="00DD1F49" w:rsidP="00627F85">
      <w:pPr>
        <w:pStyle w:val="texto"/>
        <w:spacing w:after="120"/>
        <w:jc w:val="both"/>
        <w:rPr>
          <w:iCs/>
          <w:spacing w:val="10"/>
          <w:kern w:val="28"/>
          <w:szCs w:val="26"/>
        </w:rPr>
      </w:pPr>
      <w:r w:rsidRPr="00627F85">
        <w:t>Por</w:t>
      </w:r>
      <w:r>
        <w:rPr>
          <w:iCs/>
          <w:spacing w:val="10"/>
          <w:kern w:val="28"/>
          <w:szCs w:val="26"/>
        </w:rPr>
        <w:t xml:space="preserve"> otro lado, i</w:t>
      </w:r>
      <w:r w:rsidRPr="00D755F2">
        <w:rPr>
          <w:iCs/>
          <w:spacing w:val="10"/>
          <w:kern w:val="28"/>
          <w:szCs w:val="26"/>
        </w:rPr>
        <w:t>ndicamos que en el apartado 5.1 de este Apéndice, hemos reflejado las debilidades de los programas presupuestarios de los presupuestos generales de la ACFN.</w:t>
      </w:r>
    </w:p>
    <w:p w14:paraId="353715A6" w14:textId="77777777" w:rsidR="00DD1F49" w:rsidRDefault="00DD1F49" w:rsidP="000754FD">
      <w:pPr>
        <w:pStyle w:val="texto"/>
        <w:numPr>
          <w:ilvl w:val="0"/>
          <w:numId w:val="6"/>
        </w:numPr>
        <w:tabs>
          <w:tab w:val="clear" w:pos="360"/>
          <w:tab w:val="num" w:pos="300"/>
          <w:tab w:val="left" w:pos="480"/>
          <w:tab w:val="num" w:pos="600"/>
        </w:tabs>
        <w:spacing w:after="120"/>
        <w:ind w:firstLine="289"/>
        <w:jc w:val="both"/>
        <w:rPr>
          <w:iCs/>
          <w:spacing w:val="10"/>
          <w:kern w:val="28"/>
          <w:szCs w:val="26"/>
        </w:rPr>
      </w:pPr>
      <w:r>
        <w:rPr>
          <w:iCs/>
          <w:spacing w:val="10"/>
          <w:kern w:val="28"/>
          <w:szCs w:val="26"/>
        </w:rPr>
        <w:t xml:space="preserve">Objetivos operativos. </w:t>
      </w:r>
    </w:p>
    <w:p w14:paraId="1D464EA2" w14:textId="77777777" w:rsidR="00DD1F49" w:rsidRDefault="00B02371" w:rsidP="000754FD">
      <w:pPr>
        <w:spacing w:after="120"/>
        <w:ind w:firstLine="284"/>
        <w:jc w:val="both"/>
        <w:rPr>
          <w:iCs/>
          <w:spacing w:val="10"/>
          <w:kern w:val="28"/>
          <w:sz w:val="26"/>
          <w:szCs w:val="26"/>
        </w:rPr>
      </w:pPr>
      <w:r>
        <w:rPr>
          <w:iCs/>
          <w:spacing w:val="10"/>
          <w:kern w:val="28"/>
          <w:sz w:val="26"/>
          <w:szCs w:val="26"/>
        </w:rPr>
        <w:t xml:space="preserve">- </w:t>
      </w:r>
      <w:r w:rsidR="00B243AE" w:rsidRPr="008E7C24">
        <w:rPr>
          <w:iCs/>
          <w:spacing w:val="10"/>
          <w:kern w:val="28"/>
          <w:sz w:val="26"/>
          <w:szCs w:val="26"/>
        </w:rPr>
        <w:t xml:space="preserve">En </w:t>
      </w:r>
      <w:r w:rsidR="00DD1F49">
        <w:rPr>
          <w:iCs/>
          <w:spacing w:val="10"/>
          <w:kern w:val="28"/>
          <w:sz w:val="26"/>
          <w:szCs w:val="26"/>
        </w:rPr>
        <w:t xml:space="preserve">dos </w:t>
      </w:r>
      <w:r w:rsidR="000E67F1">
        <w:rPr>
          <w:iCs/>
          <w:spacing w:val="10"/>
          <w:kern w:val="28"/>
          <w:sz w:val="26"/>
          <w:szCs w:val="26"/>
        </w:rPr>
        <w:t>ficha</w:t>
      </w:r>
      <w:r w:rsidR="00DD1F49">
        <w:rPr>
          <w:iCs/>
          <w:spacing w:val="10"/>
          <w:kern w:val="28"/>
          <w:sz w:val="26"/>
          <w:szCs w:val="26"/>
        </w:rPr>
        <w:t>s</w:t>
      </w:r>
      <w:r w:rsidR="000E67F1">
        <w:rPr>
          <w:iCs/>
          <w:spacing w:val="10"/>
          <w:kern w:val="28"/>
          <w:sz w:val="26"/>
          <w:szCs w:val="26"/>
        </w:rPr>
        <w:t xml:space="preserve"> el objetivo </w:t>
      </w:r>
      <w:r w:rsidR="00DD1F49">
        <w:rPr>
          <w:iCs/>
          <w:spacing w:val="10"/>
          <w:kern w:val="28"/>
          <w:sz w:val="26"/>
          <w:szCs w:val="26"/>
        </w:rPr>
        <w:t xml:space="preserve">estratégico </w:t>
      </w:r>
      <w:r w:rsidR="000E67F1">
        <w:rPr>
          <w:iCs/>
          <w:spacing w:val="10"/>
          <w:kern w:val="28"/>
          <w:sz w:val="26"/>
          <w:szCs w:val="26"/>
        </w:rPr>
        <w:t xml:space="preserve">es </w:t>
      </w:r>
      <w:r w:rsidR="00DD1F49">
        <w:rPr>
          <w:iCs/>
          <w:spacing w:val="10"/>
          <w:kern w:val="28"/>
          <w:sz w:val="26"/>
          <w:szCs w:val="26"/>
        </w:rPr>
        <w:t xml:space="preserve">subvencionar. </w:t>
      </w:r>
      <w:r w:rsidR="008972AA">
        <w:rPr>
          <w:iCs/>
          <w:spacing w:val="10"/>
          <w:kern w:val="28"/>
          <w:sz w:val="26"/>
          <w:szCs w:val="26"/>
        </w:rPr>
        <w:t xml:space="preserve">La actividad </w:t>
      </w:r>
      <w:proofErr w:type="spellStart"/>
      <w:r w:rsidR="008972AA">
        <w:rPr>
          <w:iCs/>
          <w:spacing w:val="10"/>
          <w:kern w:val="28"/>
          <w:sz w:val="26"/>
          <w:szCs w:val="26"/>
        </w:rPr>
        <w:t>subvencional</w:t>
      </w:r>
      <w:proofErr w:type="spellEnd"/>
      <w:r w:rsidR="008972AA">
        <w:rPr>
          <w:iCs/>
          <w:spacing w:val="10"/>
          <w:kern w:val="28"/>
          <w:sz w:val="26"/>
          <w:szCs w:val="26"/>
        </w:rPr>
        <w:t xml:space="preserve"> es </w:t>
      </w:r>
      <w:r w:rsidR="00DD1F49">
        <w:rPr>
          <w:iCs/>
          <w:spacing w:val="10"/>
          <w:kern w:val="28"/>
          <w:sz w:val="26"/>
          <w:szCs w:val="26"/>
        </w:rPr>
        <w:t xml:space="preserve">el medio para el cumplimiento de un objetivo, no el objetivo. </w:t>
      </w:r>
    </w:p>
    <w:p w14:paraId="2D4361B6" w14:textId="77777777" w:rsidR="00D755F2" w:rsidRPr="00DD1F49" w:rsidRDefault="00B02371" w:rsidP="000754FD">
      <w:pPr>
        <w:spacing w:after="120"/>
        <w:ind w:firstLine="284"/>
        <w:jc w:val="both"/>
        <w:rPr>
          <w:iCs/>
          <w:spacing w:val="10"/>
          <w:kern w:val="28"/>
          <w:sz w:val="26"/>
          <w:szCs w:val="26"/>
        </w:rPr>
      </w:pPr>
      <w:r>
        <w:rPr>
          <w:iCs/>
          <w:spacing w:val="10"/>
          <w:kern w:val="28"/>
          <w:sz w:val="26"/>
          <w:szCs w:val="26"/>
        </w:rPr>
        <w:t xml:space="preserve">- </w:t>
      </w:r>
      <w:r w:rsidR="00563072" w:rsidRPr="00D755F2">
        <w:rPr>
          <w:iCs/>
          <w:spacing w:val="10"/>
          <w:kern w:val="28"/>
          <w:sz w:val="26"/>
          <w:szCs w:val="26"/>
        </w:rPr>
        <w:t>La gu</w:t>
      </w:r>
      <w:r w:rsidR="00B243AE" w:rsidRPr="00D755F2">
        <w:rPr>
          <w:iCs/>
          <w:spacing w:val="10"/>
          <w:kern w:val="28"/>
          <w:sz w:val="26"/>
          <w:szCs w:val="26"/>
        </w:rPr>
        <w:t>ía para la formulación de los objetivos e indicadores recoge la necesidad de realizar una reflexión en la que por un lado se deben relacionar los diferentes resultados que se desean lograr con el objetivo que se ha establecido, y por otro que existe una evidencia tangible que permitan comprobar la consecución de estos resultados.</w:t>
      </w:r>
      <w:r w:rsidR="00DD1F49">
        <w:rPr>
          <w:iCs/>
          <w:spacing w:val="10"/>
          <w:kern w:val="28"/>
          <w:sz w:val="26"/>
          <w:szCs w:val="26"/>
        </w:rPr>
        <w:t xml:space="preserve"> No consta evidencia de que se haya </w:t>
      </w:r>
      <w:r w:rsidR="00B243AE" w:rsidRPr="00DD1F49">
        <w:rPr>
          <w:iCs/>
          <w:spacing w:val="10"/>
          <w:kern w:val="28"/>
          <w:sz w:val="26"/>
          <w:szCs w:val="26"/>
        </w:rPr>
        <w:t>realizado ese trabajo de reflexión al definir los objetivos operativos.</w:t>
      </w:r>
    </w:p>
    <w:p w14:paraId="0D085A30" w14:textId="77777777" w:rsidR="00B243AE" w:rsidRPr="00D755F2" w:rsidRDefault="00C57E20" w:rsidP="000754FD">
      <w:pPr>
        <w:pStyle w:val="texto"/>
        <w:numPr>
          <w:ilvl w:val="0"/>
          <w:numId w:val="6"/>
        </w:numPr>
        <w:tabs>
          <w:tab w:val="clear" w:pos="360"/>
          <w:tab w:val="num" w:pos="300"/>
          <w:tab w:val="left" w:pos="480"/>
          <w:tab w:val="num" w:pos="600"/>
        </w:tabs>
        <w:spacing w:after="120"/>
        <w:ind w:firstLine="289"/>
        <w:jc w:val="both"/>
        <w:rPr>
          <w:iCs/>
          <w:spacing w:val="10"/>
          <w:kern w:val="28"/>
          <w:szCs w:val="26"/>
        </w:rPr>
      </w:pPr>
      <w:r>
        <w:rPr>
          <w:iCs/>
          <w:spacing w:val="10"/>
          <w:kern w:val="28"/>
          <w:szCs w:val="26"/>
        </w:rPr>
        <w:t>Indicadores</w:t>
      </w:r>
    </w:p>
    <w:p w14:paraId="14789977" w14:textId="77777777" w:rsidR="008972AA" w:rsidRDefault="00B02371" w:rsidP="000754FD">
      <w:pPr>
        <w:spacing w:after="120"/>
        <w:ind w:firstLine="284"/>
        <w:jc w:val="both"/>
        <w:rPr>
          <w:iCs/>
          <w:spacing w:val="10"/>
          <w:kern w:val="28"/>
          <w:sz w:val="26"/>
          <w:szCs w:val="26"/>
        </w:rPr>
      </w:pPr>
      <w:r>
        <w:rPr>
          <w:iCs/>
          <w:spacing w:val="10"/>
          <w:kern w:val="28"/>
          <w:sz w:val="26"/>
          <w:szCs w:val="26"/>
        </w:rPr>
        <w:t xml:space="preserve">- </w:t>
      </w:r>
      <w:r w:rsidR="008972AA">
        <w:rPr>
          <w:iCs/>
          <w:spacing w:val="10"/>
          <w:kern w:val="28"/>
          <w:sz w:val="26"/>
          <w:szCs w:val="26"/>
        </w:rPr>
        <w:t>En tres de las doce fichas revisadas, existen deficiencias</w:t>
      </w:r>
      <w:r w:rsidR="00AB0FC5">
        <w:rPr>
          <w:iCs/>
          <w:spacing w:val="10"/>
          <w:kern w:val="28"/>
          <w:sz w:val="26"/>
          <w:szCs w:val="26"/>
        </w:rPr>
        <w:t xml:space="preserve">, en concreto </w:t>
      </w:r>
      <w:r w:rsidR="008972AA">
        <w:rPr>
          <w:iCs/>
          <w:spacing w:val="10"/>
          <w:kern w:val="28"/>
          <w:sz w:val="26"/>
          <w:szCs w:val="26"/>
        </w:rPr>
        <w:t>porcentaje de ejecución presupuestaria</w:t>
      </w:r>
      <w:r w:rsidR="00AB0FC5">
        <w:rPr>
          <w:iCs/>
          <w:spacing w:val="10"/>
          <w:kern w:val="28"/>
          <w:sz w:val="26"/>
          <w:szCs w:val="26"/>
        </w:rPr>
        <w:t xml:space="preserve"> (indicador no válido), </w:t>
      </w:r>
      <w:r w:rsidR="008972AA">
        <w:rPr>
          <w:iCs/>
          <w:spacing w:val="10"/>
          <w:kern w:val="28"/>
          <w:sz w:val="26"/>
          <w:szCs w:val="26"/>
        </w:rPr>
        <w:t xml:space="preserve">no coincidencia con los indicadores del PES, </w:t>
      </w:r>
      <w:r w:rsidR="00AB0FC5">
        <w:rPr>
          <w:iCs/>
          <w:spacing w:val="10"/>
          <w:kern w:val="28"/>
          <w:sz w:val="26"/>
          <w:szCs w:val="26"/>
        </w:rPr>
        <w:t xml:space="preserve">y </w:t>
      </w:r>
      <w:r w:rsidR="008972AA">
        <w:rPr>
          <w:iCs/>
          <w:spacing w:val="10"/>
          <w:kern w:val="28"/>
          <w:sz w:val="26"/>
          <w:szCs w:val="26"/>
        </w:rPr>
        <w:t>falta de información actualizada disponible</w:t>
      </w:r>
      <w:r w:rsidR="00426B0B">
        <w:rPr>
          <w:iCs/>
          <w:spacing w:val="10"/>
          <w:kern w:val="28"/>
          <w:sz w:val="26"/>
          <w:szCs w:val="26"/>
        </w:rPr>
        <w:t>.</w:t>
      </w:r>
      <w:r w:rsidR="008972AA">
        <w:rPr>
          <w:iCs/>
          <w:spacing w:val="10"/>
          <w:kern w:val="28"/>
          <w:sz w:val="26"/>
          <w:szCs w:val="26"/>
        </w:rPr>
        <w:t xml:space="preserve"> </w:t>
      </w:r>
    </w:p>
    <w:p w14:paraId="71A41C48" w14:textId="77777777" w:rsidR="00B243AE" w:rsidRPr="00D755F2" w:rsidRDefault="00B02371" w:rsidP="000754FD">
      <w:pPr>
        <w:spacing w:after="120"/>
        <w:ind w:firstLine="284"/>
        <w:jc w:val="both"/>
        <w:rPr>
          <w:iCs/>
          <w:spacing w:val="10"/>
          <w:kern w:val="28"/>
          <w:sz w:val="26"/>
          <w:szCs w:val="26"/>
        </w:rPr>
      </w:pPr>
      <w:r>
        <w:rPr>
          <w:iCs/>
          <w:spacing w:val="10"/>
          <w:kern w:val="28"/>
          <w:sz w:val="26"/>
          <w:szCs w:val="26"/>
        </w:rPr>
        <w:t xml:space="preserve">- </w:t>
      </w:r>
      <w:r w:rsidR="00426B0B">
        <w:rPr>
          <w:iCs/>
          <w:spacing w:val="10"/>
          <w:kern w:val="28"/>
          <w:sz w:val="26"/>
          <w:szCs w:val="26"/>
        </w:rPr>
        <w:t>En siete de las doce</w:t>
      </w:r>
      <w:r w:rsidR="00F81B99">
        <w:rPr>
          <w:iCs/>
          <w:spacing w:val="10"/>
          <w:kern w:val="28"/>
          <w:sz w:val="26"/>
          <w:szCs w:val="26"/>
        </w:rPr>
        <w:t xml:space="preserve"> fichas, más allá de descripciones formales, no se realiza </w:t>
      </w:r>
      <w:r w:rsidR="00AB0FC5">
        <w:rPr>
          <w:iCs/>
          <w:spacing w:val="10"/>
          <w:kern w:val="28"/>
          <w:sz w:val="26"/>
          <w:szCs w:val="26"/>
        </w:rPr>
        <w:t xml:space="preserve">una adecuada </w:t>
      </w:r>
      <w:r w:rsidR="00B243AE" w:rsidRPr="00D755F2">
        <w:rPr>
          <w:iCs/>
          <w:spacing w:val="10"/>
          <w:kern w:val="28"/>
          <w:sz w:val="26"/>
          <w:szCs w:val="26"/>
        </w:rPr>
        <w:t>valoración de las desviaciones de los indicadores (de resultado o de actividad) ent</w:t>
      </w:r>
      <w:r w:rsidR="00563072" w:rsidRPr="00D755F2">
        <w:rPr>
          <w:iCs/>
          <w:spacing w:val="10"/>
          <w:kern w:val="28"/>
          <w:sz w:val="26"/>
          <w:szCs w:val="26"/>
        </w:rPr>
        <w:t>re los datos de partida, las metas</w:t>
      </w:r>
      <w:r w:rsidR="00B243AE" w:rsidRPr="00D755F2">
        <w:rPr>
          <w:iCs/>
          <w:spacing w:val="10"/>
          <w:kern w:val="28"/>
          <w:sz w:val="26"/>
          <w:szCs w:val="26"/>
        </w:rPr>
        <w:t xml:space="preserve"> y los reales.</w:t>
      </w:r>
    </w:p>
    <w:p w14:paraId="3FDDDCE2" w14:textId="77777777" w:rsidR="00B243AE" w:rsidRPr="00D755F2" w:rsidRDefault="00B02371" w:rsidP="000754FD">
      <w:pPr>
        <w:spacing w:after="120"/>
        <w:ind w:firstLine="284"/>
        <w:jc w:val="both"/>
        <w:rPr>
          <w:iCs/>
          <w:spacing w:val="10"/>
          <w:kern w:val="28"/>
          <w:sz w:val="26"/>
          <w:szCs w:val="26"/>
        </w:rPr>
      </w:pPr>
      <w:r>
        <w:rPr>
          <w:iCs/>
          <w:spacing w:val="10"/>
          <w:kern w:val="28"/>
          <w:sz w:val="26"/>
          <w:szCs w:val="26"/>
        </w:rPr>
        <w:t xml:space="preserve">- </w:t>
      </w:r>
      <w:r w:rsidR="00B243AE" w:rsidRPr="00D755F2">
        <w:rPr>
          <w:iCs/>
          <w:spacing w:val="10"/>
          <w:kern w:val="28"/>
          <w:sz w:val="26"/>
          <w:szCs w:val="26"/>
        </w:rPr>
        <w:t xml:space="preserve">Aunque los indicadores de resultado y de actividad están vinculados con los objetivos operativos, consideramos que no son suficientes para valorar si </w:t>
      </w:r>
      <w:r w:rsidR="00F81B99">
        <w:rPr>
          <w:iCs/>
          <w:spacing w:val="10"/>
          <w:kern w:val="28"/>
          <w:sz w:val="26"/>
          <w:szCs w:val="26"/>
        </w:rPr>
        <w:t>con la subvención se contribuye</w:t>
      </w:r>
      <w:r w:rsidR="00B243AE" w:rsidRPr="00D755F2">
        <w:rPr>
          <w:iCs/>
          <w:spacing w:val="10"/>
          <w:kern w:val="28"/>
          <w:sz w:val="26"/>
          <w:szCs w:val="26"/>
        </w:rPr>
        <w:t xml:space="preserve"> a la consecución del objetivo estratégico.</w:t>
      </w:r>
    </w:p>
    <w:p w14:paraId="3D6FA524" w14:textId="77777777" w:rsidR="008F0074" w:rsidRDefault="008F0074" w:rsidP="000754FD">
      <w:pPr>
        <w:pStyle w:val="texto"/>
        <w:numPr>
          <w:ilvl w:val="0"/>
          <w:numId w:val="6"/>
        </w:numPr>
        <w:tabs>
          <w:tab w:val="clear" w:pos="360"/>
          <w:tab w:val="num" w:pos="300"/>
          <w:tab w:val="left" w:pos="480"/>
          <w:tab w:val="num" w:pos="600"/>
        </w:tabs>
        <w:spacing w:after="120"/>
        <w:ind w:firstLine="289"/>
        <w:jc w:val="both"/>
        <w:rPr>
          <w:iCs/>
          <w:spacing w:val="10"/>
          <w:kern w:val="28"/>
          <w:szCs w:val="26"/>
        </w:rPr>
      </w:pPr>
      <w:r>
        <w:rPr>
          <w:iCs/>
          <w:spacing w:val="10"/>
          <w:kern w:val="28"/>
          <w:szCs w:val="26"/>
        </w:rPr>
        <w:t>Coste</w:t>
      </w:r>
    </w:p>
    <w:p w14:paraId="7F1F2426" w14:textId="77777777" w:rsidR="00B243AE" w:rsidRDefault="008F0074" w:rsidP="008F0074">
      <w:pPr>
        <w:pStyle w:val="texto"/>
        <w:spacing w:after="120"/>
        <w:jc w:val="both"/>
      </w:pPr>
      <w:r w:rsidRPr="008F0074">
        <w:t>E</w:t>
      </w:r>
      <w:r w:rsidR="00B243AE" w:rsidRPr="008F0074">
        <w:t xml:space="preserve">n los informes de evaluación no se hace una adecuada valoración de las desviaciones </w:t>
      </w:r>
      <w:r w:rsidR="00563072" w:rsidRPr="008F0074">
        <w:t xml:space="preserve">presupuestarias </w:t>
      </w:r>
      <w:r w:rsidR="00B243AE" w:rsidRPr="008F0074">
        <w:t>entre el importe previsto y el finalmente ejecutado.</w:t>
      </w:r>
    </w:p>
    <w:p w14:paraId="68BAD058" w14:textId="77777777" w:rsidR="00F81B99" w:rsidRPr="00F81B99" w:rsidRDefault="00F81B99" w:rsidP="000754FD">
      <w:pPr>
        <w:pStyle w:val="texto"/>
        <w:numPr>
          <w:ilvl w:val="0"/>
          <w:numId w:val="6"/>
        </w:numPr>
        <w:tabs>
          <w:tab w:val="clear" w:pos="360"/>
          <w:tab w:val="num" w:pos="300"/>
          <w:tab w:val="left" w:pos="480"/>
          <w:tab w:val="num" w:pos="600"/>
        </w:tabs>
        <w:spacing w:after="120"/>
        <w:ind w:firstLine="289"/>
        <w:jc w:val="both"/>
        <w:rPr>
          <w:iCs/>
          <w:spacing w:val="10"/>
          <w:kern w:val="28"/>
          <w:szCs w:val="26"/>
        </w:rPr>
      </w:pPr>
      <w:r>
        <w:rPr>
          <w:iCs/>
          <w:spacing w:val="10"/>
          <w:kern w:val="28"/>
          <w:szCs w:val="26"/>
        </w:rPr>
        <w:t>El campo de la ficha sobre otras cuestiones</w:t>
      </w:r>
      <w:r w:rsidR="004C4900">
        <w:rPr>
          <w:iCs/>
          <w:spacing w:val="10"/>
          <w:kern w:val="28"/>
          <w:szCs w:val="26"/>
        </w:rPr>
        <w:t xml:space="preserve"> relevantes de la convocatoria</w:t>
      </w:r>
      <w:r w:rsidR="004C4900" w:rsidRPr="004C4900">
        <w:rPr>
          <w:rStyle w:val="Refdenotaalpie"/>
        </w:rPr>
        <w:footnoteReference w:id="32"/>
      </w:r>
      <w:r w:rsidR="004C4900">
        <w:rPr>
          <w:iCs/>
          <w:spacing w:val="10"/>
          <w:kern w:val="28"/>
          <w:szCs w:val="26"/>
        </w:rPr>
        <w:t xml:space="preserve">, no está cumplimentado en cinco de los 12 informes o no se ha analizado la contribución a los objetivos estratégicos. En el resto, se realizan comentarios descriptivos sin que expliquen la contribución a los citados objetivos. </w:t>
      </w:r>
    </w:p>
    <w:p w14:paraId="61D7BAA0" w14:textId="77777777" w:rsidR="00FE489F" w:rsidRDefault="00FE489F">
      <w:pPr>
        <w:rPr>
          <w:iCs/>
          <w:spacing w:val="10"/>
          <w:kern w:val="28"/>
          <w:sz w:val="26"/>
          <w:szCs w:val="26"/>
        </w:rPr>
      </w:pPr>
      <w:r>
        <w:rPr>
          <w:iCs/>
          <w:spacing w:val="10"/>
          <w:kern w:val="28"/>
          <w:sz w:val="26"/>
          <w:szCs w:val="26"/>
        </w:rPr>
        <w:br w:type="page"/>
      </w:r>
    </w:p>
    <w:p w14:paraId="2C1F733A" w14:textId="77777777" w:rsidR="00B243AE" w:rsidRPr="00D70784" w:rsidRDefault="00723F0A" w:rsidP="00723F0A">
      <w:pPr>
        <w:spacing w:before="240" w:after="240"/>
        <w:ind w:firstLine="284"/>
        <w:jc w:val="both"/>
        <w:rPr>
          <w:i/>
          <w:color w:val="FF0000"/>
          <w:sz w:val="26"/>
          <w:szCs w:val="26"/>
        </w:rPr>
      </w:pPr>
      <w:r w:rsidRPr="00723F0A">
        <w:rPr>
          <w:iCs/>
          <w:spacing w:val="10"/>
          <w:kern w:val="28"/>
          <w:sz w:val="26"/>
          <w:szCs w:val="26"/>
        </w:rPr>
        <w:lastRenderedPageBreak/>
        <w:t>Por todo lo anterior</w:t>
      </w:r>
      <w:r>
        <w:rPr>
          <w:iCs/>
          <w:spacing w:val="10"/>
          <w:kern w:val="28"/>
          <w:sz w:val="26"/>
          <w:szCs w:val="26"/>
        </w:rPr>
        <w:t xml:space="preserve">, </w:t>
      </w:r>
      <w:r w:rsidRPr="00723F0A">
        <w:rPr>
          <w:iCs/>
          <w:spacing w:val="10"/>
          <w:kern w:val="28"/>
          <w:sz w:val="26"/>
          <w:szCs w:val="26"/>
        </w:rPr>
        <w:t xml:space="preserve">efectuamos las siguientes </w:t>
      </w:r>
      <w:r w:rsidRPr="00B02371">
        <w:rPr>
          <w:i/>
          <w:iCs/>
          <w:spacing w:val="10"/>
          <w:kern w:val="28"/>
          <w:sz w:val="26"/>
          <w:szCs w:val="26"/>
        </w:rPr>
        <w:t>recomendaciones</w:t>
      </w:r>
      <w:r w:rsidR="004C4900" w:rsidRPr="00B02371">
        <w:rPr>
          <w:i/>
          <w:iCs/>
          <w:color w:val="FF0000"/>
          <w:spacing w:val="10"/>
          <w:kern w:val="28"/>
          <w:sz w:val="26"/>
          <w:szCs w:val="26"/>
        </w:rPr>
        <w:t>.</w:t>
      </w:r>
      <w:r w:rsidR="004C4900">
        <w:rPr>
          <w:i/>
          <w:iCs/>
          <w:color w:val="FF0000"/>
          <w:spacing w:val="10"/>
          <w:kern w:val="28"/>
          <w:sz w:val="26"/>
          <w:szCs w:val="26"/>
        </w:rPr>
        <w:t xml:space="preserve"> </w:t>
      </w:r>
    </w:p>
    <w:p w14:paraId="4D944F83" w14:textId="77777777" w:rsidR="004C4900" w:rsidRPr="004C4900" w:rsidRDefault="004C4900" w:rsidP="008C2B8E">
      <w:pPr>
        <w:pStyle w:val="texto"/>
        <w:numPr>
          <w:ilvl w:val="0"/>
          <w:numId w:val="6"/>
        </w:numPr>
        <w:tabs>
          <w:tab w:val="clear" w:pos="360"/>
          <w:tab w:val="num" w:pos="300"/>
          <w:tab w:val="left" w:pos="480"/>
          <w:tab w:val="num" w:pos="600"/>
        </w:tabs>
        <w:spacing w:before="120"/>
        <w:ind w:firstLine="289"/>
        <w:jc w:val="both"/>
        <w:rPr>
          <w:i/>
        </w:rPr>
      </w:pPr>
      <w:r w:rsidRPr="004C4900">
        <w:rPr>
          <w:i/>
        </w:rPr>
        <w:t>Modificar el formato de los informes de evaluación con el objeto de que los datos sean explotables y pe</w:t>
      </w:r>
      <w:r>
        <w:rPr>
          <w:i/>
        </w:rPr>
        <w:t xml:space="preserve">rmitan un tratamiento </w:t>
      </w:r>
      <w:r w:rsidR="00AB0FC5">
        <w:rPr>
          <w:i/>
        </w:rPr>
        <w:t xml:space="preserve">más efectivo </w:t>
      </w:r>
      <w:r>
        <w:rPr>
          <w:i/>
        </w:rPr>
        <w:t>de la informa</w:t>
      </w:r>
      <w:r w:rsidR="00AB0FC5">
        <w:rPr>
          <w:i/>
        </w:rPr>
        <w:t xml:space="preserve">ción. </w:t>
      </w:r>
    </w:p>
    <w:p w14:paraId="4DBB2D74" w14:textId="77777777" w:rsidR="003B1397" w:rsidRPr="003B1397" w:rsidRDefault="003B1397" w:rsidP="008C2B8E">
      <w:pPr>
        <w:pStyle w:val="texto"/>
        <w:numPr>
          <w:ilvl w:val="0"/>
          <w:numId w:val="6"/>
        </w:numPr>
        <w:tabs>
          <w:tab w:val="clear" w:pos="360"/>
          <w:tab w:val="num" w:pos="300"/>
          <w:tab w:val="left" w:pos="480"/>
          <w:tab w:val="num" w:pos="600"/>
        </w:tabs>
        <w:spacing w:before="120"/>
        <w:ind w:firstLine="289"/>
        <w:jc w:val="both"/>
        <w:rPr>
          <w:i/>
        </w:rPr>
      </w:pPr>
      <w:r w:rsidRPr="00723F0A">
        <w:rPr>
          <w:i/>
        </w:rPr>
        <w:t xml:space="preserve">Definir los objetivos estratégicos para las líneas del PES de forma, que </w:t>
      </w:r>
      <w:r>
        <w:rPr>
          <w:i/>
        </w:rPr>
        <w:t xml:space="preserve">permitan verificar si realmente están conexionados con los </w:t>
      </w:r>
      <w:r w:rsidRPr="00723F0A">
        <w:rPr>
          <w:i/>
        </w:rPr>
        <w:t>progr</w:t>
      </w:r>
      <w:r>
        <w:rPr>
          <w:i/>
        </w:rPr>
        <w:t xml:space="preserve">amas presupuestarios. </w:t>
      </w:r>
    </w:p>
    <w:p w14:paraId="20CBA551" w14:textId="77777777" w:rsidR="00B243AE" w:rsidRDefault="00723F0A" w:rsidP="008C2B8E">
      <w:pPr>
        <w:pStyle w:val="texto"/>
        <w:numPr>
          <w:ilvl w:val="0"/>
          <w:numId w:val="6"/>
        </w:numPr>
        <w:tabs>
          <w:tab w:val="clear" w:pos="360"/>
          <w:tab w:val="num" w:pos="300"/>
          <w:tab w:val="left" w:pos="480"/>
          <w:tab w:val="num" w:pos="600"/>
        </w:tabs>
        <w:spacing w:before="120"/>
        <w:ind w:firstLine="289"/>
        <w:jc w:val="both"/>
        <w:rPr>
          <w:i/>
        </w:rPr>
      </w:pPr>
      <w:r w:rsidRPr="00723F0A">
        <w:rPr>
          <w:i/>
        </w:rPr>
        <w:t xml:space="preserve">Incluir en </w:t>
      </w:r>
      <w:r w:rsidR="00B243AE" w:rsidRPr="00723F0A">
        <w:rPr>
          <w:i/>
        </w:rPr>
        <w:t>las evaluaciones que realicen cada uno de los departamentos un análisis y conclusiones</w:t>
      </w:r>
      <w:r w:rsidR="00AB0FC5">
        <w:rPr>
          <w:i/>
        </w:rPr>
        <w:t xml:space="preserve"> efectivas</w:t>
      </w:r>
      <w:r w:rsidR="00B243AE" w:rsidRPr="00723F0A">
        <w:rPr>
          <w:i/>
        </w:rPr>
        <w:t xml:space="preserve"> sobre </w:t>
      </w:r>
      <w:r w:rsidR="003B1397">
        <w:rPr>
          <w:i/>
        </w:rPr>
        <w:t xml:space="preserve">sus desviaciones, y consecuentemente sobre </w:t>
      </w:r>
      <w:r w:rsidR="00B243AE" w:rsidRPr="00723F0A">
        <w:rPr>
          <w:i/>
        </w:rPr>
        <w:t>la eficacia de las medidas</w:t>
      </w:r>
      <w:r w:rsidR="00D07572">
        <w:rPr>
          <w:i/>
        </w:rPr>
        <w:t xml:space="preserve">, de tal forma que permitan evaluar el impacto de las distintas subvenciones. </w:t>
      </w:r>
    </w:p>
    <w:p w14:paraId="3F91D6AA" w14:textId="77777777" w:rsidR="00AB0FC5" w:rsidRDefault="00AB0FC5" w:rsidP="008C2B8E">
      <w:pPr>
        <w:pStyle w:val="texto"/>
        <w:numPr>
          <w:ilvl w:val="0"/>
          <w:numId w:val="6"/>
        </w:numPr>
        <w:tabs>
          <w:tab w:val="clear" w:pos="360"/>
          <w:tab w:val="num" w:pos="300"/>
          <w:tab w:val="left" w:pos="480"/>
          <w:tab w:val="num" w:pos="600"/>
        </w:tabs>
        <w:spacing w:before="120"/>
        <w:ind w:firstLine="289"/>
        <w:jc w:val="both"/>
        <w:rPr>
          <w:i/>
        </w:rPr>
      </w:pPr>
      <w:r>
        <w:rPr>
          <w:i/>
        </w:rPr>
        <w:t xml:space="preserve">Establecer un nexo de unión entre los objetivos estratégicos y los operativos, de manera que se evidencia que con los segundos se contribuye a la consecución de los primeros. </w:t>
      </w:r>
    </w:p>
    <w:p w14:paraId="58E5011D" w14:textId="77777777" w:rsidR="00614DC4" w:rsidRDefault="00614DC4" w:rsidP="001106E4">
      <w:pPr>
        <w:pStyle w:val="atitulo3"/>
        <w:spacing w:before="240"/>
      </w:pPr>
      <w:r>
        <w:t>Convenio Económico con el Estado</w:t>
      </w:r>
      <w:bookmarkEnd w:id="135"/>
      <w:bookmarkEnd w:id="136"/>
    </w:p>
    <w:p w14:paraId="646888B4" w14:textId="77777777" w:rsidR="00614DC4" w:rsidRDefault="00614DC4" w:rsidP="006675F3">
      <w:pPr>
        <w:pStyle w:val="texto"/>
        <w:spacing w:after="120"/>
        <w:jc w:val="both"/>
      </w:pPr>
      <w:r>
        <w:t xml:space="preserve">La actividad financiera y tributaria de Navarra se rige, en virtud de su régimen foral, por el Convenio Económico entre el Estado y la Comunidad Foral de Navarra, firmado el 31 de julio de 1990 y regulado en la Ley 28/1990, de 26 de diciembre. En el convenio se establecen los criterios de armonización fiscal y el método para calcular la aportación de Navarra por las cargas del Estado no asumidas por la Comunidad Foral y para los ajustes en la recaudación tributaria. Esta aportación se establece y es aplicada a periodos de cinco años. </w:t>
      </w:r>
    </w:p>
    <w:p w14:paraId="1951530F" w14:textId="77777777" w:rsidR="00614DC4" w:rsidRDefault="00614DC4" w:rsidP="006675F3">
      <w:pPr>
        <w:pStyle w:val="texto"/>
        <w:spacing w:after="120"/>
        <w:jc w:val="both"/>
      </w:pPr>
      <w:r>
        <w:t>El vigente Convenio Económico entre el Estado y la Comunidad Foral de Navarra, prevé en su disposición adicional tercera que, en caso de producirse una reforma sustancial en el ordenamiento jurídico tributario del Estado se procederá por ambas Administraciones, de común acuerdo, a la adaptación del Convenio Económico.</w:t>
      </w:r>
    </w:p>
    <w:p w14:paraId="5FEC2EFA" w14:textId="77777777" w:rsidR="003D6C8C" w:rsidRDefault="003B1397" w:rsidP="006675F3">
      <w:pPr>
        <w:pStyle w:val="texto"/>
        <w:spacing w:after="120"/>
        <w:jc w:val="both"/>
      </w:pPr>
      <w:r>
        <w:t>Tal y como indicamos en nuestro informe anterior de las Cuentas Generales, en 2022 se aprobó l</w:t>
      </w:r>
      <w:r w:rsidR="00614DC4">
        <w:t>a Ley 22/2022, de 19 de octubre, por la que se modifica</w:t>
      </w:r>
      <w:r>
        <w:t>ba la citada Ley 28/1990</w:t>
      </w:r>
      <w:r w:rsidR="00614DC4">
        <w:t xml:space="preserve">. </w:t>
      </w:r>
      <w:r w:rsidR="00920A4B">
        <w:t xml:space="preserve">En 2022, la modificación supuso la regularización de los ejercicios 2018 a 2022 incluido, lo que supuso ajustes </w:t>
      </w:r>
      <w:r>
        <w:t xml:space="preserve">con carácter retroactivo, </w:t>
      </w:r>
      <w:r w:rsidR="00920A4B">
        <w:t xml:space="preserve">tanto en gastos como en ingresos. </w:t>
      </w:r>
    </w:p>
    <w:p w14:paraId="02D3266F" w14:textId="77777777" w:rsidR="00AB0FC5" w:rsidRDefault="00AB0FC5">
      <w:pPr>
        <w:rPr>
          <w:spacing w:val="6"/>
          <w:sz w:val="26"/>
        </w:rPr>
      </w:pPr>
      <w:r>
        <w:br w:type="page"/>
      </w:r>
    </w:p>
    <w:p w14:paraId="79761C3B" w14:textId="77777777" w:rsidR="008E7C24" w:rsidRDefault="003B1397" w:rsidP="006A2E61">
      <w:pPr>
        <w:pStyle w:val="texto"/>
        <w:jc w:val="both"/>
      </w:pPr>
      <w:r>
        <w:lastRenderedPageBreak/>
        <w:t xml:space="preserve">Los datos presupuestarios derivados del </w:t>
      </w:r>
      <w:r w:rsidR="00614DC4">
        <w:t>Convenio en 202</w:t>
      </w:r>
      <w:r w:rsidR="00920A4B">
        <w:t>3</w:t>
      </w:r>
      <w:r>
        <w:t xml:space="preserve"> y su comparación con el ejercicio </w:t>
      </w:r>
      <w:r w:rsidR="00614DC4">
        <w:t>202</w:t>
      </w:r>
      <w:r w:rsidR="00920A4B">
        <w:t>2</w:t>
      </w:r>
      <w:r w:rsidR="00614DC4">
        <w:t xml:space="preserve"> es el que mostramos en el siguiente cuadro:</w:t>
      </w:r>
    </w:p>
    <w:tbl>
      <w:tblPr>
        <w:tblW w:w="8789" w:type="dxa"/>
        <w:jc w:val="center"/>
        <w:tblLayout w:type="fixed"/>
        <w:tblCellMar>
          <w:left w:w="70" w:type="dxa"/>
          <w:right w:w="70" w:type="dxa"/>
        </w:tblCellMar>
        <w:tblLook w:val="04A0" w:firstRow="1" w:lastRow="0" w:firstColumn="1" w:lastColumn="0" w:noHBand="0" w:noVBand="1"/>
      </w:tblPr>
      <w:tblGrid>
        <w:gridCol w:w="6379"/>
        <w:gridCol w:w="1134"/>
        <w:gridCol w:w="1276"/>
      </w:tblGrid>
      <w:tr w:rsidR="00614DC4" w14:paraId="213051E1" w14:textId="77777777" w:rsidTr="001F6B50">
        <w:trPr>
          <w:trHeight w:val="255"/>
          <w:jc w:val="center"/>
        </w:trPr>
        <w:tc>
          <w:tcPr>
            <w:tcW w:w="8789" w:type="dxa"/>
            <w:gridSpan w:val="3"/>
            <w:tcBorders>
              <w:top w:val="nil"/>
              <w:left w:val="nil"/>
              <w:bottom w:val="single" w:sz="4" w:space="0" w:color="auto"/>
              <w:right w:val="nil"/>
            </w:tcBorders>
            <w:noWrap/>
            <w:vAlign w:val="center"/>
            <w:hideMark/>
          </w:tcPr>
          <w:p w14:paraId="4325EE35" w14:textId="77777777" w:rsidR="00614DC4" w:rsidRDefault="00614DC4">
            <w:pPr>
              <w:jc w:val="right"/>
              <w:rPr>
                <w:rFonts w:ascii="Arial" w:hAnsi="Arial" w:cs="Arial"/>
                <w:sz w:val="18"/>
                <w:szCs w:val="18"/>
              </w:rPr>
            </w:pPr>
            <w:r>
              <w:rPr>
                <w:rFonts w:ascii="Arial" w:hAnsi="Arial" w:cs="Arial"/>
                <w:sz w:val="18"/>
                <w:szCs w:val="18"/>
              </w:rPr>
              <w:t>(en miles)</w:t>
            </w:r>
          </w:p>
        </w:tc>
      </w:tr>
      <w:tr w:rsidR="00614DC4" w:rsidRPr="00DC366D" w14:paraId="5EA68DF2" w14:textId="77777777" w:rsidTr="001F6B50">
        <w:trPr>
          <w:trHeight w:val="255"/>
          <w:jc w:val="center"/>
        </w:trPr>
        <w:tc>
          <w:tcPr>
            <w:tcW w:w="6379" w:type="dxa"/>
            <w:tcBorders>
              <w:top w:val="single" w:sz="4" w:space="0" w:color="auto"/>
              <w:left w:val="nil"/>
              <w:bottom w:val="single" w:sz="4" w:space="0" w:color="auto"/>
              <w:right w:val="nil"/>
            </w:tcBorders>
            <w:shd w:val="clear" w:color="auto" w:fill="8DB3E2"/>
            <w:vAlign w:val="center"/>
            <w:hideMark/>
          </w:tcPr>
          <w:p w14:paraId="55C1EA6C" w14:textId="77777777" w:rsidR="00614DC4" w:rsidRPr="00DC366D" w:rsidRDefault="00614DC4" w:rsidP="00EF078E">
            <w:pPr>
              <w:pStyle w:val="cuadroCabe"/>
              <w:rPr>
                <w:bCs/>
              </w:rPr>
            </w:pPr>
            <w:r w:rsidRPr="00DC366D">
              <w:t>Convenio-Partida Presupuestarias</w:t>
            </w:r>
          </w:p>
        </w:tc>
        <w:tc>
          <w:tcPr>
            <w:tcW w:w="1134" w:type="dxa"/>
            <w:tcBorders>
              <w:top w:val="single" w:sz="4" w:space="0" w:color="auto"/>
              <w:left w:val="nil"/>
              <w:bottom w:val="single" w:sz="4" w:space="0" w:color="auto"/>
              <w:right w:val="nil"/>
            </w:tcBorders>
            <w:shd w:val="clear" w:color="auto" w:fill="8DB3E2"/>
            <w:vAlign w:val="center"/>
            <w:hideMark/>
          </w:tcPr>
          <w:p w14:paraId="0B4B083B" w14:textId="77777777" w:rsidR="00614DC4" w:rsidRPr="00DC366D" w:rsidRDefault="00614DC4" w:rsidP="003D6C8C">
            <w:pPr>
              <w:pStyle w:val="cuadroCabe"/>
              <w:jc w:val="right"/>
            </w:pPr>
            <w:r w:rsidRPr="00DC366D">
              <w:t>202</w:t>
            </w:r>
            <w:r w:rsidR="003D6C8C" w:rsidRPr="00DC366D">
              <w:t>2</w:t>
            </w:r>
          </w:p>
        </w:tc>
        <w:tc>
          <w:tcPr>
            <w:tcW w:w="1276" w:type="dxa"/>
            <w:tcBorders>
              <w:top w:val="single" w:sz="4" w:space="0" w:color="auto"/>
              <w:left w:val="nil"/>
              <w:bottom w:val="single" w:sz="4" w:space="0" w:color="auto"/>
              <w:right w:val="nil"/>
            </w:tcBorders>
            <w:shd w:val="clear" w:color="auto" w:fill="8DB3E2"/>
            <w:noWrap/>
            <w:vAlign w:val="center"/>
            <w:hideMark/>
          </w:tcPr>
          <w:p w14:paraId="58876E7D" w14:textId="77777777" w:rsidR="00614DC4" w:rsidRPr="00DC366D" w:rsidRDefault="00614DC4" w:rsidP="003D6C8C">
            <w:pPr>
              <w:pStyle w:val="cuadroCabe"/>
              <w:jc w:val="right"/>
            </w:pPr>
            <w:r w:rsidRPr="00DC366D">
              <w:t>202</w:t>
            </w:r>
            <w:r w:rsidR="003D6C8C" w:rsidRPr="00DC366D">
              <w:t>3</w:t>
            </w:r>
          </w:p>
        </w:tc>
      </w:tr>
      <w:tr w:rsidR="005A4EE7" w:rsidRPr="005A4EE7" w14:paraId="5EF1073B" w14:textId="77777777" w:rsidTr="001F6B50">
        <w:trPr>
          <w:trHeight w:val="198"/>
          <w:jc w:val="center"/>
        </w:trPr>
        <w:tc>
          <w:tcPr>
            <w:tcW w:w="6379" w:type="dxa"/>
            <w:tcBorders>
              <w:top w:val="single" w:sz="4" w:space="0" w:color="auto"/>
              <w:left w:val="nil"/>
              <w:bottom w:val="single" w:sz="2" w:space="0" w:color="auto"/>
              <w:right w:val="nil"/>
            </w:tcBorders>
            <w:vAlign w:val="center"/>
            <w:hideMark/>
          </w:tcPr>
          <w:p w14:paraId="36A06344" w14:textId="77777777" w:rsidR="003D6C8C" w:rsidRPr="005A4EE7" w:rsidRDefault="003D6C8C" w:rsidP="003D6C8C">
            <w:pPr>
              <w:pStyle w:val="cuatexto"/>
            </w:pPr>
            <w:r w:rsidRPr="005A4EE7">
              <w:t>Aportación provisional al Estado</w:t>
            </w:r>
          </w:p>
        </w:tc>
        <w:tc>
          <w:tcPr>
            <w:tcW w:w="1134" w:type="dxa"/>
            <w:tcBorders>
              <w:top w:val="single" w:sz="4" w:space="0" w:color="auto"/>
              <w:left w:val="nil"/>
              <w:bottom w:val="single" w:sz="2" w:space="0" w:color="auto"/>
              <w:right w:val="nil"/>
            </w:tcBorders>
            <w:vAlign w:val="center"/>
          </w:tcPr>
          <w:p w14:paraId="420D0630" w14:textId="77777777" w:rsidR="003D6C8C" w:rsidRPr="005A4EE7" w:rsidRDefault="003D6C8C" w:rsidP="003D6C8C">
            <w:pPr>
              <w:pStyle w:val="cuatexto"/>
              <w:jc w:val="right"/>
            </w:pPr>
            <w:r w:rsidRPr="005A4EE7">
              <w:t>738.845</w:t>
            </w:r>
          </w:p>
        </w:tc>
        <w:tc>
          <w:tcPr>
            <w:tcW w:w="1276" w:type="dxa"/>
            <w:tcBorders>
              <w:top w:val="single" w:sz="4" w:space="0" w:color="auto"/>
              <w:left w:val="nil"/>
              <w:bottom w:val="single" w:sz="2" w:space="0" w:color="auto"/>
              <w:right w:val="nil"/>
            </w:tcBorders>
            <w:noWrap/>
            <w:vAlign w:val="center"/>
          </w:tcPr>
          <w:p w14:paraId="08B33B27" w14:textId="77777777" w:rsidR="003D6C8C" w:rsidRPr="005A4EE7" w:rsidRDefault="0073021D" w:rsidP="003D6C8C">
            <w:pPr>
              <w:pStyle w:val="cuatexto"/>
              <w:jc w:val="right"/>
            </w:pPr>
            <w:r w:rsidRPr="005A4EE7">
              <w:t>771.286</w:t>
            </w:r>
          </w:p>
        </w:tc>
      </w:tr>
      <w:tr w:rsidR="005A4EE7" w:rsidRPr="005A4EE7" w14:paraId="1096A866" w14:textId="77777777" w:rsidTr="001F6B50">
        <w:trPr>
          <w:trHeight w:val="198"/>
          <w:jc w:val="center"/>
        </w:trPr>
        <w:tc>
          <w:tcPr>
            <w:tcW w:w="6379" w:type="dxa"/>
            <w:tcBorders>
              <w:top w:val="single" w:sz="2" w:space="0" w:color="auto"/>
              <w:left w:val="nil"/>
              <w:bottom w:val="single" w:sz="4" w:space="0" w:color="auto"/>
              <w:right w:val="nil"/>
            </w:tcBorders>
            <w:vAlign w:val="center"/>
            <w:hideMark/>
          </w:tcPr>
          <w:p w14:paraId="5FAF47E3" w14:textId="77777777" w:rsidR="003D6C8C" w:rsidRPr="005A4EE7" w:rsidRDefault="003D6C8C" w:rsidP="003D6C8C">
            <w:pPr>
              <w:pStyle w:val="cuatexto"/>
            </w:pPr>
            <w:proofErr w:type="spellStart"/>
            <w:r w:rsidRPr="005A4EE7">
              <w:t>L</w:t>
            </w:r>
            <w:r w:rsidR="005A4EE7" w:rsidRPr="005A4EE7">
              <w:t>iq.Def.aportación</w:t>
            </w:r>
            <w:proofErr w:type="spellEnd"/>
            <w:r w:rsidR="005A4EE7" w:rsidRPr="005A4EE7">
              <w:t xml:space="preserve"> del ejercicio anterior</w:t>
            </w:r>
          </w:p>
        </w:tc>
        <w:tc>
          <w:tcPr>
            <w:tcW w:w="1134" w:type="dxa"/>
            <w:tcBorders>
              <w:top w:val="single" w:sz="2" w:space="0" w:color="auto"/>
              <w:left w:val="nil"/>
              <w:bottom w:val="single" w:sz="4" w:space="0" w:color="auto"/>
              <w:right w:val="nil"/>
            </w:tcBorders>
            <w:vAlign w:val="center"/>
          </w:tcPr>
          <w:p w14:paraId="6265A70E" w14:textId="77777777" w:rsidR="003D6C8C" w:rsidRPr="005A4EE7" w:rsidRDefault="003D6C8C" w:rsidP="003D6C8C">
            <w:pPr>
              <w:pStyle w:val="cuatexto"/>
              <w:jc w:val="right"/>
            </w:pPr>
            <w:r w:rsidRPr="005A4EE7">
              <w:t>143.841</w:t>
            </w:r>
          </w:p>
        </w:tc>
        <w:tc>
          <w:tcPr>
            <w:tcW w:w="1276" w:type="dxa"/>
            <w:tcBorders>
              <w:top w:val="single" w:sz="2" w:space="0" w:color="auto"/>
              <w:left w:val="nil"/>
              <w:bottom w:val="single" w:sz="4" w:space="0" w:color="auto"/>
              <w:right w:val="nil"/>
            </w:tcBorders>
            <w:noWrap/>
            <w:vAlign w:val="center"/>
          </w:tcPr>
          <w:p w14:paraId="70C6AAE3" w14:textId="77777777" w:rsidR="003D6C8C" w:rsidRPr="005A4EE7" w:rsidRDefault="0073021D" w:rsidP="003D6C8C">
            <w:pPr>
              <w:pStyle w:val="cuatexto"/>
              <w:jc w:val="right"/>
            </w:pPr>
            <w:r w:rsidRPr="005A4EE7">
              <w:t>140.444</w:t>
            </w:r>
          </w:p>
        </w:tc>
      </w:tr>
      <w:tr w:rsidR="0001734E" w:rsidRPr="0001734E" w14:paraId="15B97C2D" w14:textId="77777777" w:rsidTr="001F6B50">
        <w:trPr>
          <w:trHeight w:val="255"/>
          <w:jc w:val="center"/>
        </w:trPr>
        <w:tc>
          <w:tcPr>
            <w:tcW w:w="6379" w:type="dxa"/>
            <w:tcBorders>
              <w:top w:val="single" w:sz="4" w:space="0" w:color="auto"/>
              <w:left w:val="nil"/>
              <w:bottom w:val="single" w:sz="2" w:space="0" w:color="auto"/>
              <w:right w:val="nil"/>
            </w:tcBorders>
            <w:shd w:val="clear" w:color="auto" w:fill="95B3D7" w:themeFill="accent1" w:themeFillTint="99"/>
            <w:vAlign w:val="center"/>
            <w:hideMark/>
          </w:tcPr>
          <w:p w14:paraId="7EC7141D" w14:textId="77777777" w:rsidR="003D6C8C" w:rsidRPr="0001734E" w:rsidRDefault="003D6C8C" w:rsidP="003D6C8C">
            <w:pPr>
              <w:pStyle w:val="cuadroCabe"/>
              <w:rPr>
                <w:bCs/>
              </w:rPr>
            </w:pPr>
            <w:r w:rsidRPr="0001734E">
              <w:t>Total partidas Gastos - Convenio</w:t>
            </w:r>
          </w:p>
        </w:tc>
        <w:tc>
          <w:tcPr>
            <w:tcW w:w="1134" w:type="dxa"/>
            <w:tcBorders>
              <w:top w:val="single" w:sz="4" w:space="0" w:color="auto"/>
              <w:left w:val="nil"/>
              <w:bottom w:val="single" w:sz="2" w:space="0" w:color="auto"/>
              <w:right w:val="nil"/>
            </w:tcBorders>
            <w:shd w:val="clear" w:color="auto" w:fill="95B3D7" w:themeFill="accent1" w:themeFillTint="99"/>
            <w:vAlign w:val="center"/>
          </w:tcPr>
          <w:p w14:paraId="365B8C2E" w14:textId="77777777" w:rsidR="003D6C8C" w:rsidRPr="0001734E" w:rsidRDefault="003D6C8C" w:rsidP="003D6C8C">
            <w:pPr>
              <w:pStyle w:val="cuadroCabe"/>
              <w:jc w:val="right"/>
            </w:pPr>
            <w:r w:rsidRPr="0001734E">
              <w:t>882.687</w:t>
            </w:r>
          </w:p>
        </w:tc>
        <w:tc>
          <w:tcPr>
            <w:tcW w:w="1276" w:type="dxa"/>
            <w:tcBorders>
              <w:top w:val="single" w:sz="4" w:space="0" w:color="auto"/>
              <w:left w:val="nil"/>
              <w:bottom w:val="single" w:sz="2" w:space="0" w:color="auto"/>
              <w:right w:val="nil"/>
            </w:tcBorders>
            <w:shd w:val="clear" w:color="auto" w:fill="95B3D7" w:themeFill="accent1" w:themeFillTint="99"/>
            <w:noWrap/>
            <w:vAlign w:val="center"/>
          </w:tcPr>
          <w:p w14:paraId="711D8D0F" w14:textId="77777777" w:rsidR="003D6C8C" w:rsidRPr="0001734E" w:rsidRDefault="0073021D" w:rsidP="003D6C8C">
            <w:pPr>
              <w:pStyle w:val="cuadroCabe"/>
              <w:jc w:val="right"/>
            </w:pPr>
            <w:r w:rsidRPr="0001734E">
              <w:t>911.730</w:t>
            </w:r>
          </w:p>
        </w:tc>
      </w:tr>
      <w:tr w:rsidR="00DC366D" w:rsidRPr="00DC366D" w14:paraId="4ACB2AC9" w14:textId="77777777" w:rsidTr="001F6B50">
        <w:trPr>
          <w:trHeight w:val="198"/>
          <w:jc w:val="center"/>
        </w:trPr>
        <w:tc>
          <w:tcPr>
            <w:tcW w:w="6379" w:type="dxa"/>
            <w:tcBorders>
              <w:top w:val="single" w:sz="2" w:space="0" w:color="auto"/>
              <w:left w:val="nil"/>
              <w:bottom w:val="single" w:sz="2" w:space="0" w:color="auto"/>
              <w:right w:val="nil"/>
            </w:tcBorders>
            <w:vAlign w:val="center"/>
            <w:hideMark/>
          </w:tcPr>
          <w:p w14:paraId="07DD8A6A" w14:textId="77777777" w:rsidR="00164B07" w:rsidRPr="00DC366D" w:rsidRDefault="00164B07" w:rsidP="00164B07">
            <w:pPr>
              <w:pStyle w:val="cuatexto"/>
            </w:pPr>
            <w:r w:rsidRPr="00DC366D">
              <w:t>Ajuste por retenciones de trabajo y capital IRPF</w:t>
            </w:r>
          </w:p>
        </w:tc>
        <w:tc>
          <w:tcPr>
            <w:tcW w:w="1134" w:type="dxa"/>
            <w:tcBorders>
              <w:top w:val="single" w:sz="2" w:space="0" w:color="auto"/>
              <w:left w:val="nil"/>
              <w:bottom w:val="single" w:sz="2" w:space="0" w:color="auto"/>
              <w:right w:val="nil"/>
            </w:tcBorders>
            <w:vAlign w:val="center"/>
          </w:tcPr>
          <w:p w14:paraId="5913C399" w14:textId="77777777" w:rsidR="00164B07" w:rsidRPr="00DC366D" w:rsidRDefault="00164B07" w:rsidP="00164B07">
            <w:pPr>
              <w:pStyle w:val="cuatexto"/>
              <w:jc w:val="right"/>
            </w:pPr>
            <w:r w:rsidRPr="00DC366D">
              <w:t>303.075</w:t>
            </w:r>
          </w:p>
        </w:tc>
        <w:tc>
          <w:tcPr>
            <w:tcW w:w="1276" w:type="dxa"/>
            <w:tcBorders>
              <w:top w:val="single" w:sz="2" w:space="0" w:color="auto"/>
              <w:left w:val="nil"/>
              <w:bottom w:val="single" w:sz="2" w:space="0" w:color="auto"/>
              <w:right w:val="nil"/>
            </w:tcBorders>
            <w:shd w:val="clear" w:color="auto" w:fill="auto"/>
            <w:noWrap/>
            <w:vAlign w:val="bottom"/>
          </w:tcPr>
          <w:p w14:paraId="66439C2C" w14:textId="77777777" w:rsidR="00164B07" w:rsidRPr="00DC366D" w:rsidRDefault="00164B07" w:rsidP="00164B07">
            <w:pPr>
              <w:pStyle w:val="cuatexto"/>
              <w:jc w:val="right"/>
            </w:pPr>
            <w:r w:rsidRPr="00DC366D">
              <w:t>146.576</w:t>
            </w:r>
          </w:p>
        </w:tc>
      </w:tr>
      <w:tr w:rsidR="00DC366D" w:rsidRPr="00DC366D" w14:paraId="4FBED789" w14:textId="77777777" w:rsidTr="001F6B50">
        <w:trPr>
          <w:trHeight w:val="198"/>
          <w:jc w:val="center"/>
        </w:trPr>
        <w:tc>
          <w:tcPr>
            <w:tcW w:w="6379" w:type="dxa"/>
            <w:tcBorders>
              <w:top w:val="single" w:sz="2" w:space="0" w:color="auto"/>
              <w:left w:val="nil"/>
              <w:bottom w:val="single" w:sz="2" w:space="0" w:color="auto"/>
              <w:right w:val="nil"/>
            </w:tcBorders>
            <w:vAlign w:val="center"/>
            <w:hideMark/>
          </w:tcPr>
          <w:p w14:paraId="6F3542F3" w14:textId="77777777" w:rsidR="00164B07" w:rsidRPr="00DC366D" w:rsidRDefault="00164B07" w:rsidP="00164B07">
            <w:pPr>
              <w:pStyle w:val="cuatexto"/>
            </w:pPr>
            <w:r w:rsidRPr="00DC366D">
              <w:t>Ajustes por IVA</w:t>
            </w:r>
          </w:p>
        </w:tc>
        <w:tc>
          <w:tcPr>
            <w:tcW w:w="1134" w:type="dxa"/>
            <w:tcBorders>
              <w:top w:val="single" w:sz="2" w:space="0" w:color="auto"/>
              <w:left w:val="nil"/>
              <w:bottom w:val="single" w:sz="2" w:space="0" w:color="auto"/>
              <w:right w:val="nil"/>
            </w:tcBorders>
            <w:vAlign w:val="center"/>
          </w:tcPr>
          <w:p w14:paraId="69564DA0" w14:textId="77777777" w:rsidR="00164B07" w:rsidRPr="00DC366D" w:rsidRDefault="00164B07" w:rsidP="00164B07">
            <w:pPr>
              <w:pStyle w:val="cuatexto"/>
              <w:jc w:val="right"/>
            </w:pPr>
            <w:r w:rsidRPr="00DC366D">
              <w:t>1.363.868</w:t>
            </w:r>
          </w:p>
        </w:tc>
        <w:tc>
          <w:tcPr>
            <w:tcW w:w="1276" w:type="dxa"/>
            <w:tcBorders>
              <w:top w:val="single" w:sz="2" w:space="0" w:color="auto"/>
              <w:left w:val="nil"/>
              <w:bottom w:val="single" w:sz="2" w:space="0" w:color="auto"/>
              <w:right w:val="nil"/>
            </w:tcBorders>
            <w:shd w:val="clear" w:color="auto" w:fill="auto"/>
            <w:noWrap/>
            <w:vAlign w:val="bottom"/>
          </w:tcPr>
          <w:p w14:paraId="2EECDBF3" w14:textId="77777777" w:rsidR="00164B07" w:rsidRPr="00DC366D" w:rsidRDefault="00164B07" w:rsidP="00164B07">
            <w:pPr>
              <w:pStyle w:val="cuatexto"/>
              <w:jc w:val="right"/>
            </w:pPr>
            <w:r w:rsidRPr="00DC366D">
              <w:t>1.137.116</w:t>
            </w:r>
          </w:p>
        </w:tc>
      </w:tr>
      <w:tr w:rsidR="00DC366D" w:rsidRPr="00DC366D" w14:paraId="4BE15EF6" w14:textId="77777777" w:rsidTr="001F6B50">
        <w:trPr>
          <w:trHeight w:val="198"/>
          <w:jc w:val="center"/>
        </w:trPr>
        <w:tc>
          <w:tcPr>
            <w:tcW w:w="6379" w:type="dxa"/>
            <w:tcBorders>
              <w:top w:val="single" w:sz="2" w:space="0" w:color="auto"/>
              <w:left w:val="nil"/>
              <w:bottom w:val="single" w:sz="2" w:space="0" w:color="auto"/>
              <w:right w:val="nil"/>
            </w:tcBorders>
            <w:vAlign w:val="center"/>
            <w:hideMark/>
          </w:tcPr>
          <w:p w14:paraId="675F8FF0" w14:textId="77777777" w:rsidR="00164B07" w:rsidRPr="00DC366D" w:rsidRDefault="00164B07" w:rsidP="00164B07">
            <w:pPr>
              <w:pStyle w:val="cuatexto"/>
            </w:pPr>
            <w:r w:rsidRPr="00DC366D">
              <w:t xml:space="preserve">Ajuste fiscal por impuestos </w:t>
            </w:r>
            <w:proofErr w:type="spellStart"/>
            <w:r w:rsidRPr="00DC366D">
              <w:t>espec</w:t>
            </w:r>
            <w:proofErr w:type="spellEnd"/>
            <w:r w:rsidRPr="00DC366D">
              <w:t>. s/ alcohol y bebidas derivadas</w:t>
            </w:r>
          </w:p>
        </w:tc>
        <w:tc>
          <w:tcPr>
            <w:tcW w:w="1134" w:type="dxa"/>
            <w:tcBorders>
              <w:top w:val="single" w:sz="2" w:space="0" w:color="auto"/>
              <w:left w:val="nil"/>
              <w:bottom w:val="single" w:sz="2" w:space="0" w:color="auto"/>
              <w:right w:val="nil"/>
            </w:tcBorders>
            <w:vAlign w:val="center"/>
          </w:tcPr>
          <w:p w14:paraId="5821DCFA" w14:textId="77777777" w:rsidR="00164B07" w:rsidRPr="00DC366D" w:rsidRDefault="00164B07" w:rsidP="00164B07">
            <w:pPr>
              <w:pStyle w:val="cuatexto"/>
              <w:jc w:val="right"/>
            </w:pPr>
            <w:r w:rsidRPr="00DC366D">
              <w:t>-41.383</w:t>
            </w:r>
          </w:p>
        </w:tc>
        <w:tc>
          <w:tcPr>
            <w:tcW w:w="1276" w:type="dxa"/>
            <w:tcBorders>
              <w:top w:val="single" w:sz="2" w:space="0" w:color="auto"/>
              <w:left w:val="nil"/>
              <w:bottom w:val="single" w:sz="2" w:space="0" w:color="auto"/>
              <w:right w:val="nil"/>
            </w:tcBorders>
            <w:shd w:val="clear" w:color="auto" w:fill="auto"/>
            <w:noWrap/>
            <w:vAlign w:val="bottom"/>
          </w:tcPr>
          <w:p w14:paraId="26274727" w14:textId="77777777" w:rsidR="00164B07" w:rsidRPr="00DC366D" w:rsidRDefault="00164B07" w:rsidP="00164B07">
            <w:pPr>
              <w:pStyle w:val="cuatexto"/>
              <w:jc w:val="right"/>
            </w:pPr>
            <w:r w:rsidRPr="00DC366D">
              <w:t>-29.473</w:t>
            </w:r>
          </w:p>
        </w:tc>
      </w:tr>
      <w:tr w:rsidR="00DC366D" w:rsidRPr="00DC366D" w14:paraId="3C05D070" w14:textId="77777777" w:rsidTr="001F6B50">
        <w:trPr>
          <w:trHeight w:val="198"/>
          <w:jc w:val="center"/>
        </w:trPr>
        <w:tc>
          <w:tcPr>
            <w:tcW w:w="6379" w:type="dxa"/>
            <w:tcBorders>
              <w:top w:val="single" w:sz="2" w:space="0" w:color="auto"/>
              <w:left w:val="nil"/>
              <w:bottom w:val="single" w:sz="2" w:space="0" w:color="auto"/>
              <w:right w:val="nil"/>
            </w:tcBorders>
            <w:vAlign w:val="center"/>
            <w:hideMark/>
          </w:tcPr>
          <w:p w14:paraId="2004DB43" w14:textId="77777777" w:rsidR="00164B07" w:rsidRPr="00DC366D" w:rsidRDefault="00164B07" w:rsidP="00164B07">
            <w:pPr>
              <w:pStyle w:val="cuatexto"/>
            </w:pPr>
            <w:r w:rsidRPr="00DC366D">
              <w:t>Ajuste fiscal por impuestos especiales sobre la cerveza</w:t>
            </w:r>
          </w:p>
        </w:tc>
        <w:tc>
          <w:tcPr>
            <w:tcW w:w="1134" w:type="dxa"/>
            <w:tcBorders>
              <w:top w:val="single" w:sz="2" w:space="0" w:color="auto"/>
              <w:left w:val="nil"/>
              <w:bottom w:val="single" w:sz="2" w:space="0" w:color="auto"/>
              <w:right w:val="nil"/>
            </w:tcBorders>
            <w:vAlign w:val="center"/>
          </w:tcPr>
          <w:p w14:paraId="755C4F49" w14:textId="77777777" w:rsidR="00164B07" w:rsidRPr="00DC366D" w:rsidRDefault="00164B07" w:rsidP="00164B07">
            <w:pPr>
              <w:pStyle w:val="cuatexto"/>
              <w:jc w:val="right"/>
            </w:pPr>
            <w:r w:rsidRPr="00DC366D">
              <w:t>6.902</w:t>
            </w:r>
          </w:p>
        </w:tc>
        <w:tc>
          <w:tcPr>
            <w:tcW w:w="1276" w:type="dxa"/>
            <w:tcBorders>
              <w:top w:val="single" w:sz="2" w:space="0" w:color="auto"/>
              <w:left w:val="nil"/>
              <w:bottom w:val="single" w:sz="2" w:space="0" w:color="auto"/>
              <w:right w:val="nil"/>
            </w:tcBorders>
            <w:shd w:val="clear" w:color="auto" w:fill="auto"/>
            <w:noWrap/>
            <w:vAlign w:val="bottom"/>
          </w:tcPr>
          <w:p w14:paraId="715A9B54" w14:textId="77777777" w:rsidR="00164B07" w:rsidRPr="00DC366D" w:rsidRDefault="00164B07" w:rsidP="00164B07">
            <w:pPr>
              <w:pStyle w:val="cuatexto"/>
              <w:jc w:val="right"/>
            </w:pPr>
            <w:r w:rsidRPr="00DC366D">
              <w:t>6.273</w:t>
            </w:r>
          </w:p>
        </w:tc>
      </w:tr>
      <w:tr w:rsidR="00DC366D" w:rsidRPr="00DC366D" w14:paraId="7C6F4565" w14:textId="77777777" w:rsidTr="001F6B50">
        <w:trPr>
          <w:trHeight w:val="198"/>
          <w:jc w:val="center"/>
        </w:trPr>
        <w:tc>
          <w:tcPr>
            <w:tcW w:w="6379" w:type="dxa"/>
            <w:tcBorders>
              <w:top w:val="single" w:sz="2" w:space="0" w:color="auto"/>
              <w:left w:val="nil"/>
              <w:bottom w:val="single" w:sz="2" w:space="0" w:color="auto"/>
              <w:right w:val="nil"/>
            </w:tcBorders>
            <w:vAlign w:val="center"/>
            <w:hideMark/>
          </w:tcPr>
          <w:p w14:paraId="461A3A52" w14:textId="77777777" w:rsidR="00164B07" w:rsidRPr="00DC366D" w:rsidRDefault="00164B07" w:rsidP="00164B07">
            <w:pPr>
              <w:pStyle w:val="cuatexto"/>
            </w:pPr>
            <w:r w:rsidRPr="00DC366D">
              <w:t>Ajuste fiscal por impuestos especiales sobre las labores de tabaco</w:t>
            </w:r>
          </w:p>
        </w:tc>
        <w:tc>
          <w:tcPr>
            <w:tcW w:w="1134" w:type="dxa"/>
            <w:tcBorders>
              <w:top w:val="single" w:sz="2" w:space="0" w:color="auto"/>
              <w:left w:val="nil"/>
              <w:bottom w:val="single" w:sz="2" w:space="0" w:color="auto"/>
              <w:right w:val="nil"/>
            </w:tcBorders>
            <w:vAlign w:val="center"/>
          </w:tcPr>
          <w:p w14:paraId="773C2943" w14:textId="77777777" w:rsidR="00164B07" w:rsidRPr="00DC366D" w:rsidRDefault="00164B07" w:rsidP="00164B07">
            <w:pPr>
              <w:pStyle w:val="cuatexto"/>
              <w:jc w:val="right"/>
            </w:pPr>
            <w:r w:rsidRPr="00DC366D">
              <w:t>6.352</w:t>
            </w:r>
          </w:p>
        </w:tc>
        <w:tc>
          <w:tcPr>
            <w:tcW w:w="1276" w:type="dxa"/>
            <w:tcBorders>
              <w:top w:val="single" w:sz="2" w:space="0" w:color="auto"/>
              <w:left w:val="nil"/>
              <w:bottom w:val="single" w:sz="2" w:space="0" w:color="auto"/>
              <w:right w:val="nil"/>
            </w:tcBorders>
            <w:shd w:val="clear" w:color="auto" w:fill="auto"/>
            <w:noWrap/>
            <w:vAlign w:val="bottom"/>
          </w:tcPr>
          <w:p w14:paraId="5A07E87F" w14:textId="77777777" w:rsidR="00164B07" w:rsidRPr="00DC366D" w:rsidRDefault="00164B07" w:rsidP="00164B07">
            <w:pPr>
              <w:pStyle w:val="cuatexto"/>
              <w:jc w:val="right"/>
            </w:pPr>
            <w:r w:rsidRPr="00DC366D">
              <w:t>14.881</w:t>
            </w:r>
          </w:p>
        </w:tc>
      </w:tr>
      <w:tr w:rsidR="00DC366D" w:rsidRPr="00DC366D" w14:paraId="172D1301" w14:textId="77777777" w:rsidTr="001F6B50">
        <w:trPr>
          <w:trHeight w:val="198"/>
          <w:jc w:val="center"/>
        </w:trPr>
        <w:tc>
          <w:tcPr>
            <w:tcW w:w="6379" w:type="dxa"/>
            <w:tcBorders>
              <w:top w:val="single" w:sz="2" w:space="0" w:color="auto"/>
              <w:left w:val="nil"/>
              <w:bottom w:val="single" w:sz="2" w:space="0" w:color="auto"/>
              <w:right w:val="nil"/>
            </w:tcBorders>
            <w:vAlign w:val="center"/>
            <w:hideMark/>
          </w:tcPr>
          <w:p w14:paraId="53C63E28" w14:textId="77777777" w:rsidR="00164B07" w:rsidRPr="00DC366D" w:rsidRDefault="00164B07" w:rsidP="00164B07">
            <w:pPr>
              <w:pStyle w:val="cuatexto"/>
            </w:pPr>
            <w:r w:rsidRPr="00DC366D">
              <w:t>Ajuste fiscal por impuestos especiales sobre hidrocarburos</w:t>
            </w:r>
          </w:p>
        </w:tc>
        <w:tc>
          <w:tcPr>
            <w:tcW w:w="1134" w:type="dxa"/>
            <w:tcBorders>
              <w:top w:val="single" w:sz="2" w:space="0" w:color="auto"/>
              <w:left w:val="nil"/>
              <w:bottom w:val="single" w:sz="2" w:space="0" w:color="auto"/>
              <w:right w:val="nil"/>
            </w:tcBorders>
            <w:vAlign w:val="center"/>
          </w:tcPr>
          <w:p w14:paraId="774B7824" w14:textId="77777777" w:rsidR="00164B07" w:rsidRPr="00DC366D" w:rsidRDefault="00164B07" w:rsidP="00164B07">
            <w:pPr>
              <w:pStyle w:val="cuatexto"/>
              <w:jc w:val="right"/>
            </w:pPr>
            <w:r w:rsidRPr="00DC366D">
              <w:t>165.714</w:t>
            </w:r>
          </w:p>
        </w:tc>
        <w:tc>
          <w:tcPr>
            <w:tcW w:w="1276" w:type="dxa"/>
            <w:tcBorders>
              <w:top w:val="single" w:sz="2" w:space="0" w:color="auto"/>
              <w:left w:val="nil"/>
              <w:bottom w:val="single" w:sz="2" w:space="0" w:color="auto"/>
              <w:right w:val="nil"/>
            </w:tcBorders>
            <w:shd w:val="clear" w:color="auto" w:fill="auto"/>
            <w:noWrap/>
            <w:vAlign w:val="bottom"/>
          </w:tcPr>
          <w:p w14:paraId="254D07B3" w14:textId="77777777" w:rsidR="00164B07" w:rsidRPr="00DC366D" w:rsidRDefault="00164B07" w:rsidP="00164B07">
            <w:pPr>
              <w:pStyle w:val="cuatexto"/>
              <w:jc w:val="right"/>
            </w:pPr>
            <w:r w:rsidRPr="00DC366D">
              <w:t>89.373</w:t>
            </w:r>
          </w:p>
        </w:tc>
      </w:tr>
      <w:tr w:rsidR="005A4EE7" w:rsidRPr="005A4EE7" w14:paraId="3B5B5365" w14:textId="77777777" w:rsidTr="001F6B50">
        <w:trPr>
          <w:trHeight w:val="198"/>
          <w:jc w:val="center"/>
        </w:trPr>
        <w:tc>
          <w:tcPr>
            <w:tcW w:w="6379" w:type="dxa"/>
            <w:tcBorders>
              <w:top w:val="single" w:sz="2" w:space="0" w:color="auto"/>
              <w:left w:val="nil"/>
              <w:bottom w:val="single" w:sz="2" w:space="0" w:color="auto"/>
              <w:right w:val="nil"/>
            </w:tcBorders>
            <w:vAlign w:val="center"/>
            <w:hideMark/>
          </w:tcPr>
          <w:p w14:paraId="373ED0F3" w14:textId="77777777" w:rsidR="003D6C8C" w:rsidRPr="005A4EE7" w:rsidRDefault="003D6C8C" w:rsidP="003D6C8C">
            <w:pPr>
              <w:pStyle w:val="cuatexto"/>
            </w:pPr>
            <w:r w:rsidRPr="005A4EE7">
              <w:t>Liquidación definitiva de la Aportación al Estado</w:t>
            </w:r>
          </w:p>
        </w:tc>
        <w:tc>
          <w:tcPr>
            <w:tcW w:w="1134" w:type="dxa"/>
            <w:tcBorders>
              <w:top w:val="single" w:sz="2" w:space="0" w:color="auto"/>
              <w:left w:val="nil"/>
              <w:bottom w:val="single" w:sz="2" w:space="0" w:color="auto"/>
              <w:right w:val="nil"/>
            </w:tcBorders>
            <w:vAlign w:val="center"/>
          </w:tcPr>
          <w:p w14:paraId="7FE2CDF8" w14:textId="77777777" w:rsidR="003D6C8C" w:rsidRPr="005A4EE7" w:rsidRDefault="003D6C8C" w:rsidP="003D6C8C">
            <w:pPr>
              <w:pStyle w:val="cuatexto"/>
              <w:jc w:val="right"/>
            </w:pPr>
            <w:r w:rsidRPr="005A4EE7">
              <w:t>22.802</w:t>
            </w:r>
          </w:p>
        </w:tc>
        <w:tc>
          <w:tcPr>
            <w:tcW w:w="1276" w:type="dxa"/>
            <w:tcBorders>
              <w:top w:val="single" w:sz="2" w:space="0" w:color="auto"/>
              <w:left w:val="nil"/>
              <w:bottom w:val="single" w:sz="2" w:space="0" w:color="auto"/>
              <w:right w:val="nil"/>
            </w:tcBorders>
            <w:noWrap/>
            <w:vAlign w:val="center"/>
          </w:tcPr>
          <w:p w14:paraId="3B049F2D" w14:textId="77777777" w:rsidR="003D6C8C" w:rsidRPr="005A4EE7" w:rsidRDefault="00DC366D" w:rsidP="003D6C8C">
            <w:pPr>
              <w:pStyle w:val="cuatexto"/>
              <w:jc w:val="right"/>
            </w:pPr>
            <w:r w:rsidRPr="005A4EE7">
              <w:t>-</w:t>
            </w:r>
          </w:p>
        </w:tc>
      </w:tr>
      <w:tr w:rsidR="00DC366D" w:rsidRPr="00DC366D" w14:paraId="24429283" w14:textId="77777777" w:rsidTr="001F6B50">
        <w:trPr>
          <w:trHeight w:val="198"/>
          <w:jc w:val="center"/>
        </w:trPr>
        <w:tc>
          <w:tcPr>
            <w:tcW w:w="6379" w:type="dxa"/>
            <w:tcBorders>
              <w:top w:val="single" w:sz="2" w:space="0" w:color="auto"/>
              <w:left w:val="nil"/>
              <w:bottom w:val="single" w:sz="2" w:space="0" w:color="auto"/>
              <w:right w:val="nil"/>
            </w:tcBorders>
            <w:vAlign w:val="center"/>
          </w:tcPr>
          <w:p w14:paraId="399B1F8F" w14:textId="77777777" w:rsidR="00164B07" w:rsidRPr="00DC366D" w:rsidRDefault="00164B07" w:rsidP="00164B07">
            <w:pPr>
              <w:pStyle w:val="cuatexto"/>
              <w:rPr>
                <w:i/>
              </w:rPr>
            </w:pPr>
            <w:r w:rsidRPr="00DC366D">
              <w:rPr>
                <w:i/>
              </w:rPr>
              <w:t>Ajuste fiscal por impuestos especiales de plástico no reutilizables</w:t>
            </w:r>
          </w:p>
        </w:tc>
        <w:tc>
          <w:tcPr>
            <w:tcW w:w="1134" w:type="dxa"/>
            <w:tcBorders>
              <w:top w:val="single" w:sz="2" w:space="0" w:color="auto"/>
              <w:left w:val="nil"/>
              <w:bottom w:val="single" w:sz="2" w:space="0" w:color="auto"/>
              <w:right w:val="nil"/>
            </w:tcBorders>
            <w:vAlign w:val="center"/>
          </w:tcPr>
          <w:p w14:paraId="0F1690F0" w14:textId="77777777" w:rsidR="00164B07" w:rsidRPr="00DC366D" w:rsidRDefault="00164B07" w:rsidP="00164B07">
            <w:pPr>
              <w:pStyle w:val="cuatexto"/>
              <w:jc w:val="right"/>
              <w:rPr>
                <w:i/>
              </w:rPr>
            </w:pPr>
            <w:r w:rsidRPr="00DC366D">
              <w:rPr>
                <w:i/>
              </w:rPr>
              <w:t>-</w:t>
            </w:r>
          </w:p>
        </w:tc>
        <w:tc>
          <w:tcPr>
            <w:tcW w:w="1276" w:type="dxa"/>
            <w:tcBorders>
              <w:top w:val="single" w:sz="2" w:space="0" w:color="auto"/>
              <w:left w:val="nil"/>
              <w:bottom w:val="single" w:sz="2" w:space="0" w:color="auto"/>
              <w:right w:val="nil"/>
            </w:tcBorders>
            <w:shd w:val="clear" w:color="auto" w:fill="auto"/>
            <w:noWrap/>
            <w:vAlign w:val="bottom"/>
          </w:tcPr>
          <w:p w14:paraId="6FC2EE73" w14:textId="77777777" w:rsidR="00164B07" w:rsidRPr="00DC366D" w:rsidRDefault="00164B07" w:rsidP="0073021D">
            <w:pPr>
              <w:pStyle w:val="cuatexto"/>
              <w:jc w:val="right"/>
            </w:pPr>
            <w:r w:rsidRPr="00DC366D">
              <w:t>6.394</w:t>
            </w:r>
          </w:p>
        </w:tc>
      </w:tr>
      <w:tr w:rsidR="00DC366D" w:rsidRPr="00DC366D" w14:paraId="78AE92D6" w14:textId="77777777" w:rsidTr="001F6B50">
        <w:trPr>
          <w:trHeight w:val="198"/>
          <w:jc w:val="center"/>
        </w:trPr>
        <w:tc>
          <w:tcPr>
            <w:tcW w:w="6379" w:type="dxa"/>
            <w:tcBorders>
              <w:top w:val="single" w:sz="2" w:space="0" w:color="auto"/>
              <w:left w:val="nil"/>
              <w:bottom w:val="single" w:sz="2" w:space="0" w:color="auto"/>
              <w:right w:val="nil"/>
            </w:tcBorders>
            <w:vAlign w:val="center"/>
          </w:tcPr>
          <w:p w14:paraId="28FB7240" w14:textId="77777777" w:rsidR="00164B07" w:rsidRPr="00DC366D" w:rsidRDefault="00164B07" w:rsidP="00164B07">
            <w:pPr>
              <w:pStyle w:val="cuatexto"/>
              <w:rPr>
                <w:i/>
              </w:rPr>
            </w:pPr>
            <w:r w:rsidRPr="00DC366D">
              <w:rPr>
                <w:i/>
              </w:rPr>
              <w:t>Ajuste fisca</w:t>
            </w:r>
            <w:r w:rsidR="003B1397">
              <w:rPr>
                <w:i/>
              </w:rPr>
              <w:t>l por impuesto especial sobre g</w:t>
            </w:r>
            <w:r w:rsidRPr="00DC366D">
              <w:rPr>
                <w:i/>
              </w:rPr>
              <w:t>ases fluorados</w:t>
            </w:r>
          </w:p>
        </w:tc>
        <w:tc>
          <w:tcPr>
            <w:tcW w:w="1134" w:type="dxa"/>
            <w:tcBorders>
              <w:top w:val="single" w:sz="2" w:space="0" w:color="auto"/>
              <w:left w:val="nil"/>
              <w:bottom w:val="single" w:sz="2" w:space="0" w:color="auto"/>
              <w:right w:val="nil"/>
            </w:tcBorders>
            <w:vAlign w:val="center"/>
          </w:tcPr>
          <w:p w14:paraId="515ABFBD" w14:textId="77777777" w:rsidR="00164B07" w:rsidRPr="00DC366D" w:rsidRDefault="00164B07" w:rsidP="00164B07">
            <w:pPr>
              <w:pStyle w:val="cuatexto"/>
              <w:jc w:val="right"/>
              <w:rPr>
                <w:i/>
              </w:rPr>
            </w:pPr>
            <w:r w:rsidRPr="00DC366D">
              <w:rPr>
                <w:i/>
              </w:rPr>
              <w:t>-</w:t>
            </w:r>
          </w:p>
        </w:tc>
        <w:tc>
          <w:tcPr>
            <w:tcW w:w="1276" w:type="dxa"/>
            <w:tcBorders>
              <w:top w:val="single" w:sz="2" w:space="0" w:color="auto"/>
              <w:left w:val="nil"/>
              <w:bottom w:val="single" w:sz="2" w:space="0" w:color="auto"/>
              <w:right w:val="nil"/>
            </w:tcBorders>
            <w:shd w:val="clear" w:color="auto" w:fill="auto"/>
            <w:noWrap/>
            <w:vAlign w:val="bottom"/>
          </w:tcPr>
          <w:p w14:paraId="217AA23C" w14:textId="77777777" w:rsidR="00164B07" w:rsidRPr="00DC366D" w:rsidRDefault="00164B07" w:rsidP="0073021D">
            <w:pPr>
              <w:pStyle w:val="cuatexto"/>
              <w:jc w:val="right"/>
            </w:pPr>
            <w:r w:rsidRPr="00DC366D">
              <w:t>867</w:t>
            </w:r>
          </w:p>
        </w:tc>
      </w:tr>
      <w:tr w:rsidR="00DC366D" w:rsidRPr="00DC366D" w14:paraId="08588F02" w14:textId="77777777" w:rsidTr="001F6B50">
        <w:trPr>
          <w:trHeight w:val="198"/>
          <w:jc w:val="center"/>
        </w:trPr>
        <w:tc>
          <w:tcPr>
            <w:tcW w:w="6379" w:type="dxa"/>
            <w:tcBorders>
              <w:top w:val="single" w:sz="2" w:space="0" w:color="auto"/>
              <w:left w:val="nil"/>
              <w:bottom w:val="single" w:sz="2" w:space="0" w:color="auto"/>
              <w:right w:val="nil"/>
            </w:tcBorders>
            <w:vAlign w:val="center"/>
          </w:tcPr>
          <w:p w14:paraId="5C44210A" w14:textId="77777777" w:rsidR="00164B07" w:rsidRPr="00DC366D" w:rsidRDefault="00164B07" w:rsidP="00164B07">
            <w:pPr>
              <w:pStyle w:val="cuatexto"/>
              <w:rPr>
                <w:i/>
              </w:rPr>
            </w:pPr>
            <w:r w:rsidRPr="00DC366D">
              <w:rPr>
                <w:i/>
              </w:rPr>
              <w:t>Ajuste fiscal por gravamen temporal energético</w:t>
            </w:r>
          </w:p>
        </w:tc>
        <w:tc>
          <w:tcPr>
            <w:tcW w:w="1134" w:type="dxa"/>
            <w:tcBorders>
              <w:top w:val="single" w:sz="2" w:space="0" w:color="auto"/>
              <w:left w:val="nil"/>
              <w:bottom w:val="single" w:sz="2" w:space="0" w:color="auto"/>
              <w:right w:val="nil"/>
            </w:tcBorders>
            <w:vAlign w:val="center"/>
          </w:tcPr>
          <w:p w14:paraId="3CB45BDE" w14:textId="77777777" w:rsidR="00164B07" w:rsidRPr="00DC366D" w:rsidRDefault="00164B07" w:rsidP="00164B07">
            <w:pPr>
              <w:pStyle w:val="cuatexto"/>
              <w:jc w:val="right"/>
              <w:rPr>
                <w:i/>
              </w:rPr>
            </w:pPr>
            <w:r w:rsidRPr="00DC366D">
              <w:rPr>
                <w:i/>
              </w:rPr>
              <w:t>-</w:t>
            </w:r>
          </w:p>
        </w:tc>
        <w:tc>
          <w:tcPr>
            <w:tcW w:w="1276" w:type="dxa"/>
            <w:tcBorders>
              <w:top w:val="single" w:sz="2" w:space="0" w:color="auto"/>
              <w:left w:val="nil"/>
              <w:bottom w:val="single" w:sz="2" w:space="0" w:color="auto"/>
              <w:right w:val="nil"/>
            </w:tcBorders>
            <w:shd w:val="clear" w:color="auto" w:fill="auto"/>
            <w:noWrap/>
            <w:vAlign w:val="bottom"/>
          </w:tcPr>
          <w:p w14:paraId="6E352851" w14:textId="77777777" w:rsidR="00164B07" w:rsidRPr="00DC366D" w:rsidRDefault="00164B07" w:rsidP="0073021D">
            <w:pPr>
              <w:pStyle w:val="cuatexto"/>
              <w:jc w:val="right"/>
            </w:pPr>
            <w:r w:rsidRPr="00DC366D">
              <w:t>26.312</w:t>
            </w:r>
          </w:p>
        </w:tc>
      </w:tr>
      <w:tr w:rsidR="00DC366D" w:rsidRPr="00DC366D" w14:paraId="19B12577" w14:textId="77777777" w:rsidTr="001F6B50">
        <w:trPr>
          <w:trHeight w:val="198"/>
          <w:jc w:val="center"/>
        </w:trPr>
        <w:tc>
          <w:tcPr>
            <w:tcW w:w="6379" w:type="dxa"/>
            <w:tcBorders>
              <w:top w:val="single" w:sz="2" w:space="0" w:color="auto"/>
              <w:left w:val="nil"/>
              <w:bottom w:val="single" w:sz="2" w:space="0" w:color="auto"/>
              <w:right w:val="nil"/>
            </w:tcBorders>
            <w:vAlign w:val="center"/>
          </w:tcPr>
          <w:p w14:paraId="487302A3" w14:textId="77777777" w:rsidR="00164B07" w:rsidRPr="00DC366D" w:rsidRDefault="00164B07" w:rsidP="00164B07">
            <w:pPr>
              <w:pStyle w:val="cuatexto"/>
              <w:rPr>
                <w:i/>
              </w:rPr>
            </w:pPr>
            <w:r w:rsidRPr="00DC366D">
              <w:rPr>
                <w:i/>
              </w:rPr>
              <w:t xml:space="preserve">Ajuste fiscal por gravamen temporal Entidades de </w:t>
            </w:r>
            <w:proofErr w:type="spellStart"/>
            <w:r w:rsidRPr="00DC366D">
              <w:rPr>
                <w:i/>
              </w:rPr>
              <w:t>Crèdito</w:t>
            </w:r>
            <w:proofErr w:type="spellEnd"/>
          </w:p>
        </w:tc>
        <w:tc>
          <w:tcPr>
            <w:tcW w:w="1134" w:type="dxa"/>
            <w:tcBorders>
              <w:top w:val="single" w:sz="2" w:space="0" w:color="auto"/>
              <w:left w:val="nil"/>
              <w:bottom w:val="single" w:sz="2" w:space="0" w:color="auto"/>
              <w:right w:val="nil"/>
            </w:tcBorders>
            <w:vAlign w:val="center"/>
          </w:tcPr>
          <w:p w14:paraId="7F3908EB" w14:textId="77777777" w:rsidR="00164B07" w:rsidRPr="00DC366D" w:rsidRDefault="00164B07" w:rsidP="00164B07">
            <w:pPr>
              <w:pStyle w:val="cuatexto"/>
              <w:jc w:val="right"/>
              <w:rPr>
                <w:i/>
              </w:rPr>
            </w:pPr>
            <w:r w:rsidRPr="00DC366D">
              <w:rPr>
                <w:i/>
              </w:rPr>
              <w:t>-</w:t>
            </w:r>
          </w:p>
        </w:tc>
        <w:tc>
          <w:tcPr>
            <w:tcW w:w="1276" w:type="dxa"/>
            <w:tcBorders>
              <w:top w:val="single" w:sz="2" w:space="0" w:color="auto"/>
              <w:left w:val="nil"/>
              <w:bottom w:val="single" w:sz="2" w:space="0" w:color="auto"/>
              <w:right w:val="nil"/>
            </w:tcBorders>
            <w:shd w:val="clear" w:color="auto" w:fill="auto"/>
            <w:noWrap/>
            <w:vAlign w:val="bottom"/>
          </w:tcPr>
          <w:p w14:paraId="4A181A2E" w14:textId="77777777" w:rsidR="00164B07" w:rsidRPr="00DC366D" w:rsidRDefault="00164B07" w:rsidP="0073021D">
            <w:pPr>
              <w:pStyle w:val="cuatexto"/>
              <w:jc w:val="right"/>
            </w:pPr>
            <w:r w:rsidRPr="00DC366D">
              <w:t>20.226</w:t>
            </w:r>
          </w:p>
        </w:tc>
      </w:tr>
      <w:tr w:rsidR="00DC366D" w:rsidRPr="00DC366D" w14:paraId="1FA92A34" w14:textId="77777777" w:rsidTr="001F6B50">
        <w:trPr>
          <w:trHeight w:val="198"/>
          <w:jc w:val="center"/>
        </w:trPr>
        <w:tc>
          <w:tcPr>
            <w:tcW w:w="6379" w:type="dxa"/>
            <w:tcBorders>
              <w:top w:val="single" w:sz="2" w:space="0" w:color="auto"/>
              <w:left w:val="nil"/>
              <w:bottom w:val="single" w:sz="2" w:space="0" w:color="auto"/>
              <w:right w:val="nil"/>
            </w:tcBorders>
            <w:vAlign w:val="center"/>
            <w:hideMark/>
          </w:tcPr>
          <w:p w14:paraId="3BF6F609" w14:textId="77777777" w:rsidR="003D6C8C" w:rsidRPr="00DC366D" w:rsidRDefault="003D6C8C" w:rsidP="00F67D36">
            <w:pPr>
              <w:pStyle w:val="cuatexto"/>
              <w:rPr>
                <w:i/>
              </w:rPr>
            </w:pPr>
            <w:r w:rsidRPr="00DC366D">
              <w:rPr>
                <w:i/>
              </w:rPr>
              <w:t>Subtotal A</w:t>
            </w:r>
            <w:r w:rsidR="00F67D36">
              <w:rPr>
                <w:i/>
              </w:rPr>
              <w:t xml:space="preserve">justes, retenciones IRPF,  IVA, </w:t>
            </w:r>
            <w:r w:rsidRPr="00DC366D">
              <w:rPr>
                <w:i/>
              </w:rPr>
              <w:t>Especiales</w:t>
            </w:r>
            <w:r w:rsidR="00F67D36">
              <w:rPr>
                <w:i/>
              </w:rPr>
              <w:t xml:space="preserve"> y resto</w:t>
            </w:r>
          </w:p>
        </w:tc>
        <w:tc>
          <w:tcPr>
            <w:tcW w:w="1134" w:type="dxa"/>
            <w:tcBorders>
              <w:top w:val="single" w:sz="2" w:space="0" w:color="auto"/>
              <w:left w:val="nil"/>
              <w:bottom w:val="single" w:sz="2" w:space="0" w:color="auto"/>
              <w:right w:val="nil"/>
            </w:tcBorders>
            <w:vAlign w:val="center"/>
          </w:tcPr>
          <w:p w14:paraId="0C498CC4" w14:textId="77777777" w:rsidR="003D6C8C" w:rsidRPr="00DC366D" w:rsidRDefault="003D6C8C" w:rsidP="003D6C8C">
            <w:pPr>
              <w:pStyle w:val="cuatexto"/>
              <w:jc w:val="right"/>
              <w:rPr>
                <w:i/>
              </w:rPr>
            </w:pPr>
            <w:r w:rsidRPr="00DC366D">
              <w:rPr>
                <w:i/>
              </w:rPr>
              <w:t>1.827.330</w:t>
            </w:r>
          </w:p>
        </w:tc>
        <w:tc>
          <w:tcPr>
            <w:tcW w:w="1276" w:type="dxa"/>
            <w:tcBorders>
              <w:top w:val="single" w:sz="2" w:space="0" w:color="auto"/>
              <w:left w:val="nil"/>
              <w:bottom w:val="single" w:sz="2" w:space="0" w:color="auto"/>
              <w:right w:val="nil"/>
            </w:tcBorders>
            <w:noWrap/>
            <w:vAlign w:val="center"/>
          </w:tcPr>
          <w:p w14:paraId="7CA9F857" w14:textId="77777777" w:rsidR="003D6C8C" w:rsidRPr="00DC366D" w:rsidRDefault="0073021D" w:rsidP="003D6C8C">
            <w:pPr>
              <w:pStyle w:val="cuatexto"/>
              <w:jc w:val="right"/>
              <w:rPr>
                <w:i/>
              </w:rPr>
            </w:pPr>
            <w:r w:rsidRPr="00DC366D">
              <w:rPr>
                <w:i/>
              </w:rPr>
              <w:t>1.418.54</w:t>
            </w:r>
            <w:r w:rsidR="00DC366D" w:rsidRPr="00DC366D">
              <w:rPr>
                <w:i/>
              </w:rPr>
              <w:t>4</w:t>
            </w:r>
          </w:p>
        </w:tc>
      </w:tr>
      <w:tr w:rsidR="003D6C8C" w:rsidRPr="00DC366D" w14:paraId="790DBB39" w14:textId="77777777" w:rsidTr="001F6B50">
        <w:trPr>
          <w:trHeight w:val="198"/>
          <w:jc w:val="center"/>
        </w:trPr>
        <w:tc>
          <w:tcPr>
            <w:tcW w:w="6379" w:type="dxa"/>
            <w:tcBorders>
              <w:top w:val="single" w:sz="2" w:space="0" w:color="auto"/>
              <w:left w:val="nil"/>
              <w:bottom w:val="single" w:sz="4" w:space="0" w:color="auto"/>
              <w:right w:val="nil"/>
            </w:tcBorders>
            <w:vAlign w:val="center"/>
            <w:hideMark/>
          </w:tcPr>
          <w:p w14:paraId="37C4C576" w14:textId="77777777" w:rsidR="003D6C8C" w:rsidRPr="00DC366D" w:rsidRDefault="003D6C8C" w:rsidP="003D6C8C">
            <w:pPr>
              <w:pStyle w:val="cuatexto"/>
            </w:pPr>
            <w:r w:rsidRPr="00DC366D">
              <w:t>Participación de las diputaciones en los ingresos del Estado</w:t>
            </w:r>
          </w:p>
        </w:tc>
        <w:tc>
          <w:tcPr>
            <w:tcW w:w="1134" w:type="dxa"/>
            <w:tcBorders>
              <w:top w:val="single" w:sz="2" w:space="0" w:color="auto"/>
              <w:left w:val="nil"/>
              <w:bottom w:val="single" w:sz="4" w:space="0" w:color="auto"/>
              <w:right w:val="nil"/>
            </w:tcBorders>
            <w:vAlign w:val="center"/>
          </w:tcPr>
          <w:p w14:paraId="12D81F07" w14:textId="77777777" w:rsidR="003D6C8C" w:rsidRPr="00DC366D" w:rsidRDefault="003D6C8C" w:rsidP="003D6C8C">
            <w:pPr>
              <w:pStyle w:val="cuatexto"/>
              <w:jc w:val="right"/>
            </w:pPr>
            <w:r w:rsidRPr="00DC366D">
              <w:t>114</w:t>
            </w:r>
          </w:p>
        </w:tc>
        <w:tc>
          <w:tcPr>
            <w:tcW w:w="1276" w:type="dxa"/>
            <w:tcBorders>
              <w:top w:val="single" w:sz="2" w:space="0" w:color="auto"/>
              <w:left w:val="nil"/>
              <w:bottom w:val="single" w:sz="4" w:space="0" w:color="auto"/>
              <w:right w:val="nil"/>
            </w:tcBorders>
            <w:noWrap/>
            <w:vAlign w:val="center"/>
          </w:tcPr>
          <w:p w14:paraId="082B1D3F" w14:textId="77777777" w:rsidR="003D6C8C" w:rsidRPr="00DC366D" w:rsidRDefault="0073021D" w:rsidP="003D6C8C">
            <w:pPr>
              <w:pStyle w:val="cuatexto"/>
              <w:jc w:val="right"/>
            </w:pPr>
            <w:r w:rsidRPr="00DC366D">
              <w:t>119</w:t>
            </w:r>
          </w:p>
        </w:tc>
      </w:tr>
      <w:tr w:rsidR="003D6C8C" w:rsidRPr="00DC366D" w14:paraId="3FE14FC7" w14:textId="77777777" w:rsidTr="001F6B50">
        <w:trPr>
          <w:trHeight w:val="255"/>
          <w:jc w:val="center"/>
        </w:trPr>
        <w:tc>
          <w:tcPr>
            <w:tcW w:w="6379" w:type="dxa"/>
            <w:tcBorders>
              <w:top w:val="single" w:sz="4" w:space="0" w:color="auto"/>
              <w:left w:val="nil"/>
              <w:bottom w:val="single" w:sz="4" w:space="0" w:color="auto"/>
              <w:right w:val="nil"/>
            </w:tcBorders>
            <w:shd w:val="clear" w:color="auto" w:fill="8DB3E2"/>
            <w:vAlign w:val="center"/>
            <w:hideMark/>
          </w:tcPr>
          <w:p w14:paraId="1ED46289" w14:textId="77777777" w:rsidR="003D6C8C" w:rsidRPr="00DC366D" w:rsidRDefault="003D6C8C" w:rsidP="003D6C8C">
            <w:pPr>
              <w:pStyle w:val="cuadroCabe"/>
              <w:rPr>
                <w:bCs/>
              </w:rPr>
            </w:pPr>
            <w:r w:rsidRPr="00DC366D">
              <w:t>Total partidas Ingresos - Convenio</w:t>
            </w:r>
          </w:p>
        </w:tc>
        <w:tc>
          <w:tcPr>
            <w:tcW w:w="1134" w:type="dxa"/>
            <w:tcBorders>
              <w:top w:val="single" w:sz="4" w:space="0" w:color="auto"/>
              <w:left w:val="nil"/>
              <w:bottom w:val="single" w:sz="4" w:space="0" w:color="auto"/>
              <w:right w:val="nil"/>
            </w:tcBorders>
            <w:shd w:val="clear" w:color="auto" w:fill="8DB3E2"/>
            <w:vAlign w:val="center"/>
          </w:tcPr>
          <w:p w14:paraId="54D4D9BD" w14:textId="77777777" w:rsidR="003D6C8C" w:rsidRPr="00DC366D" w:rsidRDefault="003D6C8C" w:rsidP="003D6C8C">
            <w:pPr>
              <w:pStyle w:val="cuadroCabe"/>
              <w:jc w:val="right"/>
            </w:pPr>
            <w:r w:rsidRPr="00DC366D">
              <w:t>1.827.443</w:t>
            </w:r>
          </w:p>
        </w:tc>
        <w:tc>
          <w:tcPr>
            <w:tcW w:w="1276" w:type="dxa"/>
            <w:tcBorders>
              <w:top w:val="single" w:sz="4" w:space="0" w:color="auto"/>
              <w:left w:val="nil"/>
              <w:bottom w:val="single" w:sz="4" w:space="0" w:color="auto"/>
              <w:right w:val="nil"/>
            </w:tcBorders>
            <w:shd w:val="clear" w:color="auto" w:fill="8DB3E2"/>
            <w:noWrap/>
            <w:vAlign w:val="center"/>
          </w:tcPr>
          <w:p w14:paraId="04B21BCE" w14:textId="77777777" w:rsidR="003D6C8C" w:rsidRPr="00DC366D" w:rsidRDefault="0073021D" w:rsidP="003D6C8C">
            <w:pPr>
              <w:pStyle w:val="cuadroCabe"/>
              <w:jc w:val="right"/>
            </w:pPr>
            <w:r w:rsidRPr="00DC366D">
              <w:t>1.418.663</w:t>
            </w:r>
          </w:p>
        </w:tc>
      </w:tr>
    </w:tbl>
    <w:p w14:paraId="41BE69FF" w14:textId="77777777" w:rsidR="003B1397" w:rsidRDefault="003B1397" w:rsidP="00164B07">
      <w:pPr>
        <w:jc w:val="both"/>
        <w:rPr>
          <w:rFonts w:ascii="Calibri" w:hAnsi="Calibri" w:cs="Calibri"/>
          <w:b/>
          <w:bCs/>
          <w:color w:val="000000"/>
          <w:sz w:val="22"/>
          <w:szCs w:val="22"/>
        </w:rPr>
      </w:pPr>
    </w:p>
    <w:p w14:paraId="40F53A45" w14:textId="77777777" w:rsidR="003B1397" w:rsidRDefault="00614DC4" w:rsidP="008C2B8E">
      <w:pPr>
        <w:pStyle w:val="texto"/>
        <w:numPr>
          <w:ilvl w:val="0"/>
          <w:numId w:val="6"/>
        </w:numPr>
        <w:tabs>
          <w:tab w:val="clear" w:pos="360"/>
          <w:tab w:val="num" w:pos="300"/>
          <w:tab w:val="left" w:pos="480"/>
          <w:tab w:val="num" w:pos="600"/>
        </w:tabs>
        <w:spacing w:before="120" w:after="120"/>
        <w:ind w:firstLine="289"/>
        <w:jc w:val="both"/>
      </w:pPr>
      <w:r w:rsidRPr="0056112E">
        <w:rPr>
          <w:rFonts w:cs="Arial"/>
        </w:rPr>
        <w:t>En los ingresos derivados del Convenio en 202</w:t>
      </w:r>
      <w:r w:rsidR="00920A4B" w:rsidRPr="0056112E">
        <w:rPr>
          <w:rFonts w:cs="Arial"/>
        </w:rPr>
        <w:t>3</w:t>
      </w:r>
      <w:r w:rsidRPr="0056112E">
        <w:rPr>
          <w:rFonts w:cs="Arial"/>
        </w:rPr>
        <w:t>, por 1.</w:t>
      </w:r>
      <w:r w:rsidR="00920A4B" w:rsidRPr="0056112E">
        <w:rPr>
          <w:rFonts w:cs="Arial"/>
        </w:rPr>
        <w:t>418,66</w:t>
      </w:r>
      <w:r w:rsidRPr="0056112E">
        <w:rPr>
          <w:rFonts w:cs="Arial"/>
        </w:rPr>
        <w:t xml:space="preserve"> millones deben diferenciarse los siguientes apartados: </w:t>
      </w:r>
    </w:p>
    <w:p w14:paraId="1AC952B8" w14:textId="77777777" w:rsidR="00614DC4" w:rsidRPr="00920A4B" w:rsidRDefault="005A44B2" w:rsidP="005A44B2">
      <w:pPr>
        <w:pStyle w:val="texto"/>
        <w:spacing w:after="120"/>
        <w:jc w:val="both"/>
      </w:pPr>
      <w:r>
        <w:t xml:space="preserve">a) </w:t>
      </w:r>
      <w:r w:rsidR="00614DC4" w:rsidRPr="00920A4B">
        <w:t>Los ajustes por retenciones del trabajo y capital</w:t>
      </w:r>
      <w:r w:rsidR="0054593D">
        <w:t xml:space="preserve"> </w:t>
      </w:r>
      <w:r w:rsidR="00614DC4" w:rsidRPr="00920A4B">
        <w:t xml:space="preserve">en el IRPF por </w:t>
      </w:r>
      <w:r w:rsidR="00920A4B" w:rsidRPr="00920A4B">
        <w:t>146,57</w:t>
      </w:r>
      <w:r w:rsidR="00614DC4" w:rsidRPr="00920A4B">
        <w:t xml:space="preserve"> millones</w:t>
      </w:r>
      <w:r w:rsidR="0054593D">
        <w:t xml:space="preserve"> del propio ejercicio</w:t>
      </w:r>
      <w:r w:rsidR="00614DC4" w:rsidRPr="00920A4B">
        <w:t xml:space="preserve">, </w:t>
      </w:r>
      <w:r w:rsidR="00920A4B" w:rsidRPr="00920A4B">
        <w:t>son menores que en el ejercicio anterior, dado que</w:t>
      </w:r>
      <w:r w:rsidR="00485495">
        <w:t>,</w:t>
      </w:r>
      <w:r w:rsidR="00920A4B" w:rsidRPr="00920A4B">
        <w:t xml:space="preserve"> en 2022, </w:t>
      </w:r>
      <w:r w:rsidR="0054593D">
        <w:t xml:space="preserve">además de los </w:t>
      </w:r>
      <w:r w:rsidR="00614DC4" w:rsidRPr="00920A4B">
        <w:t xml:space="preserve">117,38 millones como ajustes del propio ejercicio, </w:t>
      </w:r>
      <w:r w:rsidR="0054593D">
        <w:t xml:space="preserve">se incluyeron </w:t>
      </w:r>
      <w:r w:rsidR="00614DC4" w:rsidRPr="00920A4B">
        <w:t xml:space="preserve">185,70 millones correspondientes </w:t>
      </w:r>
      <w:r w:rsidR="00920A4B" w:rsidRPr="00920A4B">
        <w:t>la regularización de las</w:t>
      </w:r>
      <w:r w:rsidR="00614DC4" w:rsidRPr="00920A4B">
        <w:t xml:space="preserve"> retenciones de trabajo y capital de los ejercicios 2020 y 2021. </w:t>
      </w:r>
    </w:p>
    <w:p w14:paraId="387714AB" w14:textId="77777777" w:rsidR="00614DC4" w:rsidRPr="00F67D36" w:rsidRDefault="005A44B2" w:rsidP="005A44B2">
      <w:pPr>
        <w:pStyle w:val="texto"/>
        <w:spacing w:after="120"/>
        <w:jc w:val="both"/>
      </w:pPr>
      <w:r>
        <w:t xml:space="preserve">b) </w:t>
      </w:r>
      <w:r w:rsidR="00614DC4" w:rsidRPr="00F67D36">
        <w:t xml:space="preserve">Los ajustes por IVA e Impuestos especiales </w:t>
      </w:r>
      <w:r w:rsidR="00F67D36">
        <w:t>(incluidos en 2023 dos nuevos impuestos</w:t>
      </w:r>
      <w:r w:rsidR="00735746">
        <w:t xml:space="preserve"> especiales</w:t>
      </w:r>
      <w:r w:rsidR="00F67D36">
        <w:t xml:space="preserve">) </w:t>
      </w:r>
      <w:r w:rsidR="00614DC4" w:rsidRPr="00F67D36">
        <w:t>por un importe conjunto de 1.</w:t>
      </w:r>
      <w:r w:rsidR="00F67D36" w:rsidRPr="00F67D36">
        <w:t>2</w:t>
      </w:r>
      <w:r w:rsidR="00F67D36">
        <w:t>25,43</w:t>
      </w:r>
      <w:r w:rsidR="00614DC4" w:rsidRPr="00F67D36">
        <w:t xml:space="preserve"> millones, incluyen tanto los ajustes de 202</w:t>
      </w:r>
      <w:r w:rsidR="00920A4B" w:rsidRPr="00F67D36">
        <w:t>3</w:t>
      </w:r>
      <w:r w:rsidR="00614DC4" w:rsidRPr="00F67D36">
        <w:t>, como los correspondientes a las regularizaciones correspondientes a</w:t>
      </w:r>
      <w:r w:rsidR="00920A4B" w:rsidRPr="00F67D36">
        <w:t xml:space="preserve">l ejercicio 2022. El ejercicio anterior, hubo que regularizar los </w:t>
      </w:r>
      <w:r w:rsidR="00614DC4" w:rsidRPr="00F67D36">
        <w:t xml:space="preserve">ejercicios 2020 y 2021. </w:t>
      </w:r>
    </w:p>
    <w:p w14:paraId="4B60A3F6" w14:textId="77777777" w:rsidR="00AB0FC5" w:rsidRDefault="005A44B2" w:rsidP="005A44B2">
      <w:pPr>
        <w:pStyle w:val="texto"/>
        <w:jc w:val="both"/>
      </w:pPr>
      <w:r>
        <w:t xml:space="preserve">c) </w:t>
      </w:r>
      <w:r w:rsidR="00F67D36" w:rsidRPr="0054593D">
        <w:t xml:space="preserve">En el ejercicio 2023, a diferencia de 2022, se incluyen los ajustes correspondientes a los nuevos gravámenes temporales que se incorporaron en la modificación del convenio. </w:t>
      </w:r>
    </w:p>
    <w:p w14:paraId="557EE4EA" w14:textId="77777777" w:rsidR="00AB0FC5" w:rsidRDefault="00AB0FC5">
      <w:pPr>
        <w:rPr>
          <w:spacing w:val="6"/>
          <w:sz w:val="26"/>
        </w:rPr>
      </w:pPr>
      <w:r>
        <w:br w:type="page"/>
      </w:r>
    </w:p>
    <w:p w14:paraId="0020C8F7" w14:textId="77777777" w:rsidR="00AC61AC" w:rsidRPr="003A4E9E" w:rsidRDefault="003A4E9E" w:rsidP="008C2B8E">
      <w:pPr>
        <w:pStyle w:val="texto"/>
        <w:numPr>
          <w:ilvl w:val="0"/>
          <w:numId w:val="6"/>
        </w:numPr>
        <w:tabs>
          <w:tab w:val="clear" w:pos="360"/>
          <w:tab w:val="num" w:pos="300"/>
          <w:tab w:val="left" w:pos="480"/>
          <w:tab w:val="num" w:pos="600"/>
        </w:tabs>
        <w:spacing w:before="360" w:after="240"/>
        <w:ind w:firstLine="284"/>
        <w:jc w:val="both"/>
        <w:rPr>
          <w:rFonts w:cs="Arial"/>
        </w:rPr>
      </w:pPr>
      <w:bookmarkStart w:id="137" w:name="_Toc52267374"/>
      <w:bookmarkStart w:id="138" w:name="_Toc525907445"/>
      <w:bookmarkStart w:id="139" w:name="_Toc494270389"/>
      <w:r w:rsidRPr="003A4E9E">
        <w:rPr>
          <w:rFonts w:cs="Arial"/>
        </w:rPr>
        <w:lastRenderedPageBreak/>
        <w:t xml:space="preserve">En el siguiente cuadro, reflejamos los flujos financieros derivados del Convenio y el saldo </w:t>
      </w:r>
      <w:r>
        <w:rPr>
          <w:rFonts w:cs="Arial"/>
        </w:rPr>
        <w:t xml:space="preserve">resultante </w:t>
      </w:r>
      <w:r w:rsidRPr="003A4E9E">
        <w:rPr>
          <w:rFonts w:cs="Arial"/>
        </w:rPr>
        <w:t xml:space="preserve">en 2023: </w:t>
      </w:r>
    </w:p>
    <w:tbl>
      <w:tblPr>
        <w:tblW w:w="8931" w:type="dxa"/>
        <w:jc w:val="center"/>
        <w:tblCellMar>
          <w:left w:w="70" w:type="dxa"/>
          <w:right w:w="70" w:type="dxa"/>
        </w:tblCellMar>
        <w:tblLook w:val="04A0" w:firstRow="1" w:lastRow="0" w:firstColumn="1" w:lastColumn="0" w:noHBand="0" w:noVBand="1"/>
      </w:tblPr>
      <w:tblGrid>
        <w:gridCol w:w="5680"/>
        <w:gridCol w:w="1408"/>
        <w:gridCol w:w="1843"/>
      </w:tblGrid>
      <w:tr w:rsidR="00AC61AC" w14:paraId="08725CE7" w14:textId="77777777" w:rsidTr="00810207">
        <w:trPr>
          <w:trHeight w:val="255"/>
          <w:jc w:val="center"/>
        </w:trPr>
        <w:tc>
          <w:tcPr>
            <w:tcW w:w="5680" w:type="dxa"/>
            <w:tcBorders>
              <w:top w:val="single" w:sz="4" w:space="0" w:color="auto"/>
              <w:left w:val="nil"/>
              <w:bottom w:val="single" w:sz="4" w:space="0" w:color="auto"/>
              <w:right w:val="nil"/>
            </w:tcBorders>
            <w:shd w:val="clear" w:color="000000" w:fill="95B3D7"/>
            <w:noWrap/>
            <w:vAlign w:val="center"/>
            <w:hideMark/>
          </w:tcPr>
          <w:p w14:paraId="04CA6B0C" w14:textId="77777777" w:rsidR="00AC61AC" w:rsidRDefault="00AC61AC">
            <w:pPr>
              <w:rPr>
                <w:rFonts w:ascii="Arial" w:hAnsi="Arial" w:cs="Arial"/>
                <w:color w:val="000000"/>
                <w:sz w:val="18"/>
                <w:szCs w:val="18"/>
              </w:rPr>
            </w:pPr>
            <w:r>
              <w:rPr>
                <w:rFonts w:ascii="Arial" w:hAnsi="Arial" w:cs="Arial"/>
                <w:color w:val="000000"/>
                <w:sz w:val="18"/>
                <w:szCs w:val="18"/>
              </w:rPr>
              <w:t>Ajustes fiscales</w:t>
            </w:r>
          </w:p>
        </w:tc>
        <w:tc>
          <w:tcPr>
            <w:tcW w:w="1408" w:type="dxa"/>
            <w:tcBorders>
              <w:top w:val="single" w:sz="4" w:space="0" w:color="auto"/>
              <w:left w:val="nil"/>
              <w:bottom w:val="single" w:sz="4" w:space="0" w:color="auto"/>
              <w:right w:val="nil"/>
            </w:tcBorders>
            <w:shd w:val="clear" w:color="000000" w:fill="95B3D7"/>
            <w:noWrap/>
            <w:vAlign w:val="center"/>
            <w:hideMark/>
          </w:tcPr>
          <w:p w14:paraId="6479717E" w14:textId="77777777" w:rsidR="00AC61AC" w:rsidRDefault="00AC61AC">
            <w:pPr>
              <w:jc w:val="right"/>
              <w:rPr>
                <w:rFonts w:ascii="Arial" w:hAnsi="Arial" w:cs="Arial"/>
                <w:color w:val="000000"/>
                <w:sz w:val="18"/>
                <w:szCs w:val="18"/>
              </w:rPr>
            </w:pPr>
            <w:r>
              <w:rPr>
                <w:rFonts w:ascii="Arial" w:hAnsi="Arial" w:cs="Arial"/>
                <w:color w:val="000000"/>
                <w:sz w:val="18"/>
                <w:szCs w:val="18"/>
              </w:rPr>
              <w:t> </w:t>
            </w:r>
          </w:p>
        </w:tc>
        <w:tc>
          <w:tcPr>
            <w:tcW w:w="1843" w:type="dxa"/>
            <w:tcBorders>
              <w:top w:val="single" w:sz="4" w:space="0" w:color="auto"/>
              <w:left w:val="nil"/>
              <w:bottom w:val="single" w:sz="4" w:space="0" w:color="auto"/>
              <w:right w:val="nil"/>
            </w:tcBorders>
            <w:shd w:val="clear" w:color="000000" w:fill="95B3D7"/>
            <w:noWrap/>
            <w:vAlign w:val="center"/>
            <w:hideMark/>
          </w:tcPr>
          <w:p w14:paraId="2203D796" w14:textId="77777777" w:rsidR="00AC61AC" w:rsidRDefault="00AC61AC">
            <w:pPr>
              <w:jc w:val="right"/>
              <w:rPr>
                <w:rFonts w:ascii="Arial" w:hAnsi="Arial" w:cs="Arial"/>
                <w:color w:val="000000"/>
                <w:sz w:val="18"/>
                <w:szCs w:val="18"/>
              </w:rPr>
            </w:pPr>
            <w:r>
              <w:rPr>
                <w:rFonts w:ascii="Arial" w:hAnsi="Arial" w:cs="Arial"/>
                <w:color w:val="000000"/>
                <w:sz w:val="18"/>
                <w:szCs w:val="18"/>
              </w:rPr>
              <w:t xml:space="preserve">Importe </w:t>
            </w:r>
          </w:p>
        </w:tc>
      </w:tr>
      <w:tr w:rsidR="00AC61AC" w:rsidRPr="003A1A2F" w14:paraId="3F1D7152" w14:textId="77777777" w:rsidTr="00810207">
        <w:trPr>
          <w:trHeight w:val="198"/>
          <w:jc w:val="center"/>
        </w:trPr>
        <w:tc>
          <w:tcPr>
            <w:tcW w:w="5680" w:type="dxa"/>
            <w:tcBorders>
              <w:top w:val="single" w:sz="4" w:space="0" w:color="auto"/>
              <w:left w:val="nil"/>
              <w:bottom w:val="single" w:sz="4" w:space="0" w:color="auto"/>
              <w:right w:val="nil"/>
            </w:tcBorders>
            <w:shd w:val="clear" w:color="auto" w:fill="auto"/>
            <w:noWrap/>
            <w:vAlign w:val="center"/>
            <w:hideMark/>
          </w:tcPr>
          <w:p w14:paraId="2662C15E" w14:textId="77777777" w:rsidR="00AC61AC" w:rsidRPr="003A1A2F" w:rsidRDefault="00AC61AC">
            <w:pPr>
              <w:rPr>
                <w:rFonts w:ascii="Arial Narrow" w:hAnsi="Arial Narrow" w:cs="Arial"/>
                <w:b/>
                <w:bCs/>
                <w:color w:val="000000"/>
                <w:sz w:val="20"/>
                <w:szCs w:val="20"/>
              </w:rPr>
            </w:pPr>
            <w:r w:rsidRPr="003A1A2F">
              <w:rPr>
                <w:rFonts w:ascii="Arial Narrow" w:hAnsi="Arial Narrow" w:cs="Arial"/>
                <w:b/>
                <w:bCs/>
                <w:color w:val="000000"/>
                <w:sz w:val="20"/>
                <w:szCs w:val="20"/>
              </w:rPr>
              <w:t>Saldo ajustes a cobrar</w:t>
            </w:r>
          </w:p>
        </w:tc>
        <w:tc>
          <w:tcPr>
            <w:tcW w:w="1408" w:type="dxa"/>
            <w:tcBorders>
              <w:top w:val="single" w:sz="4" w:space="0" w:color="auto"/>
              <w:left w:val="nil"/>
              <w:bottom w:val="single" w:sz="4" w:space="0" w:color="auto"/>
              <w:right w:val="nil"/>
            </w:tcBorders>
            <w:shd w:val="clear" w:color="auto" w:fill="auto"/>
            <w:noWrap/>
            <w:vAlign w:val="center"/>
            <w:hideMark/>
          </w:tcPr>
          <w:p w14:paraId="35A0F683" w14:textId="77777777" w:rsidR="00AC61AC" w:rsidRPr="003A1A2F" w:rsidRDefault="00AC61AC">
            <w:pPr>
              <w:jc w:val="right"/>
              <w:rPr>
                <w:rFonts w:ascii="Arial Narrow" w:hAnsi="Arial Narrow" w:cs="Calibri"/>
                <w:b/>
                <w:bCs/>
                <w:color w:val="000000"/>
                <w:sz w:val="20"/>
                <w:szCs w:val="20"/>
              </w:rPr>
            </w:pPr>
            <w:r w:rsidRPr="003A1A2F">
              <w:rPr>
                <w:rFonts w:ascii="Arial Narrow" w:hAnsi="Arial Narrow" w:cs="Calibri"/>
                <w:b/>
                <w:bCs/>
                <w:color w:val="000000"/>
                <w:sz w:val="20"/>
                <w:szCs w:val="20"/>
              </w:rPr>
              <w:t> </w:t>
            </w:r>
          </w:p>
        </w:tc>
        <w:tc>
          <w:tcPr>
            <w:tcW w:w="1843" w:type="dxa"/>
            <w:tcBorders>
              <w:top w:val="single" w:sz="4" w:space="0" w:color="auto"/>
              <w:left w:val="nil"/>
              <w:bottom w:val="single" w:sz="4" w:space="0" w:color="auto"/>
              <w:right w:val="nil"/>
            </w:tcBorders>
            <w:shd w:val="clear" w:color="auto" w:fill="auto"/>
            <w:noWrap/>
            <w:vAlign w:val="center"/>
            <w:hideMark/>
          </w:tcPr>
          <w:p w14:paraId="7B1DBE60" w14:textId="77777777" w:rsidR="00AC61AC" w:rsidRPr="003A1A2F" w:rsidRDefault="00AC61AC">
            <w:pPr>
              <w:jc w:val="right"/>
              <w:rPr>
                <w:rFonts w:ascii="Arial Narrow" w:hAnsi="Arial Narrow" w:cs="Calibri"/>
                <w:b/>
                <w:bCs/>
                <w:color w:val="000000"/>
                <w:sz w:val="20"/>
                <w:szCs w:val="20"/>
              </w:rPr>
            </w:pPr>
            <w:r w:rsidRPr="003A1A2F">
              <w:rPr>
                <w:rFonts w:ascii="Arial Narrow" w:hAnsi="Arial Narrow" w:cs="Calibri"/>
                <w:b/>
                <w:bCs/>
                <w:color w:val="000000"/>
                <w:sz w:val="20"/>
                <w:szCs w:val="20"/>
              </w:rPr>
              <w:t xml:space="preserve">        1.225.430.593 </w:t>
            </w:r>
          </w:p>
        </w:tc>
      </w:tr>
      <w:tr w:rsidR="00AC61AC" w:rsidRPr="003A1A2F" w14:paraId="6586FED1" w14:textId="77777777" w:rsidTr="00810207">
        <w:trPr>
          <w:trHeight w:val="198"/>
          <w:jc w:val="center"/>
        </w:trPr>
        <w:tc>
          <w:tcPr>
            <w:tcW w:w="5680" w:type="dxa"/>
            <w:tcBorders>
              <w:top w:val="single" w:sz="4" w:space="0" w:color="auto"/>
              <w:left w:val="nil"/>
              <w:bottom w:val="single" w:sz="2" w:space="0" w:color="auto"/>
              <w:right w:val="nil"/>
            </w:tcBorders>
            <w:shd w:val="clear" w:color="auto" w:fill="auto"/>
            <w:noWrap/>
            <w:vAlign w:val="center"/>
            <w:hideMark/>
          </w:tcPr>
          <w:p w14:paraId="679127C9" w14:textId="77777777" w:rsidR="00AC61AC" w:rsidRPr="003A1A2F" w:rsidRDefault="00AC61AC">
            <w:pPr>
              <w:rPr>
                <w:rFonts w:ascii="Arial Narrow" w:hAnsi="Arial Narrow" w:cs="Arial"/>
                <w:color w:val="000000"/>
                <w:sz w:val="20"/>
                <w:szCs w:val="20"/>
              </w:rPr>
            </w:pPr>
            <w:r w:rsidRPr="003A1A2F">
              <w:rPr>
                <w:rFonts w:ascii="Arial Narrow" w:hAnsi="Arial Narrow" w:cs="Arial"/>
                <w:color w:val="000000"/>
                <w:sz w:val="20"/>
                <w:szCs w:val="20"/>
              </w:rPr>
              <w:t> </w:t>
            </w:r>
          </w:p>
        </w:tc>
        <w:tc>
          <w:tcPr>
            <w:tcW w:w="1408" w:type="dxa"/>
            <w:tcBorders>
              <w:top w:val="single" w:sz="4" w:space="0" w:color="auto"/>
              <w:left w:val="nil"/>
              <w:bottom w:val="single" w:sz="2" w:space="0" w:color="auto"/>
              <w:right w:val="nil"/>
            </w:tcBorders>
            <w:shd w:val="clear" w:color="auto" w:fill="auto"/>
            <w:noWrap/>
            <w:vAlign w:val="center"/>
            <w:hideMark/>
          </w:tcPr>
          <w:p w14:paraId="46B0316C" w14:textId="77777777" w:rsidR="00AC61AC" w:rsidRPr="003A1A2F" w:rsidRDefault="00AC61AC">
            <w:pPr>
              <w:jc w:val="right"/>
              <w:rPr>
                <w:rFonts w:ascii="Arial Narrow" w:hAnsi="Arial Narrow" w:cs="Calibri"/>
                <w:color w:val="000000"/>
                <w:sz w:val="20"/>
                <w:szCs w:val="20"/>
              </w:rPr>
            </w:pPr>
            <w:r w:rsidRPr="003A1A2F">
              <w:rPr>
                <w:rFonts w:ascii="Arial Narrow" w:hAnsi="Arial Narrow" w:cs="Calibri"/>
                <w:color w:val="000000"/>
                <w:sz w:val="20"/>
                <w:szCs w:val="20"/>
              </w:rPr>
              <w:t> </w:t>
            </w:r>
          </w:p>
        </w:tc>
        <w:tc>
          <w:tcPr>
            <w:tcW w:w="1843" w:type="dxa"/>
            <w:tcBorders>
              <w:top w:val="single" w:sz="4" w:space="0" w:color="auto"/>
              <w:left w:val="nil"/>
              <w:bottom w:val="single" w:sz="2" w:space="0" w:color="auto"/>
              <w:right w:val="nil"/>
            </w:tcBorders>
            <w:shd w:val="clear" w:color="auto" w:fill="auto"/>
            <w:noWrap/>
            <w:vAlign w:val="center"/>
            <w:hideMark/>
          </w:tcPr>
          <w:p w14:paraId="7064C92F" w14:textId="77777777" w:rsidR="00AC61AC" w:rsidRPr="003A1A2F" w:rsidRDefault="00AC61AC">
            <w:pPr>
              <w:jc w:val="right"/>
              <w:rPr>
                <w:rFonts w:ascii="Arial Narrow" w:hAnsi="Arial Narrow" w:cs="Calibri"/>
                <w:color w:val="000000"/>
                <w:sz w:val="20"/>
                <w:szCs w:val="20"/>
              </w:rPr>
            </w:pPr>
            <w:r w:rsidRPr="003A1A2F">
              <w:rPr>
                <w:rFonts w:ascii="Arial Narrow" w:hAnsi="Arial Narrow" w:cs="Calibri"/>
                <w:color w:val="000000"/>
                <w:sz w:val="20"/>
                <w:szCs w:val="20"/>
              </w:rPr>
              <w:t> </w:t>
            </w:r>
          </w:p>
        </w:tc>
      </w:tr>
      <w:tr w:rsidR="00AC61AC" w:rsidRPr="003A1A2F" w14:paraId="2DB9C52B" w14:textId="77777777" w:rsidTr="003A1A2F">
        <w:trPr>
          <w:trHeight w:val="198"/>
          <w:jc w:val="center"/>
        </w:trPr>
        <w:tc>
          <w:tcPr>
            <w:tcW w:w="5680" w:type="dxa"/>
            <w:tcBorders>
              <w:top w:val="single" w:sz="2" w:space="0" w:color="auto"/>
              <w:left w:val="nil"/>
              <w:bottom w:val="single" w:sz="2" w:space="0" w:color="auto"/>
              <w:right w:val="nil"/>
            </w:tcBorders>
            <w:shd w:val="clear" w:color="auto" w:fill="auto"/>
            <w:noWrap/>
            <w:vAlign w:val="center"/>
            <w:hideMark/>
          </w:tcPr>
          <w:p w14:paraId="06EA83C0" w14:textId="77777777" w:rsidR="00AC61AC" w:rsidRPr="003A1A2F" w:rsidRDefault="00AC61AC">
            <w:pPr>
              <w:rPr>
                <w:rFonts w:ascii="Arial Narrow" w:hAnsi="Arial Narrow" w:cs="Arial"/>
                <w:color w:val="000000"/>
                <w:sz w:val="20"/>
                <w:szCs w:val="20"/>
              </w:rPr>
            </w:pPr>
            <w:r w:rsidRPr="003A1A2F">
              <w:rPr>
                <w:rFonts w:ascii="Arial Narrow" w:hAnsi="Arial Narrow" w:cs="Arial"/>
                <w:color w:val="000000"/>
                <w:sz w:val="20"/>
                <w:szCs w:val="20"/>
              </w:rPr>
              <w:t>Otros ingresos</w:t>
            </w:r>
          </w:p>
        </w:tc>
        <w:tc>
          <w:tcPr>
            <w:tcW w:w="1408" w:type="dxa"/>
            <w:tcBorders>
              <w:top w:val="single" w:sz="2" w:space="0" w:color="auto"/>
              <w:left w:val="nil"/>
              <w:bottom w:val="single" w:sz="2" w:space="0" w:color="auto"/>
              <w:right w:val="nil"/>
            </w:tcBorders>
            <w:shd w:val="clear" w:color="auto" w:fill="auto"/>
            <w:noWrap/>
            <w:vAlign w:val="center"/>
            <w:hideMark/>
          </w:tcPr>
          <w:p w14:paraId="6DCD1ED6" w14:textId="77777777" w:rsidR="00AC61AC" w:rsidRPr="003A1A2F" w:rsidRDefault="00AC61AC">
            <w:pPr>
              <w:jc w:val="right"/>
              <w:rPr>
                <w:rFonts w:ascii="Arial Narrow" w:hAnsi="Arial Narrow" w:cs="Calibri"/>
                <w:color w:val="000000"/>
                <w:sz w:val="20"/>
                <w:szCs w:val="20"/>
              </w:rPr>
            </w:pPr>
            <w:r w:rsidRPr="003A1A2F">
              <w:rPr>
                <w:rFonts w:ascii="Arial Narrow" w:hAnsi="Arial Narrow" w:cs="Calibri"/>
                <w:color w:val="000000"/>
                <w:sz w:val="20"/>
                <w:szCs w:val="20"/>
              </w:rPr>
              <w:t> </w:t>
            </w:r>
          </w:p>
        </w:tc>
        <w:tc>
          <w:tcPr>
            <w:tcW w:w="1843" w:type="dxa"/>
            <w:tcBorders>
              <w:top w:val="single" w:sz="2" w:space="0" w:color="auto"/>
              <w:left w:val="nil"/>
              <w:bottom w:val="single" w:sz="2" w:space="0" w:color="auto"/>
              <w:right w:val="nil"/>
            </w:tcBorders>
            <w:shd w:val="clear" w:color="auto" w:fill="auto"/>
            <w:noWrap/>
            <w:vAlign w:val="center"/>
            <w:hideMark/>
          </w:tcPr>
          <w:p w14:paraId="7124D985" w14:textId="77777777" w:rsidR="00AC61AC" w:rsidRPr="003A1A2F" w:rsidRDefault="00AC61AC">
            <w:pPr>
              <w:jc w:val="right"/>
              <w:rPr>
                <w:rFonts w:ascii="Arial Narrow" w:hAnsi="Arial Narrow" w:cs="Calibri"/>
                <w:color w:val="000000"/>
                <w:sz w:val="20"/>
                <w:szCs w:val="20"/>
              </w:rPr>
            </w:pPr>
            <w:r w:rsidRPr="003A1A2F">
              <w:rPr>
                <w:rFonts w:ascii="Arial Narrow" w:hAnsi="Arial Narrow" w:cs="Calibri"/>
                <w:color w:val="000000"/>
                <w:sz w:val="20"/>
                <w:szCs w:val="20"/>
              </w:rPr>
              <w:t xml:space="preserve">                  118.980 </w:t>
            </w:r>
          </w:p>
        </w:tc>
      </w:tr>
      <w:tr w:rsidR="00AC61AC" w:rsidRPr="003A1A2F" w14:paraId="72E64399" w14:textId="77777777" w:rsidTr="00810207">
        <w:trPr>
          <w:trHeight w:val="198"/>
          <w:jc w:val="center"/>
        </w:trPr>
        <w:tc>
          <w:tcPr>
            <w:tcW w:w="5680" w:type="dxa"/>
            <w:tcBorders>
              <w:top w:val="single" w:sz="2" w:space="0" w:color="auto"/>
              <w:left w:val="nil"/>
              <w:bottom w:val="single" w:sz="4" w:space="0" w:color="auto"/>
              <w:right w:val="nil"/>
            </w:tcBorders>
            <w:shd w:val="clear" w:color="auto" w:fill="auto"/>
            <w:noWrap/>
            <w:vAlign w:val="center"/>
            <w:hideMark/>
          </w:tcPr>
          <w:p w14:paraId="4ACDD438" w14:textId="77777777" w:rsidR="00AC61AC" w:rsidRPr="003A1A2F" w:rsidRDefault="00AC61AC">
            <w:pPr>
              <w:rPr>
                <w:rFonts w:ascii="Arial Narrow" w:hAnsi="Arial Narrow" w:cs="Arial"/>
                <w:color w:val="000000"/>
                <w:sz w:val="20"/>
                <w:szCs w:val="20"/>
              </w:rPr>
            </w:pPr>
            <w:r w:rsidRPr="003A1A2F">
              <w:rPr>
                <w:rFonts w:ascii="Arial Narrow" w:hAnsi="Arial Narrow" w:cs="Arial"/>
                <w:color w:val="000000"/>
                <w:sz w:val="20"/>
                <w:szCs w:val="20"/>
              </w:rPr>
              <w:t> </w:t>
            </w:r>
          </w:p>
        </w:tc>
        <w:tc>
          <w:tcPr>
            <w:tcW w:w="1408" w:type="dxa"/>
            <w:tcBorders>
              <w:top w:val="single" w:sz="2" w:space="0" w:color="auto"/>
              <w:left w:val="nil"/>
              <w:bottom w:val="single" w:sz="4" w:space="0" w:color="auto"/>
              <w:right w:val="nil"/>
            </w:tcBorders>
            <w:shd w:val="clear" w:color="auto" w:fill="auto"/>
            <w:noWrap/>
            <w:vAlign w:val="center"/>
            <w:hideMark/>
          </w:tcPr>
          <w:p w14:paraId="55533AC4" w14:textId="77777777" w:rsidR="00AC61AC" w:rsidRPr="003A1A2F" w:rsidRDefault="00AC61AC">
            <w:pPr>
              <w:jc w:val="right"/>
              <w:rPr>
                <w:rFonts w:ascii="Arial Narrow" w:hAnsi="Arial Narrow" w:cs="Calibri"/>
                <w:color w:val="000000"/>
                <w:sz w:val="20"/>
                <w:szCs w:val="20"/>
              </w:rPr>
            </w:pPr>
            <w:r w:rsidRPr="003A1A2F">
              <w:rPr>
                <w:rFonts w:ascii="Arial Narrow" w:hAnsi="Arial Narrow" w:cs="Calibri"/>
                <w:color w:val="000000"/>
                <w:sz w:val="20"/>
                <w:szCs w:val="20"/>
              </w:rPr>
              <w:t> </w:t>
            </w:r>
          </w:p>
        </w:tc>
        <w:tc>
          <w:tcPr>
            <w:tcW w:w="1843" w:type="dxa"/>
            <w:tcBorders>
              <w:top w:val="single" w:sz="2" w:space="0" w:color="auto"/>
              <w:left w:val="nil"/>
              <w:bottom w:val="single" w:sz="4" w:space="0" w:color="auto"/>
              <w:right w:val="nil"/>
            </w:tcBorders>
            <w:shd w:val="clear" w:color="auto" w:fill="auto"/>
            <w:noWrap/>
            <w:vAlign w:val="center"/>
            <w:hideMark/>
          </w:tcPr>
          <w:p w14:paraId="7502438C" w14:textId="77777777" w:rsidR="00AC61AC" w:rsidRPr="003A1A2F" w:rsidRDefault="00AC61AC">
            <w:pPr>
              <w:jc w:val="right"/>
              <w:rPr>
                <w:rFonts w:ascii="Arial Narrow" w:hAnsi="Arial Narrow" w:cs="Calibri"/>
                <w:color w:val="000000"/>
                <w:sz w:val="20"/>
                <w:szCs w:val="20"/>
              </w:rPr>
            </w:pPr>
            <w:r w:rsidRPr="003A1A2F">
              <w:rPr>
                <w:rFonts w:ascii="Arial Narrow" w:hAnsi="Arial Narrow" w:cs="Calibri"/>
                <w:color w:val="000000"/>
                <w:sz w:val="20"/>
                <w:szCs w:val="20"/>
              </w:rPr>
              <w:t> </w:t>
            </w:r>
          </w:p>
        </w:tc>
      </w:tr>
      <w:tr w:rsidR="00AC61AC" w:rsidRPr="003A1A2F" w14:paraId="58FE69FD" w14:textId="77777777" w:rsidTr="00810207">
        <w:trPr>
          <w:trHeight w:val="198"/>
          <w:jc w:val="center"/>
        </w:trPr>
        <w:tc>
          <w:tcPr>
            <w:tcW w:w="5680" w:type="dxa"/>
            <w:tcBorders>
              <w:top w:val="single" w:sz="4" w:space="0" w:color="auto"/>
              <w:left w:val="nil"/>
              <w:bottom w:val="single" w:sz="4" w:space="0" w:color="auto"/>
              <w:right w:val="nil"/>
            </w:tcBorders>
            <w:shd w:val="clear" w:color="auto" w:fill="auto"/>
            <w:noWrap/>
            <w:vAlign w:val="center"/>
            <w:hideMark/>
          </w:tcPr>
          <w:p w14:paraId="06BC3A99" w14:textId="77777777" w:rsidR="00AC61AC" w:rsidRPr="003A1A2F" w:rsidRDefault="00AC61AC">
            <w:pPr>
              <w:rPr>
                <w:rFonts w:ascii="Arial Narrow" w:hAnsi="Arial Narrow" w:cs="Arial"/>
                <w:b/>
                <w:bCs/>
                <w:color w:val="000000"/>
                <w:sz w:val="20"/>
                <w:szCs w:val="20"/>
              </w:rPr>
            </w:pPr>
            <w:r w:rsidRPr="003A1A2F">
              <w:rPr>
                <w:rFonts w:ascii="Arial Narrow" w:hAnsi="Arial Narrow" w:cs="Arial"/>
                <w:b/>
                <w:bCs/>
                <w:color w:val="000000"/>
                <w:sz w:val="20"/>
                <w:szCs w:val="20"/>
              </w:rPr>
              <w:t>Aportación económica 2023</w:t>
            </w:r>
          </w:p>
        </w:tc>
        <w:tc>
          <w:tcPr>
            <w:tcW w:w="1408" w:type="dxa"/>
            <w:tcBorders>
              <w:top w:val="single" w:sz="4" w:space="0" w:color="auto"/>
              <w:left w:val="nil"/>
              <w:bottom w:val="single" w:sz="4" w:space="0" w:color="auto"/>
              <w:right w:val="nil"/>
            </w:tcBorders>
            <w:shd w:val="clear" w:color="auto" w:fill="auto"/>
            <w:noWrap/>
            <w:vAlign w:val="center"/>
            <w:hideMark/>
          </w:tcPr>
          <w:p w14:paraId="7E20B65A" w14:textId="77777777" w:rsidR="00AC61AC" w:rsidRPr="003A1A2F" w:rsidRDefault="003A4E9E">
            <w:pPr>
              <w:jc w:val="right"/>
              <w:rPr>
                <w:rFonts w:ascii="Arial Narrow" w:hAnsi="Arial Narrow" w:cs="Calibri"/>
                <w:b/>
                <w:bCs/>
                <w:color w:val="000000"/>
                <w:sz w:val="20"/>
                <w:szCs w:val="20"/>
              </w:rPr>
            </w:pPr>
            <w:r w:rsidRPr="003A1A2F">
              <w:rPr>
                <w:rFonts w:ascii="Arial Narrow" w:hAnsi="Arial Narrow" w:cs="Calibri"/>
                <w:b/>
                <w:bCs/>
                <w:color w:val="000000"/>
                <w:sz w:val="20"/>
                <w:szCs w:val="20"/>
              </w:rPr>
              <w:t>A+B</w:t>
            </w:r>
          </w:p>
        </w:tc>
        <w:tc>
          <w:tcPr>
            <w:tcW w:w="1843" w:type="dxa"/>
            <w:tcBorders>
              <w:top w:val="single" w:sz="4" w:space="0" w:color="auto"/>
              <w:left w:val="nil"/>
              <w:bottom w:val="single" w:sz="4" w:space="0" w:color="auto"/>
              <w:right w:val="nil"/>
            </w:tcBorders>
            <w:shd w:val="clear" w:color="auto" w:fill="auto"/>
            <w:noWrap/>
            <w:vAlign w:val="center"/>
            <w:hideMark/>
          </w:tcPr>
          <w:p w14:paraId="4800926E" w14:textId="77777777" w:rsidR="00AC61AC" w:rsidRPr="003A1A2F" w:rsidRDefault="00AC61AC">
            <w:pPr>
              <w:jc w:val="right"/>
              <w:rPr>
                <w:rFonts w:ascii="Arial Narrow" w:hAnsi="Arial Narrow" w:cs="Calibri"/>
                <w:b/>
                <w:bCs/>
                <w:color w:val="000000"/>
                <w:sz w:val="20"/>
                <w:szCs w:val="20"/>
              </w:rPr>
            </w:pPr>
            <w:r w:rsidRPr="003A1A2F">
              <w:rPr>
                <w:rFonts w:ascii="Arial Narrow" w:hAnsi="Arial Narrow" w:cs="Calibri"/>
                <w:b/>
                <w:bCs/>
                <w:color w:val="000000"/>
                <w:sz w:val="20"/>
                <w:szCs w:val="20"/>
              </w:rPr>
              <w:t xml:space="preserve">           642.612.107 </w:t>
            </w:r>
          </w:p>
        </w:tc>
      </w:tr>
      <w:tr w:rsidR="00AC61AC" w:rsidRPr="003A1A2F" w14:paraId="3E1E6A3F" w14:textId="77777777" w:rsidTr="00810207">
        <w:trPr>
          <w:trHeight w:val="198"/>
          <w:jc w:val="center"/>
        </w:trPr>
        <w:tc>
          <w:tcPr>
            <w:tcW w:w="5680" w:type="dxa"/>
            <w:tcBorders>
              <w:top w:val="single" w:sz="4" w:space="0" w:color="auto"/>
              <w:left w:val="nil"/>
              <w:bottom w:val="single" w:sz="2" w:space="0" w:color="auto"/>
              <w:right w:val="nil"/>
            </w:tcBorders>
            <w:shd w:val="clear" w:color="auto" w:fill="auto"/>
            <w:noWrap/>
            <w:vAlign w:val="center"/>
            <w:hideMark/>
          </w:tcPr>
          <w:p w14:paraId="3334FB8F" w14:textId="77777777" w:rsidR="00AC61AC" w:rsidRPr="003A1A2F" w:rsidRDefault="00AC61AC">
            <w:pPr>
              <w:rPr>
                <w:rFonts w:ascii="Arial Narrow" w:hAnsi="Arial Narrow" w:cs="Arial"/>
                <w:color w:val="000000"/>
                <w:sz w:val="20"/>
                <w:szCs w:val="20"/>
              </w:rPr>
            </w:pPr>
            <w:r w:rsidRPr="003A1A2F">
              <w:rPr>
                <w:rFonts w:ascii="Arial Narrow" w:hAnsi="Arial Narrow" w:cs="Arial"/>
                <w:color w:val="000000"/>
                <w:sz w:val="20"/>
                <w:szCs w:val="20"/>
              </w:rPr>
              <w:t> </w:t>
            </w:r>
          </w:p>
        </w:tc>
        <w:tc>
          <w:tcPr>
            <w:tcW w:w="1408" w:type="dxa"/>
            <w:tcBorders>
              <w:top w:val="single" w:sz="4" w:space="0" w:color="auto"/>
              <w:left w:val="nil"/>
              <w:bottom w:val="single" w:sz="2" w:space="0" w:color="auto"/>
              <w:right w:val="nil"/>
            </w:tcBorders>
            <w:shd w:val="clear" w:color="auto" w:fill="auto"/>
            <w:noWrap/>
            <w:vAlign w:val="bottom"/>
            <w:hideMark/>
          </w:tcPr>
          <w:p w14:paraId="12A35EF7" w14:textId="77777777" w:rsidR="00AC61AC" w:rsidRPr="003A1A2F" w:rsidRDefault="00AC61AC">
            <w:pPr>
              <w:rPr>
                <w:rFonts w:ascii="Arial Narrow" w:hAnsi="Arial Narrow" w:cs="Calibri"/>
                <w:color w:val="000000"/>
                <w:sz w:val="20"/>
                <w:szCs w:val="20"/>
              </w:rPr>
            </w:pPr>
            <w:r w:rsidRPr="003A1A2F">
              <w:rPr>
                <w:rFonts w:ascii="Arial Narrow" w:hAnsi="Arial Narrow" w:cs="Calibri"/>
                <w:color w:val="000000"/>
                <w:sz w:val="20"/>
                <w:szCs w:val="20"/>
              </w:rPr>
              <w:t> </w:t>
            </w:r>
          </w:p>
        </w:tc>
        <w:tc>
          <w:tcPr>
            <w:tcW w:w="1843" w:type="dxa"/>
            <w:tcBorders>
              <w:top w:val="single" w:sz="4" w:space="0" w:color="auto"/>
              <w:left w:val="nil"/>
              <w:bottom w:val="single" w:sz="2" w:space="0" w:color="auto"/>
              <w:right w:val="nil"/>
            </w:tcBorders>
            <w:shd w:val="clear" w:color="auto" w:fill="auto"/>
            <w:noWrap/>
            <w:vAlign w:val="center"/>
            <w:hideMark/>
          </w:tcPr>
          <w:p w14:paraId="207EDE2F" w14:textId="77777777" w:rsidR="00AC61AC" w:rsidRPr="003A1A2F" w:rsidRDefault="00AC61AC">
            <w:pPr>
              <w:jc w:val="right"/>
              <w:rPr>
                <w:rFonts w:ascii="Arial Narrow" w:hAnsi="Arial Narrow" w:cs="Calibri"/>
                <w:color w:val="000000"/>
                <w:sz w:val="20"/>
                <w:szCs w:val="20"/>
              </w:rPr>
            </w:pPr>
            <w:r w:rsidRPr="003A1A2F">
              <w:rPr>
                <w:rFonts w:ascii="Arial Narrow" w:hAnsi="Arial Narrow" w:cs="Calibri"/>
                <w:color w:val="000000"/>
                <w:sz w:val="20"/>
                <w:szCs w:val="20"/>
              </w:rPr>
              <w:t> </w:t>
            </w:r>
          </w:p>
        </w:tc>
      </w:tr>
      <w:tr w:rsidR="00AC61AC" w:rsidRPr="003A1A2F" w14:paraId="197910DC" w14:textId="77777777" w:rsidTr="003A1A2F">
        <w:trPr>
          <w:trHeight w:val="198"/>
          <w:jc w:val="center"/>
        </w:trPr>
        <w:tc>
          <w:tcPr>
            <w:tcW w:w="5680" w:type="dxa"/>
            <w:tcBorders>
              <w:top w:val="single" w:sz="2" w:space="0" w:color="auto"/>
              <w:left w:val="nil"/>
              <w:bottom w:val="single" w:sz="2" w:space="0" w:color="auto"/>
              <w:right w:val="nil"/>
            </w:tcBorders>
            <w:shd w:val="clear" w:color="auto" w:fill="auto"/>
            <w:noWrap/>
            <w:vAlign w:val="center"/>
            <w:hideMark/>
          </w:tcPr>
          <w:p w14:paraId="2FDEBD11" w14:textId="77777777" w:rsidR="00AC61AC" w:rsidRPr="003A1A2F" w:rsidRDefault="00AC61AC">
            <w:pPr>
              <w:rPr>
                <w:rFonts w:ascii="Arial Narrow" w:hAnsi="Arial Narrow" w:cs="Arial"/>
                <w:color w:val="000000"/>
                <w:sz w:val="20"/>
                <w:szCs w:val="20"/>
              </w:rPr>
            </w:pPr>
            <w:r w:rsidRPr="003A1A2F">
              <w:rPr>
                <w:rFonts w:ascii="Arial Narrow" w:hAnsi="Arial Narrow" w:cs="Arial"/>
                <w:color w:val="000000"/>
                <w:sz w:val="20"/>
                <w:szCs w:val="20"/>
              </w:rPr>
              <w:t>Aportación líquida</w:t>
            </w:r>
          </w:p>
        </w:tc>
        <w:tc>
          <w:tcPr>
            <w:tcW w:w="1408" w:type="dxa"/>
            <w:tcBorders>
              <w:top w:val="single" w:sz="2" w:space="0" w:color="auto"/>
              <w:left w:val="nil"/>
              <w:bottom w:val="single" w:sz="2" w:space="0" w:color="auto"/>
              <w:right w:val="nil"/>
            </w:tcBorders>
            <w:shd w:val="clear" w:color="auto" w:fill="auto"/>
            <w:noWrap/>
            <w:vAlign w:val="center"/>
            <w:hideMark/>
          </w:tcPr>
          <w:p w14:paraId="0F080846" w14:textId="77777777" w:rsidR="00AC61AC" w:rsidRPr="003A1A2F" w:rsidRDefault="00AC61AC">
            <w:pPr>
              <w:jc w:val="right"/>
              <w:rPr>
                <w:rFonts w:ascii="Arial Narrow" w:hAnsi="Arial Narrow" w:cs="Calibri"/>
                <w:color w:val="000000"/>
                <w:sz w:val="20"/>
                <w:szCs w:val="20"/>
              </w:rPr>
            </w:pPr>
            <w:r w:rsidRPr="003A1A2F">
              <w:rPr>
                <w:rFonts w:ascii="Arial Narrow" w:hAnsi="Arial Narrow" w:cs="Calibri"/>
                <w:color w:val="000000"/>
                <w:sz w:val="20"/>
                <w:szCs w:val="20"/>
              </w:rPr>
              <w:t> </w:t>
            </w:r>
          </w:p>
        </w:tc>
        <w:tc>
          <w:tcPr>
            <w:tcW w:w="1843" w:type="dxa"/>
            <w:tcBorders>
              <w:top w:val="single" w:sz="2" w:space="0" w:color="auto"/>
              <w:left w:val="nil"/>
              <w:bottom w:val="single" w:sz="2" w:space="0" w:color="auto"/>
              <w:right w:val="nil"/>
            </w:tcBorders>
            <w:shd w:val="clear" w:color="auto" w:fill="auto"/>
            <w:noWrap/>
            <w:vAlign w:val="center"/>
            <w:hideMark/>
          </w:tcPr>
          <w:p w14:paraId="423229C4" w14:textId="77777777" w:rsidR="00AC61AC" w:rsidRPr="003A1A2F" w:rsidRDefault="00AC61AC">
            <w:pPr>
              <w:jc w:val="right"/>
              <w:rPr>
                <w:rFonts w:ascii="Arial Narrow" w:hAnsi="Arial Narrow" w:cs="Calibri"/>
                <w:color w:val="000000"/>
                <w:sz w:val="20"/>
                <w:szCs w:val="20"/>
              </w:rPr>
            </w:pPr>
            <w:r w:rsidRPr="003A1A2F">
              <w:rPr>
                <w:rFonts w:ascii="Arial Narrow" w:hAnsi="Arial Narrow" w:cs="Calibri"/>
                <w:color w:val="000000"/>
                <w:sz w:val="20"/>
                <w:szCs w:val="20"/>
              </w:rPr>
              <w:t xml:space="preserve">           911.729.710 </w:t>
            </w:r>
          </w:p>
        </w:tc>
      </w:tr>
      <w:tr w:rsidR="00AC61AC" w:rsidRPr="003A1A2F" w14:paraId="679831BC" w14:textId="77777777" w:rsidTr="00810207">
        <w:trPr>
          <w:trHeight w:val="198"/>
          <w:jc w:val="center"/>
        </w:trPr>
        <w:tc>
          <w:tcPr>
            <w:tcW w:w="5680" w:type="dxa"/>
            <w:tcBorders>
              <w:top w:val="single" w:sz="2" w:space="0" w:color="auto"/>
              <w:left w:val="nil"/>
              <w:bottom w:val="single" w:sz="4" w:space="0" w:color="auto"/>
              <w:right w:val="nil"/>
            </w:tcBorders>
            <w:shd w:val="clear" w:color="auto" w:fill="auto"/>
            <w:noWrap/>
            <w:vAlign w:val="center"/>
            <w:hideMark/>
          </w:tcPr>
          <w:p w14:paraId="5488746E" w14:textId="77777777" w:rsidR="00AC61AC" w:rsidRPr="003A1A2F" w:rsidRDefault="00AC61AC" w:rsidP="003A4E9E">
            <w:pPr>
              <w:rPr>
                <w:rFonts w:ascii="Arial Narrow" w:hAnsi="Arial Narrow" w:cs="Arial"/>
                <w:color w:val="000000"/>
                <w:sz w:val="20"/>
                <w:szCs w:val="20"/>
              </w:rPr>
            </w:pPr>
            <w:r w:rsidRPr="003A1A2F">
              <w:rPr>
                <w:rFonts w:ascii="Arial Narrow" w:hAnsi="Arial Narrow" w:cs="Arial"/>
                <w:color w:val="000000"/>
                <w:sz w:val="20"/>
                <w:szCs w:val="20"/>
              </w:rPr>
              <w:t xml:space="preserve"> </w:t>
            </w:r>
            <w:r w:rsidR="003A4E9E" w:rsidRPr="003A1A2F">
              <w:rPr>
                <w:rFonts w:ascii="Arial Narrow" w:hAnsi="Arial Narrow" w:cs="Arial"/>
                <w:color w:val="000000"/>
                <w:sz w:val="20"/>
                <w:szCs w:val="20"/>
              </w:rPr>
              <w:t>A</w:t>
            </w:r>
            <w:r w:rsidRPr="003A1A2F">
              <w:rPr>
                <w:rFonts w:ascii="Arial Narrow" w:hAnsi="Arial Narrow" w:cs="Arial"/>
                <w:color w:val="000000"/>
                <w:sz w:val="20"/>
                <w:szCs w:val="20"/>
              </w:rPr>
              <w:t>justes retenciones trabajo y capital</w:t>
            </w:r>
          </w:p>
        </w:tc>
        <w:tc>
          <w:tcPr>
            <w:tcW w:w="1408" w:type="dxa"/>
            <w:tcBorders>
              <w:top w:val="single" w:sz="2" w:space="0" w:color="auto"/>
              <w:left w:val="nil"/>
              <w:bottom w:val="single" w:sz="4" w:space="0" w:color="auto"/>
              <w:right w:val="nil"/>
            </w:tcBorders>
            <w:shd w:val="clear" w:color="auto" w:fill="auto"/>
            <w:noWrap/>
            <w:vAlign w:val="center"/>
            <w:hideMark/>
          </w:tcPr>
          <w:p w14:paraId="11E775C2" w14:textId="77777777" w:rsidR="00AC61AC" w:rsidRPr="003A1A2F" w:rsidRDefault="00AC61AC">
            <w:pPr>
              <w:jc w:val="right"/>
              <w:rPr>
                <w:rFonts w:ascii="Arial Narrow" w:hAnsi="Arial Narrow" w:cs="Calibri"/>
                <w:color w:val="000000"/>
                <w:sz w:val="20"/>
                <w:szCs w:val="20"/>
              </w:rPr>
            </w:pPr>
            <w:r w:rsidRPr="003A1A2F">
              <w:rPr>
                <w:rFonts w:ascii="Arial Narrow" w:hAnsi="Arial Narrow" w:cs="Calibri"/>
                <w:color w:val="000000"/>
                <w:sz w:val="20"/>
                <w:szCs w:val="20"/>
              </w:rPr>
              <w:t> </w:t>
            </w:r>
          </w:p>
        </w:tc>
        <w:tc>
          <w:tcPr>
            <w:tcW w:w="1843" w:type="dxa"/>
            <w:tcBorders>
              <w:top w:val="single" w:sz="2" w:space="0" w:color="auto"/>
              <w:left w:val="nil"/>
              <w:bottom w:val="single" w:sz="4" w:space="0" w:color="auto"/>
              <w:right w:val="nil"/>
            </w:tcBorders>
            <w:shd w:val="clear" w:color="auto" w:fill="auto"/>
            <w:noWrap/>
            <w:vAlign w:val="center"/>
            <w:hideMark/>
          </w:tcPr>
          <w:p w14:paraId="779D4620" w14:textId="77777777" w:rsidR="00AC61AC" w:rsidRPr="003A1A2F" w:rsidRDefault="003A4E9E">
            <w:pPr>
              <w:jc w:val="right"/>
              <w:rPr>
                <w:rFonts w:ascii="Arial Narrow" w:hAnsi="Arial Narrow" w:cs="Calibri"/>
                <w:color w:val="000000"/>
                <w:sz w:val="20"/>
                <w:szCs w:val="20"/>
              </w:rPr>
            </w:pPr>
            <w:r w:rsidRPr="003A1A2F">
              <w:rPr>
                <w:rFonts w:ascii="Arial Narrow" w:hAnsi="Arial Narrow" w:cs="Calibri"/>
                <w:color w:val="000000"/>
                <w:sz w:val="20"/>
                <w:szCs w:val="20"/>
              </w:rPr>
              <w:t>-</w:t>
            </w:r>
            <w:r w:rsidR="00AC61AC" w:rsidRPr="003A1A2F">
              <w:rPr>
                <w:rFonts w:ascii="Arial Narrow" w:hAnsi="Arial Narrow" w:cs="Calibri"/>
                <w:color w:val="000000"/>
                <w:sz w:val="20"/>
                <w:szCs w:val="20"/>
              </w:rPr>
              <w:t xml:space="preserve">146.575.820 </w:t>
            </w:r>
          </w:p>
        </w:tc>
      </w:tr>
      <w:tr w:rsidR="00AC61AC" w:rsidRPr="003A1A2F" w14:paraId="2ED14521" w14:textId="77777777" w:rsidTr="00810207">
        <w:trPr>
          <w:trHeight w:val="198"/>
          <w:jc w:val="center"/>
        </w:trPr>
        <w:tc>
          <w:tcPr>
            <w:tcW w:w="5680" w:type="dxa"/>
            <w:tcBorders>
              <w:top w:val="single" w:sz="4" w:space="0" w:color="auto"/>
              <w:left w:val="nil"/>
              <w:bottom w:val="single" w:sz="4" w:space="0" w:color="auto"/>
              <w:right w:val="nil"/>
            </w:tcBorders>
            <w:shd w:val="clear" w:color="auto" w:fill="auto"/>
            <w:noWrap/>
            <w:vAlign w:val="center"/>
            <w:hideMark/>
          </w:tcPr>
          <w:p w14:paraId="54B8D9BB" w14:textId="77777777" w:rsidR="00AC61AC" w:rsidRPr="003A1A2F" w:rsidRDefault="00AC61AC">
            <w:pPr>
              <w:rPr>
                <w:rFonts w:ascii="Arial Narrow" w:hAnsi="Arial Narrow" w:cs="Arial"/>
                <w:b/>
                <w:bCs/>
                <w:color w:val="000000"/>
                <w:sz w:val="20"/>
                <w:szCs w:val="20"/>
              </w:rPr>
            </w:pPr>
            <w:r w:rsidRPr="003A1A2F">
              <w:rPr>
                <w:rFonts w:ascii="Arial Narrow" w:hAnsi="Arial Narrow" w:cs="Arial"/>
                <w:b/>
                <w:bCs/>
                <w:color w:val="000000"/>
                <w:sz w:val="20"/>
                <w:szCs w:val="20"/>
              </w:rPr>
              <w:t>Aportación neta 2023</w:t>
            </w:r>
          </w:p>
        </w:tc>
        <w:tc>
          <w:tcPr>
            <w:tcW w:w="1408" w:type="dxa"/>
            <w:tcBorders>
              <w:top w:val="single" w:sz="4" w:space="0" w:color="auto"/>
              <w:left w:val="nil"/>
              <w:bottom w:val="single" w:sz="4" w:space="0" w:color="auto"/>
              <w:right w:val="nil"/>
            </w:tcBorders>
            <w:shd w:val="clear" w:color="auto" w:fill="auto"/>
            <w:noWrap/>
            <w:vAlign w:val="center"/>
            <w:hideMark/>
          </w:tcPr>
          <w:p w14:paraId="5285AC01" w14:textId="77777777" w:rsidR="00AC61AC" w:rsidRPr="003A1A2F" w:rsidRDefault="00AC61AC">
            <w:pPr>
              <w:jc w:val="right"/>
              <w:rPr>
                <w:rFonts w:ascii="Arial Narrow" w:hAnsi="Arial Narrow" w:cs="Calibri"/>
                <w:b/>
                <w:bCs/>
                <w:color w:val="000000"/>
                <w:sz w:val="20"/>
                <w:szCs w:val="20"/>
              </w:rPr>
            </w:pPr>
            <w:r w:rsidRPr="003A1A2F">
              <w:rPr>
                <w:rFonts w:ascii="Arial Narrow" w:hAnsi="Arial Narrow" w:cs="Calibri"/>
                <w:b/>
                <w:bCs/>
                <w:color w:val="000000"/>
                <w:sz w:val="20"/>
                <w:szCs w:val="20"/>
              </w:rPr>
              <w:t>A</w:t>
            </w:r>
          </w:p>
        </w:tc>
        <w:tc>
          <w:tcPr>
            <w:tcW w:w="1843" w:type="dxa"/>
            <w:tcBorders>
              <w:top w:val="single" w:sz="4" w:space="0" w:color="auto"/>
              <w:left w:val="nil"/>
              <w:bottom w:val="single" w:sz="4" w:space="0" w:color="auto"/>
              <w:right w:val="nil"/>
            </w:tcBorders>
            <w:shd w:val="clear" w:color="auto" w:fill="auto"/>
            <w:noWrap/>
            <w:vAlign w:val="center"/>
            <w:hideMark/>
          </w:tcPr>
          <w:p w14:paraId="6D2490BB" w14:textId="77777777" w:rsidR="00AC61AC" w:rsidRPr="003A1A2F" w:rsidRDefault="00AC61AC">
            <w:pPr>
              <w:jc w:val="right"/>
              <w:rPr>
                <w:rFonts w:ascii="Arial Narrow" w:hAnsi="Arial Narrow" w:cs="Calibri"/>
                <w:b/>
                <w:bCs/>
                <w:color w:val="000000"/>
                <w:sz w:val="20"/>
                <w:szCs w:val="20"/>
              </w:rPr>
            </w:pPr>
            <w:r w:rsidRPr="003A1A2F">
              <w:rPr>
                <w:rFonts w:ascii="Arial Narrow" w:hAnsi="Arial Narrow" w:cs="Calibri"/>
                <w:b/>
                <w:bCs/>
                <w:color w:val="000000"/>
                <w:sz w:val="20"/>
                <w:szCs w:val="20"/>
              </w:rPr>
              <w:t xml:space="preserve">           765.153.890 </w:t>
            </w:r>
          </w:p>
        </w:tc>
      </w:tr>
      <w:tr w:rsidR="00AC61AC" w:rsidRPr="003A1A2F" w14:paraId="5024BD82" w14:textId="77777777" w:rsidTr="00810207">
        <w:trPr>
          <w:trHeight w:val="198"/>
          <w:jc w:val="center"/>
        </w:trPr>
        <w:tc>
          <w:tcPr>
            <w:tcW w:w="5680" w:type="dxa"/>
            <w:tcBorders>
              <w:top w:val="single" w:sz="4" w:space="0" w:color="auto"/>
              <w:left w:val="nil"/>
              <w:bottom w:val="single" w:sz="4" w:space="0" w:color="auto"/>
              <w:right w:val="nil"/>
            </w:tcBorders>
            <w:shd w:val="clear" w:color="auto" w:fill="auto"/>
            <w:noWrap/>
            <w:vAlign w:val="center"/>
            <w:hideMark/>
          </w:tcPr>
          <w:p w14:paraId="2D55CBBF" w14:textId="77777777" w:rsidR="00AC61AC" w:rsidRPr="003A1A2F" w:rsidRDefault="00AC61AC">
            <w:pPr>
              <w:rPr>
                <w:rFonts w:ascii="Arial Narrow" w:hAnsi="Arial Narrow" w:cs="Arial"/>
                <w:color w:val="000000"/>
                <w:sz w:val="20"/>
                <w:szCs w:val="20"/>
              </w:rPr>
            </w:pPr>
            <w:r w:rsidRPr="003A1A2F">
              <w:rPr>
                <w:rFonts w:ascii="Arial Narrow" w:hAnsi="Arial Narrow" w:cs="Arial"/>
                <w:color w:val="000000"/>
                <w:sz w:val="20"/>
                <w:szCs w:val="20"/>
              </w:rPr>
              <w:t> </w:t>
            </w:r>
          </w:p>
        </w:tc>
        <w:tc>
          <w:tcPr>
            <w:tcW w:w="1408" w:type="dxa"/>
            <w:tcBorders>
              <w:top w:val="single" w:sz="4" w:space="0" w:color="auto"/>
              <w:left w:val="nil"/>
              <w:bottom w:val="single" w:sz="4" w:space="0" w:color="auto"/>
              <w:right w:val="nil"/>
            </w:tcBorders>
            <w:shd w:val="clear" w:color="auto" w:fill="auto"/>
            <w:noWrap/>
            <w:vAlign w:val="bottom"/>
            <w:hideMark/>
          </w:tcPr>
          <w:p w14:paraId="4F76202C" w14:textId="77777777" w:rsidR="00AC61AC" w:rsidRPr="003A1A2F" w:rsidRDefault="00AC61AC">
            <w:pPr>
              <w:rPr>
                <w:rFonts w:ascii="Arial Narrow" w:hAnsi="Arial Narrow" w:cs="Calibri"/>
                <w:color w:val="000000"/>
                <w:sz w:val="20"/>
                <w:szCs w:val="20"/>
              </w:rPr>
            </w:pPr>
            <w:r w:rsidRPr="003A1A2F">
              <w:rPr>
                <w:rFonts w:ascii="Arial Narrow" w:hAnsi="Arial Narrow" w:cs="Calibri"/>
                <w:color w:val="000000"/>
                <w:sz w:val="20"/>
                <w:szCs w:val="20"/>
              </w:rPr>
              <w:t> </w:t>
            </w:r>
          </w:p>
        </w:tc>
        <w:tc>
          <w:tcPr>
            <w:tcW w:w="1843" w:type="dxa"/>
            <w:tcBorders>
              <w:top w:val="single" w:sz="4" w:space="0" w:color="auto"/>
              <w:left w:val="nil"/>
              <w:bottom w:val="single" w:sz="4" w:space="0" w:color="auto"/>
              <w:right w:val="nil"/>
            </w:tcBorders>
            <w:shd w:val="clear" w:color="auto" w:fill="auto"/>
            <w:noWrap/>
            <w:vAlign w:val="center"/>
            <w:hideMark/>
          </w:tcPr>
          <w:p w14:paraId="01BD2443" w14:textId="77777777" w:rsidR="00AC61AC" w:rsidRPr="003A1A2F" w:rsidRDefault="00AC61AC">
            <w:pPr>
              <w:jc w:val="right"/>
              <w:rPr>
                <w:rFonts w:ascii="Arial Narrow" w:hAnsi="Arial Narrow" w:cs="Calibri"/>
                <w:color w:val="000000"/>
                <w:sz w:val="20"/>
                <w:szCs w:val="20"/>
              </w:rPr>
            </w:pPr>
            <w:r w:rsidRPr="003A1A2F">
              <w:rPr>
                <w:rFonts w:ascii="Arial Narrow" w:hAnsi="Arial Narrow" w:cs="Calibri"/>
                <w:color w:val="000000"/>
                <w:sz w:val="20"/>
                <w:szCs w:val="20"/>
              </w:rPr>
              <w:t> </w:t>
            </w:r>
          </w:p>
        </w:tc>
      </w:tr>
      <w:tr w:rsidR="00AC61AC" w:rsidRPr="003A1A2F" w14:paraId="539BB0C3" w14:textId="77777777" w:rsidTr="00810207">
        <w:trPr>
          <w:trHeight w:val="198"/>
          <w:jc w:val="center"/>
        </w:trPr>
        <w:tc>
          <w:tcPr>
            <w:tcW w:w="5680" w:type="dxa"/>
            <w:tcBorders>
              <w:top w:val="single" w:sz="4" w:space="0" w:color="auto"/>
              <w:left w:val="nil"/>
              <w:bottom w:val="single" w:sz="4" w:space="0" w:color="auto"/>
              <w:right w:val="nil"/>
            </w:tcBorders>
            <w:shd w:val="clear" w:color="auto" w:fill="auto"/>
            <w:noWrap/>
            <w:vAlign w:val="center"/>
            <w:hideMark/>
          </w:tcPr>
          <w:p w14:paraId="2C8713A6" w14:textId="77777777" w:rsidR="00AC61AC" w:rsidRPr="003A1A2F" w:rsidRDefault="00AC61AC">
            <w:pPr>
              <w:rPr>
                <w:rFonts w:ascii="Arial Narrow" w:hAnsi="Arial Narrow" w:cs="Arial"/>
                <w:b/>
                <w:color w:val="000000"/>
                <w:sz w:val="20"/>
                <w:szCs w:val="20"/>
              </w:rPr>
            </w:pPr>
            <w:r w:rsidRPr="003A1A2F">
              <w:rPr>
                <w:rFonts w:ascii="Arial Narrow" w:hAnsi="Arial Narrow" w:cs="Arial"/>
                <w:b/>
                <w:color w:val="000000"/>
                <w:sz w:val="20"/>
                <w:szCs w:val="20"/>
              </w:rPr>
              <w:t>Compensación pago</w:t>
            </w:r>
          </w:p>
        </w:tc>
        <w:tc>
          <w:tcPr>
            <w:tcW w:w="1408" w:type="dxa"/>
            <w:tcBorders>
              <w:top w:val="single" w:sz="4" w:space="0" w:color="auto"/>
              <w:left w:val="nil"/>
              <w:bottom w:val="single" w:sz="4" w:space="0" w:color="auto"/>
              <w:right w:val="nil"/>
            </w:tcBorders>
            <w:shd w:val="clear" w:color="auto" w:fill="auto"/>
            <w:noWrap/>
            <w:vAlign w:val="center"/>
            <w:hideMark/>
          </w:tcPr>
          <w:p w14:paraId="5509959B" w14:textId="77777777" w:rsidR="00AC61AC" w:rsidRPr="003A1A2F" w:rsidRDefault="00AC61AC">
            <w:pPr>
              <w:jc w:val="right"/>
              <w:rPr>
                <w:rFonts w:ascii="Arial Narrow" w:hAnsi="Arial Narrow" w:cs="Calibri"/>
                <w:color w:val="000000"/>
                <w:sz w:val="20"/>
                <w:szCs w:val="20"/>
              </w:rPr>
            </w:pPr>
            <w:r w:rsidRPr="003A1A2F">
              <w:rPr>
                <w:rFonts w:ascii="Arial Narrow" w:hAnsi="Arial Narrow" w:cs="Calibri"/>
                <w:color w:val="000000"/>
                <w:sz w:val="20"/>
                <w:szCs w:val="20"/>
              </w:rPr>
              <w:t> </w:t>
            </w:r>
          </w:p>
        </w:tc>
        <w:tc>
          <w:tcPr>
            <w:tcW w:w="1843" w:type="dxa"/>
            <w:tcBorders>
              <w:top w:val="single" w:sz="4" w:space="0" w:color="auto"/>
              <w:left w:val="nil"/>
              <w:bottom w:val="single" w:sz="4" w:space="0" w:color="auto"/>
              <w:right w:val="nil"/>
            </w:tcBorders>
            <w:shd w:val="clear" w:color="auto" w:fill="auto"/>
            <w:noWrap/>
            <w:vAlign w:val="center"/>
            <w:hideMark/>
          </w:tcPr>
          <w:p w14:paraId="6BBD2E07" w14:textId="77777777" w:rsidR="00AC61AC" w:rsidRPr="003A1A2F" w:rsidRDefault="00AC61AC">
            <w:pPr>
              <w:jc w:val="right"/>
              <w:rPr>
                <w:rFonts w:ascii="Arial Narrow" w:hAnsi="Arial Narrow" w:cs="Calibri"/>
                <w:color w:val="000000"/>
                <w:sz w:val="20"/>
                <w:szCs w:val="20"/>
              </w:rPr>
            </w:pPr>
            <w:r w:rsidRPr="003A1A2F">
              <w:rPr>
                <w:rFonts w:ascii="Arial Narrow" w:hAnsi="Arial Narrow" w:cs="Calibri"/>
                <w:color w:val="000000"/>
                <w:sz w:val="20"/>
                <w:szCs w:val="20"/>
              </w:rPr>
              <w:t> </w:t>
            </w:r>
          </w:p>
        </w:tc>
      </w:tr>
      <w:tr w:rsidR="00AC61AC" w:rsidRPr="003A1A2F" w14:paraId="79BB8D46" w14:textId="77777777" w:rsidTr="00810207">
        <w:trPr>
          <w:trHeight w:val="198"/>
          <w:jc w:val="center"/>
        </w:trPr>
        <w:tc>
          <w:tcPr>
            <w:tcW w:w="5680" w:type="dxa"/>
            <w:tcBorders>
              <w:top w:val="single" w:sz="4" w:space="0" w:color="auto"/>
              <w:left w:val="nil"/>
              <w:bottom w:val="single" w:sz="2" w:space="0" w:color="auto"/>
              <w:right w:val="nil"/>
            </w:tcBorders>
            <w:shd w:val="clear" w:color="auto" w:fill="auto"/>
            <w:noWrap/>
            <w:vAlign w:val="center"/>
            <w:hideMark/>
          </w:tcPr>
          <w:p w14:paraId="16D90A2D" w14:textId="77777777" w:rsidR="00AC61AC" w:rsidRPr="003A1A2F" w:rsidRDefault="006A2E61" w:rsidP="006A2E61">
            <w:pPr>
              <w:rPr>
                <w:rFonts w:ascii="Arial Narrow" w:hAnsi="Arial Narrow" w:cs="Arial"/>
                <w:color w:val="000000"/>
                <w:sz w:val="20"/>
                <w:szCs w:val="20"/>
              </w:rPr>
            </w:pPr>
            <w:r w:rsidRPr="003A1A2F">
              <w:rPr>
                <w:rFonts w:ascii="Arial Narrow" w:hAnsi="Arial Narrow" w:cs="Arial"/>
                <w:color w:val="000000"/>
                <w:sz w:val="20"/>
                <w:szCs w:val="20"/>
              </w:rPr>
              <w:t>SAAD</w:t>
            </w:r>
          </w:p>
        </w:tc>
        <w:tc>
          <w:tcPr>
            <w:tcW w:w="1408" w:type="dxa"/>
            <w:tcBorders>
              <w:top w:val="single" w:sz="4" w:space="0" w:color="auto"/>
              <w:left w:val="nil"/>
              <w:bottom w:val="single" w:sz="2" w:space="0" w:color="auto"/>
              <w:right w:val="nil"/>
            </w:tcBorders>
            <w:shd w:val="clear" w:color="auto" w:fill="auto"/>
            <w:noWrap/>
            <w:vAlign w:val="center"/>
            <w:hideMark/>
          </w:tcPr>
          <w:p w14:paraId="1F6811F4" w14:textId="77777777" w:rsidR="00AC61AC" w:rsidRPr="003A1A2F" w:rsidRDefault="00AC61AC">
            <w:pPr>
              <w:jc w:val="right"/>
              <w:rPr>
                <w:rFonts w:ascii="Arial Narrow" w:hAnsi="Arial Narrow" w:cs="Calibri"/>
                <w:color w:val="000000"/>
                <w:sz w:val="20"/>
                <w:szCs w:val="20"/>
              </w:rPr>
            </w:pPr>
            <w:r w:rsidRPr="003A1A2F">
              <w:rPr>
                <w:rFonts w:ascii="Arial Narrow" w:hAnsi="Arial Narrow" w:cs="Calibri"/>
                <w:color w:val="000000"/>
                <w:sz w:val="20"/>
                <w:szCs w:val="20"/>
              </w:rPr>
              <w:t> </w:t>
            </w:r>
          </w:p>
        </w:tc>
        <w:tc>
          <w:tcPr>
            <w:tcW w:w="1843" w:type="dxa"/>
            <w:tcBorders>
              <w:top w:val="single" w:sz="4" w:space="0" w:color="auto"/>
              <w:left w:val="nil"/>
              <w:bottom w:val="single" w:sz="2" w:space="0" w:color="auto"/>
              <w:right w:val="nil"/>
            </w:tcBorders>
            <w:shd w:val="clear" w:color="auto" w:fill="auto"/>
            <w:noWrap/>
            <w:vAlign w:val="center"/>
            <w:hideMark/>
          </w:tcPr>
          <w:p w14:paraId="76857A8E" w14:textId="77777777" w:rsidR="00AC61AC" w:rsidRPr="003A1A2F" w:rsidRDefault="003A4E9E">
            <w:pPr>
              <w:jc w:val="right"/>
              <w:rPr>
                <w:rFonts w:ascii="Arial Narrow" w:hAnsi="Arial Narrow" w:cs="Calibri"/>
                <w:color w:val="000000"/>
                <w:sz w:val="20"/>
                <w:szCs w:val="20"/>
              </w:rPr>
            </w:pPr>
            <w:r w:rsidRPr="003A1A2F">
              <w:rPr>
                <w:rFonts w:ascii="Arial Narrow" w:hAnsi="Arial Narrow" w:cs="Calibri"/>
                <w:color w:val="000000"/>
                <w:sz w:val="20"/>
                <w:szCs w:val="20"/>
              </w:rPr>
              <w:t xml:space="preserve">- </w:t>
            </w:r>
            <w:r w:rsidR="00AC61AC" w:rsidRPr="003A1A2F">
              <w:rPr>
                <w:rFonts w:ascii="Arial Narrow" w:hAnsi="Arial Narrow" w:cs="Calibri"/>
                <w:color w:val="000000"/>
                <w:sz w:val="20"/>
                <w:szCs w:val="20"/>
              </w:rPr>
              <w:t xml:space="preserve">24.849.412 </w:t>
            </w:r>
          </w:p>
        </w:tc>
      </w:tr>
      <w:tr w:rsidR="00AC61AC" w:rsidRPr="003A1A2F" w14:paraId="26F70DE2" w14:textId="77777777" w:rsidTr="003A1A2F">
        <w:trPr>
          <w:trHeight w:val="198"/>
          <w:jc w:val="center"/>
        </w:trPr>
        <w:tc>
          <w:tcPr>
            <w:tcW w:w="5680" w:type="dxa"/>
            <w:tcBorders>
              <w:top w:val="single" w:sz="2" w:space="0" w:color="auto"/>
              <w:left w:val="nil"/>
              <w:bottom w:val="single" w:sz="2" w:space="0" w:color="auto"/>
              <w:right w:val="nil"/>
            </w:tcBorders>
            <w:shd w:val="clear" w:color="auto" w:fill="auto"/>
            <w:noWrap/>
            <w:vAlign w:val="center"/>
            <w:hideMark/>
          </w:tcPr>
          <w:p w14:paraId="2B27A1A7" w14:textId="77777777" w:rsidR="00AC61AC" w:rsidRPr="003A1A2F" w:rsidRDefault="00AC61AC">
            <w:pPr>
              <w:rPr>
                <w:rFonts w:ascii="Arial Narrow" w:hAnsi="Arial Narrow" w:cs="Arial"/>
                <w:color w:val="000000"/>
                <w:sz w:val="20"/>
                <w:szCs w:val="20"/>
              </w:rPr>
            </w:pPr>
            <w:r w:rsidRPr="003A1A2F">
              <w:rPr>
                <w:rFonts w:ascii="Arial Narrow" w:hAnsi="Arial Narrow" w:cs="Arial"/>
                <w:color w:val="000000"/>
                <w:sz w:val="20"/>
                <w:szCs w:val="20"/>
              </w:rPr>
              <w:t>Jubilación anticipada policía foral</w:t>
            </w:r>
          </w:p>
        </w:tc>
        <w:tc>
          <w:tcPr>
            <w:tcW w:w="1408" w:type="dxa"/>
            <w:tcBorders>
              <w:top w:val="single" w:sz="2" w:space="0" w:color="auto"/>
              <w:left w:val="nil"/>
              <w:bottom w:val="single" w:sz="2" w:space="0" w:color="auto"/>
              <w:right w:val="nil"/>
            </w:tcBorders>
            <w:shd w:val="clear" w:color="auto" w:fill="auto"/>
            <w:noWrap/>
            <w:vAlign w:val="center"/>
            <w:hideMark/>
          </w:tcPr>
          <w:p w14:paraId="2A715AD0" w14:textId="77777777" w:rsidR="00AC61AC" w:rsidRPr="003A1A2F" w:rsidRDefault="00AC61AC">
            <w:pPr>
              <w:jc w:val="right"/>
              <w:rPr>
                <w:rFonts w:ascii="Arial Narrow" w:hAnsi="Arial Narrow" w:cs="Calibri"/>
                <w:color w:val="000000"/>
                <w:sz w:val="20"/>
                <w:szCs w:val="20"/>
              </w:rPr>
            </w:pPr>
            <w:r w:rsidRPr="003A1A2F">
              <w:rPr>
                <w:rFonts w:ascii="Arial Narrow" w:hAnsi="Arial Narrow" w:cs="Calibri"/>
                <w:color w:val="000000"/>
                <w:sz w:val="20"/>
                <w:szCs w:val="20"/>
              </w:rPr>
              <w:t> </w:t>
            </w:r>
          </w:p>
        </w:tc>
        <w:tc>
          <w:tcPr>
            <w:tcW w:w="1843" w:type="dxa"/>
            <w:tcBorders>
              <w:top w:val="single" w:sz="2" w:space="0" w:color="auto"/>
              <w:left w:val="nil"/>
              <w:bottom w:val="single" w:sz="2" w:space="0" w:color="auto"/>
              <w:right w:val="nil"/>
            </w:tcBorders>
            <w:shd w:val="clear" w:color="auto" w:fill="auto"/>
            <w:noWrap/>
            <w:vAlign w:val="center"/>
            <w:hideMark/>
          </w:tcPr>
          <w:p w14:paraId="59B59A8E" w14:textId="77777777" w:rsidR="00AC61AC" w:rsidRPr="003A1A2F" w:rsidRDefault="003A4E9E" w:rsidP="003A4E9E">
            <w:pPr>
              <w:jc w:val="right"/>
              <w:rPr>
                <w:rFonts w:ascii="Arial Narrow" w:hAnsi="Arial Narrow" w:cs="Calibri"/>
                <w:color w:val="000000"/>
                <w:sz w:val="20"/>
                <w:szCs w:val="20"/>
              </w:rPr>
            </w:pPr>
            <w:r w:rsidRPr="003A1A2F">
              <w:rPr>
                <w:rFonts w:ascii="Arial Narrow" w:hAnsi="Arial Narrow" w:cs="Calibri"/>
                <w:color w:val="000000"/>
                <w:sz w:val="20"/>
                <w:szCs w:val="20"/>
              </w:rPr>
              <w:t xml:space="preserve">-   </w:t>
            </w:r>
            <w:r w:rsidR="00AC61AC" w:rsidRPr="003A1A2F">
              <w:rPr>
                <w:rFonts w:ascii="Arial Narrow" w:hAnsi="Arial Narrow" w:cs="Calibri"/>
                <w:color w:val="000000"/>
                <w:sz w:val="20"/>
                <w:szCs w:val="20"/>
              </w:rPr>
              <w:t xml:space="preserve">2.446.658 </w:t>
            </w:r>
          </w:p>
        </w:tc>
      </w:tr>
      <w:tr w:rsidR="00AC61AC" w:rsidRPr="003A1A2F" w14:paraId="4A80A440" w14:textId="77777777" w:rsidTr="003A1A2F">
        <w:trPr>
          <w:trHeight w:val="198"/>
          <w:jc w:val="center"/>
        </w:trPr>
        <w:tc>
          <w:tcPr>
            <w:tcW w:w="5680" w:type="dxa"/>
            <w:tcBorders>
              <w:top w:val="single" w:sz="2" w:space="0" w:color="auto"/>
              <w:left w:val="nil"/>
              <w:bottom w:val="single" w:sz="2" w:space="0" w:color="auto"/>
              <w:right w:val="nil"/>
            </w:tcBorders>
            <w:shd w:val="clear" w:color="auto" w:fill="auto"/>
            <w:noWrap/>
            <w:vAlign w:val="center"/>
            <w:hideMark/>
          </w:tcPr>
          <w:p w14:paraId="6EDC57D6" w14:textId="77777777" w:rsidR="00AC61AC" w:rsidRPr="003A1A2F" w:rsidRDefault="006A2E61">
            <w:pPr>
              <w:rPr>
                <w:rFonts w:ascii="Arial Narrow" w:hAnsi="Arial Narrow" w:cs="Arial"/>
                <w:color w:val="000000"/>
                <w:sz w:val="20"/>
                <w:szCs w:val="20"/>
              </w:rPr>
            </w:pPr>
            <w:r w:rsidRPr="003A1A2F">
              <w:rPr>
                <w:rFonts w:ascii="Arial Narrow" w:hAnsi="Arial Narrow" w:cs="Arial"/>
                <w:color w:val="000000"/>
                <w:sz w:val="20"/>
                <w:szCs w:val="20"/>
              </w:rPr>
              <w:t>IMV</w:t>
            </w:r>
            <w:r w:rsidR="00AC61AC" w:rsidRPr="003A1A2F">
              <w:rPr>
                <w:rFonts w:ascii="Arial Narrow" w:hAnsi="Arial Narrow" w:cs="Arial"/>
                <w:color w:val="000000"/>
                <w:sz w:val="20"/>
                <w:szCs w:val="20"/>
              </w:rPr>
              <w:t xml:space="preserve"> 2023</w:t>
            </w:r>
          </w:p>
        </w:tc>
        <w:tc>
          <w:tcPr>
            <w:tcW w:w="1408" w:type="dxa"/>
            <w:tcBorders>
              <w:top w:val="single" w:sz="2" w:space="0" w:color="auto"/>
              <w:left w:val="nil"/>
              <w:bottom w:val="single" w:sz="2" w:space="0" w:color="auto"/>
              <w:right w:val="nil"/>
            </w:tcBorders>
            <w:shd w:val="clear" w:color="auto" w:fill="auto"/>
            <w:noWrap/>
            <w:vAlign w:val="center"/>
            <w:hideMark/>
          </w:tcPr>
          <w:p w14:paraId="1622AA8D" w14:textId="77777777" w:rsidR="00AC61AC" w:rsidRPr="003A1A2F" w:rsidRDefault="00AC61AC">
            <w:pPr>
              <w:jc w:val="right"/>
              <w:rPr>
                <w:rFonts w:ascii="Arial Narrow" w:hAnsi="Arial Narrow" w:cs="Calibri"/>
                <w:color w:val="000000"/>
                <w:sz w:val="20"/>
                <w:szCs w:val="20"/>
              </w:rPr>
            </w:pPr>
            <w:r w:rsidRPr="003A1A2F">
              <w:rPr>
                <w:rFonts w:ascii="Arial Narrow" w:hAnsi="Arial Narrow" w:cs="Calibri"/>
                <w:color w:val="000000"/>
                <w:sz w:val="20"/>
                <w:szCs w:val="20"/>
              </w:rPr>
              <w:t> </w:t>
            </w:r>
          </w:p>
        </w:tc>
        <w:tc>
          <w:tcPr>
            <w:tcW w:w="1843" w:type="dxa"/>
            <w:tcBorders>
              <w:top w:val="single" w:sz="2" w:space="0" w:color="auto"/>
              <w:left w:val="nil"/>
              <w:bottom w:val="single" w:sz="2" w:space="0" w:color="auto"/>
              <w:right w:val="nil"/>
            </w:tcBorders>
            <w:shd w:val="clear" w:color="auto" w:fill="auto"/>
            <w:noWrap/>
            <w:vAlign w:val="center"/>
            <w:hideMark/>
          </w:tcPr>
          <w:p w14:paraId="4AF595CD" w14:textId="77777777" w:rsidR="00AC61AC" w:rsidRPr="003A1A2F" w:rsidRDefault="003A4E9E">
            <w:pPr>
              <w:jc w:val="right"/>
              <w:rPr>
                <w:rFonts w:ascii="Arial Narrow" w:hAnsi="Arial Narrow" w:cs="Calibri"/>
                <w:color w:val="000000"/>
                <w:sz w:val="20"/>
                <w:szCs w:val="20"/>
              </w:rPr>
            </w:pPr>
            <w:r w:rsidRPr="003A1A2F">
              <w:rPr>
                <w:rFonts w:ascii="Arial Narrow" w:hAnsi="Arial Narrow" w:cs="Calibri"/>
                <w:color w:val="000000"/>
                <w:sz w:val="20"/>
                <w:szCs w:val="20"/>
              </w:rPr>
              <w:t xml:space="preserve">- </w:t>
            </w:r>
            <w:r w:rsidR="00AC61AC" w:rsidRPr="003A1A2F">
              <w:rPr>
                <w:rFonts w:ascii="Arial Narrow" w:hAnsi="Arial Narrow" w:cs="Calibri"/>
                <w:color w:val="000000"/>
                <w:sz w:val="20"/>
                <w:szCs w:val="20"/>
              </w:rPr>
              <w:t xml:space="preserve">48.708.333 </w:t>
            </w:r>
          </w:p>
        </w:tc>
      </w:tr>
      <w:tr w:rsidR="00AC61AC" w:rsidRPr="003A1A2F" w14:paraId="1942C9D8" w14:textId="77777777" w:rsidTr="003A1A2F">
        <w:trPr>
          <w:trHeight w:val="198"/>
          <w:jc w:val="center"/>
        </w:trPr>
        <w:tc>
          <w:tcPr>
            <w:tcW w:w="5680" w:type="dxa"/>
            <w:tcBorders>
              <w:top w:val="single" w:sz="2" w:space="0" w:color="auto"/>
              <w:left w:val="nil"/>
              <w:bottom w:val="single" w:sz="2" w:space="0" w:color="auto"/>
              <w:right w:val="nil"/>
            </w:tcBorders>
            <w:shd w:val="clear" w:color="auto" w:fill="auto"/>
            <w:noWrap/>
            <w:vAlign w:val="center"/>
            <w:hideMark/>
          </w:tcPr>
          <w:p w14:paraId="442A0FBB" w14:textId="77777777" w:rsidR="00AC61AC" w:rsidRPr="003A1A2F" w:rsidRDefault="00AC61AC">
            <w:pPr>
              <w:rPr>
                <w:rFonts w:ascii="Arial Narrow" w:hAnsi="Arial Narrow" w:cs="Arial"/>
                <w:color w:val="000000"/>
                <w:sz w:val="20"/>
                <w:szCs w:val="20"/>
              </w:rPr>
            </w:pPr>
            <w:r w:rsidRPr="003A1A2F">
              <w:rPr>
                <w:rFonts w:ascii="Arial Narrow" w:hAnsi="Arial Narrow" w:cs="Arial"/>
                <w:color w:val="000000"/>
                <w:sz w:val="20"/>
                <w:szCs w:val="20"/>
              </w:rPr>
              <w:t>Participación gravamen temporal energético</w:t>
            </w:r>
          </w:p>
        </w:tc>
        <w:tc>
          <w:tcPr>
            <w:tcW w:w="1408" w:type="dxa"/>
            <w:tcBorders>
              <w:top w:val="single" w:sz="2" w:space="0" w:color="auto"/>
              <w:left w:val="nil"/>
              <w:bottom w:val="single" w:sz="2" w:space="0" w:color="auto"/>
              <w:right w:val="nil"/>
            </w:tcBorders>
            <w:shd w:val="clear" w:color="auto" w:fill="auto"/>
            <w:noWrap/>
            <w:vAlign w:val="center"/>
            <w:hideMark/>
          </w:tcPr>
          <w:p w14:paraId="1CAA42AA" w14:textId="77777777" w:rsidR="00AC61AC" w:rsidRPr="003A1A2F" w:rsidRDefault="00AC61AC">
            <w:pPr>
              <w:jc w:val="right"/>
              <w:rPr>
                <w:rFonts w:ascii="Arial Narrow" w:hAnsi="Arial Narrow" w:cs="Calibri"/>
                <w:color w:val="000000"/>
                <w:sz w:val="20"/>
                <w:szCs w:val="20"/>
              </w:rPr>
            </w:pPr>
            <w:r w:rsidRPr="003A1A2F">
              <w:rPr>
                <w:rFonts w:ascii="Arial Narrow" w:hAnsi="Arial Narrow" w:cs="Calibri"/>
                <w:color w:val="000000"/>
                <w:sz w:val="20"/>
                <w:szCs w:val="20"/>
              </w:rPr>
              <w:t> </w:t>
            </w:r>
          </w:p>
        </w:tc>
        <w:tc>
          <w:tcPr>
            <w:tcW w:w="1843" w:type="dxa"/>
            <w:tcBorders>
              <w:top w:val="single" w:sz="2" w:space="0" w:color="auto"/>
              <w:left w:val="nil"/>
              <w:bottom w:val="single" w:sz="2" w:space="0" w:color="auto"/>
              <w:right w:val="nil"/>
            </w:tcBorders>
            <w:shd w:val="clear" w:color="auto" w:fill="auto"/>
            <w:noWrap/>
            <w:vAlign w:val="center"/>
            <w:hideMark/>
          </w:tcPr>
          <w:p w14:paraId="4ACC4368" w14:textId="77777777" w:rsidR="00AC61AC" w:rsidRPr="003A1A2F" w:rsidRDefault="003A4E9E">
            <w:pPr>
              <w:jc w:val="right"/>
              <w:rPr>
                <w:rFonts w:ascii="Arial Narrow" w:hAnsi="Arial Narrow" w:cs="Calibri"/>
                <w:color w:val="000000"/>
                <w:sz w:val="20"/>
                <w:szCs w:val="20"/>
              </w:rPr>
            </w:pPr>
            <w:r w:rsidRPr="003A1A2F">
              <w:rPr>
                <w:rFonts w:ascii="Arial Narrow" w:hAnsi="Arial Narrow" w:cs="Calibri"/>
                <w:color w:val="000000"/>
                <w:sz w:val="20"/>
                <w:szCs w:val="20"/>
              </w:rPr>
              <w:t xml:space="preserve">- </w:t>
            </w:r>
            <w:r w:rsidR="00AC61AC" w:rsidRPr="003A1A2F">
              <w:rPr>
                <w:rFonts w:ascii="Arial Narrow" w:hAnsi="Arial Narrow" w:cs="Calibri"/>
                <w:color w:val="000000"/>
                <w:sz w:val="20"/>
                <w:szCs w:val="20"/>
              </w:rPr>
              <w:t xml:space="preserve">26.311.652 </w:t>
            </w:r>
          </w:p>
        </w:tc>
      </w:tr>
      <w:tr w:rsidR="00AC61AC" w:rsidRPr="003A1A2F" w14:paraId="46269C60" w14:textId="77777777" w:rsidTr="00810207">
        <w:trPr>
          <w:trHeight w:val="198"/>
          <w:jc w:val="center"/>
        </w:trPr>
        <w:tc>
          <w:tcPr>
            <w:tcW w:w="5680" w:type="dxa"/>
            <w:tcBorders>
              <w:top w:val="single" w:sz="2" w:space="0" w:color="auto"/>
              <w:left w:val="nil"/>
              <w:bottom w:val="single" w:sz="4" w:space="0" w:color="auto"/>
              <w:right w:val="nil"/>
            </w:tcBorders>
            <w:shd w:val="clear" w:color="auto" w:fill="auto"/>
            <w:noWrap/>
            <w:vAlign w:val="center"/>
            <w:hideMark/>
          </w:tcPr>
          <w:p w14:paraId="32462DE0" w14:textId="77777777" w:rsidR="00AC61AC" w:rsidRPr="003A1A2F" w:rsidRDefault="00AC61AC">
            <w:pPr>
              <w:rPr>
                <w:rFonts w:ascii="Arial Narrow" w:hAnsi="Arial Narrow" w:cs="Arial"/>
                <w:color w:val="000000"/>
                <w:sz w:val="20"/>
                <w:szCs w:val="20"/>
              </w:rPr>
            </w:pPr>
            <w:r w:rsidRPr="003A1A2F">
              <w:rPr>
                <w:rFonts w:ascii="Arial Narrow" w:hAnsi="Arial Narrow" w:cs="Arial"/>
                <w:color w:val="000000"/>
                <w:sz w:val="20"/>
                <w:szCs w:val="20"/>
              </w:rPr>
              <w:t>Participación gravamen temporal entidades de crédito</w:t>
            </w:r>
          </w:p>
        </w:tc>
        <w:tc>
          <w:tcPr>
            <w:tcW w:w="1408" w:type="dxa"/>
            <w:tcBorders>
              <w:top w:val="single" w:sz="2" w:space="0" w:color="auto"/>
              <w:left w:val="nil"/>
              <w:bottom w:val="single" w:sz="4" w:space="0" w:color="auto"/>
              <w:right w:val="nil"/>
            </w:tcBorders>
            <w:shd w:val="clear" w:color="auto" w:fill="auto"/>
            <w:noWrap/>
            <w:vAlign w:val="center"/>
            <w:hideMark/>
          </w:tcPr>
          <w:p w14:paraId="495AAC03" w14:textId="77777777" w:rsidR="00AC61AC" w:rsidRPr="003A1A2F" w:rsidRDefault="00AC61AC">
            <w:pPr>
              <w:jc w:val="right"/>
              <w:rPr>
                <w:rFonts w:ascii="Arial Narrow" w:hAnsi="Arial Narrow" w:cs="Calibri"/>
                <w:color w:val="000000"/>
                <w:sz w:val="20"/>
                <w:szCs w:val="20"/>
              </w:rPr>
            </w:pPr>
            <w:r w:rsidRPr="003A1A2F">
              <w:rPr>
                <w:rFonts w:ascii="Arial Narrow" w:hAnsi="Arial Narrow" w:cs="Calibri"/>
                <w:color w:val="000000"/>
                <w:sz w:val="20"/>
                <w:szCs w:val="20"/>
              </w:rPr>
              <w:t> </w:t>
            </w:r>
          </w:p>
        </w:tc>
        <w:tc>
          <w:tcPr>
            <w:tcW w:w="1843" w:type="dxa"/>
            <w:tcBorders>
              <w:top w:val="single" w:sz="2" w:space="0" w:color="auto"/>
              <w:left w:val="nil"/>
              <w:bottom w:val="single" w:sz="4" w:space="0" w:color="auto"/>
              <w:right w:val="nil"/>
            </w:tcBorders>
            <w:shd w:val="clear" w:color="auto" w:fill="auto"/>
            <w:noWrap/>
            <w:vAlign w:val="center"/>
            <w:hideMark/>
          </w:tcPr>
          <w:p w14:paraId="3685CD6D" w14:textId="77777777" w:rsidR="00AC61AC" w:rsidRPr="003A1A2F" w:rsidRDefault="003A4E9E">
            <w:pPr>
              <w:jc w:val="right"/>
              <w:rPr>
                <w:rFonts w:ascii="Arial Narrow" w:hAnsi="Arial Narrow" w:cs="Calibri"/>
                <w:color w:val="000000"/>
                <w:sz w:val="20"/>
                <w:szCs w:val="20"/>
              </w:rPr>
            </w:pPr>
            <w:r w:rsidRPr="003A1A2F">
              <w:rPr>
                <w:rFonts w:ascii="Arial Narrow" w:hAnsi="Arial Narrow" w:cs="Calibri"/>
                <w:color w:val="000000"/>
                <w:sz w:val="20"/>
                <w:szCs w:val="20"/>
              </w:rPr>
              <w:t xml:space="preserve">- </w:t>
            </w:r>
            <w:r w:rsidR="00AC61AC" w:rsidRPr="003A1A2F">
              <w:rPr>
                <w:rFonts w:ascii="Arial Narrow" w:hAnsi="Arial Narrow" w:cs="Calibri"/>
                <w:color w:val="000000"/>
                <w:sz w:val="20"/>
                <w:szCs w:val="20"/>
              </w:rPr>
              <w:t xml:space="preserve">20.225.728 </w:t>
            </w:r>
          </w:p>
        </w:tc>
      </w:tr>
      <w:tr w:rsidR="00AC61AC" w14:paraId="0E816FCE" w14:textId="77777777" w:rsidTr="00810207">
        <w:trPr>
          <w:trHeight w:val="198"/>
          <w:jc w:val="center"/>
        </w:trPr>
        <w:tc>
          <w:tcPr>
            <w:tcW w:w="5680" w:type="dxa"/>
            <w:tcBorders>
              <w:top w:val="single" w:sz="4" w:space="0" w:color="auto"/>
              <w:left w:val="nil"/>
              <w:bottom w:val="single" w:sz="4" w:space="0" w:color="auto"/>
              <w:right w:val="nil"/>
            </w:tcBorders>
            <w:shd w:val="clear" w:color="auto" w:fill="auto"/>
            <w:noWrap/>
            <w:vAlign w:val="center"/>
            <w:hideMark/>
          </w:tcPr>
          <w:p w14:paraId="5249D72E" w14:textId="77777777" w:rsidR="00AC61AC" w:rsidRPr="00B02371" w:rsidRDefault="00AC61AC">
            <w:pPr>
              <w:rPr>
                <w:rFonts w:ascii="Arial Narrow" w:hAnsi="Arial Narrow" w:cs="Arial"/>
                <w:b/>
                <w:bCs/>
                <w:color w:val="000000"/>
                <w:sz w:val="20"/>
                <w:szCs w:val="20"/>
              </w:rPr>
            </w:pPr>
            <w:r w:rsidRPr="00B02371">
              <w:rPr>
                <w:rFonts w:ascii="Arial Narrow" w:hAnsi="Arial Narrow" w:cs="Arial"/>
                <w:b/>
                <w:bCs/>
                <w:color w:val="000000"/>
                <w:sz w:val="20"/>
                <w:szCs w:val="20"/>
              </w:rPr>
              <w:t xml:space="preserve">Total </w:t>
            </w:r>
          </w:p>
        </w:tc>
        <w:tc>
          <w:tcPr>
            <w:tcW w:w="1408" w:type="dxa"/>
            <w:tcBorders>
              <w:top w:val="single" w:sz="4" w:space="0" w:color="auto"/>
              <w:left w:val="nil"/>
              <w:bottom w:val="single" w:sz="4" w:space="0" w:color="auto"/>
              <w:right w:val="nil"/>
            </w:tcBorders>
            <w:shd w:val="clear" w:color="auto" w:fill="auto"/>
            <w:noWrap/>
            <w:vAlign w:val="center"/>
            <w:hideMark/>
          </w:tcPr>
          <w:p w14:paraId="75D0E469" w14:textId="77777777" w:rsidR="00AC61AC" w:rsidRPr="00B02371" w:rsidRDefault="00AC61AC">
            <w:pPr>
              <w:jc w:val="right"/>
              <w:rPr>
                <w:rFonts w:ascii="Arial Narrow" w:hAnsi="Arial Narrow" w:cs="Calibri"/>
                <w:b/>
                <w:bCs/>
                <w:color w:val="000000"/>
                <w:sz w:val="20"/>
                <w:szCs w:val="20"/>
              </w:rPr>
            </w:pPr>
            <w:r w:rsidRPr="00B02371">
              <w:rPr>
                <w:rFonts w:ascii="Arial Narrow" w:hAnsi="Arial Narrow" w:cs="Calibri"/>
                <w:b/>
                <w:bCs/>
                <w:color w:val="000000"/>
                <w:sz w:val="20"/>
                <w:szCs w:val="20"/>
              </w:rPr>
              <w:t>B</w:t>
            </w:r>
          </w:p>
        </w:tc>
        <w:tc>
          <w:tcPr>
            <w:tcW w:w="1843" w:type="dxa"/>
            <w:tcBorders>
              <w:top w:val="single" w:sz="4" w:space="0" w:color="auto"/>
              <w:left w:val="nil"/>
              <w:bottom w:val="single" w:sz="4" w:space="0" w:color="auto"/>
              <w:right w:val="nil"/>
            </w:tcBorders>
            <w:shd w:val="clear" w:color="auto" w:fill="auto"/>
            <w:noWrap/>
            <w:vAlign w:val="center"/>
            <w:hideMark/>
          </w:tcPr>
          <w:p w14:paraId="69D79524" w14:textId="77777777" w:rsidR="00AC61AC" w:rsidRPr="00B02371" w:rsidRDefault="003A4E9E" w:rsidP="003A4E9E">
            <w:pPr>
              <w:jc w:val="right"/>
              <w:rPr>
                <w:rFonts w:ascii="Arial Narrow" w:hAnsi="Arial Narrow" w:cs="Calibri"/>
                <w:b/>
                <w:bCs/>
                <w:color w:val="000000"/>
                <w:sz w:val="20"/>
                <w:szCs w:val="20"/>
              </w:rPr>
            </w:pPr>
            <w:r w:rsidRPr="00B02371">
              <w:rPr>
                <w:rFonts w:ascii="Arial Narrow" w:hAnsi="Arial Narrow" w:cs="Calibri"/>
                <w:b/>
                <w:bCs/>
                <w:color w:val="000000"/>
                <w:sz w:val="20"/>
                <w:szCs w:val="20"/>
              </w:rPr>
              <w:t xml:space="preserve">- </w:t>
            </w:r>
            <w:r w:rsidR="00AC61AC" w:rsidRPr="00B02371">
              <w:rPr>
                <w:rFonts w:ascii="Arial Narrow" w:hAnsi="Arial Narrow" w:cs="Calibri"/>
                <w:b/>
                <w:bCs/>
                <w:color w:val="000000"/>
                <w:sz w:val="20"/>
                <w:szCs w:val="20"/>
              </w:rPr>
              <w:t xml:space="preserve">122.541.783 </w:t>
            </w:r>
          </w:p>
        </w:tc>
      </w:tr>
      <w:tr w:rsidR="00AC61AC" w14:paraId="7D9D84C7" w14:textId="77777777" w:rsidTr="001F6B50">
        <w:trPr>
          <w:trHeight w:val="198"/>
          <w:jc w:val="center"/>
        </w:trPr>
        <w:tc>
          <w:tcPr>
            <w:tcW w:w="5680" w:type="dxa"/>
            <w:tcBorders>
              <w:top w:val="single" w:sz="4" w:space="0" w:color="auto"/>
              <w:left w:val="nil"/>
              <w:bottom w:val="single" w:sz="4" w:space="0" w:color="auto"/>
              <w:right w:val="nil"/>
            </w:tcBorders>
            <w:shd w:val="clear" w:color="auto" w:fill="auto"/>
            <w:noWrap/>
            <w:vAlign w:val="center"/>
            <w:hideMark/>
          </w:tcPr>
          <w:p w14:paraId="16AAF0A1" w14:textId="77777777" w:rsidR="00AC61AC" w:rsidRDefault="00AC61AC">
            <w:pPr>
              <w:rPr>
                <w:rFonts w:ascii="Arial" w:hAnsi="Arial" w:cs="Arial"/>
                <w:color w:val="000000"/>
                <w:sz w:val="18"/>
                <w:szCs w:val="18"/>
              </w:rPr>
            </w:pPr>
            <w:r>
              <w:rPr>
                <w:rFonts w:ascii="Arial" w:hAnsi="Arial" w:cs="Arial"/>
                <w:color w:val="000000"/>
                <w:sz w:val="18"/>
                <w:szCs w:val="18"/>
              </w:rPr>
              <w:t> </w:t>
            </w:r>
          </w:p>
        </w:tc>
        <w:tc>
          <w:tcPr>
            <w:tcW w:w="1408" w:type="dxa"/>
            <w:tcBorders>
              <w:top w:val="single" w:sz="4" w:space="0" w:color="auto"/>
              <w:left w:val="nil"/>
              <w:bottom w:val="single" w:sz="4" w:space="0" w:color="auto"/>
              <w:right w:val="nil"/>
            </w:tcBorders>
            <w:shd w:val="clear" w:color="auto" w:fill="auto"/>
            <w:noWrap/>
            <w:vAlign w:val="bottom"/>
            <w:hideMark/>
          </w:tcPr>
          <w:p w14:paraId="36DE0C35" w14:textId="77777777" w:rsidR="00AC61AC" w:rsidRDefault="00AC61AC">
            <w:pPr>
              <w:rPr>
                <w:rFonts w:ascii="Arial" w:hAnsi="Arial" w:cs="Arial"/>
                <w:color w:val="000000"/>
                <w:sz w:val="18"/>
                <w:szCs w:val="18"/>
              </w:rPr>
            </w:pPr>
          </w:p>
        </w:tc>
        <w:tc>
          <w:tcPr>
            <w:tcW w:w="1843" w:type="dxa"/>
            <w:tcBorders>
              <w:top w:val="single" w:sz="4" w:space="0" w:color="auto"/>
              <w:left w:val="nil"/>
              <w:bottom w:val="single" w:sz="4" w:space="0" w:color="auto"/>
              <w:right w:val="nil"/>
            </w:tcBorders>
            <w:shd w:val="clear" w:color="auto" w:fill="auto"/>
            <w:noWrap/>
            <w:vAlign w:val="center"/>
            <w:hideMark/>
          </w:tcPr>
          <w:p w14:paraId="7F871E2C" w14:textId="77777777" w:rsidR="00AC61AC" w:rsidRPr="003A4E9E" w:rsidRDefault="00AC61AC">
            <w:pPr>
              <w:jc w:val="right"/>
              <w:rPr>
                <w:rFonts w:ascii="Arial Narrow" w:hAnsi="Arial Narrow" w:cs="Calibri"/>
                <w:color w:val="000000"/>
                <w:sz w:val="18"/>
                <w:szCs w:val="18"/>
              </w:rPr>
            </w:pPr>
            <w:r w:rsidRPr="003A4E9E">
              <w:rPr>
                <w:rFonts w:ascii="Arial Narrow" w:hAnsi="Arial Narrow" w:cs="Calibri"/>
                <w:color w:val="000000"/>
                <w:sz w:val="18"/>
                <w:szCs w:val="18"/>
              </w:rPr>
              <w:t> </w:t>
            </w:r>
          </w:p>
        </w:tc>
      </w:tr>
      <w:tr w:rsidR="00AC61AC" w14:paraId="228A6674" w14:textId="77777777" w:rsidTr="003A1A2F">
        <w:trPr>
          <w:trHeight w:val="255"/>
          <w:jc w:val="center"/>
        </w:trPr>
        <w:tc>
          <w:tcPr>
            <w:tcW w:w="5680" w:type="dxa"/>
            <w:tcBorders>
              <w:top w:val="single" w:sz="4" w:space="0" w:color="auto"/>
              <w:left w:val="nil"/>
              <w:bottom w:val="single" w:sz="4" w:space="0" w:color="auto"/>
              <w:right w:val="nil"/>
            </w:tcBorders>
            <w:shd w:val="clear" w:color="000000" w:fill="95B3D7"/>
            <w:noWrap/>
            <w:vAlign w:val="center"/>
            <w:hideMark/>
          </w:tcPr>
          <w:p w14:paraId="1EFBBDCE" w14:textId="77777777" w:rsidR="00AC61AC" w:rsidRDefault="003A4E9E">
            <w:pPr>
              <w:rPr>
                <w:rFonts w:ascii="Arial" w:hAnsi="Arial" w:cs="Arial"/>
                <w:color w:val="000000"/>
                <w:sz w:val="18"/>
                <w:szCs w:val="18"/>
              </w:rPr>
            </w:pPr>
            <w:r>
              <w:rPr>
                <w:rFonts w:ascii="Arial" w:hAnsi="Arial" w:cs="Arial"/>
                <w:color w:val="000000"/>
                <w:sz w:val="18"/>
                <w:szCs w:val="18"/>
              </w:rPr>
              <w:t>Saldo total flujos financieros Navarra-E</w:t>
            </w:r>
            <w:r w:rsidR="00AC61AC">
              <w:rPr>
                <w:rFonts w:ascii="Arial" w:hAnsi="Arial" w:cs="Arial"/>
                <w:color w:val="000000"/>
                <w:sz w:val="18"/>
                <w:szCs w:val="18"/>
              </w:rPr>
              <w:t>stado 2023</w:t>
            </w:r>
          </w:p>
        </w:tc>
        <w:tc>
          <w:tcPr>
            <w:tcW w:w="1408" w:type="dxa"/>
            <w:tcBorders>
              <w:top w:val="single" w:sz="4" w:space="0" w:color="auto"/>
              <w:left w:val="nil"/>
              <w:bottom w:val="single" w:sz="4" w:space="0" w:color="auto"/>
              <w:right w:val="nil"/>
            </w:tcBorders>
            <w:shd w:val="clear" w:color="000000" w:fill="95B3D7"/>
            <w:noWrap/>
            <w:vAlign w:val="center"/>
            <w:hideMark/>
          </w:tcPr>
          <w:p w14:paraId="3AAD56E3" w14:textId="77777777" w:rsidR="00AC61AC" w:rsidRDefault="00AC61AC">
            <w:pPr>
              <w:rPr>
                <w:rFonts w:ascii="Arial" w:hAnsi="Arial" w:cs="Arial"/>
                <w:color w:val="000000"/>
                <w:sz w:val="18"/>
                <w:szCs w:val="18"/>
              </w:rPr>
            </w:pPr>
            <w:r>
              <w:rPr>
                <w:rFonts w:ascii="Arial" w:hAnsi="Arial" w:cs="Arial"/>
                <w:color w:val="000000"/>
                <w:sz w:val="18"/>
                <w:szCs w:val="18"/>
              </w:rPr>
              <w:t> </w:t>
            </w:r>
          </w:p>
        </w:tc>
        <w:tc>
          <w:tcPr>
            <w:tcW w:w="1843" w:type="dxa"/>
            <w:tcBorders>
              <w:top w:val="single" w:sz="4" w:space="0" w:color="auto"/>
              <w:left w:val="nil"/>
              <w:bottom w:val="single" w:sz="4" w:space="0" w:color="auto"/>
              <w:right w:val="nil"/>
            </w:tcBorders>
            <w:shd w:val="clear" w:color="000000" w:fill="95B3D7"/>
            <w:noWrap/>
            <w:vAlign w:val="center"/>
            <w:hideMark/>
          </w:tcPr>
          <w:p w14:paraId="26EB0E25" w14:textId="77777777" w:rsidR="00AC61AC" w:rsidRPr="003A4E9E" w:rsidRDefault="00AC61AC">
            <w:pPr>
              <w:jc w:val="right"/>
              <w:rPr>
                <w:rFonts w:ascii="Arial" w:hAnsi="Arial" w:cs="Arial"/>
                <w:color w:val="000000"/>
                <w:sz w:val="18"/>
                <w:szCs w:val="18"/>
              </w:rPr>
            </w:pPr>
            <w:r w:rsidRPr="003A4E9E">
              <w:rPr>
                <w:rFonts w:ascii="Arial" w:hAnsi="Arial" w:cs="Arial"/>
                <w:color w:val="000000"/>
                <w:sz w:val="18"/>
                <w:szCs w:val="18"/>
              </w:rPr>
              <w:t>582.937.466</w:t>
            </w:r>
          </w:p>
        </w:tc>
      </w:tr>
      <w:tr w:rsidR="00AC61AC" w14:paraId="25530BE6" w14:textId="77777777" w:rsidTr="003A1A2F">
        <w:trPr>
          <w:trHeight w:val="255"/>
          <w:jc w:val="center"/>
        </w:trPr>
        <w:tc>
          <w:tcPr>
            <w:tcW w:w="5680" w:type="dxa"/>
            <w:tcBorders>
              <w:top w:val="single" w:sz="4" w:space="0" w:color="auto"/>
              <w:left w:val="nil"/>
              <w:bottom w:val="single" w:sz="4" w:space="0" w:color="auto"/>
              <w:right w:val="nil"/>
            </w:tcBorders>
            <w:shd w:val="clear" w:color="000000" w:fill="95B3D7"/>
            <w:noWrap/>
            <w:vAlign w:val="center"/>
            <w:hideMark/>
          </w:tcPr>
          <w:p w14:paraId="32892EC8" w14:textId="77777777" w:rsidR="00AC61AC" w:rsidRDefault="00AC61AC">
            <w:pPr>
              <w:rPr>
                <w:rFonts w:ascii="Arial" w:hAnsi="Arial" w:cs="Arial"/>
                <w:color w:val="000000"/>
                <w:sz w:val="18"/>
                <w:szCs w:val="18"/>
              </w:rPr>
            </w:pPr>
            <w:r>
              <w:rPr>
                <w:rFonts w:ascii="Arial" w:hAnsi="Arial" w:cs="Arial"/>
                <w:color w:val="000000"/>
                <w:sz w:val="18"/>
                <w:szCs w:val="18"/>
              </w:rPr>
              <w:t>Saldo</w:t>
            </w:r>
            <w:r w:rsidR="003A4E9E">
              <w:rPr>
                <w:rFonts w:ascii="Arial" w:hAnsi="Arial" w:cs="Arial"/>
                <w:color w:val="000000"/>
                <w:sz w:val="18"/>
                <w:szCs w:val="18"/>
              </w:rPr>
              <w:t xml:space="preserve"> neto a favor de N</w:t>
            </w:r>
            <w:r>
              <w:rPr>
                <w:rFonts w:ascii="Arial" w:hAnsi="Arial" w:cs="Arial"/>
                <w:color w:val="000000"/>
                <w:sz w:val="18"/>
                <w:szCs w:val="18"/>
              </w:rPr>
              <w:t>avarra 2023</w:t>
            </w:r>
          </w:p>
        </w:tc>
        <w:tc>
          <w:tcPr>
            <w:tcW w:w="1408" w:type="dxa"/>
            <w:tcBorders>
              <w:top w:val="single" w:sz="4" w:space="0" w:color="auto"/>
              <w:left w:val="nil"/>
              <w:bottom w:val="single" w:sz="4" w:space="0" w:color="auto"/>
              <w:right w:val="nil"/>
            </w:tcBorders>
            <w:shd w:val="clear" w:color="000000" w:fill="95B3D7"/>
            <w:noWrap/>
            <w:vAlign w:val="center"/>
            <w:hideMark/>
          </w:tcPr>
          <w:p w14:paraId="53D482CD" w14:textId="77777777" w:rsidR="00AC61AC" w:rsidRDefault="00AC61AC">
            <w:pPr>
              <w:rPr>
                <w:rFonts w:ascii="Arial" w:hAnsi="Arial" w:cs="Arial"/>
                <w:color w:val="000000"/>
                <w:sz w:val="18"/>
                <w:szCs w:val="18"/>
              </w:rPr>
            </w:pPr>
            <w:r>
              <w:rPr>
                <w:rFonts w:ascii="Arial" w:hAnsi="Arial" w:cs="Arial"/>
                <w:color w:val="000000"/>
                <w:sz w:val="18"/>
                <w:szCs w:val="18"/>
              </w:rPr>
              <w:t> </w:t>
            </w:r>
          </w:p>
        </w:tc>
        <w:tc>
          <w:tcPr>
            <w:tcW w:w="1843" w:type="dxa"/>
            <w:tcBorders>
              <w:top w:val="single" w:sz="4" w:space="0" w:color="auto"/>
              <w:left w:val="nil"/>
              <w:bottom w:val="single" w:sz="4" w:space="0" w:color="auto"/>
              <w:right w:val="nil"/>
            </w:tcBorders>
            <w:shd w:val="clear" w:color="000000" w:fill="95B3D7"/>
            <w:noWrap/>
            <w:vAlign w:val="center"/>
            <w:hideMark/>
          </w:tcPr>
          <w:p w14:paraId="1AAACBA4" w14:textId="77777777" w:rsidR="00AC61AC" w:rsidRPr="003A4E9E" w:rsidRDefault="00AC61AC">
            <w:pPr>
              <w:jc w:val="right"/>
              <w:rPr>
                <w:rFonts w:ascii="Arial" w:hAnsi="Arial" w:cs="Arial"/>
                <w:color w:val="000000"/>
                <w:sz w:val="18"/>
                <w:szCs w:val="18"/>
              </w:rPr>
            </w:pPr>
            <w:r w:rsidRPr="003A4E9E">
              <w:rPr>
                <w:rFonts w:ascii="Arial" w:hAnsi="Arial" w:cs="Arial"/>
                <w:color w:val="000000"/>
                <w:sz w:val="18"/>
                <w:szCs w:val="18"/>
              </w:rPr>
              <w:t>460.395.684</w:t>
            </w:r>
          </w:p>
        </w:tc>
      </w:tr>
    </w:tbl>
    <w:p w14:paraId="7DFC4EAB" w14:textId="77777777" w:rsidR="00614DC4" w:rsidRPr="00F076CD" w:rsidRDefault="00614DC4" w:rsidP="003A1A2F">
      <w:pPr>
        <w:pStyle w:val="atitulo3"/>
        <w:spacing w:before="360"/>
      </w:pPr>
      <w:r w:rsidRPr="00F076CD">
        <w:t>Transferencias de capital</w:t>
      </w:r>
    </w:p>
    <w:p w14:paraId="5362E756" w14:textId="77777777" w:rsidR="00614DC4" w:rsidRDefault="00614DC4" w:rsidP="00B02371">
      <w:pPr>
        <w:pStyle w:val="texto"/>
        <w:jc w:val="both"/>
      </w:pPr>
      <w:r>
        <w:t>Las transferencias de capital reconocidas en 202</w:t>
      </w:r>
      <w:r w:rsidR="00F300EF">
        <w:t>3 ascendieron a 258,6</w:t>
      </w:r>
      <w:r w:rsidR="0056112E">
        <w:t>6</w:t>
      </w:r>
      <w:r>
        <w:t xml:space="preserve"> millones. Suponen el cuatro por ciento del total de obligaciones reconocidas</w:t>
      </w:r>
      <w:r w:rsidR="00F300EF">
        <w:t xml:space="preserve"> en el ejercicio y aumentan un 25 por ciento (51,23</w:t>
      </w:r>
      <w:r>
        <w:t xml:space="preserve"> millones) respecto a 202</w:t>
      </w:r>
      <w:r w:rsidR="00F300EF">
        <w:t>2</w:t>
      </w:r>
      <w:r>
        <w:t xml:space="preserve"> según el siguiente detalle:</w:t>
      </w:r>
    </w:p>
    <w:p w14:paraId="1451B9C4" w14:textId="77777777" w:rsidR="002C33F0" w:rsidRDefault="002C33F0" w:rsidP="002C33F0">
      <w:pPr>
        <w:pStyle w:val="texto"/>
        <w:spacing w:after="120"/>
        <w:jc w:val="right"/>
      </w:pPr>
      <w:r>
        <w:rPr>
          <w:rFonts w:ascii="Arial" w:hAnsi="Arial" w:cs="Arial"/>
          <w:sz w:val="18"/>
          <w:szCs w:val="18"/>
        </w:rPr>
        <w:t>(en miles)</w:t>
      </w:r>
    </w:p>
    <w:tbl>
      <w:tblPr>
        <w:tblW w:w="8789" w:type="dxa"/>
        <w:jc w:val="center"/>
        <w:tblLayout w:type="fixed"/>
        <w:tblCellMar>
          <w:left w:w="70" w:type="dxa"/>
          <w:right w:w="70" w:type="dxa"/>
        </w:tblCellMar>
        <w:tblLook w:val="04A0" w:firstRow="1" w:lastRow="0" w:firstColumn="1" w:lastColumn="0" w:noHBand="0" w:noVBand="1"/>
      </w:tblPr>
      <w:tblGrid>
        <w:gridCol w:w="3345"/>
        <w:gridCol w:w="341"/>
        <w:gridCol w:w="1639"/>
        <w:gridCol w:w="31"/>
        <w:gridCol w:w="2013"/>
        <w:gridCol w:w="1420"/>
      </w:tblGrid>
      <w:tr w:rsidR="00F67D36" w:rsidRPr="0007577B" w14:paraId="0B2AE9CB" w14:textId="77777777" w:rsidTr="003A1A2F">
        <w:trPr>
          <w:trHeight w:val="255"/>
          <w:jc w:val="center"/>
        </w:trPr>
        <w:tc>
          <w:tcPr>
            <w:tcW w:w="3345" w:type="dxa"/>
            <w:tcBorders>
              <w:top w:val="single" w:sz="4" w:space="0" w:color="auto"/>
              <w:left w:val="nil"/>
              <w:bottom w:val="single" w:sz="4" w:space="0" w:color="auto"/>
              <w:right w:val="nil"/>
            </w:tcBorders>
            <w:shd w:val="clear" w:color="auto" w:fill="8DB3E2"/>
            <w:noWrap/>
            <w:vAlign w:val="center"/>
            <w:hideMark/>
          </w:tcPr>
          <w:p w14:paraId="1E5060C8" w14:textId="77777777" w:rsidR="00F67D36" w:rsidRPr="0007577B" w:rsidRDefault="00F67D36" w:rsidP="007E2FD3">
            <w:pPr>
              <w:pStyle w:val="cuadroCabe"/>
            </w:pPr>
            <w:r w:rsidRPr="0007577B">
              <w:t>Artículo presupuestario</w:t>
            </w:r>
          </w:p>
        </w:tc>
        <w:tc>
          <w:tcPr>
            <w:tcW w:w="2011" w:type="dxa"/>
            <w:gridSpan w:val="3"/>
            <w:tcBorders>
              <w:top w:val="single" w:sz="4" w:space="0" w:color="auto"/>
              <w:left w:val="nil"/>
              <w:bottom w:val="single" w:sz="4" w:space="0" w:color="auto"/>
              <w:right w:val="nil"/>
            </w:tcBorders>
            <w:shd w:val="clear" w:color="auto" w:fill="8DB3E2"/>
            <w:noWrap/>
            <w:vAlign w:val="center"/>
            <w:hideMark/>
          </w:tcPr>
          <w:p w14:paraId="0C9DA490" w14:textId="77777777" w:rsidR="00F67D36" w:rsidRPr="0007577B" w:rsidRDefault="00F67D36" w:rsidP="007E2FD3">
            <w:pPr>
              <w:pStyle w:val="cuadroCabe"/>
              <w:jc w:val="right"/>
            </w:pPr>
            <w:proofErr w:type="spellStart"/>
            <w:r w:rsidRPr="0007577B">
              <w:t>Obligac</w:t>
            </w:r>
            <w:proofErr w:type="spellEnd"/>
            <w:r w:rsidRPr="0007577B">
              <w:t xml:space="preserve">. Reconocidas </w:t>
            </w:r>
          </w:p>
          <w:p w14:paraId="16BEDBDE" w14:textId="77777777" w:rsidR="00F67D36" w:rsidRPr="0007577B" w:rsidRDefault="00F67D36" w:rsidP="007E2FD3">
            <w:pPr>
              <w:pStyle w:val="cuadroCabe"/>
              <w:jc w:val="right"/>
            </w:pPr>
            <w:r w:rsidRPr="0007577B">
              <w:t>Netas 2022</w:t>
            </w:r>
          </w:p>
        </w:tc>
        <w:tc>
          <w:tcPr>
            <w:tcW w:w="2013" w:type="dxa"/>
            <w:tcBorders>
              <w:top w:val="single" w:sz="4" w:space="0" w:color="auto"/>
              <w:left w:val="nil"/>
              <w:bottom w:val="single" w:sz="4" w:space="0" w:color="auto"/>
              <w:right w:val="nil"/>
            </w:tcBorders>
            <w:shd w:val="clear" w:color="auto" w:fill="8DB3E2"/>
            <w:noWrap/>
            <w:vAlign w:val="center"/>
            <w:hideMark/>
          </w:tcPr>
          <w:p w14:paraId="330585ED" w14:textId="77777777" w:rsidR="00F67D36" w:rsidRPr="0007577B" w:rsidRDefault="00F67D36" w:rsidP="007E2FD3">
            <w:pPr>
              <w:pStyle w:val="cuadroCabe"/>
              <w:jc w:val="right"/>
            </w:pPr>
            <w:proofErr w:type="spellStart"/>
            <w:r w:rsidRPr="0007577B">
              <w:t>Obligac</w:t>
            </w:r>
            <w:proofErr w:type="spellEnd"/>
            <w:r w:rsidRPr="0007577B">
              <w:t xml:space="preserve">. Reconocidas </w:t>
            </w:r>
          </w:p>
          <w:p w14:paraId="75EFAA5D" w14:textId="77777777" w:rsidR="00F67D36" w:rsidRPr="0007577B" w:rsidRDefault="00F67D36" w:rsidP="007E2FD3">
            <w:pPr>
              <w:pStyle w:val="cuadroCabe"/>
              <w:jc w:val="right"/>
            </w:pPr>
            <w:r w:rsidRPr="0007577B">
              <w:t>Netas 2023</w:t>
            </w:r>
          </w:p>
        </w:tc>
        <w:tc>
          <w:tcPr>
            <w:tcW w:w="1420" w:type="dxa"/>
            <w:tcBorders>
              <w:top w:val="single" w:sz="4" w:space="0" w:color="auto"/>
              <w:left w:val="nil"/>
              <w:bottom w:val="single" w:sz="4" w:space="0" w:color="auto"/>
              <w:right w:val="nil"/>
            </w:tcBorders>
            <w:shd w:val="clear" w:color="auto" w:fill="8DB3E2"/>
            <w:noWrap/>
            <w:vAlign w:val="center"/>
            <w:hideMark/>
          </w:tcPr>
          <w:p w14:paraId="0667A6C1" w14:textId="77777777" w:rsidR="00F67D36" w:rsidRPr="0007577B" w:rsidRDefault="00F67D36" w:rsidP="001F6B50">
            <w:pPr>
              <w:pStyle w:val="cuadroCabe"/>
              <w:jc w:val="right"/>
            </w:pPr>
            <w:r w:rsidRPr="0007577B">
              <w:t>% Variación</w:t>
            </w:r>
          </w:p>
          <w:p w14:paraId="5174DC0E" w14:textId="77777777" w:rsidR="00F67D36" w:rsidRPr="0007577B" w:rsidRDefault="00F67D36" w:rsidP="001F6B50">
            <w:pPr>
              <w:pStyle w:val="cuadroCabe"/>
              <w:jc w:val="right"/>
            </w:pPr>
            <w:r w:rsidRPr="0007577B">
              <w:t>2023/2022</w:t>
            </w:r>
          </w:p>
        </w:tc>
      </w:tr>
      <w:tr w:rsidR="00F67D36" w:rsidRPr="0069768F" w14:paraId="63C447D9" w14:textId="77777777" w:rsidTr="003A1A2F">
        <w:trPr>
          <w:cantSplit/>
          <w:trHeight w:val="198"/>
          <w:jc w:val="center"/>
        </w:trPr>
        <w:tc>
          <w:tcPr>
            <w:tcW w:w="3686" w:type="dxa"/>
            <w:gridSpan w:val="2"/>
            <w:tcBorders>
              <w:top w:val="single" w:sz="2" w:space="0" w:color="auto"/>
              <w:left w:val="nil"/>
              <w:bottom w:val="single" w:sz="2" w:space="0" w:color="auto"/>
              <w:right w:val="nil"/>
            </w:tcBorders>
            <w:noWrap/>
            <w:vAlign w:val="center"/>
          </w:tcPr>
          <w:p w14:paraId="0857C905" w14:textId="77777777" w:rsidR="00F67D36" w:rsidRPr="003A1A2F" w:rsidRDefault="00F67D36" w:rsidP="003A1A2F">
            <w:pPr>
              <w:rPr>
                <w:rFonts w:ascii="Arial Narrow" w:hAnsi="Arial Narrow"/>
                <w:sz w:val="20"/>
                <w:szCs w:val="20"/>
                <w:lang w:val="es-ES_tradnl"/>
              </w:rPr>
            </w:pPr>
            <w:r w:rsidRPr="003A1A2F">
              <w:rPr>
                <w:rFonts w:ascii="Arial Narrow" w:hAnsi="Arial Narrow"/>
                <w:sz w:val="20"/>
                <w:szCs w:val="20"/>
                <w:lang w:val="es-ES_tradnl"/>
              </w:rPr>
              <w:t>A fundaciones</w:t>
            </w:r>
          </w:p>
        </w:tc>
        <w:tc>
          <w:tcPr>
            <w:tcW w:w="1639" w:type="dxa"/>
            <w:tcBorders>
              <w:top w:val="single" w:sz="4" w:space="0" w:color="auto"/>
              <w:left w:val="nil"/>
              <w:bottom w:val="single" w:sz="2" w:space="0" w:color="auto"/>
              <w:right w:val="nil"/>
            </w:tcBorders>
            <w:noWrap/>
          </w:tcPr>
          <w:p w14:paraId="2AC7881B" w14:textId="77777777" w:rsidR="00F67D36" w:rsidRPr="0069768F" w:rsidRDefault="00F67D36" w:rsidP="00F67D36">
            <w:pPr>
              <w:pStyle w:val="cuatexto"/>
              <w:jc w:val="right"/>
              <w:rPr>
                <w:lang w:val="es-ES_tradnl"/>
              </w:rPr>
            </w:pPr>
            <w:r w:rsidRPr="0069768F">
              <w:rPr>
                <w:lang w:val="es-ES_tradnl"/>
              </w:rPr>
              <w:t>4.109</w:t>
            </w:r>
          </w:p>
        </w:tc>
        <w:tc>
          <w:tcPr>
            <w:tcW w:w="2044" w:type="dxa"/>
            <w:gridSpan w:val="2"/>
            <w:tcBorders>
              <w:top w:val="single" w:sz="4" w:space="0" w:color="auto"/>
              <w:left w:val="nil"/>
              <w:bottom w:val="single" w:sz="2" w:space="0" w:color="auto"/>
              <w:right w:val="nil"/>
            </w:tcBorders>
            <w:noWrap/>
          </w:tcPr>
          <w:p w14:paraId="43BD2BA1" w14:textId="77777777" w:rsidR="00F67D36" w:rsidRPr="0069768F" w:rsidRDefault="00F67D36" w:rsidP="00F67D36">
            <w:pPr>
              <w:pStyle w:val="cuatexto"/>
              <w:jc w:val="right"/>
              <w:rPr>
                <w:lang w:val="es-ES_tradnl"/>
              </w:rPr>
            </w:pPr>
            <w:r>
              <w:rPr>
                <w:lang w:val="es-ES_tradnl"/>
              </w:rPr>
              <w:t>3.282</w:t>
            </w:r>
          </w:p>
        </w:tc>
        <w:tc>
          <w:tcPr>
            <w:tcW w:w="1420" w:type="dxa"/>
            <w:tcBorders>
              <w:top w:val="single" w:sz="4" w:space="0" w:color="auto"/>
              <w:left w:val="nil"/>
              <w:bottom w:val="single" w:sz="2" w:space="0" w:color="auto"/>
              <w:right w:val="nil"/>
            </w:tcBorders>
            <w:noWrap/>
            <w:vAlign w:val="center"/>
          </w:tcPr>
          <w:p w14:paraId="4B3FA5B1" w14:textId="77777777" w:rsidR="00F67D36" w:rsidRPr="0069768F" w:rsidRDefault="0056112E" w:rsidP="00F67D36">
            <w:pPr>
              <w:pStyle w:val="cuatexto"/>
              <w:jc w:val="right"/>
              <w:rPr>
                <w:lang w:val="es-ES_tradnl"/>
              </w:rPr>
            </w:pPr>
            <w:r>
              <w:rPr>
                <w:lang w:val="es-ES_tradnl"/>
              </w:rPr>
              <w:t>-</w:t>
            </w:r>
            <w:r w:rsidR="00F67D36">
              <w:rPr>
                <w:lang w:val="es-ES_tradnl"/>
              </w:rPr>
              <w:t>20</w:t>
            </w:r>
          </w:p>
        </w:tc>
      </w:tr>
      <w:tr w:rsidR="00F67D36" w:rsidRPr="0069768F" w14:paraId="0CEA64B3" w14:textId="77777777" w:rsidTr="003A1A2F">
        <w:trPr>
          <w:cantSplit/>
          <w:trHeight w:val="198"/>
          <w:jc w:val="center"/>
        </w:trPr>
        <w:tc>
          <w:tcPr>
            <w:tcW w:w="3686" w:type="dxa"/>
            <w:gridSpan w:val="2"/>
            <w:tcBorders>
              <w:top w:val="single" w:sz="2" w:space="0" w:color="auto"/>
              <w:left w:val="nil"/>
              <w:bottom w:val="single" w:sz="2" w:space="0" w:color="auto"/>
              <w:right w:val="nil"/>
            </w:tcBorders>
            <w:noWrap/>
            <w:vAlign w:val="center"/>
          </w:tcPr>
          <w:p w14:paraId="7C0533C8" w14:textId="77777777" w:rsidR="00F67D36" w:rsidRPr="003A1A2F" w:rsidRDefault="00F67D36" w:rsidP="003A1A2F">
            <w:pPr>
              <w:rPr>
                <w:rFonts w:ascii="Arial Narrow" w:hAnsi="Arial Narrow"/>
                <w:sz w:val="20"/>
                <w:szCs w:val="20"/>
                <w:lang w:val="es-ES_tradnl"/>
              </w:rPr>
            </w:pPr>
            <w:r w:rsidRPr="003A1A2F">
              <w:rPr>
                <w:rFonts w:ascii="Arial Narrow" w:hAnsi="Arial Narrow"/>
                <w:sz w:val="20"/>
                <w:szCs w:val="20"/>
                <w:lang w:val="es-ES_tradnl"/>
              </w:rPr>
              <w:t>A empresas públicas y otros entes públicos</w:t>
            </w:r>
          </w:p>
        </w:tc>
        <w:tc>
          <w:tcPr>
            <w:tcW w:w="1639" w:type="dxa"/>
            <w:tcBorders>
              <w:top w:val="single" w:sz="2" w:space="0" w:color="auto"/>
              <w:bottom w:val="single" w:sz="2" w:space="0" w:color="auto"/>
            </w:tcBorders>
            <w:noWrap/>
          </w:tcPr>
          <w:p w14:paraId="6EA08BB2" w14:textId="77777777" w:rsidR="00F67D36" w:rsidRPr="0069768F" w:rsidRDefault="00F67D36" w:rsidP="00F67D36">
            <w:pPr>
              <w:pStyle w:val="cuatexto"/>
              <w:jc w:val="right"/>
              <w:rPr>
                <w:lang w:val="es-ES_tradnl"/>
              </w:rPr>
            </w:pPr>
            <w:r w:rsidRPr="0069768F">
              <w:rPr>
                <w:lang w:val="es-ES_tradnl"/>
              </w:rPr>
              <w:t>10.023</w:t>
            </w:r>
          </w:p>
        </w:tc>
        <w:tc>
          <w:tcPr>
            <w:tcW w:w="2044" w:type="dxa"/>
            <w:gridSpan w:val="2"/>
            <w:tcBorders>
              <w:top w:val="single" w:sz="2" w:space="0" w:color="auto"/>
              <w:bottom w:val="single" w:sz="2" w:space="0" w:color="auto"/>
            </w:tcBorders>
            <w:noWrap/>
          </w:tcPr>
          <w:p w14:paraId="201C183D" w14:textId="77777777" w:rsidR="00F67D36" w:rsidRPr="0069768F" w:rsidRDefault="00F67D36" w:rsidP="00F67D36">
            <w:pPr>
              <w:pStyle w:val="cuatexto"/>
              <w:jc w:val="right"/>
              <w:rPr>
                <w:lang w:val="es-ES_tradnl"/>
              </w:rPr>
            </w:pPr>
            <w:r>
              <w:rPr>
                <w:lang w:val="es-ES_tradnl"/>
              </w:rPr>
              <w:t>21.811</w:t>
            </w:r>
          </w:p>
        </w:tc>
        <w:tc>
          <w:tcPr>
            <w:tcW w:w="1420" w:type="dxa"/>
            <w:tcBorders>
              <w:top w:val="single" w:sz="2" w:space="0" w:color="auto"/>
              <w:bottom w:val="single" w:sz="2" w:space="0" w:color="auto"/>
            </w:tcBorders>
            <w:noWrap/>
            <w:vAlign w:val="center"/>
          </w:tcPr>
          <w:p w14:paraId="70DA9747" w14:textId="77777777" w:rsidR="00F67D36" w:rsidRPr="0069768F" w:rsidRDefault="00F67D36" w:rsidP="00F67D36">
            <w:pPr>
              <w:pStyle w:val="cuatexto"/>
              <w:jc w:val="right"/>
              <w:rPr>
                <w:lang w:val="es-ES_tradnl"/>
              </w:rPr>
            </w:pPr>
            <w:r>
              <w:rPr>
                <w:lang w:val="es-ES_tradnl"/>
              </w:rPr>
              <w:t>118</w:t>
            </w:r>
          </w:p>
        </w:tc>
      </w:tr>
      <w:tr w:rsidR="00F67D36" w:rsidRPr="0069768F" w14:paraId="53D30EEB" w14:textId="77777777" w:rsidTr="003A1A2F">
        <w:trPr>
          <w:cantSplit/>
          <w:trHeight w:val="198"/>
          <w:jc w:val="center"/>
        </w:trPr>
        <w:tc>
          <w:tcPr>
            <w:tcW w:w="3686" w:type="dxa"/>
            <w:gridSpan w:val="2"/>
            <w:tcBorders>
              <w:top w:val="single" w:sz="2" w:space="0" w:color="auto"/>
              <w:left w:val="nil"/>
              <w:bottom w:val="single" w:sz="2" w:space="0" w:color="auto"/>
              <w:right w:val="nil"/>
            </w:tcBorders>
            <w:noWrap/>
            <w:vAlign w:val="center"/>
          </w:tcPr>
          <w:p w14:paraId="1725DBB4" w14:textId="77777777" w:rsidR="00F67D36" w:rsidRPr="003A1A2F" w:rsidRDefault="00F67D36" w:rsidP="003A1A2F">
            <w:pPr>
              <w:rPr>
                <w:rFonts w:ascii="Arial Narrow" w:hAnsi="Arial Narrow"/>
                <w:sz w:val="20"/>
                <w:szCs w:val="20"/>
                <w:lang w:val="es-ES_tradnl"/>
              </w:rPr>
            </w:pPr>
            <w:r w:rsidRPr="003A1A2F">
              <w:rPr>
                <w:rFonts w:ascii="Arial Narrow" w:hAnsi="Arial Narrow"/>
                <w:sz w:val="20"/>
                <w:szCs w:val="20"/>
                <w:lang w:val="es-ES_tradnl"/>
              </w:rPr>
              <w:t>A entidades locales</w:t>
            </w:r>
          </w:p>
        </w:tc>
        <w:tc>
          <w:tcPr>
            <w:tcW w:w="1639" w:type="dxa"/>
            <w:tcBorders>
              <w:top w:val="single" w:sz="2" w:space="0" w:color="auto"/>
              <w:bottom w:val="single" w:sz="2" w:space="0" w:color="auto"/>
            </w:tcBorders>
            <w:noWrap/>
          </w:tcPr>
          <w:p w14:paraId="226A5678" w14:textId="77777777" w:rsidR="00F67D36" w:rsidRPr="0069768F" w:rsidRDefault="00F67D36" w:rsidP="00F67D36">
            <w:pPr>
              <w:pStyle w:val="cuatexto"/>
              <w:jc w:val="right"/>
              <w:rPr>
                <w:lang w:val="es-ES_tradnl"/>
              </w:rPr>
            </w:pPr>
            <w:r w:rsidRPr="0069768F">
              <w:rPr>
                <w:lang w:val="es-ES_tradnl"/>
              </w:rPr>
              <w:t>84.617</w:t>
            </w:r>
          </w:p>
        </w:tc>
        <w:tc>
          <w:tcPr>
            <w:tcW w:w="2044" w:type="dxa"/>
            <w:gridSpan w:val="2"/>
            <w:tcBorders>
              <w:top w:val="single" w:sz="2" w:space="0" w:color="auto"/>
              <w:bottom w:val="single" w:sz="2" w:space="0" w:color="auto"/>
            </w:tcBorders>
            <w:noWrap/>
          </w:tcPr>
          <w:p w14:paraId="6483F768" w14:textId="77777777" w:rsidR="00F67D36" w:rsidRPr="0069768F" w:rsidRDefault="00F67D36" w:rsidP="00F67D36">
            <w:pPr>
              <w:pStyle w:val="cuatexto"/>
              <w:jc w:val="right"/>
              <w:rPr>
                <w:lang w:val="es-ES_tradnl"/>
              </w:rPr>
            </w:pPr>
            <w:r>
              <w:rPr>
                <w:lang w:val="es-ES_tradnl"/>
              </w:rPr>
              <w:t>83.929</w:t>
            </w:r>
          </w:p>
        </w:tc>
        <w:tc>
          <w:tcPr>
            <w:tcW w:w="1420" w:type="dxa"/>
            <w:tcBorders>
              <w:top w:val="single" w:sz="2" w:space="0" w:color="auto"/>
              <w:bottom w:val="single" w:sz="2" w:space="0" w:color="auto"/>
            </w:tcBorders>
            <w:noWrap/>
            <w:vAlign w:val="center"/>
          </w:tcPr>
          <w:p w14:paraId="35B74B5D" w14:textId="77777777" w:rsidR="00F67D36" w:rsidRPr="0069768F" w:rsidRDefault="00F67D36" w:rsidP="00F67D36">
            <w:pPr>
              <w:pStyle w:val="cuatexto"/>
              <w:jc w:val="right"/>
              <w:rPr>
                <w:lang w:val="es-ES_tradnl"/>
              </w:rPr>
            </w:pPr>
            <w:r>
              <w:rPr>
                <w:lang w:val="es-ES_tradnl"/>
              </w:rPr>
              <w:t>-1</w:t>
            </w:r>
          </w:p>
        </w:tc>
      </w:tr>
      <w:tr w:rsidR="00F67D36" w:rsidRPr="0069768F" w14:paraId="305E6546" w14:textId="77777777" w:rsidTr="003A1A2F">
        <w:trPr>
          <w:cantSplit/>
          <w:trHeight w:val="198"/>
          <w:jc w:val="center"/>
        </w:trPr>
        <w:tc>
          <w:tcPr>
            <w:tcW w:w="3686" w:type="dxa"/>
            <w:gridSpan w:val="2"/>
            <w:tcBorders>
              <w:top w:val="single" w:sz="2" w:space="0" w:color="auto"/>
              <w:left w:val="nil"/>
              <w:bottom w:val="single" w:sz="2" w:space="0" w:color="auto"/>
              <w:right w:val="nil"/>
            </w:tcBorders>
            <w:noWrap/>
            <w:vAlign w:val="center"/>
          </w:tcPr>
          <w:p w14:paraId="62F028EF" w14:textId="77777777" w:rsidR="00F67D36" w:rsidRPr="003A1A2F" w:rsidRDefault="00F67D36" w:rsidP="003A1A2F">
            <w:pPr>
              <w:rPr>
                <w:rFonts w:ascii="Arial Narrow" w:hAnsi="Arial Narrow"/>
                <w:sz w:val="20"/>
                <w:szCs w:val="20"/>
                <w:lang w:val="es-ES_tradnl"/>
              </w:rPr>
            </w:pPr>
            <w:r w:rsidRPr="003A1A2F">
              <w:rPr>
                <w:rFonts w:ascii="Arial Narrow" w:hAnsi="Arial Narrow"/>
                <w:sz w:val="20"/>
                <w:szCs w:val="20"/>
                <w:lang w:val="es-ES_tradnl"/>
              </w:rPr>
              <w:t xml:space="preserve">A </w:t>
            </w:r>
            <w:r w:rsidRPr="003A1A2F">
              <w:rPr>
                <w:rFonts w:ascii="Arial Narrow" w:hAnsi="Arial Narrow" w:cs="Arial"/>
                <w:color w:val="000000"/>
                <w:sz w:val="20"/>
                <w:szCs w:val="20"/>
              </w:rPr>
              <w:t>empresas</w:t>
            </w:r>
            <w:r w:rsidRPr="003A1A2F">
              <w:rPr>
                <w:rFonts w:ascii="Arial Narrow" w:hAnsi="Arial Narrow"/>
                <w:sz w:val="20"/>
                <w:szCs w:val="20"/>
                <w:lang w:val="es-ES_tradnl"/>
              </w:rPr>
              <w:t xml:space="preserve"> privadas</w:t>
            </w:r>
          </w:p>
        </w:tc>
        <w:tc>
          <w:tcPr>
            <w:tcW w:w="1639" w:type="dxa"/>
            <w:tcBorders>
              <w:top w:val="single" w:sz="2" w:space="0" w:color="auto"/>
              <w:bottom w:val="single" w:sz="2" w:space="0" w:color="auto"/>
            </w:tcBorders>
            <w:noWrap/>
          </w:tcPr>
          <w:p w14:paraId="325F3151" w14:textId="77777777" w:rsidR="00F67D36" w:rsidRPr="0069768F" w:rsidRDefault="00F67D36" w:rsidP="00F67D36">
            <w:pPr>
              <w:pStyle w:val="cuatexto"/>
              <w:jc w:val="right"/>
              <w:rPr>
                <w:lang w:val="es-ES_tradnl"/>
              </w:rPr>
            </w:pPr>
            <w:r w:rsidRPr="0069768F">
              <w:rPr>
                <w:lang w:val="es-ES_tradnl"/>
              </w:rPr>
              <w:t>57.335</w:t>
            </w:r>
          </w:p>
        </w:tc>
        <w:tc>
          <w:tcPr>
            <w:tcW w:w="2044" w:type="dxa"/>
            <w:gridSpan w:val="2"/>
            <w:tcBorders>
              <w:top w:val="single" w:sz="2" w:space="0" w:color="auto"/>
              <w:bottom w:val="single" w:sz="2" w:space="0" w:color="auto"/>
            </w:tcBorders>
            <w:noWrap/>
          </w:tcPr>
          <w:p w14:paraId="08F3B7C3" w14:textId="77777777" w:rsidR="00F67D36" w:rsidRPr="0069768F" w:rsidRDefault="00F67D36" w:rsidP="00F67D36">
            <w:pPr>
              <w:pStyle w:val="cuatexto"/>
              <w:jc w:val="right"/>
              <w:rPr>
                <w:lang w:val="es-ES_tradnl"/>
              </w:rPr>
            </w:pPr>
            <w:r>
              <w:rPr>
                <w:lang w:val="es-ES_tradnl"/>
              </w:rPr>
              <w:t>68.596</w:t>
            </w:r>
          </w:p>
        </w:tc>
        <w:tc>
          <w:tcPr>
            <w:tcW w:w="1420" w:type="dxa"/>
            <w:tcBorders>
              <w:top w:val="single" w:sz="2" w:space="0" w:color="auto"/>
              <w:bottom w:val="single" w:sz="2" w:space="0" w:color="auto"/>
            </w:tcBorders>
            <w:noWrap/>
            <w:vAlign w:val="center"/>
          </w:tcPr>
          <w:p w14:paraId="08DD6452" w14:textId="77777777" w:rsidR="00F67D36" w:rsidRPr="0069768F" w:rsidRDefault="00F67D36" w:rsidP="00F67D36">
            <w:pPr>
              <w:pStyle w:val="cuatexto"/>
              <w:jc w:val="right"/>
              <w:rPr>
                <w:lang w:val="es-ES_tradnl"/>
              </w:rPr>
            </w:pPr>
            <w:r>
              <w:rPr>
                <w:lang w:val="es-ES_tradnl"/>
              </w:rPr>
              <w:t>20</w:t>
            </w:r>
          </w:p>
        </w:tc>
      </w:tr>
      <w:tr w:rsidR="00F67D36" w:rsidRPr="0069768F" w14:paraId="6B3DC8D9" w14:textId="77777777" w:rsidTr="003A1A2F">
        <w:trPr>
          <w:cantSplit/>
          <w:trHeight w:val="198"/>
          <w:jc w:val="center"/>
        </w:trPr>
        <w:tc>
          <w:tcPr>
            <w:tcW w:w="3686" w:type="dxa"/>
            <w:gridSpan w:val="2"/>
            <w:tcBorders>
              <w:top w:val="single" w:sz="2" w:space="0" w:color="auto"/>
              <w:left w:val="nil"/>
              <w:bottom w:val="single" w:sz="4" w:space="0" w:color="auto"/>
              <w:right w:val="nil"/>
            </w:tcBorders>
            <w:noWrap/>
            <w:vAlign w:val="center"/>
          </w:tcPr>
          <w:p w14:paraId="305FECD9" w14:textId="77777777" w:rsidR="00F67D36" w:rsidRPr="003A1A2F" w:rsidRDefault="00F67D36" w:rsidP="003A1A2F">
            <w:pPr>
              <w:rPr>
                <w:rFonts w:ascii="Arial Narrow" w:hAnsi="Arial Narrow"/>
                <w:sz w:val="20"/>
                <w:szCs w:val="20"/>
                <w:lang w:val="es-ES_tradnl"/>
              </w:rPr>
            </w:pPr>
            <w:r w:rsidRPr="003A1A2F">
              <w:rPr>
                <w:rFonts w:ascii="Arial Narrow" w:hAnsi="Arial Narrow"/>
                <w:sz w:val="20"/>
                <w:szCs w:val="20"/>
                <w:lang w:val="es-ES_tradnl"/>
              </w:rPr>
              <w:t xml:space="preserve">A </w:t>
            </w:r>
            <w:r w:rsidRPr="003A1A2F">
              <w:rPr>
                <w:rFonts w:ascii="Arial Narrow" w:hAnsi="Arial Narrow" w:cs="Arial"/>
                <w:color w:val="000000"/>
                <w:sz w:val="20"/>
                <w:szCs w:val="20"/>
              </w:rPr>
              <w:t>familias</w:t>
            </w:r>
            <w:r w:rsidRPr="003A1A2F">
              <w:rPr>
                <w:rFonts w:ascii="Arial Narrow" w:hAnsi="Arial Narrow"/>
                <w:sz w:val="20"/>
                <w:szCs w:val="20"/>
                <w:lang w:val="es-ES_tradnl"/>
              </w:rPr>
              <w:t xml:space="preserve"> e instituciones sin fines de lucro</w:t>
            </w:r>
          </w:p>
        </w:tc>
        <w:tc>
          <w:tcPr>
            <w:tcW w:w="1639" w:type="dxa"/>
            <w:tcBorders>
              <w:top w:val="single" w:sz="2" w:space="0" w:color="auto"/>
              <w:left w:val="nil"/>
              <w:bottom w:val="single" w:sz="4" w:space="0" w:color="auto"/>
              <w:right w:val="nil"/>
            </w:tcBorders>
            <w:noWrap/>
          </w:tcPr>
          <w:p w14:paraId="6B0E0012" w14:textId="77777777" w:rsidR="00F67D36" w:rsidRPr="0069768F" w:rsidRDefault="00F67D36" w:rsidP="00F67D36">
            <w:pPr>
              <w:pStyle w:val="cuatexto"/>
              <w:jc w:val="right"/>
              <w:rPr>
                <w:lang w:val="es-ES_tradnl"/>
              </w:rPr>
            </w:pPr>
            <w:r w:rsidRPr="0069768F">
              <w:rPr>
                <w:lang w:val="es-ES_tradnl"/>
              </w:rPr>
              <w:t>51.342</w:t>
            </w:r>
          </w:p>
        </w:tc>
        <w:tc>
          <w:tcPr>
            <w:tcW w:w="2044" w:type="dxa"/>
            <w:gridSpan w:val="2"/>
            <w:tcBorders>
              <w:top w:val="single" w:sz="2" w:space="0" w:color="auto"/>
              <w:left w:val="nil"/>
              <w:bottom w:val="single" w:sz="4" w:space="0" w:color="auto"/>
              <w:right w:val="nil"/>
            </w:tcBorders>
            <w:noWrap/>
          </w:tcPr>
          <w:p w14:paraId="13259812" w14:textId="77777777" w:rsidR="00F67D36" w:rsidRPr="0069768F" w:rsidRDefault="00F67D36" w:rsidP="00F67D36">
            <w:pPr>
              <w:pStyle w:val="cuatexto"/>
              <w:jc w:val="right"/>
              <w:rPr>
                <w:lang w:val="es-ES_tradnl"/>
              </w:rPr>
            </w:pPr>
            <w:r>
              <w:rPr>
                <w:lang w:val="es-ES_tradnl"/>
              </w:rPr>
              <w:t>81.040</w:t>
            </w:r>
          </w:p>
        </w:tc>
        <w:tc>
          <w:tcPr>
            <w:tcW w:w="1420" w:type="dxa"/>
            <w:tcBorders>
              <w:top w:val="single" w:sz="2" w:space="0" w:color="auto"/>
              <w:left w:val="nil"/>
              <w:bottom w:val="single" w:sz="4" w:space="0" w:color="auto"/>
              <w:right w:val="nil"/>
            </w:tcBorders>
            <w:noWrap/>
            <w:vAlign w:val="center"/>
          </w:tcPr>
          <w:p w14:paraId="2447A2D0" w14:textId="77777777" w:rsidR="00F67D36" w:rsidRPr="0069768F" w:rsidRDefault="00F67D36" w:rsidP="00F67D36">
            <w:pPr>
              <w:pStyle w:val="cuatexto"/>
              <w:jc w:val="right"/>
              <w:rPr>
                <w:lang w:val="es-ES_tradnl"/>
              </w:rPr>
            </w:pPr>
            <w:r>
              <w:rPr>
                <w:lang w:val="es-ES_tradnl"/>
              </w:rPr>
              <w:t>58</w:t>
            </w:r>
          </w:p>
        </w:tc>
      </w:tr>
      <w:tr w:rsidR="00F67D36" w:rsidRPr="0069768F" w14:paraId="77C510B9" w14:textId="77777777" w:rsidTr="003A1A2F">
        <w:trPr>
          <w:trHeight w:val="255"/>
          <w:jc w:val="center"/>
        </w:trPr>
        <w:tc>
          <w:tcPr>
            <w:tcW w:w="3686" w:type="dxa"/>
            <w:gridSpan w:val="2"/>
            <w:tcBorders>
              <w:top w:val="single" w:sz="4" w:space="0" w:color="auto"/>
              <w:left w:val="nil"/>
              <w:bottom w:val="single" w:sz="4" w:space="0" w:color="auto"/>
              <w:right w:val="nil"/>
            </w:tcBorders>
            <w:shd w:val="clear" w:color="auto" w:fill="8DB3E2"/>
            <w:noWrap/>
            <w:vAlign w:val="center"/>
          </w:tcPr>
          <w:p w14:paraId="3C4F0B04" w14:textId="77777777" w:rsidR="00F67D36" w:rsidRPr="0069768F" w:rsidRDefault="002C33F0" w:rsidP="007E2FD3">
            <w:pPr>
              <w:pStyle w:val="cuadroCabe"/>
            </w:pPr>
            <w:r>
              <w:t>Total</w:t>
            </w:r>
          </w:p>
        </w:tc>
        <w:tc>
          <w:tcPr>
            <w:tcW w:w="1639" w:type="dxa"/>
            <w:tcBorders>
              <w:top w:val="single" w:sz="4" w:space="0" w:color="auto"/>
              <w:left w:val="nil"/>
              <w:bottom w:val="single" w:sz="4" w:space="0" w:color="auto"/>
              <w:right w:val="nil"/>
            </w:tcBorders>
            <w:shd w:val="clear" w:color="auto" w:fill="8DB3E2"/>
            <w:noWrap/>
            <w:vAlign w:val="center"/>
          </w:tcPr>
          <w:p w14:paraId="3F667EBB" w14:textId="77777777" w:rsidR="00F67D36" w:rsidRPr="0069768F" w:rsidRDefault="002C33F0" w:rsidP="007E2FD3">
            <w:pPr>
              <w:pStyle w:val="cuadroCabe"/>
              <w:jc w:val="right"/>
            </w:pPr>
            <w:r>
              <w:t>207.426</w:t>
            </w:r>
          </w:p>
        </w:tc>
        <w:tc>
          <w:tcPr>
            <w:tcW w:w="2044" w:type="dxa"/>
            <w:gridSpan w:val="2"/>
            <w:tcBorders>
              <w:top w:val="single" w:sz="4" w:space="0" w:color="auto"/>
              <w:left w:val="nil"/>
              <w:bottom w:val="single" w:sz="4" w:space="0" w:color="auto"/>
              <w:right w:val="nil"/>
            </w:tcBorders>
            <w:shd w:val="clear" w:color="auto" w:fill="8DB3E2"/>
            <w:noWrap/>
            <w:vAlign w:val="center"/>
          </w:tcPr>
          <w:p w14:paraId="5A18A373" w14:textId="77777777" w:rsidR="00F67D36" w:rsidRPr="0069768F" w:rsidRDefault="002C33F0" w:rsidP="007E2FD3">
            <w:pPr>
              <w:pStyle w:val="cuadroCabe"/>
              <w:jc w:val="right"/>
            </w:pPr>
            <w:r>
              <w:t>258.658</w:t>
            </w:r>
          </w:p>
        </w:tc>
        <w:tc>
          <w:tcPr>
            <w:tcW w:w="1420" w:type="dxa"/>
            <w:tcBorders>
              <w:top w:val="single" w:sz="4" w:space="0" w:color="auto"/>
              <w:left w:val="nil"/>
              <w:bottom w:val="single" w:sz="4" w:space="0" w:color="auto"/>
              <w:right w:val="nil"/>
            </w:tcBorders>
            <w:shd w:val="clear" w:color="auto" w:fill="8DB3E2"/>
            <w:noWrap/>
            <w:vAlign w:val="center"/>
          </w:tcPr>
          <w:p w14:paraId="7E43529B" w14:textId="77777777" w:rsidR="00F67D36" w:rsidRPr="0069768F" w:rsidRDefault="002C33F0" w:rsidP="007E2FD3">
            <w:pPr>
              <w:pStyle w:val="cuadroCabe"/>
              <w:jc w:val="right"/>
            </w:pPr>
            <w:r>
              <w:t>25</w:t>
            </w:r>
          </w:p>
        </w:tc>
      </w:tr>
    </w:tbl>
    <w:p w14:paraId="5E1F7254" w14:textId="77777777" w:rsidR="0072007D" w:rsidRDefault="00614DC4" w:rsidP="002D15F8">
      <w:pPr>
        <w:pStyle w:val="texto"/>
        <w:spacing w:before="240"/>
        <w:jc w:val="both"/>
      </w:pPr>
      <w:r>
        <w:t xml:space="preserve">Destaca el </w:t>
      </w:r>
      <w:r w:rsidR="0072007D">
        <w:t xml:space="preserve">incremento </w:t>
      </w:r>
      <w:r>
        <w:t xml:space="preserve">de las transferencias a </w:t>
      </w:r>
      <w:r w:rsidR="00F300EF">
        <w:t xml:space="preserve">familias e instituciones sin fines de lucro 58 por ciento (29,69 </w:t>
      </w:r>
      <w:r w:rsidR="0072007D">
        <w:t xml:space="preserve">millones), </w:t>
      </w:r>
      <w:r>
        <w:t xml:space="preserve">motivado fundamentalmente </w:t>
      </w:r>
      <w:r w:rsidR="0072007D">
        <w:t xml:space="preserve">por </w:t>
      </w:r>
      <w:r w:rsidR="00735746">
        <w:t xml:space="preserve">lo siguiente: </w:t>
      </w:r>
    </w:p>
    <w:p w14:paraId="7771FAB8" w14:textId="77777777" w:rsidR="0072007D" w:rsidRDefault="0072007D" w:rsidP="008C2B8E">
      <w:pPr>
        <w:pStyle w:val="texto"/>
        <w:numPr>
          <w:ilvl w:val="0"/>
          <w:numId w:val="6"/>
        </w:numPr>
        <w:tabs>
          <w:tab w:val="clear" w:pos="360"/>
          <w:tab w:val="num" w:pos="300"/>
          <w:tab w:val="left" w:pos="480"/>
          <w:tab w:val="num" w:pos="600"/>
        </w:tabs>
        <w:spacing w:before="120"/>
        <w:ind w:firstLine="289"/>
        <w:jc w:val="both"/>
      </w:pPr>
      <w:r>
        <w:t>E</w:t>
      </w:r>
      <w:r w:rsidR="00614DC4">
        <w:t xml:space="preserve">l </w:t>
      </w:r>
      <w:r>
        <w:t>aumento en 10,55 millones en subvenciones y subsidios para actuaciones en vivienda.</w:t>
      </w:r>
    </w:p>
    <w:p w14:paraId="6AAC6EDC" w14:textId="77777777" w:rsidR="0072007D" w:rsidRDefault="0072007D" w:rsidP="00B02371">
      <w:pPr>
        <w:pStyle w:val="texto"/>
        <w:numPr>
          <w:ilvl w:val="0"/>
          <w:numId w:val="6"/>
        </w:numPr>
        <w:tabs>
          <w:tab w:val="clear" w:pos="360"/>
          <w:tab w:val="num" w:pos="300"/>
          <w:tab w:val="left" w:pos="480"/>
          <w:tab w:val="num" w:pos="600"/>
        </w:tabs>
        <w:spacing w:before="120" w:after="120"/>
        <w:ind w:firstLine="289"/>
        <w:jc w:val="both"/>
      </w:pPr>
      <w:r>
        <w:t>El aumento en 14,72 millones en subvenciones de Fondos MMR, REACT y PDR FEADER.</w:t>
      </w:r>
    </w:p>
    <w:p w14:paraId="7425DE3D" w14:textId="77777777" w:rsidR="00614DC4" w:rsidRDefault="00614DC4" w:rsidP="00614DC4">
      <w:pPr>
        <w:pStyle w:val="atitulo2"/>
        <w:spacing w:before="240" w:after="120"/>
      </w:pPr>
      <w:bookmarkStart w:id="140" w:name="_Toc146471250"/>
      <w:bookmarkStart w:id="141" w:name="_Toc52267375"/>
      <w:bookmarkStart w:id="142" w:name="_Toc525907446"/>
      <w:bookmarkStart w:id="143" w:name="_Toc494270390"/>
      <w:bookmarkStart w:id="144" w:name="_Toc182464285"/>
      <w:bookmarkEnd w:id="137"/>
      <w:bookmarkEnd w:id="138"/>
      <w:bookmarkEnd w:id="139"/>
      <w:r>
        <w:lastRenderedPageBreak/>
        <w:t>5.</w:t>
      </w:r>
      <w:r w:rsidR="00A35015">
        <w:t>7</w:t>
      </w:r>
      <w:r>
        <w:t>. Impuestos, tasas, precios públicos y otros ingresos</w:t>
      </w:r>
      <w:bookmarkEnd w:id="140"/>
      <w:bookmarkEnd w:id="141"/>
      <w:bookmarkEnd w:id="142"/>
      <w:bookmarkEnd w:id="143"/>
      <w:bookmarkEnd w:id="144"/>
      <w:r>
        <w:t xml:space="preserve"> </w:t>
      </w:r>
    </w:p>
    <w:p w14:paraId="6BCBAEB6" w14:textId="77777777" w:rsidR="00614DC4" w:rsidRDefault="00614DC4" w:rsidP="00B02371">
      <w:pPr>
        <w:spacing w:before="240" w:after="120"/>
        <w:ind w:firstLine="284"/>
        <w:rPr>
          <w:rFonts w:ascii="Arial" w:hAnsi="Arial"/>
          <w:i/>
          <w:iCs/>
          <w:color w:val="000000"/>
          <w:spacing w:val="10"/>
          <w:kern w:val="28"/>
          <w:sz w:val="25"/>
          <w:szCs w:val="26"/>
        </w:rPr>
      </w:pPr>
      <w:r>
        <w:rPr>
          <w:rFonts w:ascii="Arial" w:hAnsi="Arial"/>
          <w:i/>
          <w:iCs/>
          <w:color w:val="000000"/>
          <w:spacing w:val="10"/>
          <w:kern w:val="28"/>
          <w:sz w:val="25"/>
          <w:szCs w:val="26"/>
        </w:rPr>
        <w:t>Impuestos</w:t>
      </w:r>
    </w:p>
    <w:p w14:paraId="7FFA7353" w14:textId="77777777" w:rsidR="00614DC4" w:rsidRDefault="00614DC4" w:rsidP="005A44B2">
      <w:pPr>
        <w:pStyle w:val="texto"/>
        <w:spacing w:after="120"/>
        <w:jc w:val="both"/>
      </w:pPr>
      <w:r>
        <w:t>Los derechos reconocidos netos por impuestos en el ejercicio 202</w:t>
      </w:r>
      <w:r w:rsidR="002536BC">
        <w:t>3 ascendieron a 5.145,90</w:t>
      </w:r>
      <w:r>
        <w:t xml:space="preserve"> millones y suponen el 8</w:t>
      </w:r>
      <w:r w:rsidR="00FC0AD3">
        <w:t>7</w:t>
      </w:r>
      <w:r>
        <w:t xml:space="preserve"> por ciento del total de derechos. </w:t>
      </w:r>
    </w:p>
    <w:p w14:paraId="4627370E" w14:textId="77777777" w:rsidR="00614DC4" w:rsidRDefault="00614DC4" w:rsidP="009A38AE">
      <w:pPr>
        <w:pStyle w:val="texto"/>
        <w:jc w:val="both"/>
      </w:pPr>
      <w:r>
        <w:t>A continuación, mostramos estos derechos para las distintas figuras impositivas y su comparación con los del ejercicio anterior:</w:t>
      </w:r>
    </w:p>
    <w:tbl>
      <w:tblPr>
        <w:tblW w:w="8789" w:type="dxa"/>
        <w:jc w:val="center"/>
        <w:tblLayout w:type="fixed"/>
        <w:tblCellMar>
          <w:left w:w="70" w:type="dxa"/>
          <w:right w:w="70" w:type="dxa"/>
        </w:tblCellMar>
        <w:tblLook w:val="04A0" w:firstRow="1" w:lastRow="0" w:firstColumn="1" w:lastColumn="0" w:noHBand="0" w:noVBand="1"/>
      </w:tblPr>
      <w:tblGrid>
        <w:gridCol w:w="3402"/>
        <w:gridCol w:w="284"/>
        <w:gridCol w:w="1843"/>
        <w:gridCol w:w="2126"/>
        <w:gridCol w:w="1134"/>
      </w:tblGrid>
      <w:tr w:rsidR="00614DC4" w14:paraId="394B6AA2" w14:textId="77777777" w:rsidTr="003A1A2F">
        <w:trPr>
          <w:trHeight w:val="255"/>
          <w:jc w:val="center"/>
        </w:trPr>
        <w:tc>
          <w:tcPr>
            <w:tcW w:w="8789" w:type="dxa"/>
            <w:gridSpan w:val="5"/>
            <w:tcBorders>
              <w:top w:val="nil"/>
              <w:left w:val="nil"/>
              <w:bottom w:val="single" w:sz="4" w:space="0" w:color="auto"/>
              <w:right w:val="nil"/>
            </w:tcBorders>
            <w:noWrap/>
            <w:vAlign w:val="center"/>
            <w:hideMark/>
          </w:tcPr>
          <w:p w14:paraId="6977F052" w14:textId="77777777" w:rsidR="00614DC4" w:rsidRDefault="00614DC4">
            <w:pPr>
              <w:jc w:val="right"/>
              <w:rPr>
                <w:rFonts w:ascii="Arial" w:hAnsi="Arial" w:cs="Arial"/>
                <w:sz w:val="18"/>
                <w:szCs w:val="18"/>
              </w:rPr>
            </w:pPr>
            <w:r>
              <w:rPr>
                <w:rFonts w:ascii="Arial" w:hAnsi="Arial" w:cs="Arial"/>
                <w:sz w:val="18"/>
                <w:szCs w:val="18"/>
              </w:rPr>
              <w:t>(en miles)</w:t>
            </w:r>
          </w:p>
        </w:tc>
      </w:tr>
      <w:tr w:rsidR="00614DC4" w:rsidRPr="00506BB1" w14:paraId="69391801" w14:textId="77777777" w:rsidTr="003A1A2F">
        <w:trPr>
          <w:trHeight w:val="255"/>
          <w:jc w:val="center"/>
        </w:trPr>
        <w:tc>
          <w:tcPr>
            <w:tcW w:w="3402" w:type="dxa"/>
            <w:tcBorders>
              <w:top w:val="single" w:sz="4" w:space="0" w:color="auto"/>
              <w:left w:val="nil"/>
              <w:bottom w:val="single" w:sz="4" w:space="0" w:color="auto"/>
              <w:right w:val="nil"/>
            </w:tcBorders>
            <w:shd w:val="clear" w:color="auto" w:fill="8DB3E2"/>
            <w:noWrap/>
            <w:vAlign w:val="center"/>
            <w:hideMark/>
          </w:tcPr>
          <w:p w14:paraId="1D469176" w14:textId="77777777" w:rsidR="00614DC4" w:rsidRPr="00506BB1" w:rsidRDefault="00614DC4" w:rsidP="00506BB1">
            <w:pPr>
              <w:pStyle w:val="cuadroCabe"/>
            </w:pPr>
            <w:r w:rsidRPr="00506BB1">
              <w:t>Artículo presupuestario</w:t>
            </w:r>
          </w:p>
        </w:tc>
        <w:tc>
          <w:tcPr>
            <w:tcW w:w="2127" w:type="dxa"/>
            <w:gridSpan w:val="2"/>
            <w:tcBorders>
              <w:top w:val="single" w:sz="4" w:space="0" w:color="auto"/>
              <w:left w:val="nil"/>
              <w:bottom w:val="single" w:sz="4" w:space="0" w:color="auto"/>
              <w:right w:val="nil"/>
            </w:tcBorders>
            <w:shd w:val="clear" w:color="auto" w:fill="8DB3E2"/>
            <w:vAlign w:val="center"/>
            <w:hideMark/>
          </w:tcPr>
          <w:p w14:paraId="37470FB8" w14:textId="77777777" w:rsidR="00614DC4" w:rsidRPr="00506BB1" w:rsidRDefault="00614DC4" w:rsidP="00D12353">
            <w:pPr>
              <w:pStyle w:val="cuadroCabe"/>
              <w:jc w:val="right"/>
            </w:pPr>
            <w:r w:rsidRPr="00506BB1">
              <w:t xml:space="preserve">Derechos Reconocidos </w:t>
            </w:r>
          </w:p>
          <w:p w14:paraId="3C32D3FF" w14:textId="77777777" w:rsidR="00614DC4" w:rsidRPr="00506BB1" w:rsidRDefault="00614DC4" w:rsidP="00D12353">
            <w:pPr>
              <w:pStyle w:val="cuadroCabe"/>
              <w:jc w:val="right"/>
            </w:pPr>
            <w:r w:rsidRPr="00506BB1">
              <w:t>Netos 202</w:t>
            </w:r>
            <w:r w:rsidR="00FA5CB9" w:rsidRPr="00506BB1">
              <w:t>2</w:t>
            </w:r>
          </w:p>
        </w:tc>
        <w:tc>
          <w:tcPr>
            <w:tcW w:w="2126" w:type="dxa"/>
            <w:tcBorders>
              <w:top w:val="single" w:sz="4" w:space="0" w:color="auto"/>
              <w:left w:val="nil"/>
              <w:bottom w:val="single" w:sz="4" w:space="0" w:color="auto"/>
              <w:right w:val="nil"/>
            </w:tcBorders>
            <w:shd w:val="clear" w:color="auto" w:fill="8DB3E2"/>
            <w:vAlign w:val="center"/>
            <w:hideMark/>
          </w:tcPr>
          <w:p w14:paraId="04FBA26D" w14:textId="77777777" w:rsidR="00187ED9" w:rsidRPr="00506BB1" w:rsidRDefault="009B064A" w:rsidP="00D12353">
            <w:pPr>
              <w:pStyle w:val="cuadroCabe"/>
              <w:jc w:val="right"/>
            </w:pPr>
            <w:r w:rsidRPr="00506BB1">
              <w:t xml:space="preserve">Derechos Reconocidos </w:t>
            </w:r>
          </w:p>
          <w:p w14:paraId="4492D955" w14:textId="77777777" w:rsidR="00614DC4" w:rsidRPr="00506BB1" w:rsidRDefault="009B064A" w:rsidP="00D12353">
            <w:pPr>
              <w:pStyle w:val="cuadroCabe"/>
              <w:jc w:val="right"/>
            </w:pPr>
            <w:r w:rsidRPr="00506BB1">
              <w:t>N</w:t>
            </w:r>
            <w:r w:rsidR="00187ED9" w:rsidRPr="00506BB1">
              <w:t>etos 202</w:t>
            </w:r>
            <w:r w:rsidR="00FA5CB9" w:rsidRPr="00506BB1">
              <w:t>3</w:t>
            </w:r>
          </w:p>
        </w:tc>
        <w:tc>
          <w:tcPr>
            <w:tcW w:w="1134" w:type="dxa"/>
            <w:tcBorders>
              <w:top w:val="single" w:sz="4" w:space="0" w:color="auto"/>
              <w:left w:val="nil"/>
              <w:bottom w:val="single" w:sz="4" w:space="0" w:color="auto"/>
              <w:right w:val="nil"/>
            </w:tcBorders>
            <w:shd w:val="clear" w:color="auto" w:fill="8DB3E2"/>
            <w:vAlign w:val="center"/>
            <w:hideMark/>
          </w:tcPr>
          <w:p w14:paraId="50A87263" w14:textId="77777777" w:rsidR="00614DC4" w:rsidRPr="00506BB1" w:rsidRDefault="00614DC4" w:rsidP="00D12353">
            <w:pPr>
              <w:pStyle w:val="cuadroCabe"/>
              <w:jc w:val="right"/>
            </w:pPr>
            <w:r w:rsidRPr="00506BB1">
              <w:t>% Var. 202</w:t>
            </w:r>
            <w:r w:rsidR="00FA5CB9" w:rsidRPr="00506BB1">
              <w:t>3</w:t>
            </w:r>
            <w:r w:rsidRPr="00506BB1">
              <w:t>/202</w:t>
            </w:r>
            <w:r w:rsidR="00FA5CB9" w:rsidRPr="00506BB1">
              <w:t>2</w:t>
            </w:r>
          </w:p>
        </w:tc>
      </w:tr>
      <w:tr w:rsidR="00CA2971" w:rsidRPr="00CA2971" w14:paraId="4499DAF6" w14:textId="77777777" w:rsidTr="003A1A2F">
        <w:trPr>
          <w:trHeight w:val="198"/>
          <w:jc w:val="center"/>
        </w:trPr>
        <w:tc>
          <w:tcPr>
            <w:tcW w:w="3402" w:type="dxa"/>
            <w:tcBorders>
              <w:top w:val="single" w:sz="4" w:space="0" w:color="auto"/>
              <w:left w:val="nil"/>
              <w:bottom w:val="single" w:sz="2" w:space="0" w:color="auto"/>
              <w:right w:val="nil"/>
            </w:tcBorders>
            <w:noWrap/>
            <w:vAlign w:val="center"/>
            <w:hideMark/>
          </w:tcPr>
          <w:p w14:paraId="4E5AC89C" w14:textId="77777777" w:rsidR="00FC0AD3" w:rsidRPr="00447E7C" w:rsidRDefault="00FC0AD3" w:rsidP="00506BB1">
            <w:pPr>
              <w:pStyle w:val="cuatexto"/>
              <w:rPr>
                <w:szCs w:val="20"/>
              </w:rPr>
            </w:pPr>
            <w:r w:rsidRPr="00447E7C">
              <w:rPr>
                <w:szCs w:val="20"/>
              </w:rPr>
              <w:t>IRPF</w:t>
            </w:r>
          </w:p>
        </w:tc>
        <w:tc>
          <w:tcPr>
            <w:tcW w:w="2127" w:type="dxa"/>
            <w:gridSpan w:val="2"/>
            <w:tcBorders>
              <w:top w:val="single" w:sz="4" w:space="0" w:color="auto"/>
              <w:left w:val="nil"/>
              <w:bottom w:val="single" w:sz="2" w:space="0" w:color="auto"/>
              <w:right w:val="nil"/>
            </w:tcBorders>
            <w:vAlign w:val="center"/>
          </w:tcPr>
          <w:p w14:paraId="0BCEF83E" w14:textId="77777777" w:rsidR="00FC0AD3" w:rsidRPr="00447E7C" w:rsidRDefault="00FC0AD3" w:rsidP="00D12353">
            <w:pPr>
              <w:pStyle w:val="cuatexto"/>
              <w:jc w:val="right"/>
              <w:rPr>
                <w:szCs w:val="20"/>
              </w:rPr>
            </w:pPr>
            <w:r w:rsidRPr="00447E7C">
              <w:rPr>
                <w:szCs w:val="20"/>
              </w:rPr>
              <w:t>2.143.022</w:t>
            </w:r>
          </w:p>
        </w:tc>
        <w:tc>
          <w:tcPr>
            <w:tcW w:w="2126" w:type="dxa"/>
            <w:tcBorders>
              <w:top w:val="single" w:sz="4" w:space="0" w:color="auto"/>
              <w:left w:val="nil"/>
              <w:bottom w:val="single" w:sz="2" w:space="0" w:color="auto"/>
              <w:right w:val="nil"/>
            </w:tcBorders>
            <w:shd w:val="clear" w:color="auto" w:fill="auto"/>
            <w:vAlign w:val="center"/>
          </w:tcPr>
          <w:p w14:paraId="1E1627C2" w14:textId="77777777" w:rsidR="00FC0AD3" w:rsidRPr="00447E7C" w:rsidRDefault="00CA2971" w:rsidP="00D12353">
            <w:pPr>
              <w:pStyle w:val="cuatexto"/>
              <w:jc w:val="right"/>
              <w:rPr>
                <w:szCs w:val="20"/>
              </w:rPr>
            </w:pPr>
            <w:r w:rsidRPr="00447E7C">
              <w:rPr>
                <w:szCs w:val="20"/>
              </w:rPr>
              <w:t>2.091.120</w:t>
            </w:r>
          </w:p>
        </w:tc>
        <w:tc>
          <w:tcPr>
            <w:tcW w:w="1134" w:type="dxa"/>
            <w:tcBorders>
              <w:top w:val="single" w:sz="4" w:space="0" w:color="auto"/>
              <w:left w:val="nil"/>
              <w:bottom w:val="single" w:sz="2" w:space="0" w:color="auto"/>
              <w:right w:val="nil"/>
            </w:tcBorders>
            <w:vAlign w:val="center"/>
          </w:tcPr>
          <w:p w14:paraId="53001105" w14:textId="77777777" w:rsidR="00FC0AD3" w:rsidRPr="00447E7C" w:rsidRDefault="00CA2971" w:rsidP="00D12353">
            <w:pPr>
              <w:pStyle w:val="cuatexto"/>
              <w:jc w:val="right"/>
              <w:rPr>
                <w:szCs w:val="20"/>
              </w:rPr>
            </w:pPr>
            <w:r w:rsidRPr="00447E7C">
              <w:rPr>
                <w:szCs w:val="20"/>
              </w:rPr>
              <w:t>-2,4</w:t>
            </w:r>
          </w:p>
        </w:tc>
      </w:tr>
      <w:tr w:rsidR="00CA2971" w:rsidRPr="00CA2971" w14:paraId="200FF20E" w14:textId="77777777" w:rsidTr="003A1A2F">
        <w:trPr>
          <w:trHeight w:val="198"/>
          <w:jc w:val="center"/>
        </w:trPr>
        <w:tc>
          <w:tcPr>
            <w:tcW w:w="3402" w:type="dxa"/>
            <w:tcBorders>
              <w:top w:val="single" w:sz="2" w:space="0" w:color="auto"/>
              <w:left w:val="nil"/>
              <w:bottom w:val="single" w:sz="2" w:space="0" w:color="auto"/>
              <w:right w:val="nil"/>
            </w:tcBorders>
            <w:noWrap/>
            <w:vAlign w:val="center"/>
            <w:hideMark/>
          </w:tcPr>
          <w:p w14:paraId="5D71E9A8" w14:textId="77777777" w:rsidR="00FC0AD3" w:rsidRPr="00447E7C" w:rsidRDefault="00FC0AD3" w:rsidP="00506BB1">
            <w:pPr>
              <w:pStyle w:val="cuatexto"/>
              <w:rPr>
                <w:szCs w:val="20"/>
              </w:rPr>
            </w:pPr>
            <w:r w:rsidRPr="00447E7C">
              <w:rPr>
                <w:szCs w:val="20"/>
              </w:rPr>
              <w:t>Sociedades</w:t>
            </w:r>
          </w:p>
        </w:tc>
        <w:tc>
          <w:tcPr>
            <w:tcW w:w="2127" w:type="dxa"/>
            <w:gridSpan w:val="2"/>
            <w:tcBorders>
              <w:top w:val="single" w:sz="2" w:space="0" w:color="auto"/>
              <w:left w:val="nil"/>
              <w:bottom w:val="single" w:sz="2" w:space="0" w:color="auto"/>
              <w:right w:val="nil"/>
            </w:tcBorders>
            <w:vAlign w:val="center"/>
          </w:tcPr>
          <w:p w14:paraId="761DA726" w14:textId="77777777" w:rsidR="00FC0AD3" w:rsidRPr="00447E7C" w:rsidRDefault="00FC0AD3" w:rsidP="00D12353">
            <w:pPr>
              <w:pStyle w:val="cuatexto"/>
              <w:jc w:val="right"/>
              <w:rPr>
                <w:szCs w:val="20"/>
              </w:rPr>
            </w:pPr>
            <w:r w:rsidRPr="00447E7C">
              <w:rPr>
                <w:szCs w:val="20"/>
              </w:rPr>
              <w:t>369.547</w:t>
            </w:r>
          </w:p>
        </w:tc>
        <w:tc>
          <w:tcPr>
            <w:tcW w:w="2126" w:type="dxa"/>
            <w:tcBorders>
              <w:top w:val="single" w:sz="2" w:space="0" w:color="auto"/>
              <w:left w:val="nil"/>
              <w:bottom w:val="single" w:sz="2" w:space="0" w:color="auto"/>
              <w:right w:val="nil"/>
            </w:tcBorders>
            <w:shd w:val="clear" w:color="auto" w:fill="auto"/>
            <w:vAlign w:val="center"/>
          </w:tcPr>
          <w:p w14:paraId="6AA243D4" w14:textId="77777777" w:rsidR="00FC0AD3" w:rsidRPr="00447E7C" w:rsidRDefault="00CA2971" w:rsidP="00D12353">
            <w:pPr>
              <w:pStyle w:val="cuatexto"/>
              <w:jc w:val="right"/>
              <w:rPr>
                <w:szCs w:val="20"/>
              </w:rPr>
            </w:pPr>
            <w:r w:rsidRPr="00447E7C">
              <w:rPr>
                <w:szCs w:val="20"/>
              </w:rPr>
              <w:t>531.796</w:t>
            </w:r>
          </w:p>
        </w:tc>
        <w:tc>
          <w:tcPr>
            <w:tcW w:w="1134" w:type="dxa"/>
            <w:tcBorders>
              <w:top w:val="single" w:sz="2" w:space="0" w:color="auto"/>
              <w:left w:val="nil"/>
              <w:bottom w:val="single" w:sz="2" w:space="0" w:color="auto"/>
              <w:right w:val="nil"/>
            </w:tcBorders>
            <w:vAlign w:val="center"/>
          </w:tcPr>
          <w:p w14:paraId="6E1112ED" w14:textId="77777777" w:rsidR="00FC0AD3" w:rsidRPr="00447E7C" w:rsidRDefault="00CA2971" w:rsidP="00D12353">
            <w:pPr>
              <w:pStyle w:val="cuatexto"/>
              <w:jc w:val="right"/>
              <w:rPr>
                <w:szCs w:val="20"/>
              </w:rPr>
            </w:pPr>
            <w:r w:rsidRPr="00447E7C">
              <w:rPr>
                <w:szCs w:val="20"/>
              </w:rPr>
              <w:t>44</w:t>
            </w:r>
          </w:p>
        </w:tc>
      </w:tr>
      <w:tr w:rsidR="00FC0AD3" w14:paraId="0AB8E54E" w14:textId="77777777" w:rsidTr="003A1A2F">
        <w:trPr>
          <w:trHeight w:val="198"/>
          <w:jc w:val="center"/>
        </w:trPr>
        <w:tc>
          <w:tcPr>
            <w:tcW w:w="3402" w:type="dxa"/>
            <w:tcBorders>
              <w:top w:val="single" w:sz="2" w:space="0" w:color="auto"/>
              <w:left w:val="nil"/>
              <w:bottom w:val="single" w:sz="2" w:space="0" w:color="auto"/>
              <w:right w:val="nil"/>
            </w:tcBorders>
            <w:noWrap/>
            <w:vAlign w:val="center"/>
            <w:hideMark/>
          </w:tcPr>
          <w:p w14:paraId="1EC5C28D" w14:textId="77777777" w:rsidR="00FC0AD3" w:rsidRPr="00447E7C" w:rsidRDefault="00FC0AD3" w:rsidP="00506BB1">
            <w:pPr>
              <w:pStyle w:val="cuatexto"/>
              <w:rPr>
                <w:szCs w:val="20"/>
              </w:rPr>
            </w:pPr>
            <w:r w:rsidRPr="00447E7C">
              <w:rPr>
                <w:szCs w:val="20"/>
              </w:rPr>
              <w:t>Renta de no residentes</w:t>
            </w:r>
          </w:p>
        </w:tc>
        <w:tc>
          <w:tcPr>
            <w:tcW w:w="2127" w:type="dxa"/>
            <w:gridSpan w:val="2"/>
            <w:tcBorders>
              <w:top w:val="single" w:sz="2" w:space="0" w:color="auto"/>
              <w:left w:val="nil"/>
              <w:bottom w:val="single" w:sz="2" w:space="0" w:color="auto"/>
              <w:right w:val="nil"/>
            </w:tcBorders>
            <w:vAlign w:val="center"/>
          </w:tcPr>
          <w:p w14:paraId="23C56F4B" w14:textId="77777777" w:rsidR="00FC0AD3" w:rsidRPr="00447E7C" w:rsidRDefault="00FC0AD3" w:rsidP="00D12353">
            <w:pPr>
              <w:pStyle w:val="cuatexto"/>
              <w:jc w:val="right"/>
              <w:rPr>
                <w:szCs w:val="20"/>
              </w:rPr>
            </w:pPr>
            <w:r w:rsidRPr="00447E7C">
              <w:rPr>
                <w:szCs w:val="20"/>
              </w:rPr>
              <w:t>3.446</w:t>
            </w:r>
          </w:p>
        </w:tc>
        <w:tc>
          <w:tcPr>
            <w:tcW w:w="2126" w:type="dxa"/>
            <w:tcBorders>
              <w:top w:val="single" w:sz="2" w:space="0" w:color="auto"/>
              <w:left w:val="nil"/>
              <w:bottom w:val="single" w:sz="2" w:space="0" w:color="auto"/>
              <w:right w:val="nil"/>
            </w:tcBorders>
            <w:shd w:val="clear" w:color="auto" w:fill="auto"/>
            <w:vAlign w:val="center"/>
          </w:tcPr>
          <w:p w14:paraId="684B6271" w14:textId="77777777" w:rsidR="00FC0AD3" w:rsidRPr="00447E7C" w:rsidRDefault="00FC0AD3" w:rsidP="00D12353">
            <w:pPr>
              <w:pStyle w:val="cuatexto"/>
              <w:jc w:val="right"/>
              <w:rPr>
                <w:szCs w:val="20"/>
              </w:rPr>
            </w:pPr>
            <w:r w:rsidRPr="00447E7C">
              <w:rPr>
                <w:szCs w:val="20"/>
              </w:rPr>
              <w:t>12.804</w:t>
            </w:r>
          </w:p>
        </w:tc>
        <w:tc>
          <w:tcPr>
            <w:tcW w:w="1134" w:type="dxa"/>
            <w:tcBorders>
              <w:top w:val="single" w:sz="2" w:space="0" w:color="auto"/>
              <w:left w:val="nil"/>
              <w:bottom w:val="single" w:sz="2" w:space="0" w:color="auto"/>
              <w:right w:val="nil"/>
            </w:tcBorders>
            <w:vAlign w:val="center"/>
          </w:tcPr>
          <w:p w14:paraId="2F0C6CDB" w14:textId="77777777" w:rsidR="00FC0AD3" w:rsidRPr="00447E7C" w:rsidRDefault="00FC0AD3" w:rsidP="00D12353">
            <w:pPr>
              <w:pStyle w:val="cuatexto"/>
              <w:jc w:val="right"/>
              <w:rPr>
                <w:szCs w:val="20"/>
              </w:rPr>
            </w:pPr>
            <w:r w:rsidRPr="00447E7C">
              <w:rPr>
                <w:szCs w:val="20"/>
              </w:rPr>
              <w:t>272</w:t>
            </w:r>
          </w:p>
        </w:tc>
      </w:tr>
      <w:tr w:rsidR="00FC0AD3" w14:paraId="44E42EF2" w14:textId="77777777" w:rsidTr="003A1A2F">
        <w:trPr>
          <w:trHeight w:val="198"/>
          <w:jc w:val="center"/>
        </w:trPr>
        <w:tc>
          <w:tcPr>
            <w:tcW w:w="3402" w:type="dxa"/>
            <w:tcBorders>
              <w:top w:val="single" w:sz="2" w:space="0" w:color="auto"/>
              <w:left w:val="nil"/>
              <w:bottom w:val="single" w:sz="2" w:space="0" w:color="auto"/>
              <w:right w:val="nil"/>
            </w:tcBorders>
            <w:noWrap/>
            <w:vAlign w:val="center"/>
            <w:hideMark/>
          </w:tcPr>
          <w:p w14:paraId="72418958" w14:textId="77777777" w:rsidR="00FC0AD3" w:rsidRPr="00447E7C" w:rsidRDefault="00FC0AD3" w:rsidP="00506BB1">
            <w:pPr>
              <w:pStyle w:val="cuatexto"/>
              <w:rPr>
                <w:szCs w:val="20"/>
              </w:rPr>
            </w:pPr>
            <w:r w:rsidRPr="00447E7C">
              <w:rPr>
                <w:szCs w:val="20"/>
              </w:rPr>
              <w:t>Patrimonio</w:t>
            </w:r>
          </w:p>
        </w:tc>
        <w:tc>
          <w:tcPr>
            <w:tcW w:w="2127" w:type="dxa"/>
            <w:gridSpan w:val="2"/>
            <w:tcBorders>
              <w:top w:val="single" w:sz="2" w:space="0" w:color="auto"/>
              <w:left w:val="nil"/>
              <w:bottom w:val="single" w:sz="2" w:space="0" w:color="auto"/>
              <w:right w:val="nil"/>
            </w:tcBorders>
            <w:vAlign w:val="center"/>
          </w:tcPr>
          <w:p w14:paraId="573EF505" w14:textId="77777777" w:rsidR="00FC0AD3" w:rsidRPr="00447E7C" w:rsidRDefault="00FC0AD3" w:rsidP="00D12353">
            <w:pPr>
              <w:pStyle w:val="cuatexto"/>
              <w:jc w:val="right"/>
              <w:rPr>
                <w:szCs w:val="20"/>
              </w:rPr>
            </w:pPr>
            <w:r w:rsidRPr="00447E7C">
              <w:rPr>
                <w:szCs w:val="20"/>
              </w:rPr>
              <w:t>31.768</w:t>
            </w:r>
          </w:p>
        </w:tc>
        <w:tc>
          <w:tcPr>
            <w:tcW w:w="2126" w:type="dxa"/>
            <w:tcBorders>
              <w:top w:val="single" w:sz="2" w:space="0" w:color="auto"/>
              <w:left w:val="nil"/>
              <w:bottom w:val="single" w:sz="2" w:space="0" w:color="auto"/>
              <w:right w:val="nil"/>
            </w:tcBorders>
            <w:shd w:val="clear" w:color="auto" w:fill="auto"/>
            <w:vAlign w:val="center"/>
          </w:tcPr>
          <w:p w14:paraId="254AAAFE" w14:textId="77777777" w:rsidR="00FC0AD3" w:rsidRPr="00447E7C" w:rsidRDefault="00FC0AD3" w:rsidP="00D12353">
            <w:pPr>
              <w:pStyle w:val="cuatexto"/>
              <w:jc w:val="right"/>
              <w:rPr>
                <w:szCs w:val="20"/>
              </w:rPr>
            </w:pPr>
            <w:r w:rsidRPr="00447E7C">
              <w:rPr>
                <w:szCs w:val="20"/>
              </w:rPr>
              <w:t>35.053</w:t>
            </w:r>
          </w:p>
        </w:tc>
        <w:tc>
          <w:tcPr>
            <w:tcW w:w="1134" w:type="dxa"/>
            <w:tcBorders>
              <w:top w:val="single" w:sz="2" w:space="0" w:color="auto"/>
              <w:left w:val="nil"/>
              <w:bottom w:val="single" w:sz="2" w:space="0" w:color="auto"/>
              <w:right w:val="nil"/>
            </w:tcBorders>
            <w:vAlign w:val="center"/>
          </w:tcPr>
          <w:p w14:paraId="3C8E9483" w14:textId="77777777" w:rsidR="00FC0AD3" w:rsidRPr="00447E7C" w:rsidRDefault="00FC0AD3" w:rsidP="00D12353">
            <w:pPr>
              <w:pStyle w:val="cuatexto"/>
              <w:jc w:val="right"/>
              <w:rPr>
                <w:szCs w:val="20"/>
              </w:rPr>
            </w:pPr>
            <w:r w:rsidRPr="00447E7C">
              <w:rPr>
                <w:szCs w:val="20"/>
              </w:rPr>
              <w:t>10</w:t>
            </w:r>
          </w:p>
        </w:tc>
      </w:tr>
      <w:tr w:rsidR="00FC0AD3" w14:paraId="17DB3293" w14:textId="77777777" w:rsidTr="003A1A2F">
        <w:trPr>
          <w:trHeight w:val="198"/>
          <w:jc w:val="center"/>
        </w:trPr>
        <w:tc>
          <w:tcPr>
            <w:tcW w:w="3402" w:type="dxa"/>
            <w:tcBorders>
              <w:top w:val="single" w:sz="2" w:space="0" w:color="auto"/>
              <w:left w:val="nil"/>
              <w:bottom w:val="single" w:sz="2" w:space="0" w:color="auto"/>
              <w:right w:val="nil"/>
            </w:tcBorders>
            <w:noWrap/>
            <w:vAlign w:val="center"/>
            <w:hideMark/>
          </w:tcPr>
          <w:p w14:paraId="00E9CD17" w14:textId="77777777" w:rsidR="00FC0AD3" w:rsidRPr="00447E7C" w:rsidRDefault="00FC0AD3" w:rsidP="00506BB1">
            <w:pPr>
              <w:pStyle w:val="cuatexto"/>
              <w:rPr>
                <w:szCs w:val="20"/>
              </w:rPr>
            </w:pPr>
            <w:r w:rsidRPr="00447E7C">
              <w:rPr>
                <w:szCs w:val="20"/>
              </w:rPr>
              <w:t>Sucesiones y donaciones</w:t>
            </w:r>
          </w:p>
        </w:tc>
        <w:tc>
          <w:tcPr>
            <w:tcW w:w="2127" w:type="dxa"/>
            <w:gridSpan w:val="2"/>
            <w:tcBorders>
              <w:top w:val="single" w:sz="2" w:space="0" w:color="auto"/>
              <w:left w:val="nil"/>
              <w:bottom w:val="single" w:sz="2" w:space="0" w:color="auto"/>
              <w:right w:val="nil"/>
            </w:tcBorders>
            <w:vAlign w:val="center"/>
          </w:tcPr>
          <w:p w14:paraId="246D904C" w14:textId="77777777" w:rsidR="00FC0AD3" w:rsidRPr="00447E7C" w:rsidRDefault="00FC0AD3" w:rsidP="00D12353">
            <w:pPr>
              <w:pStyle w:val="cuatexto"/>
              <w:jc w:val="right"/>
              <w:rPr>
                <w:szCs w:val="20"/>
              </w:rPr>
            </w:pPr>
            <w:r w:rsidRPr="00447E7C">
              <w:rPr>
                <w:szCs w:val="20"/>
              </w:rPr>
              <w:t>68.345</w:t>
            </w:r>
          </w:p>
        </w:tc>
        <w:tc>
          <w:tcPr>
            <w:tcW w:w="2126" w:type="dxa"/>
            <w:tcBorders>
              <w:top w:val="single" w:sz="2" w:space="0" w:color="auto"/>
              <w:left w:val="nil"/>
              <w:bottom w:val="single" w:sz="2" w:space="0" w:color="auto"/>
              <w:right w:val="nil"/>
            </w:tcBorders>
            <w:shd w:val="clear" w:color="auto" w:fill="auto"/>
            <w:vAlign w:val="center"/>
          </w:tcPr>
          <w:p w14:paraId="1A457C25" w14:textId="77777777" w:rsidR="00FC0AD3" w:rsidRPr="00447E7C" w:rsidRDefault="00FC0AD3" w:rsidP="00D12353">
            <w:pPr>
              <w:pStyle w:val="cuatexto"/>
              <w:jc w:val="right"/>
              <w:rPr>
                <w:szCs w:val="20"/>
              </w:rPr>
            </w:pPr>
            <w:r w:rsidRPr="00447E7C">
              <w:rPr>
                <w:szCs w:val="20"/>
              </w:rPr>
              <w:t>59.587</w:t>
            </w:r>
          </w:p>
        </w:tc>
        <w:tc>
          <w:tcPr>
            <w:tcW w:w="1134" w:type="dxa"/>
            <w:tcBorders>
              <w:top w:val="single" w:sz="2" w:space="0" w:color="auto"/>
              <w:left w:val="nil"/>
              <w:bottom w:val="single" w:sz="2" w:space="0" w:color="auto"/>
              <w:right w:val="nil"/>
            </w:tcBorders>
            <w:vAlign w:val="center"/>
          </w:tcPr>
          <w:p w14:paraId="76B84FD2" w14:textId="77777777" w:rsidR="00FC0AD3" w:rsidRPr="00447E7C" w:rsidRDefault="00FC0AD3" w:rsidP="00D12353">
            <w:pPr>
              <w:pStyle w:val="cuatexto"/>
              <w:jc w:val="right"/>
              <w:rPr>
                <w:szCs w:val="20"/>
              </w:rPr>
            </w:pPr>
            <w:r w:rsidRPr="00447E7C">
              <w:rPr>
                <w:szCs w:val="20"/>
              </w:rPr>
              <w:t>-13</w:t>
            </w:r>
          </w:p>
        </w:tc>
      </w:tr>
      <w:tr w:rsidR="00FC0AD3" w14:paraId="31EABEF1" w14:textId="77777777" w:rsidTr="003A1A2F">
        <w:trPr>
          <w:trHeight w:val="198"/>
          <w:jc w:val="center"/>
        </w:trPr>
        <w:tc>
          <w:tcPr>
            <w:tcW w:w="3402" w:type="dxa"/>
            <w:tcBorders>
              <w:top w:val="single" w:sz="2" w:space="0" w:color="auto"/>
              <w:left w:val="nil"/>
              <w:bottom w:val="single" w:sz="2" w:space="0" w:color="auto"/>
              <w:right w:val="nil"/>
            </w:tcBorders>
            <w:noWrap/>
            <w:vAlign w:val="center"/>
            <w:hideMark/>
          </w:tcPr>
          <w:p w14:paraId="4F2FF643" w14:textId="77777777" w:rsidR="00FC0AD3" w:rsidRPr="00447E7C" w:rsidRDefault="00FC0AD3" w:rsidP="00506BB1">
            <w:pPr>
              <w:pStyle w:val="cuatexto"/>
              <w:rPr>
                <w:szCs w:val="20"/>
              </w:rPr>
            </w:pPr>
            <w:r w:rsidRPr="00447E7C">
              <w:rPr>
                <w:szCs w:val="20"/>
              </w:rPr>
              <w:t>Sobre depósitos bancarios</w:t>
            </w:r>
          </w:p>
        </w:tc>
        <w:tc>
          <w:tcPr>
            <w:tcW w:w="2127" w:type="dxa"/>
            <w:gridSpan w:val="2"/>
            <w:tcBorders>
              <w:top w:val="single" w:sz="2" w:space="0" w:color="auto"/>
              <w:left w:val="nil"/>
              <w:bottom w:val="single" w:sz="2" w:space="0" w:color="auto"/>
              <w:right w:val="nil"/>
            </w:tcBorders>
            <w:vAlign w:val="center"/>
          </w:tcPr>
          <w:p w14:paraId="7E073F67" w14:textId="77777777" w:rsidR="00FC0AD3" w:rsidRPr="00447E7C" w:rsidRDefault="00FC0AD3" w:rsidP="00D12353">
            <w:pPr>
              <w:pStyle w:val="cuatexto"/>
              <w:jc w:val="right"/>
              <w:rPr>
                <w:szCs w:val="20"/>
              </w:rPr>
            </w:pPr>
            <w:r w:rsidRPr="00447E7C">
              <w:rPr>
                <w:szCs w:val="20"/>
              </w:rPr>
              <w:t>6.457</w:t>
            </w:r>
          </w:p>
        </w:tc>
        <w:tc>
          <w:tcPr>
            <w:tcW w:w="2126" w:type="dxa"/>
            <w:tcBorders>
              <w:top w:val="single" w:sz="2" w:space="0" w:color="auto"/>
              <w:left w:val="nil"/>
              <w:bottom w:val="single" w:sz="2" w:space="0" w:color="auto"/>
              <w:right w:val="nil"/>
            </w:tcBorders>
            <w:shd w:val="clear" w:color="auto" w:fill="auto"/>
            <w:vAlign w:val="center"/>
          </w:tcPr>
          <w:p w14:paraId="7718552A" w14:textId="77777777" w:rsidR="00FC0AD3" w:rsidRPr="00447E7C" w:rsidRDefault="00FC0AD3" w:rsidP="00D12353">
            <w:pPr>
              <w:pStyle w:val="cuatexto"/>
              <w:jc w:val="right"/>
              <w:rPr>
                <w:szCs w:val="20"/>
              </w:rPr>
            </w:pPr>
            <w:r w:rsidRPr="00447E7C">
              <w:rPr>
                <w:szCs w:val="20"/>
              </w:rPr>
              <w:t>6.465</w:t>
            </w:r>
          </w:p>
        </w:tc>
        <w:tc>
          <w:tcPr>
            <w:tcW w:w="1134" w:type="dxa"/>
            <w:tcBorders>
              <w:top w:val="single" w:sz="2" w:space="0" w:color="auto"/>
              <w:left w:val="nil"/>
              <w:bottom w:val="single" w:sz="2" w:space="0" w:color="auto"/>
              <w:right w:val="nil"/>
            </w:tcBorders>
            <w:vAlign w:val="center"/>
          </w:tcPr>
          <w:p w14:paraId="7B882B1C" w14:textId="77777777" w:rsidR="00FC0AD3" w:rsidRPr="00447E7C" w:rsidRDefault="00FC0AD3" w:rsidP="00D12353">
            <w:pPr>
              <w:pStyle w:val="cuatexto"/>
              <w:jc w:val="right"/>
              <w:rPr>
                <w:szCs w:val="20"/>
              </w:rPr>
            </w:pPr>
            <w:r w:rsidRPr="00447E7C">
              <w:rPr>
                <w:szCs w:val="20"/>
              </w:rPr>
              <w:t>0,1</w:t>
            </w:r>
          </w:p>
        </w:tc>
      </w:tr>
      <w:tr w:rsidR="00FC0AD3" w14:paraId="291EEE45" w14:textId="77777777" w:rsidTr="003A1A2F">
        <w:trPr>
          <w:trHeight w:val="198"/>
          <w:jc w:val="center"/>
        </w:trPr>
        <w:tc>
          <w:tcPr>
            <w:tcW w:w="3402" w:type="dxa"/>
            <w:tcBorders>
              <w:top w:val="single" w:sz="2" w:space="0" w:color="auto"/>
              <w:left w:val="nil"/>
              <w:bottom w:val="single" w:sz="2" w:space="0" w:color="auto"/>
              <w:right w:val="nil"/>
            </w:tcBorders>
            <w:noWrap/>
            <w:vAlign w:val="center"/>
            <w:hideMark/>
          </w:tcPr>
          <w:p w14:paraId="15AC0170" w14:textId="77777777" w:rsidR="00FC0AD3" w:rsidRPr="00447E7C" w:rsidRDefault="00FC0AD3" w:rsidP="00506BB1">
            <w:pPr>
              <w:pStyle w:val="cuatexto"/>
              <w:rPr>
                <w:szCs w:val="20"/>
              </w:rPr>
            </w:pPr>
            <w:r w:rsidRPr="00447E7C">
              <w:rPr>
                <w:szCs w:val="20"/>
              </w:rPr>
              <w:t>Sobre valor producción energía</w:t>
            </w:r>
          </w:p>
        </w:tc>
        <w:tc>
          <w:tcPr>
            <w:tcW w:w="2127" w:type="dxa"/>
            <w:gridSpan w:val="2"/>
            <w:tcBorders>
              <w:top w:val="single" w:sz="2" w:space="0" w:color="auto"/>
              <w:left w:val="nil"/>
              <w:bottom w:val="single" w:sz="2" w:space="0" w:color="auto"/>
              <w:right w:val="nil"/>
            </w:tcBorders>
            <w:vAlign w:val="center"/>
          </w:tcPr>
          <w:p w14:paraId="02BFF005" w14:textId="77777777" w:rsidR="00FC0AD3" w:rsidRPr="00447E7C" w:rsidRDefault="00FC0AD3" w:rsidP="00D12353">
            <w:pPr>
              <w:pStyle w:val="cuatexto"/>
              <w:jc w:val="right"/>
              <w:rPr>
                <w:szCs w:val="20"/>
              </w:rPr>
            </w:pPr>
            <w:r w:rsidRPr="00447E7C">
              <w:rPr>
                <w:szCs w:val="20"/>
              </w:rPr>
              <w:t>-597</w:t>
            </w:r>
          </w:p>
        </w:tc>
        <w:tc>
          <w:tcPr>
            <w:tcW w:w="2126" w:type="dxa"/>
            <w:tcBorders>
              <w:top w:val="single" w:sz="2" w:space="0" w:color="auto"/>
              <w:left w:val="nil"/>
              <w:bottom w:val="single" w:sz="2" w:space="0" w:color="auto"/>
              <w:right w:val="nil"/>
            </w:tcBorders>
            <w:shd w:val="clear" w:color="auto" w:fill="auto"/>
            <w:vAlign w:val="center"/>
          </w:tcPr>
          <w:p w14:paraId="1867AA7D" w14:textId="77777777" w:rsidR="00FC0AD3" w:rsidRPr="00447E7C" w:rsidRDefault="00FC0AD3" w:rsidP="00D12353">
            <w:pPr>
              <w:pStyle w:val="cuatexto"/>
              <w:jc w:val="right"/>
              <w:rPr>
                <w:szCs w:val="20"/>
              </w:rPr>
            </w:pPr>
            <w:r w:rsidRPr="00447E7C">
              <w:rPr>
                <w:szCs w:val="20"/>
              </w:rPr>
              <w:t>1.036</w:t>
            </w:r>
          </w:p>
        </w:tc>
        <w:tc>
          <w:tcPr>
            <w:tcW w:w="1134" w:type="dxa"/>
            <w:tcBorders>
              <w:top w:val="single" w:sz="2" w:space="0" w:color="auto"/>
              <w:left w:val="nil"/>
              <w:bottom w:val="single" w:sz="2" w:space="0" w:color="auto"/>
              <w:right w:val="nil"/>
            </w:tcBorders>
            <w:vAlign w:val="center"/>
          </w:tcPr>
          <w:p w14:paraId="5C043981" w14:textId="77777777" w:rsidR="00FC0AD3" w:rsidRPr="00447E7C" w:rsidRDefault="00FC0AD3" w:rsidP="00D12353">
            <w:pPr>
              <w:pStyle w:val="cuatexto"/>
              <w:jc w:val="right"/>
              <w:rPr>
                <w:szCs w:val="20"/>
              </w:rPr>
            </w:pPr>
            <w:r w:rsidRPr="00447E7C">
              <w:rPr>
                <w:szCs w:val="20"/>
              </w:rPr>
              <w:t>273</w:t>
            </w:r>
          </w:p>
        </w:tc>
      </w:tr>
      <w:tr w:rsidR="00FC0AD3" w14:paraId="76D7CC73" w14:textId="77777777" w:rsidTr="003A1A2F">
        <w:trPr>
          <w:trHeight w:val="198"/>
          <w:jc w:val="center"/>
        </w:trPr>
        <w:tc>
          <w:tcPr>
            <w:tcW w:w="3402" w:type="dxa"/>
            <w:tcBorders>
              <w:top w:val="single" w:sz="2" w:space="0" w:color="auto"/>
              <w:left w:val="nil"/>
              <w:bottom w:val="single" w:sz="2" w:space="0" w:color="auto"/>
              <w:right w:val="nil"/>
            </w:tcBorders>
            <w:noWrap/>
            <w:vAlign w:val="center"/>
            <w:hideMark/>
          </w:tcPr>
          <w:p w14:paraId="22A78FD4" w14:textId="77777777" w:rsidR="00FC0AD3" w:rsidRPr="00447E7C" w:rsidRDefault="00FC0AD3" w:rsidP="00506BB1">
            <w:pPr>
              <w:pStyle w:val="cuatexto"/>
              <w:rPr>
                <w:szCs w:val="20"/>
              </w:rPr>
            </w:pPr>
            <w:r w:rsidRPr="00447E7C">
              <w:rPr>
                <w:szCs w:val="20"/>
              </w:rPr>
              <w:t>Grandes establecimientos comerciales</w:t>
            </w:r>
          </w:p>
        </w:tc>
        <w:tc>
          <w:tcPr>
            <w:tcW w:w="2127" w:type="dxa"/>
            <w:gridSpan w:val="2"/>
            <w:tcBorders>
              <w:top w:val="single" w:sz="2" w:space="0" w:color="auto"/>
              <w:left w:val="nil"/>
              <w:bottom w:val="single" w:sz="2" w:space="0" w:color="auto"/>
              <w:right w:val="nil"/>
            </w:tcBorders>
            <w:vAlign w:val="center"/>
          </w:tcPr>
          <w:p w14:paraId="11458BCA" w14:textId="77777777" w:rsidR="00FC0AD3" w:rsidRPr="00447E7C" w:rsidRDefault="00FC0AD3" w:rsidP="00D12353">
            <w:pPr>
              <w:pStyle w:val="cuatexto"/>
              <w:jc w:val="right"/>
              <w:rPr>
                <w:szCs w:val="20"/>
              </w:rPr>
            </w:pPr>
            <w:r w:rsidRPr="00447E7C">
              <w:rPr>
                <w:szCs w:val="20"/>
              </w:rPr>
              <w:t>2.503</w:t>
            </w:r>
          </w:p>
        </w:tc>
        <w:tc>
          <w:tcPr>
            <w:tcW w:w="2126" w:type="dxa"/>
            <w:tcBorders>
              <w:top w:val="single" w:sz="2" w:space="0" w:color="auto"/>
              <w:left w:val="nil"/>
              <w:bottom w:val="single" w:sz="2" w:space="0" w:color="auto"/>
              <w:right w:val="nil"/>
            </w:tcBorders>
            <w:shd w:val="clear" w:color="auto" w:fill="auto"/>
            <w:vAlign w:val="center"/>
          </w:tcPr>
          <w:p w14:paraId="34107AB5" w14:textId="77777777" w:rsidR="00FC0AD3" w:rsidRPr="00447E7C" w:rsidRDefault="00FC0AD3" w:rsidP="00D12353">
            <w:pPr>
              <w:pStyle w:val="cuatexto"/>
              <w:jc w:val="right"/>
              <w:rPr>
                <w:szCs w:val="20"/>
              </w:rPr>
            </w:pPr>
            <w:r w:rsidRPr="00447E7C">
              <w:rPr>
                <w:szCs w:val="20"/>
              </w:rPr>
              <w:t>2.063</w:t>
            </w:r>
          </w:p>
        </w:tc>
        <w:tc>
          <w:tcPr>
            <w:tcW w:w="1134" w:type="dxa"/>
            <w:tcBorders>
              <w:top w:val="single" w:sz="2" w:space="0" w:color="auto"/>
              <w:left w:val="nil"/>
              <w:bottom w:val="single" w:sz="2" w:space="0" w:color="auto"/>
              <w:right w:val="nil"/>
            </w:tcBorders>
            <w:vAlign w:val="center"/>
          </w:tcPr>
          <w:p w14:paraId="77403FAD" w14:textId="77777777" w:rsidR="00FC0AD3" w:rsidRPr="00447E7C" w:rsidRDefault="00CA2971" w:rsidP="00D12353">
            <w:pPr>
              <w:pStyle w:val="cuatexto"/>
              <w:jc w:val="right"/>
              <w:rPr>
                <w:szCs w:val="20"/>
              </w:rPr>
            </w:pPr>
            <w:r w:rsidRPr="00447E7C">
              <w:rPr>
                <w:szCs w:val="20"/>
              </w:rPr>
              <w:t>-</w:t>
            </w:r>
            <w:r w:rsidR="00FC0AD3" w:rsidRPr="00447E7C">
              <w:rPr>
                <w:szCs w:val="20"/>
              </w:rPr>
              <w:t>18</w:t>
            </w:r>
          </w:p>
        </w:tc>
      </w:tr>
      <w:tr w:rsidR="00FC0AD3" w14:paraId="0C87B91B" w14:textId="77777777" w:rsidTr="00810207">
        <w:trPr>
          <w:trHeight w:val="198"/>
          <w:jc w:val="center"/>
        </w:trPr>
        <w:tc>
          <w:tcPr>
            <w:tcW w:w="3402" w:type="dxa"/>
            <w:tcBorders>
              <w:top w:val="single" w:sz="2" w:space="0" w:color="auto"/>
              <w:left w:val="nil"/>
              <w:bottom w:val="single" w:sz="4" w:space="0" w:color="auto"/>
              <w:right w:val="nil"/>
            </w:tcBorders>
            <w:noWrap/>
            <w:vAlign w:val="center"/>
            <w:hideMark/>
          </w:tcPr>
          <w:p w14:paraId="4FCB5AAD" w14:textId="77777777" w:rsidR="00FC0AD3" w:rsidRPr="00447E7C" w:rsidRDefault="00FC0AD3" w:rsidP="00506BB1">
            <w:pPr>
              <w:pStyle w:val="cuatexto"/>
              <w:rPr>
                <w:szCs w:val="20"/>
              </w:rPr>
            </w:pPr>
            <w:r w:rsidRPr="00447E7C">
              <w:rPr>
                <w:szCs w:val="20"/>
              </w:rPr>
              <w:t>Premios loterías y apuestas</w:t>
            </w:r>
          </w:p>
        </w:tc>
        <w:tc>
          <w:tcPr>
            <w:tcW w:w="2127" w:type="dxa"/>
            <w:gridSpan w:val="2"/>
            <w:tcBorders>
              <w:top w:val="single" w:sz="2" w:space="0" w:color="auto"/>
              <w:left w:val="nil"/>
              <w:bottom w:val="single" w:sz="4" w:space="0" w:color="auto"/>
              <w:right w:val="nil"/>
            </w:tcBorders>
            <w:vAlign w:val="center"/>
          </w:tcPr>
          <w:p w14:paraId="47628546" w14:textId="77777777" w:rsidR="00FC0AD3" w:rsidRPr="00447E7C" w:rsidRDefault="00FC0AD3" w:rsidP="00D12353">
            <w:pPr>
              <w:pStyle w:val="cuatexto"/>
              <w:jc w:val="right"/>
              <w:rPr>
                <w:szCs w:val="20"/>
              </w:rPr>
            </w:pPr>
            <w:r w:rsidRPr="00447E7C">
              <w:rPr>
                <w:szCs w:val="20"/>
              </w:rPr>
              <w:t>4.080</w:t>
            </w:r>
          </w:p>
        </w:tc>
        <w:tc>
          <w:tcPr>
            <w:tcW w:w="2126" w:type="dxa"/>
            <w:tcBorders>
              <w:top w:val="single" w:sz="2" w:space="0" w:color="auto"/>
              <w:left w:val="nil"/>
              <w:bottom w:val="single" w:sz="4" w:space="0" w:color="auto"/>
              <w:right w:val="nil"/>
            </w:tcBorders>
            <w:shd w:val="clear" w:color="auto" w:fill="auto"/>
            <w:vAlign w:val="center"/>
          </w:tcPr>
          <w:p w14:paraId="299FB3E2" w14:textId="77777777" w:rsidR="00FC0AD3" w:rsidRPr="00447E7C" w:rsidRDefault="00FC0AD3" w:rsidP="00D12353">
            <w:pPr>
              <w:pStyle w:val="cuatexto"/>
              <w:jc w:val="right"/>
              <w:rPr>
                <w:szCs w:val="20"/>
              </w:rPr>
            </w:pPr>
            <w:r w:rsidRPr="00447E7C">
              <w:rPr>
                <w:szCs w:val="20"/>
              </w:rPr>
              <w:t>1.278</w:t>
            </w:r>
          </w:p>
        </w:tc>
        <w:tc>
          <w:tcPr>
            <w:tcW w:w="1134" w:type="dxa"/>
            <w:tcBorders>
              <w:top w:val="single" w:sz="2" w:space="0" w:color="auto"/>
              <w:left w:val="nil"/>
              <w:bottom w:val="single" w:sz="4" w:space="0" w:color="auto"/>
              <w:right w:val="nil"/>
            </w:tcBorders>
            <w:vAlign w:val="center"/>
          </w:tcPr>
          <w:p w14:paraId="6EC4BCB1" w14:textId="77777777" w:rsidR="00FC0AD3" w:rsidRPr="00447E7C" w:rsidRDefault="00FC0AD3" w:rsidP="00D12353">
            <w:pPr>
              <w:pStyle w:val="cuatexto"/>
              <w:jc w:val="right"/>
              <w:rPr>
                <w:szCs w:val="20"/>
              </w:rPr>
            </w:pPr>
            <w:r w:rsidRPr="00447E7C">
              <w:rPr>
                <w:szCs w:val="20"/>
              </w:rPr>
              <w:t>-69</w:t>
            </w:r>
          </w:p>
        </w:tc>
      </w:tr>
      <w:tr w:rsidR="00FA5CB9" w:rsidRPr="00A963CA" w14:paraId="2AF6D905" w14:textId="77777777" w:rsidTr="00810207">
        <w:trPr>
          <w:trHeight w:val="198"/>
          <w:jc w:val="center"/>
        </w:trPr>
        <w:tc>
          <w:tcPr>
            <w:tcW w:w="3402" w:type="dxa"/>
            <w:tcBorders>
              <w:top w:val="single" w:sz="4" w:space="0" w:color="auto"/>
              <w:left w:val="nil"/>
              <w:bottom w:val="single" w:sz="4" w:space="0" w:color="auto"/>
              <w:right w:val="nil"/>
            </w:tcBorders>
            <w:noWrap/>
            <w:vAlign w:val="center"/>
            <w:hideMark/>
          </w:tcPr>
          <w:p w14:paraId="4DD4FC60" w14:textId="77777777" w:rsidR="00FA5CB9" w:rsidRPr="00447E7C" w:rsidRDefault="00FA5CB9" w:rsidP="00506BB1">
            <w:pPr>
              <w:pStyle w:val="cuatexto"/>
              <w:rPr>
                <w:rFonts w:cs="Arial"/>
                <w:b/>
                <w:szCs w:val="20"/>
              </w:rPr>
            </w:pPr>
            <w:r w:rsidRPr="00447E7C">
              <w:rPr>
                <w:rFonts w:cs="Arial"/>
                <w:b/>
                <w:szCs w:val="20"/>
              </w:rPr>
              <w:t>1. Impuestos directos</w:t>
            </w:r>
          </w:p>
        </w:tc>
        <w:tc>
          <w:tcPr>
            <w:tcW w:w="2127" w:type="dxa"/>
            <w:gridSpan w:val="2"/>
            <w:tcBorders>
              <w:top w:val="single" w:sz="4" w:space="0" w:color="auto"/>
              <w:left w:val="nil"/>
              <w:bottom w:val="single" w:sz="4" w:space="0" w:color="auto"/>
              <w:right w:val="nil"/>
            </w:tcBorders>
            <w:vAlign w:val="center"/>
          </w:tcPr>
          <w:p w14:paraId="7EE2D838" w14:textId="77777777" w:rsidR="00FA5CB9" w:rsidRPr="00447E7C" w:rsidRDefault="00FA5CB9" w:rsidP="00CA2971">
            <w:pPr>
              <w:pStyle w:val="cuatexto"/>
              <w:jc w:val="right"/>
              <w:rPr>
                <w:rFonts w:cs="Arial"/>
                <w:b/>
                <w:szCs w:val="20"/>
              </w:rPr>
            </w:pPr>
            <w:r w:rsidRPr="00447E7C">
              <w:rPr>
                <w:rFonts w:cs="Arial"/>
                <w:b/>
                <w:szCs w:val="20"/>
              </w:rPr>
              <w:t>2.6</w:t>
            </w:r>
            <w:r w:rsidR="00CA2971" w:rsidRPr="00447E7C">
              <w:rPr>
                <w:rFonts w:cs="Arial"/>
                <w:b/>
                <w:szCs w:val="20"/>
              </w:rPr>
              <w:t>28</w:t>
            </w:r>
            <w:r w:rsidRPr="00447E7C">
              <w:rPr>
                <w:rFonts w:cs="Arial"/>
                <w:b/>
                <w:szCs w:val="20"/>
              </w:rPr>
              <w:t>.572</w:t>
            </w:r>
          </w:p>
        </w:tc>
        <w:tc>
          <w:tcPr>
            <w:tcW w:w="2126" w:type="dxa"/>
            <w:tcBorders>
              <w:top w:val="single" w:sz="4" w:space="0" w:color="auto"/>
              <w:left w:val="nil"/>
              <w:bottom w:val="single" w:sz="4" w:space="0" w:color="auto"/>
              <w:right w:val="nil"/>
            </w:tcBorders>
            <w:vAlign w:val="center"/>
          </w:tcPr>
          <w:p w14:paraId="5F8DEB61" w14:textId="77777777" w:rsidR="00FA5CB9" w:rsidRPr="00447E7C" w:rsidRDefault="00FC0AD3" w:rsidP="00D12353">
            <w:pPr>
              <w:pStyle w:val="cuatexto"/>
              <w:jc w:val="right"/>
              <w:rPr>
                <w:rFonts w:cs="Arial"/>
                <w:b/>
                <w:szCs w:val="20"/>
              </w:rPr>
            </w:pPr>
            <w:r w:rsidRPr="00447E7C">
              <w:rPr>
                <w:rFonts w:cs="Arial"/>
                <w:b/>
                <w:szCs w:val="20"/>
              </w:rPr>
              <w:t>2.741.203</w:t>
            </w:r>
          </w:p>
        </w:tc>
        <w:tc>
          <w:tcPr>
            <w:tcW w:w="1134" w:type="dxa"/>
            <w:tcBorders>
              <w:top w:val="single" w:sz="4" w:space="0" w:color="auto"/>
              <w:left w:val="nil"/>
              <w:bottom w:val="single" w:sz="4" w:space="0" w:color="auto"/>
              <w:right w:val="nil"/>
            </w:tcBorders>
            <w:vAlign w:val="center"/>
          </w:tcPr>
          <w:p w14:paraId="628BDEFF" w14:textId="77777777" w:rsidR="00FA5CB9" w:rsidRPr="00447E7C" w:rsidRDefault="00FC0AD3" w:rsidP="00D12353">
            <w:pPr>
              <w:pStyle w:val="cuatexto"/>
              <w:jc w:val="right"/>
              <w:rPr>
                <w:rFonts w:cs="Arial"/>
                <w:b/>
                <w:szCs w:val="20"/>
              </w:rPr>
            </w:pPr>
            <w:r w:rsidRPr="00447E7C">
              <w:rPr>
                <w:rFonts w:cs="Arial"/>
                <w:b/>
                <w:szCs w:val="20"/>
              </w:rPr>
              <w:t>4</w:t>
            </w:r>
          </w:p>
        </w:tc>
      </w:tr>
      <w:tr w:rsidR="006D7CB9" w14:paraId="32D6F7D2" w14:textId="77777777" w:rsidTr="00810207">
        <w:trPr>
          <w:trHeight w:val="198"/>
          <w:jc w:val="center"/>
        </w:trPr>
        <w:tc>
          <w:tcPr>
            <w:tcW w:w="3402" w:type="dxa"/>
            <w:tcBorders>
              <w:top w:val="single" w:sz="4" w:space="0" w:color="auto"/>
              <w:left w:val="nil"/>
              <w:bottom w:val="single" w:sz="2" w:space="0" w:color="auto"/>
              <w:right w:val="nil"/>
            </w:tcBorders>
            <w:noWrap/>
            <w:vAlign w:val="center"/>
            <w:hideMark/>
          </w:tcPr>
          <w:p w14:paraId="5AF05C5F" w14:textId="77777777" w:rsidR="006D7CB9" w:rsidRPr="00447E7C" w:rsidRDefault="006D7CB9" w:rsidP="00506BB1">
            <w:pPr>
              <w:pStyle w:val="cuatexto"/>
              <w:rPr>
                <w:szCs w:val="20"/>
              </w:rPr>
            </w:pPr>
            <w:r w:rsidRPr="00447E7C">
              <w:rPr>
                <w:szCs w:val="20"/>
              </w:rPr>
              <w:t>IVA</w:t>
            </w:r>
          </w:p>
        </w:tc>
        <w:tc>
          <w:tcPr>
            <w:tcW w:w="2127" w:type="dxa"/>
            <w:gridSpan w:val="2"/>
            <w:tcBorders>
              <w:top w:val="single" w:sz="4" w:space="0" w:color="auto"/>
              <w:left w:val="nil"/>
              <w:bottom w:val="single" w:sz="2" w:space="0" w:color="auto"/>
              <w:right w:val="nil"/>
            </w:tcBorders>
            <w:vAlign w:val="center"/>
          </w:tcPr>
          <w:p w14:paraId="52149442" w14:textId="77777777" w:rsidR="006D7CB9" w:rsidRPr="00447E7C" w:rsidRDefault="006D7CB9" w:rsidP="00D12353">
            <w:pPr>
              <w:pStyle w:val="cuatexto"/>
              <w:jc w:val="right"/>
              <w:rPr>
                <w:szCs w:val="20"/>
              </w:rPr>
            </w:pPr>
            <w:r w:rsidRPr="00447E7C">
              <w:rPr>
                <w:szCs w:val="20"/>
              </w:rPr>
              <w:t>1.616.899</w:t>
            </w:r>
          </w:p>
        </w:tc>
        <w:tc>
          <w:tcPr>
            <w:tcW w:w="2126" w:type="dxa"/>
            <w:tcBorders>
              <w:top w:val="single" w:sz="4" w:space="0" w:color="auto"/>
              <w:left w:val="nil"/>
              <w:bottom w:val="single" w:sz="2" w:space="0" w:color="auto"/>
              <w:right w:val="nil"/>
            </w:tcBorders>
            <w:shd w:val="clear" w:color="auto" w:fill="auto"/>
            <w:vAlign w:val="center"/>
          </w:tcPr>
          <w:p w14:paraId="7A888974" w14:textId="77777777" w:rsidR="006D7CB9" w:rsidRPr="00447E7C" w:rsidRDefault="006D7CB9" w:rsidP="00D12353">
            <w:pPr>
              <w:pStyle w:val="cuatexto"/>
              <w:jc w:val="right"/>
              <w:rPr>
                <w:rFonts w:cs="Calibri"/>
                <w:color w:val="000000"/>
                <w:szCs w:val="20"/>
              </w:rPr>
            </w:pPr>
            <w:r w:rsidRPr="00447E7C">
              <w:rPr>
                <w:rFonts w:cs="Calibri"/>
                <w:color w:val="000000"/>
                <w:szCs w:val="20"/>
              </w:rPr>
              <w:t>1.755.606</w:t>
            </w:r>
          </w:p>
        </w:tc>
        <w:tc>
          <w:tcPr>
            <w:tcW w:w="1134" w:type="dxa"/>
            <w:tcBorders>
              <w:top w:val="single" w:sz="4" w:space="0" w:color="auto"/>
              <w:left w:val="nil"/>
              <w:bottom w:val="single" w:sz="2" w:space="0" w:color="auto"/>
              <w:right w:val="nil"/>
            </w:tcBorders>
            <w:vAlign w:val="center"/>
          </w:tcPr>
          <w:p w14:paraId="630E3368" w14:textId="77777777" w:rsidR="006D7CB9" w:rsidRPr="00447E7C" w:rsidRDefault="006D7CB9" w:rsidP="00D12353">
            <w:pPr>
              <w:pStyle w:val="cuatexto"/>
              <w:jc w:val="right"/>
              <w:rPr>
                <w:szCs w:val="20"/>
              </w:rPr>
            </w:pPr>
            <w:r w:rsidRPr="00447E7C">
              <w:rPr>
                <w:szCs w:val="20"/>
              </w:rPr>
              <w:t>9</w:t>
            </w:r>
          </w:p>
        </w:tc>
      </w:tr>
      <w:tr w:rsidR="006D7CB9" w14:paraId="3F3A8278" w14:textId="77777777" w:rsidTr="003A1A2F">
        <w:trPr>
          <w:trHeight w:val="198"/>
          <w:jc w:val="center"/>
        </w:trPr>
        <w:tc>
          <w:tcPr>
            <w:tcW w:w="3402" w:type="dxa"/>
            <w:tcBorders>
              <w:top w:val="single" w:sz="2" w:space="0" w:color="auto"/>
              <w:left w:val="nil"/>
              <w:bottom w:val="single" w:sz="2" w:space="0" w:color="auto"/>
              <w:right w:val="nil"/>
            </w:tcBorders>
            <w:noWrap/>
            <w:vAlign w:val="center"/>
            <w:hideMark/>
          </w:tcPr>
          <w:p w14:paraId="7BEE015C" w14:textId="77777777" w:rsidR="006D7CB9" w:rsidRPr="00447E7C" w:rsidRDefault="006D7CB9" w:rsidP="00506BB1">
            <w:pPr>
              <w:pStyle w:val="cuatexto"/>
              <w:rPr>
                <w:szCs w:val="20"/>
              </w:rPr>
            </w:pPr>
            <w:r w:rsidRPr="00447E7C">
              <w:rPr>
                <w:szCs w:val="20"/>
              </w:rPr>
              <w:t>Impuestos especiales</w:t>
            </w:r>
          </w:p>
        </w:tc>
        <w:tc>
          <w:tcPr>
            <w:tcW w:w="2127" w:type="dxa"/>
            <w:gridSpan w:val="2"/>
            <w:tcBorders>
              <w:top w:val="single" w:sz="2" w:space="0" w:color="auto"/>
              <w:left w:val="nil"/>
              <w:bottom w:val="single" w:sz="2" w:space="0" w:color="auto"/>
              <w:right w:val="nil"/>
            </w:tcBorders>
            <w:vAlign w:val="center"/>
          </w:tcPr>
          <w:p w14:paraId="74B730F6" w14:textId="77777777" w:rsidR="006D7CB9" w:rsidRPr="00447E7C" w:rsidRDefault="006D7CB9" w:rsidP="00D12353">
            <w:pPr>
              <w:pStyle w:val="cuatexto"/>
              <w:jc w:val="right"/>
              <w:rPr>
                <w:szCs w:val="20"/>
              </w:rPr>
            </w:pPr>
            <w:r w:rsidRPr="00447E7C">
              <w:rPr>
                <w:szCs w:val="20"/>
              </w:rPr>
              <w:t>548.744</w:t>
            </w:r>
          </w:p>
        </w:tc>
        <w:tc>
          <w:tcPr>
            <w:tcW w:w="2126" w:type="dxa"/>
            <w:tcBorders>
              <w:top w:val="single" w:sz="2" w:space="0" w:color="auto"/>
              <w:left w:val="nil"/>
              <w:bottom w:val="single" w:sz="2" w:space="0" w:color="auto"/>
              <w:right w:val="nil"/>
            </w:tcBorders>
            <w:shd w:val="clear" w:color="auto" w:fill="auto"/>
            <w:vAlign w:val="center"/>
          </w:tcPr>
          <w:p w14:paraId="32DE4807" w14:textId="77777777" w:rsidR="006D7CB9" w:rsidRPr="00447E7C" w:rsidRDefault="00CA2971" w:rsidP="00CA2971">
            <w:pPr>
              <w:pStyle w:val="cuatexto"/>
              <w:jc w:val="right"/>
              <w:rPr>
                <w:rFonts w:cs="Calibri"/>
                <w:szCs w:val="20"/>
              </w:rPr>
            </w:pPr>
            <w:r w:rsidRPr="00447E7C">
              <w:rPr>
                <w:rFonts w:cs="Calibri"/>
                <w:szCs w:val="20"/>
              </w:rPr>
              <w:t>524.669</w:t>
            </w:r>
          </w:p>
        </w:tc>
        <w:tc>
          <w:tcPr>
            <w:tcW w:w="1134" w:type="dxa"/>
            <w:tcBorders>
              <w:top w:val="single" w:sz="2" w:space="0" w:color="auto"/>
              <w:left w:val="nil"/>
              <w:bottom w:val="single" w:sz="2" w:space="0" w:color="auto"/>
              <w:right w:val="nil"/>
            </w:tcBorders>
            <w:vAlign w:val="center"/>
          </w:tcPr>
          <w:p w14:paraId="147DF55C" w14:textId="77777777" w:rsidR="006D7CB9" w:rsidRPr="00447E7C" w:rsidRDefault="006D7CB9" w:rsidP="00D12353">
            <w:pPr>
              <w:pStyle w:val="cuatexto"/>
              <w:jc w:val="right"/>
              <w:rPr>
                <w:szCs w:val="20"/>
              </w:rPr>
            </w:pPr>
            <w:r w:rsidRPr="00447E7C">
              <w:rPr>
                <w:szCs w:val="20"/>
              </w:rPr>
              <w:t>-6</w:t>
            </w:r>
          </w:p>
        </w:tc>
      </w:tr>
      <w:tr w:rsidR="006D7CB9" w14:paraId="13A95C3B" w14:textId="77777777" w:rsidTr="003A1A2F">
        <w:trPr>
          <w:trHeight w:val="198"/>
          <w:jc w:val="center"/>
        </w:trPr>
        <w:tc>
          <w:tcPr>
            <w:tcW w:w="3402" w:type="dxa"/>
            <w:tcBorders>
              <w:top w:val="single" w:sz="2" w:space="0" w:color="auto"/>
              <w:left w:val="nil"/>
              <w:bottom w:val="single" w:sz="2" w:space="0" w:color="auto"/>
              <w:right w:val="nil"/>
            </w:tcBorders>
            <w:noWrap/>
            <w:vAlign w:val="center"/>
            <w:hideMark/>
          </w:tcPr>
          <w:p w14:paraId="42AC0A56" w14:textId="77777777" w:rsidR="006D7CB9" w:rsidRPr="00447E7C" w:rsidRDefault="006D7CB9" w:rsidP="00506BB1">
            <w:pPr>
              <w:pStyle w:val="cuatexto"/>
              <w:rPr>
                <w:szCs w:val="20"/>
              </w:rPr>
            </w:pPr>
            <w:r w:rsidRPr="00447E7C">
              <w:rPr>
                <w:szCs w:val="20"/>
              </w:rPr>
              <w:t>Otros impuestos s/ consumos específicos</w:t>
            </w:r>
          </w:p>
        </w:tc>
        <w:tc>
          <w:tcPr>
            <w:tcW w:w="2127" w:type="dxa"/>
            <w:gridSpan w:val="2"/>
            <w:tcBorders>
              <w:top w:val="single" w:sz="2" w:space="0" w:color="auto"/>
              <w:left w:val="nil"/>
              <w:bottom w:val="single" w:sz="2" w:space="0" w:color="auto"/>
              <w:right w:val="nil"/>
            </w:tcBorders>
            <w:vAlign w:val="center"/>
          </w:tcPr>
          <w:p w14:paraId="5D156FCA" w14:textId="77777777" w:rsidR="006D7CB9" w:rsidRPr="00447E7C" w:rsidRDefault="006D7CB9" w:rsidP="00D12353">
            <w:pPr>
              <w:pStyle w:val="cuatexto"/>
              <w:jc w:val="right"/>
              <w:rPr>
                <w:szCs w:val="20"/>
              </w:rPr>
            </w:pPr>
            <w:r w:rsidRPr="00447E7C">
              <w:rPr>
                <w:szCs w:val="20"/>
              </w:rPr>
              <w:t>-</w:t>
            </w:r>
          </w:p>
        </w:tc>
        <w:tc>
          <w:tcPr>
            <w:tcW w:w="2126" w:type="dxa"/>
            <w:tcBorders>
              <w:top w:val="single" w:sz="2" w:space="0" w:color="auto"/>
              <w:left w:val="nil"/>
              <w:bottom w:val="single" w:sz="2" w:space="0" w:color="auto"/>
              <w:right w:val="nil"/>
            </w:tcBorders>
            <w:shd w:val="clear" w:color="auto" w:fill="auto"/>
            <w:vAlign w:val="center"/>
          </w:tcPr>
          <w:p w14:paraId="1A6E7D77" w14:textId="77777777" w:rsidR="006D7CB9" w:rsidRPr="00447E7C" w:rsidRDefault="006D7CB9" w:rsidP="00D12353">
            <w:pPr>
              <w:pStyle w:val="cuatexto"/>
              <w:jc w:val="right"/>
              <w:rPr>
                <w:rFonts w:cs="Calibri"/>
                <w:szCs w:val="20"/>
              </w:rPr>
            </w:pPr>
            <w:r w:rsidRPr="00447E7C">
              <w:rPr>
                <w:rFonts w:cs="Calibri"/>
                <w:szCs w:val="20"/>
              </w:rPr>
              <w:t>-</w:t>
            </w:r>
          </w:p>
        </w:tc>
        <w:tc>
          <w:tcPr>
            <w:tcW w:w="1134" w:type="dxa"/>
            <w:tcBorders>
              <w:top w:val="single" w:sz="2" w:space="0" w:color="auto"/>
              <w:left w:val="nil"/>
              <w:bottom w:val="single" w:sz="2" w:space="0" w:color="auto"/>
              <w:right w:val="nil"/>
            </w:tcBorders>
            <w:vAlign w:val="center"/>
          </w:tcPr>
          <w:p w14:paraId="1BCFF2FC" w14:textId="77777777" w:rsidR="006D7CB9" w:rsidRPr="00447E7C" w:rsidRDefault="006D7CB9" w:rsidP="00D12353">
            <w:pPr>
              <w:pStyle w:val="cuatexto"/>
              <w:jc w:val="right"/>
              <w:rPr>
                <w:szCs w:val="20"/>
              </w:rPr>
            </w:pPr>
            <w:r w:rsidRPr="00447E7C">
              <w:rPr>
                <w:szCs w:val="20"/>
              </w:rPr>
              <w:t>-</w:t>
            </w:r>
          </w:p>
        </w:tc>
      </w:tr>
      <w:tr w:rsidR="006D7CB9" w14:paraId="52EE759F" w14:textId="77777777" w:rsidTr="003A1A2F">
        <w:trPr>
          <w:trHeight w:val="198"/>
          <w:jc w:val="center"/>
        </w:trPr>
        <w:tc>
          <w:tcPr>
            <w:tcW w:w="3402" w:type="dxa"/>
            <w:tcBorders>
              <w:top w:val="single" w:sz="2" w:space="0" w:color="auto"/>
              <w:left w:val="nil"/>
              <w:bottom w:val="single" w:sz="2" w:space="0" w:color="auto"/>
              <w:right w:val="nil"/>
            </w:tcBorders>
            <w:noWrap/>
            <w:vAlign w:val="center"/>
            <w:hideMark/>
          </w:tcPr>
          <w:p w14:paraId="6343FD20" w14:textId="77777777" w:rsidR="006D7CB9" w:rsidRPr="00447E7C" w:rsidRDefault="006D7CB9" w:rsidP="00506BB1">
            <w:pPr>
              <w:pStyle w:val="cuatexto"/>
              <w:rPr>
                <w:szCs w:val="20"/>
              </w:rPr>
            </w:pPr>
            <w:r w:rsidRPr="00447E7C">
              <w:rPr>
                <w:szCs w:val="20"/>
              </w:rPr>
              <w:t>Impuesto sobre las primas de seguros</w:t>
            </w:r>
          </w:p>
        </w:tc>
        <w:tc>
          <w:tcPr>
            <w:tcW w:w="2127" w:type="dxa"/>
            <w:gridSpan w:val="2"/>
            <w:tcBorders>
              <w:top w:val="single" w:sz="2" w:space="0" w:color="auto"/>
              <w:left w:val="nil"/>
              <w:bottom w:val="single" w:sz="2" w:space="0" w:color="auto"/>
              <w:right w:val="nil"/>
            </w:tcBorders>
            <w:vAlign w:val="center"/>
          </w:tcPr>
          <w:p w14:paraId="4252AF95" w14:textId="77777777" w:rsidR="006D7CB9" w:rsidRPr="00447E7C" w:rsidRDefault="006D7CB9" w:rsidP="00D12353">
            <w:pPr>
              <w:pStyle w:val="cuatexto"/>
              <w:jc w:val="right"/>
              <w:rPr>
                <w:szCs w:val="20"/>
              </w:rPr>
            </w:pPr>
            <w:r w:rsidRPr="00447E7C">
              <w:rPr>
                <w:szCs w:val="20"/>
              </w:rPr>
              <w:t>30.357</w:t>
            </w:r>
          </w:p>
        </w:tc>
        <w:tc>
          <w:tcPr>
            <w:tcW w:w="2126" w:type="dxa"/>
            <w:tcBorders>
              <w:top w:val="single" w:sz="2" w:space="0" w:color="auto"/>
              <w:left w:val="nil"/>
              <w:bottom w:val="single" w:sz="2" w:space="0" w:color="auto"/>
              <w:right w:val="nil"/>
            </w:tcBorders>
            <w:shd w:val="clear" w:color="auto" w:fill="auto"/>
            <w:vAlign w:val="center"/>
          </w:tcPr>
          <w:p w14:paraId="7926C3BD" w14:textId="77777777" w:rsidR="006D7CB9" w:rsidRPr="00447E7C" w:rsidRDefault="006D7CB9" w:rsidP="00D12353">
            <w:pPr>
              <w:pStyle w:val="cuatexto"/>
              <w:jc w:val="right"/>
              <w:rPr>
                <w:rFonts w:cs="Calibri"/>
                <w:szCs w:val="20"/>
              </w:rPr>
            </w:pPr>
            <w:r w:rsidRPr="00447E7C">
              <w:rPr>
                <w:rFonts w:cs="Calibri"/>
                <w:szCs w:val="20"/>
              </w:rPr>
              <w:t>32.952</w:t>
            </w:r>
          </w:p>
        </w:tc>
        <w:tc>
          <w:tcPr>
            <w:tcW w:w="1134" w:type="dxa"/>
            <w:tcBorders>
              <w:top w:val="single" w:sz="2" w:space="0" w:color="auto"/>
              <w:left w:val="nil"/>
              <w:bottom w:val="single" w:sz="2" w:space="0" w:color="auto"/>
              <w:right w:val="nil"/>
            </w:tcBorders>
            <w:vAlign w:val="center"/>
          </w:tcPr>
          <w:p w14:paraId="5F3016FB" w14:textId="77777777" w:rsidR="006D7CB9" w:rsidRPr="00447E7C" w:rsidRDefault="006D7CB9" w:rsidP="00D12353">
            <w:pPr>
              <w:pStyle w:val="cuatexto"/>
              <w:jc w:val="right"/>
              <w:rPr>
                <w:szCs w:val="20"/>
              </w:rPr>
            </w:pPr>
            <w:r w:rsidRPr="00447E7C">
              <w:rPr>
                <w:szCs w:val="20"/>
              </w:rPr>
              <w:t>9</w:t>
            </w:r>
          </w:p>
        </w:tc>
      </w:tr>
      <w:tr w:rsidR="006D7CB9" w14:paraId="1554CAD0" w14:textId="77777777" w:rsidTr="003A1A2F">
        <w:trPr>
          <w:trHeight w:val="198"/>
          <w:jc w:val="center"/>
        </w:trPr>
        <w:tc>
          <w:tcPr>
            <w:tcW w:w="3402" w:type="dxa"/>
            <w:tcBorders>
              <w:top w:val="single" w:sz="2" w:space="0" w:color="auto"/>
              <w:left w:val="nil"/>
              <w:bottom w:val="single" w:sz="2" w:space="0" w:color="auto"/>
              <w:right w:val="nil"/>
            </w:tcBorders>
            <w:noWrap/>
            <w:vAlign w:val="center"/>
            <w:hideMark/>
          </w:tcPr>
          <w:p w14:paraId="212337D2" w14:textId="77777777" w:rsidR="006D7CB9" w:rsidRPr="00447E7C" w:rsidRDefault="006D7CB9" w:rsidP="00506BB1">
            <w:pPr>
              <w:pStyle w:val="cuatexto"/>
              <w:rPr>
                <w:szCs w:val="20"/>
              </w:rPr>
            </w:pPr>
            <w:r w:rsidRPr="00447E7C">
              <w:rPr>
                <w:szCs w:val="20"/>
              </w:rPr>
              <w:t>Transmisiones patrimoniales</w:t>
            </w:r>
          </w:p>
        </w:tc>
        <w:tc>
          <w:tcPr>
            <w:tcW w:w="2127" w:type="dxa"/>
            <w:gridSpan w:val="2"/>
            <w:tcBorders>
              <w:top w:val="single" w:sz="2" w:space="0" w:color="auto"/>
              <w:left w:val="nil"/>
              <w:bottom w:val="single" w:sz="2" w:space="0" w:color="auto"/>
              <w:right w:val="nil"/>
            </w:tcBorders>
            <w:vAlign w:val="center"/>
          </w:tcPr>
          <w:p w14:paraId="5F212BB5" w14:textId="77777777" w:rsidR="006D7CB9" w:rsidRPr="00447E7C" w:rsidRDefault="006D7CB9" w:rsidP="00D12353">
            <w:pPr>
              <w:pStyle w:val="cuatexto"/>
              <w:jc w:val="right"/>
              <w:rPr>
                <w:szCs w:val="20"/>
              </w:rPr>
            </w:pPr>
            <w:r w:rsidRPr="00447E7C">
              <w:rPr>
                <w:szCs w:val="20"/>
              </w:rPr>
              <w:t>66.696</w:t>
            </w:r>
          </w:p>
        </w:tc>
        <w:tc>
          <w:tcPr>
            <w:tcW w:w="2126" w:type="dxa"/>
            <w:tcBorders>
              <w:top w:val="single" w:sz="2" w:space="0" w:color="auto"/>
              <w:left w:val="nil"/>
              <w:bottom w:val="single" w:sz="2" w:space="0" w:color="auto"/>
              <w:right w:val="nil"/>
            </w:tcBorders>
            <w:shd w:val="clear" w:color="auto" w:fill="auto"/>
            <w:vAlign w:val="center"/>
          </w:tcPr>
          <w:p w14:paraId="1696B658" w14:textId="77777777" w:rsidR="006D7CB9" w:rsidRPr="00447E7C" w:rsidRDefault="006D7CB9" w:rsidP="00D12353">
            <w:pPr>
              <w:pStyle w:val="cuatexto"/>
              <w:jc w:val="right"/>
              <w:rPr>
                <w:rFonts w:cs="Calibri"/>
                <w:szCs w:val="20"/>
              </w:rPr>
            </w:pPr>
            <w:r w:rsidRPr="00447E7C">
              <w:rPr>
                <w:rFonts w:cs="Calibri"/>
                <w:szCs w:val="20"/>
              </w:rPr>
              <w:t>58.253</w:t>
            </w:r>
          </w:p>
        </w:tc>
        <w:tc>
          <w:tcPr>
            <w:tcW w:w="1134" w:type="dxa"/>
            <w:tcBorders>
              <w:top w:val="single" w:sz="2" w:space="0" w:color="auto"/>
              <w:left w:val="nil"/>
              <w:bottom w:val="single" w:sz="2" w:space="0" w:color="auto"/>
              <w:right w:val="nil"/>
            </w:tcBorders>
            <w:vAlign w:val="center"/>
          </w:tcPr>
          <w:p w14:paraId="2EDDFD8D" w14:textId="77777777" w:rsidR="006D7CB9" w:rsidRPr="00447E7C" w:rsidRDefault="006D7CB9" w:rsidP="00D12353">
            <w:pPr>
              <w:pStyle w:val="cuatexto"/>
              <w:jc w:val="right"/>
              <w:rPr>
                <w:szCs w:val="20"/>
              </w:rPr>
            </w:pPr>
            <w:r w:rsidRPr="00447E7C">
              <w:rPr>
                <w:szCs w:val="20"/>
              </w:rPr>
              <w:t>-13</w:t>
            </w:r>
          </w:p>
        </w:tc>
      </w:tr>
      <w:tr w:rsidR="006D7CB9" w14:paraId="38B0C47F" w14:textId="77777777" w:rsidTr="003A1A2F">
        <w:trPr>
          <w:trHeight w:val="198"/>
          <w:jc w:val="center"/>
        </w:trPr>
        <w:tc>
          <w:tcPr>
            <w:tcW w:w="3402" w:type="dxa"/>
            <w:tcBorders>
              <w:top w:val="single" w:sz="2" w:space="0" w:color="auto"/>
              <w:left w:val="nil"/>
              <w:bottom w:val="single" w:sz="2" w:space="0" w:color="auto"/>
              <w:right w:val="nil"/>
            </w:tcBorders>
            <w:noWrap/>
            <w:vAlign w:val="center"/>
            <w:hideMark/>
          </w:tcPr>
          <w:p w14:paraId="70F55711" w14:textId="77777777" w:rsidR="006D7CB9" w:rsidRPr="00447E7C" w:rsidRDefault="006D7CB9" w:rsidP="00506BB1">
            <w:pPr>
              <w:pStyle w:val="cuatexto"/>
              <w:rPr>
                <w:szCs w:val="20"/>
              </w:rPr>
            </w:pPr>
            <w:r w:rsidRPr="00447E7C">
              <w:rPr>
                <w:szCs w:val="20"/>
              </w:rPr>
              <w:t>Actos jurídicos documentados</w:t>
            </w:r>
          </w:p>
        </w:tc>
        <w:tc>
          <w:tcPr>
            <w:tcW w:w="2127" w:type="dxa"/>
            <w:gridSpan w:val="2"/>
            <w:tcBorders>
              <w:top w:val="single" w:sz="2" w:space="0" w:color="auto"/>
              <w:left w:val="nil"/>
              <w:bottom w:val="single" w:sz="2" w:space="0" w:color="auto"/>
              <w:right w:val="nil"/>
            </w:tcBorders>
            <w:vAlign w:val="center"/>
          </w:tcPr>
          <w:p w14:paraId="0F1A0849" w14:textId="77777777" w:rsidR="006D7CB9" w:rsidRPr="00447E7C" w:rsidRDefault="006D7CB9" w:rsidP="00D12353">
            <w:pPr>
              <w:pStyle w:val="cuatexto"/>
              <w:jc w:val="right"/>
              <w:rPr>
                <w:szCs w:val="20"/>
              </w:rPr>
            </w:pPr>
            <w:r w:rsidRPr="00447E7C">
              <w:rPr>
                <w:szCs w:val="20"/>
              </w:rPr>
              <w:t>16.561</w:t>
            </w:r>
          </w:p>
        </w:tc>
        <w:tc>
          <w:tcPr>
            <w:tcW w:w="2126" w:type="dxa"/>
            <w:tcBorders>
              <w:top w:val="single" w:sz="2" w:space="0" w:color="auto"/>
              <w:left w:val="nil"/>
              <w:bottom w:val="single" w:sz="2" w:space="0" w:color="auto"/>
              <w:right w:val="nil"/>
            </w:tcBorders>
            <w:shd w:val="clear" w:color="auto" w:fill="auto"/>
            <w:vAlign w:val="center"/>
          </w:tcPr>
          <w:p w14:paraId="74BC9B94" w14:textId="77777777" w:rsidR="006D7CB9" w:rsidRPr="00447E7C" w:rsidRDefault="006D7CB9" w:rsidP="00D12353">
            <w:pPr>
              <w:pStyle w:val="cuatexto"/>
              <w:jc w:val="right"/>
              <w:rPr>
                <w:rFonts w:cs="Calibri"/>
                <w:szCs w:val="20"/>
              </w:rPr>
            </w:pPr>
            <w:r w:rsidRPr="00447E7C">
              <w:rPr>
                <w:rFonts w:cs="Calibri"/>
                <w:szCs w:val="20"/>
              </w:rPr>
              <w:t>17.618</w:t>
            </w:r>
          </w:p>
        </w:tc>
        <w:tc>
          <w:tcPr>
            <w:tcW w:w="1134" w:type="dxa"/>
            <w:tcBorders>
              <w:top w:val="single" w:sz="2" w:space="0" w:color="auto"/>
              <w:left w:val="nil"/>
              <w:bottom w:val="single" w:sz="2" w:space="0" w:color="auto"/>
              <w:right w:val="nil"/>
            </w:tcBorders>
            <w:vAlign w:val="center"/>
          </w:tcPr>
          <w:p w14:paraId="02A96C6A" w14:textId="77777777" w:rsidR="006D7CB9" w:rsidRPr="00447E7C" w:rsidRDefault="006D7CB9" w:rsidP="00D12353">
            <w:pPr>
              <w:pStyle w:val="cuatexto"/>
              <w:jc w:val="right"/>
              <w:rPr>
                <w:szCs w:val="20"/>
              </w:rPr>
            </w:pPr>
            <w:r w:rsidRPr="00447E7C">
              <w:rPr>
                <w:szCs w:val="20"/>
              </w:rPr>
              <w:t>6</w:t>
            </w:r>
          </w:p>
        </w:tc>
      </w:tr>
      <w:tr w:rsidR="006D7CB9" w14:paraId="752B6E42" w14:textId="77777777" w:rsidTr="003A1A2F">
        <w:trPr>
          <w:trHeight w:val="198"/>
          <w:jc w:val="center"/>
        </w:trPr>
        <w:tc>
          <w:tcPr>
            <w:tcW w:w="3402" w:type="dxa"/>
            <w:tcBorders>
              <w:top w:val="single" w:sz="2" w:space="0" w:color="auto"/>
              <w:left w:val="nil"/>
              <w:bottom w:val="single" w:sz="2" w:space="0" w:color="auto"/>
              <w:right w:val="nil"/>
            </w:tcBorders>
            <w:noWrap/>
            <w:vAlign w:val="center"/>
            <w:hideMark/>
          </w:tcPr>
          <w:p w14:paraId="706F197F" w14:textId="77777777" w:rsidR="006D7CB9" w:rsidRPr="00447E7C" w:rsidRDefault="006D7CB9" w:rsidP="00506BB1">
            <w:pPr>
              <w:pStyle w:val="cuatexto"/>
              <w:rPr>
                <w:szCs w:val="20"/>
              </w:rPr>
            </w:pPr>
            <w:r w:rsidRPr="00447E7C">
              <w:rPr>
                <w:szCs w:val="20"/>
              </w:rPr>
              <w:t>Actividades del juego</w:t>
            </w:r>
          </w:p>
        </w:tc>
        <w:tc>
          <w:tcPr>
            <w:tcW w:w="2127" w:type="dxa"/>
            <w:gridSpan w:val="2"/>
            <w:tcBorders>
              <w:top w:val="single" w:sz="2" w:space="0" w:color="auto"/>
              <w:left w:val="nil"/>
              <w:bottom w:val="single" w:sz="2" w:space="0" w:color="auto"/>
              <w:right w:val="nil"/>
            </w:tcBorders>
            <w:vAlign w:val="center"/>
          </w:tcPr>
          <w:p w14:paraId="71321A6A" w14:textId="77777777" w:rsidR="006D7CB9" w:rsidRPr="00447E7C" w:rsidRDefault="006D7CB9" w:rsidP="00D12353">
            <w:pPr>
              <w:pStyle w:val="cuatexto"/>
              <w:jc w:val="right"/>
              <w:rPr>
                <w:szCs w:val="20"/>
              </w:rPr>
            </w:pPr>
            <w:r w:rsidRPr="00447E7C">
              <w:rPr>
                <w:szCs w:val="20"/>
              </w:rPr>
              <w:t>1.620</w:t>
            </w:r>
          </w:p>
        </w:tc>
        <w:tc>
          <w:tcPr>
            <w:tcW w:w="2126" w:type="dxa"/>
            <w:tcBorders>
              <w:top w:val="single" w:sz="2" w:space="0" w:color="auto"/>
              <w:left w:val="nil"/>
              <w:bottom w:val="single" w:sz="2" w:space="0" w:color="auto"/>
              <w:right w:val="nil"/>
            </w:tcBorders>
            <w:shd w:val="clear" w:color="auto" w:fill="auto"/>
            <w:vAlign w:val="center"/>
          </w:tcPr>
          <w:p w14:paraId="2A2C4953" w14:textId="77777777" w:rsidR="006D7CB9" w:rsidRPr="00447E7C" w:rsidRDefault="006D7CB9" w:rsidP="00D12353">
            <w:pPr>
              <w:pStyle w:val="cuatexto"/>
              <w:jc w:val="right"/>
              <w:rPr>
                <w:rFonts w:cs="Calibri"/>
                <w:szCs w:val="20"/>
              </w:rPr>
            </w:pPr>
            <w:r w:rsidRPr="00447E7C">
              <w:rPr>
                <w:rFonts w:cs="Calibri"/>
                <w:szCs w:val="20"/>
              </w:rPr>
              <w:t>3.377</w:t>
            </w:r>
          </w:p>
        </w:tc>
        <w:tc>
          <w:tcPr>
            <w:tcW w:w="1134" w:type="dxa"/>
            <w:tcBorders>
              <w:top w:val="single" w:sz="2" w:space="0" w:color="auto"/>
              <w:left w:val="nil"/>
              <w:bottom w:val="single" w:sz="2" w:space="0" w:color="auto"/>
              <w:right w:val="nil"/>
            </w:tcBorders>
            <w:vAlign w:val="center"/>
          </w:tcPr>
          <w:p w14:paraId="0005AF87" w14:textId="77777777" w:rsidR="006D7CB9" w:rsidRPr="00447E7C" w:rsidRDefault="006D7CB9" w:rsidP="00D12353">
            <w:pPr>
              <w:pStyle w:val="cuatexto"/>
              <w:jc w:val="right"/>
              <w:rPr>
                <w:szCs w:val="20"/>
              </w:rPr>
            </w:pPr>
            <w:r w:rsidRPr="00447E7C">
              <w:rPr>
                <w:szCs w:val="20"/>
              </w:rPr>
              <w:t>108</w:t>
            </w:r>
          </w:p>
        </w:tc>
      </w:tr>
      <w:tr w:rsidR="006D7CB9" w14:paraId="4AA353B1" w14:textId="77777777" w:rsidTr="003A1A2F">
        <w:trPr>
          <w:trHeight w:val="198"/>
          <w:jc w:val="center"/>
        </w:trPr>
        <w:tc>
          <w:tcPr>
            <w:tcW w:w="3402" w:type="dxa"/>
            <w:tcBorders>
              <w:top w:val="single" w:sz="2" w:space="0" w:color="auto"/>
              <w:left w:val="nil"/>
              <w:bottom w:val="single" w:sz="2" w:space="0" w:color="auto"/>
              <w:right w:val="nil"/>
            </w:tcBorders>
            <w:noWrap/>
            <w:vAlign w:val="center"/>
            <w:hideMark/>
          </w:tcPr>
          <w:p w14:paraId="1E31DE3B" w14:textId="77777777" w:rsidR="006D7CB9" w:rsidRPr="00447E7C" w:rsidRDefault="006D7CB9" w:rsidP="00506BB1">
            <w:pPr>
              <w:pStyle w:val="cuatexto"/>
              <w:rPr>
                <w:szCs w:val="20"/>
              </w:rPr>
            </w:pPr>
            <w:r w:rsidRPr="00447E7C">
              <w:rPr>
                <w:szCs w:val="20"/>
              </w:rPr>
              <w:t>Gases fluorados efecto invernadero</w:t>
            </w:r>
          </w:p>
        </w:tc>
        <w:tc>
          <w:tcPr>
            <w:tcW w:w="2127" w:type="dxa"/>
            <w:gridSpan w:val="2"/>
            <w:tcBorders>
              <w:top w:val="single" w:sz="2" w:space="0" w:color="auto"/>
              <w:left w:val="nil"/>
              <w:bottom w:val="single" w:sz="2" w:space="0" w:color="auto"/>
              <w:right w:val="nil"/>
            </w:tcBorders>
            <w:vAlign w:val="center"/>
          </w:tcPr>
          <w:p w14:paraId="7A272F42" w14:textId="77777777" w:rsidR="006D7CB9" w:rsidRPr="00447E7C" w:rsidRDefault="006D7CB9" w:rsidP="00D12353">
            <w:pPr>
              <w:pStyle w:val="cuatexto"/>
              <w:jc w:val="right"/>
              <w:rPr>
                <w:szCs w:val="20"/>
              </w:rPr>
            </w:pPr>
            <w:r w:rsidRPr="00447E7C">
              <w:rPr>
                <w:szCs w:val="20"/>
              </w:rPr>
              <w:t>1.000</w:t>
            </w:r>
          </w:p>
        </w:tc>
        <w:tc>
          <w:tcPr>
            <w:tcW w:w="2126" w:type="dxa"/>
            <w:tcBorders>
              <w:top w:val="single" w:sz="2" w:space="0" w:color="auto"/>
              <w:left w:val="nil"/>
              <w:bottom w:val="single" w:sz="2" w:space="0" w:color="auto"/>
              <w:right w:val="nil"/>
            </w:tcBorders>
            <w:shd w:val="clear" w:color="auto" w:fill="auto"/>
            <w:vAlign w:val="center"/>
          </w:tcPr>
          <w:p w14:paraId="4C4CEF29" w14:textId="77777777" w:rsidR="006D7CB9" w:rsidRPr="00447E7C" w:rsidRDefault="006D7CB9" w:rsidP="00D12353">
            <w:pPr>
              <w:pStyle w:val="cuatexto"/>
              <w:jc w:val="right"/>
              <w:rPr>
                <w:rFonts w:cs="Calibri"/>
                <w:szCs w:val="20"/>
              </w:rPr>
            </w:pPr>
            <w:r w:rsidRPr="00447E7C">
              <w:rPr>
                <w:rFonts w:cs="Calibri"/>
                <w:szCs w:val="20"/>
              </w:rPr>
              <w:t>1.571</w:t>
            </w:r>
          </w:p>
        </w:tc>
        <w:tc>
          <w:tcPr>
            <w:tcW w:w="1134" w:type="dxa"/>
            <w:tcBorders>
              <w:top w:val="single" w:sz="2" w:space="0" w:color="auto"/>
              <w:left w:val="nil"/>
              <w:bottom w:val="single" w:sz="2" w:space="0" w:color="auto"/>
              <w:right w:val="nil"/>
            </w:tcBorders>
            <w:vAlign w:val="center"/>
          </w:tcPr>
          <w:p w14:paraId="3E7FDF39" w14:textId="77777777" w:rsidR="006D7CB9" w:rsidRPr="00447E7C" w:rsidRDefault="006D7CB9" w:rsidP="00D12353">
            <w:pPr>
              <w:pStyle w:val="cuatexto"/>
              <w:jc w:val="right"/>
              <w:rPr>
                <w:szCs w:val="20"/>
              </w:rPr>
            </w:pPr>
            <w:r w:rsidRPr="00447E7C">
              <w:rPr>
                <w:szCs w:val="20"/>
              </w:rPr>
              <w:t>57</w:t>
            </w:r>
          </w:p>
        </w:tc>
      </w:tr>
      <w:tr w:rsidR="00CA2971" w14:paraId="71FA5F8E" w14:textId="77777777" w:rsidTr="003A1A2F">
        <w:trPr>
          <w:trHeight w:val="198"/>
          <w:jc w:val="center"/>
        </w:trPr>
        <w:tc>
          <w:tcPr>
            <w:tcW w:w="3402" w:type="dxa"/>
            <w:tcBorders>
              <w:top w:val="single" w:sz="2" w:space="0" w:color="auto"/>
              <w:left w:val="nil"/>
              <w:bottom w:val="single" w:sz="2" w:space="0" w:color="auto"/>
              <w:right w:val="nil"/>
            </w:tcBorders>
            <w:noWrap/>
            <w:vAlign w:val="center"/>
          </w:tcPr>
          <w:p w14:paraId="76CE79CD" w14:textId="77777777" w:rsidR="00CA2971" w:rsidRPr="00447E7C" w:rsidRDefault="00CA2971" w:rsidP="00CA2971">
            <w:pPr>
              <w:pStyle w:val="cuatexto"/>
              <w:rPr>
                <w:szCs w:val="20"/>
              </w:rPr>
            </w:pPr>
            <w:r w:rsidRPr="00447E7C">
              <w:rPr>
                <w:szCs w:val="20"/>
              </w:rPr>
              <w:t>Transacciones financieras</w:t>
            </w:r>
          </w:p>
        </w:tc>
        <w:tc>
          <w:tcPr>
            <w:tcW w:w="2127" w:type="dxa"/>
            <w:gridSpan w:val="2"/>
            <w:tcBorders>
              <w:top w:val="single" w:sz="2" w:space="0" w:color="auto"/>
              <w:left w:val="nil"/>
              <w:bottom w:val="single" w:sz="2" w:space="0" w:color="auto"/>
              <w:right w:val="nil"/>
            </w:tcBorders>
            <w:vAlign w:val="center"/>
          </w:tcPr>
          <w:p w14:paraId="6A2398C5" w14:textId="77777777" w:rsidR="00CA2971" w:rsidRPr="00447E7C" w:rsidRDefault="00CA2971" w:rsidP="00CA2971">
            <w:pPr>
              <w:pStyle w:val="cuatexto"/>
              <w:jc w:val="right"/>
              <w:rPr>
                <w:szCs w:val="20"/>
              </w:rPr>
            </w:pPr>
            <w:r w:rsidRPr="00447E7C">
              <w:rPr>
                <w:szCs w:val="20"/>
              </w:rPr>
              <w:t>-</w:t>
            </w:r>
          </w:p>
        </w:tc>
        <w:tc>
          <w:tcPr>
            <w:tcW w:w="2126" w:type="dxa"/>
            <w:tcBorders>
              <w:top w:val="single" w:sz="2" w:space="0" w:color="auto"/>
              <w:left w:val="nil"/>
              <w:bottom w:val="single" w:sz="2" w:space="0" w:color="auto"/>
              <w:right w:val="nil"/>
            </w:tcBorders>
            <w:shd w:val="clear" w:color="auto" w:fill="auto"/>
            <w:vAlign w:val="center"/>
          </w:tcPr>
          <w:p w14:paraId="72A89B99" w14:textId="77777777" w:rsidR="00CA2971" w:rsidRPr="00447E7C" w:rsidRDefault="00CA2971" w:rsidP="00CA2971">
            <w:pPr>
              <w:pStyle w:val="cuatexto"/>
              <w:jc w:val="right"/>
              <w:rPr>
                <w:rFonts w:cs="Calibri"/>
                <w:color w:val="000000"/>
                <w:szCs w:val="20"/>
              </w:rPr>
            </w:pPr>
            <w:r w:rsidRPr="00447E7C">
              <w:rPr>
                <w:rFonts w:cs="Calibri"/>
                <w:color w:val="000000"/>
                <w:szCs w:val="20"/>
              </w:rPr>
              <w:t>3.214</w:t>
            </w:r>
          </w:p>
        </w:tc>
        <w:tc>
          <w:tcPr>
            <w:tcW w:w="1134" w:type="dxa"/>
            <w:tcBorders>
              <w:top w:val="single" w:sz="2" w:space="0" w:color="auto"/>
              <w:left w:val="nil"/>
              <w:bottom w:val="single" w:sz="2" w:space="0" w:color="auto"/>
              <w:right w:val="nil"/>
            </w:tcBorders>
            <w:vAlign w:val="center"/>
          </w:tcPr>
          <w:p w14:paraId="49663B36" w14:textId="77777777" w:rsidR="00CA2971" w:rsidRPr="00447E7C" w:rsidRDefault="00CA2971" w:rsidP="00CA2971">
            <w:pPr>
              <w:pStyle w:val="cuatexto"/>
              <w:jc w:val="right"/>
              <w:rPr>
                <w:szCs w:val="20"/>
              </w:rPr>
            </w:pPr>
            <w:r w:rsidRPr="00447E7C">
              <w:rPr>
                <w:szCs w:val="20"/>
              </w:rPr>
              <w:t>-</w:t>
            </w:r>
          </w:p>
        </w:tc>
      </w:tr>
      <w:tr w:rsidR="00CA2971" w14:paraId="2750AADA" w14:textId="77777777" w:rsidTr="00810207">
        <w:trPr>
          <w:trHeight w:val="198"/>
          <w:jc w:val="center"/>
        </w:trPr>
        <w:tc>
          <w:tcPr>
            <w:tcW w:w="3402" w:type="dxa"/>
            <w:tcBorders>
              <w:top w:val="single" w:sz="2" w:space="0" w:color="auto"/>
              <w:left w:val="nil"/>
              <w:bottom w:val="single" w:sz="4" w:space="0" w:color="auto"/>
              <w:right w:val="nil"/>
            </w:tcBorders>
            <w:noWrap/>
            <w:vAlign w:val="center"/>
          </w:tcPr>
          <w:p w14:paraId="2D30BBBB" w14:textId="77777777" w:rsidR="00CA2971" w:rsidRPr="00447E7C" w:rsidRDefault="00CA2971" w:rsidP="00CA2971">
            <w:pPr>
              <w:pStyle w:val="cuatexto"/>
              <w:rPr>
                <w:szCs w:val="20"/>
              </w:rPr>
            </w:pPr>
            <w:r w:rsidRPr="00447E7C">
              <w:rPr>
                <w:szCs w:val="20"/>
              </w:rPr>
              <w:t>Determinados servicios digitales</w:t>
            </w:r>
          </w:p>
        </w:tc>
        <w:tc>
          <w:tcPr>
            <w:tcW w:w="2127" w:type="dxa"/>
            <w:gridSpan w:val="2"/>
            <w:tcBorders>
              <w:top w:val="single" w:sz="2" w:space="0" w:color="auto"/>
              <w:left w:val="nil"/>
              <w:bottom w:val="single" w:sz="4" w:space="0" w:color="auto"/>
              <w:right w:val="nil"/>
            </w:tcBorders>
            <w:vAlign w:val="center"/>
          </w:tcPr>
          <w:p w14:paraId="419EB333" w14:textId="77777777" w:rsidR="00CA2971" w:rsidRPr="00447E7C" w:rsidRDefault="00CA2971" w:rsidP="00CA2971">
            <w:pPr>
              <w:pStyle w:val="cuatexto"/>
              <w:jc w:val="right"/>
              <w:rPr>
                <w:szCs w:val="20"/>
              </w:rPr>
            </w:pPr>
            <w:r w:rsidRPr="00447E7C">
              <w:rPr>
                <w:szCs w:val="20"/>
              </w:rPr>
              <w:t>-</w:t>
            </w:r>
          </w:p>
        </w:tc>
        <w:tc>
          <w:tcPr>
            <w:tcW w:w="2126" w:type="dxa"/>
            <w:tcBorders>
              <w:top w:val="single" w:sz="2" w:space="0" w:color="auto"/>
              <w:left w:val="nil"/>
              <w:bottom w:val="single" w:sz="4" w:space="0" w:color="auto"/>
              <w:right w:val="nil"/>
            </w:tcBorders>
            <w:shd w:val="clear" w:color="auto" w:fill="auto"/>
            <w:vAlign w:val="center"/>
          </w:tcPr>
          <w:p w14:paraId="004D8333" w14:textId="77777777" w:rsidR="00CA2971" w:rsidRPr="00447E7C" w:rsidRDefault="00CA2971" w:rsidP="00CA2971">
            <w:pPr>
              <w:pStyle w:val="cuatexto"/>
              <w:jc w:val="right"/>
              <w:rPr>
                <w:rFonts w:cs="Calibri"/>
                <w:color w:val="000000"/>
                <w:szCs w:val="20"/>
              </w:rPr>
            </w:pPr>
            <w:r w:rsidRPr="00447E7C">
              <w:rPr>
                <w:rFonts w:cs="Calibri"/>
                <w:color w:val="000000"/>
                <w:szCs w:val="20"/>
              </w:rPr>
              <w:t>7.441</w:t>
            </w:r>
          </w:p>
        </w:tc>
        <w:tc>
          <w:tcPr>
            <w:tcW w:w="1134" w:type="dxa"/>
            <w:tcBorders>
              <w:top w:val="single" w:sz="2" w:space="0" w:color="auto"/>
              <w:left w:val="nil"/>
              <w:bottom w:val="single" w:sz="4" w:space="0" w:color="auto"/>
              <w:right w:val="nil"/>
            </w:tcBorders>
            <w:vAlign w:val="center"/>
          </w:tcPr>
          <w:p w14:paraId="38AEDC92" w14:textId="77777777" w:rsidR="00CA2971" w:rsidRPr="00447E7C" w:rsidRDefault="00CA2971" w:rsidP="00CA2971">
            <w:pPr>
              <w:pStyle w:val="cuatexto"/>
              <w:jc w:val="right"/>
              <w:rPr>
                <w:szCs w:val="20"/>
              </w:rPr>
            </w:pPr>
            <w:r w:rsidRPr="00447E7C">
              <w:rPr>
                <w:szCs w:val="20"/>
              </w:rPr>
              <w:t>-</w:t>
            </w:r>
          </w:p>
        </w:tc>
      </w:tr>
      <w:tr w:rsidR="00FA5CB9" w:rsidRPr="00810207" w14:paraId="0151F012" w14:textId="77777777" w:rsidTr="00810207">
        <w:trPr>
          <w:trHeight w:val="198"/>
          <w:jc w:val="center"/>
        </w:trPr>
        <w:tc>
          <w:tcPr>
            <w:tcW w:w="3402" w:type="dxa"/>
            <w:tcBorders>
              <w:top w:val="single" w:sz="4" w:space="0" w:color="auto"/>
              <w:left w:val="nil"/>
              <w:bottom w:val="single" w:sz="4" w:space="0" w:color="auto"/>
              <w:right w:val="nil"/>
            </w:tcBorders>
            <w:noWrap/>
            <w:vAlign w:val="center"/>
            <w:hideMark/>
          </w:tcPr>
          <w:p w14:paraId="5CB73EF1" w14:textId="77777777" w:rsidR="00FA5CB9" w:rsidRPr="00810207" w:rsidRDefault="00FA5CB9" w:rsidP="00506BB1">
            <w:pPr>
              <w:pStyle w:val="cuatexto"/>
              <w:rPr>
                <w:rFonts w:cs="Arial"/>
                <w:b/>
                <w:szCs w:val="20"/>
              </w:rPr>
            </w:pPr>
            <w:r w:rsidRPr="00810207">
              <w:rPr>
                <w:rFonts w:cs="Arial"/>
                <w:b/>
                <w:szCs w:val="20"/>
              </w:rPr>
              <w:t>2. Impuestos indirectos</w:t>
            </w:r>
          </w:p>
        </w:tc>
        <w:tc>
          <w:tcPr>
            <w:tcW w:w="2127" w:type="dxa"/>
            <w:gridSpan w:val="2"/>
            <w:tcBorders>
              <w:top w:val="single" w:sz="4" w:space="0" w:color="auto"/>
              <w:left w:val="nil"/>
              <w:bottom w:val="single" w:sz="4" w:space="0" w:color="auto"/>
              <w:right w:val="nil"/>
            </w:tcBorders>
            <w:vAlign w:val="center"/>
          </w:tcPr>
          <w:p w14:paraId="7CF683E8" w14:textId="77777777" w:rsidR="00FA5CB9" w:rsidRPr="00810207" w:rsidRDefault="00FA5CB9" w:rsidP="00D12353">
            <w:pPr>
              <w:pStyle w:val="cuatexto"/>
              <w:jc w:val="right"/>
              <w:rPr>
                <w:rFonts w:cs="Arial"/>
                <w:b/>
                <w:szCs w:val="20"/>
              </w:rPr>
            </w:pPr>
            <w:r w:rsidRPr="00810207">
              <w:rPr>
                <w:rFonts w:cs="Arial"/>
                <w:b/>
                <w:szCs w:val="20"/>
              </w:rPr>
              <w:t>2.281.877</w:t>
            </w:r>
          </w:p>
        </w:tc>
        <w:tc>
          <w:tcPr>
            <w:tcW w:w="2126" w:type="dxa"/>
            <w:tcBorders>
              <w:top w:val="single" w:sz="4" w:space="0" w:color="auto"/>
              <w:left w:val="nil"/>
              <w:bottom w:val="single" w:sz="4" w:space="0" w:color="auto"/>
              <w:right w:val="nil"/>
            </w:tcBorders>
            <w:vAlign w:val="center"/>
          </w:tcPr>
          <w:p w14:paraId="182F4BC0" w14:textId="77777777" w:rsidR="00FA5CB9" w:rsidRPr="00810207" w:rsidRDefault="00CA2971" w:rsidP="00D12353">
            <w:pPr>
              <w:pStyle w:val="cuatexto"/>
              <w:jc w:val="right"/>
              <w:rPr>
                <w:rFonts w:cs="Arial"/>
                <w:b/>
                <w:szCs w:val="20"/>
              </w:rPr>
            </w:pPr>
            <w:r w:rsidRPr="00810207">
              <w:rPr>
                <w:rFonts w:cs="Arial"/>
                <w:b/>
                <w:szCs w:val="20"/>
              </w:rPr>
              <w:t>2.404.700</w:t>
            </w:r>
          </w:p>
        </w:tc>
        <w:tc>
          <w:tcPr>
            <w:tcW w:w="1134" w:type="dxa"/>
            <w:tcBorders>
              <w:top w:val="single" w:sz="4" w:space="0" w:color="auto"/>
              <w:left w:val="nil"/>
              <w:bottom w:val="single" w:sz="4" w:space="0" w:color="auto"/>
              <w:right w:val="nil"/>
            </w:tcBorders>
            <w:vAlign w:val="center"/>
          </w:tcPr>
          <w:p w14:paraId="6979D0F3" w14:textId="77777777" w:rsidR="00FA5CB9" w:rsidRPr="00810207" w:rsidRDefault="006D7CB9" w:rsidP="00D12353">
            <w:pPr>
              <w:pStyle w:val="cuatexto"/>
              <w:jc w:val="right"/>
              <w:rPr>
                <w:rFonts w:cs="Arial"/>
                <w:b/>
                <w:szCs w:val="20"/>
              </w:rPr>
            </w:pPr>
            <w:r w:rsidRPr="00810207">
              <w:rPr>
                <w:rFonts w:cs="Arial"/>
                <w:b/>
                <w:szCs w:val="20"/>
              </w:rPr>
              <w:t>5</w:t>
            </w:r>
          </w:p>
        </w:tc>
      </w:tr>
      <w:tr w:rsidR="00426B0B" w:rsidRPr="00447E7C" w14:paraId="5D5C2227" w14:textId="77777777" w:rsidTr="003A1A2F">
        <w:trPr>
          <w:trHeight w:val="255"/>
          <w:jc w:val="center"/>
        </w:trPr>
        <w:tc>
          <w:tcPr>
            <w:tcW w:w="3686" w:type="dxa"/>
            <w:gridSpan w:val="2"/>
            <w:tcBorders>
              <w:top w:val="single" w:sz="4" w:space="0" w:color="auto"/>
              <w:left w:val="nil"/>
              <w:bottom w:val="single" w:sz="4" w:space="0" w:color="auto"/>
              <w:right w:val="nil"/>
            </w:tcBorders>
            <w:shd w:val="clear" w:color="auto" w:fill="8DB3E2"/>
            <w:noWrap/>
            <w:vAlign w:val="center"/>
          </w:tcPr>
          <w:p w14:paraId="3F738455" w14:textId="77777777" w:rsidR="00426B0B" w:rsidRPr="00447E7C" w:rsidRDefault="00426B0B" w:rsidP="00CA3BE1">
            <w:pPr>
              <w:pStyle w:val="cuadroCabe"/>
              <w:rPr>
                <w:rFonts w:cs="Arial"/>
                <w:szCs w:val="18"/>
              </w:rPr>
            </w:pPr>
            <w:r w:rsidRPr="00447E7C">
              <w:rPr>
                <w:rFonts w:cs="Arial"/>
                <w:szCs w:val="18"/>
              </w:rPr>
              <w:t>Total 1+2</w:t>
            </w:r>
          </w:p>
        </w:tc>
        <w:tc>
          <w:tcPr>
            <w:tcW w:w="1843" w:type="dxa"/>
            <w:tcBorders>
              <w:top w:val="single" w:sz="4" w:space="0" w:color="auto"/>
              <w:left w:val="nil"/>
              <w:bottom w:val="single" w:sz="4" w:space="0" w:color="auto"/>
              <w:right w:val="nil"/>
            </w:tcBorders>
            <w:shd w:val="clear" w:color="auto" w:fill="8DB3E2"/>
            <w:noWrap/>
            <w:vAlign w:val="center"/>
          </w:tcPr>
          <w:p w14:paraId="4DA887A6" w14:textId="77777777" w:rsidR="00426B0B" w:rsidRPr="00447E7C" w:rsidRDefault="00426B0B" w:rsidP="00CA3BE1">
            <w:pPr>
              <w:pStyle w:val="cuadroCabe"/>
              <w:jc w:val="right"/>
              <w:rPr>
                <w:rFonts w:cs="Arial"/>
                <w:szCs w:val="18"/>
              </w:rPr>
            </w:pPr>
            <w:r w:rsidRPr="00447E7C">
              <w:rPr>
                <w:rFonts w:cs="Arial"/>
                <w:szCs w:val="18"/>
              </w:rPr>
              <w:t>4.910.449</w:t>
            </w:r>
          </w:p>
        </w:tc>
        <w:tc>
          <w:tcPr>
            <w:tcW w:w="2126" w:type="dxa"/>
            <w:tcBorders>
              <w:top w:val="single" w:sz="4" w:space="0" w:color="auto"/>
              <w:left w:val="nil"/>
              <w:bottom w:val="single" w:sz="4" w:space="0" w:color="auto"/>
              <w:right w:val="nil"/>
            </w:tcBorders>
            <w:shd w:val="clear" w:color="auto" w:fill="8DB3E2"/>
            <w:noWrap/>
            <w:vAlign w:val="center"/>
          </w:tcPr>
          <w:p w14:paraId="5568B748" w14:textId="77777777" w:rsidR="00426B0B" w:rsidRPr="00447E7C" w:rsidRDefault="00426B0B" w:rsidP="00CA3BE1">
            <w:pPr>
              <w:pStyle w:val="cuadroCabe"/>
              <w:jc w:val="right"/>
              <w:rPr>
                <w:rFonts w:cs="Arial"/>
                <w:szCs w:val="18"/>
              </w:rPr>
            </w:pPr>
            <w:r w:rsidRPr="00447E7C">
              <w:rPr>
                <w:rFonts w:cs="Arial"/>
                <w:szCs w:val="18"/>
              </w:rPr>
              <w:t>5.145.903</w:t>
            </w:r>
          </w:p>
        </w:tc>
        <w:tc>
          <w:tcPr>
            <w:tcW w:w="1134" w:type="dxa"/>
            <w:tcBorders>
              <w:top w:val="single" w:sz="4" w:space="0" w:color="auto"/>
              <w:left w:val="nil"/>
              <w:bottom w:val="single" w:sz="4" w:space="0" w:color="auto"/>
              <w:right w:val="nil"/>
            </w:tcBorders>
            <w:shd w:val="clear" w:color="auto" w:fill="8DB3E2"/>
            <w:noWrap/>
            <w:vAlign w:val="center"/>
          </w:tcPr>
          <w:p w14:paraId="2D4C260A" w14:textId="77777777" w:rsidR="00426B0B" w:rsidRPr="00447E7C" w:rsidRDefault="00426B0B" w:rsidP="00CA3BE1">
            <w:pPr>
              <w:pStyle w:val="cuadroCabe"/>
              <w:jc w:val="right"/>
              <w:rPr>
                <w:rFonts w:cs="Arial"/>
                <w:szCs w:val="18"/>
              </w:rPr>
            </w:pPr>
            <w:r w:rsidRPr="00447E7C">
              <w:rPr>
                <w:rFonts w:cs="Arial"/>
                <w:szCs w:val="18"/>
              </w:rPr>
              <w:t>5</w:t>
            </w:r>
          </w:p>
        </w:tc>
      </w:tr>
    </w:tbl>
    <w:p w14:paraId="329707D0" w14:textId="77777777" w:rsidR="00614DC4" w:rsidRDefault="00614DC4" w:rsidP="009A38AE">
      <w:pPr>
        <w:pStyle w:val="texto"/>
        <w:spacing w:before="240"/>
        <w:ind w:firstLine="0"/>
        <w:jc w:val="both"/>
      </w:pPr>
      <w:r>
        <w:t>De su análisis destacamos los siguientes aspectos:</w:t>
      </w:r>
    </w:p>
    <w:p w14:paraId="671381A3" w14:textId="77777777" w:rsidR="00B32CA6" w:rsidRDefault="00614DC4" w:rsidP="008C2B8E">
      <w:pPr>
        <w:pStyle w:val="texto"/>
        <w:numPr>
          <w:ilvl w:val="0"/>
          <w:numId w:val="6"/>
        </w:numPr>
        <w:tabs>
          <w:tab w:val="clear" w:pos="360"/>
          <w:tab w:val="num" w:pos="300"/>
          <w:tab w:val="left" w:pos="480"/>
          <w:tab w:val="num" w:pos="600"/>
        </w:tabs>
        <w:spacing w:before="120"/>
        <w:ind w:firstLine="289"/>
        <w:jc w:val="both"/>
      </w:pPr>
      <w:r w:rsidRPr="00CA2971">
        <w:t xml:space="preserve">Los derechos reconocidos por impuestos aumentan un </w:t>
      </w:r>
      <w:r w:rsidR="00485495" w:rsidRPr="00CA2971">
        <w:t xml:space="preserve">cinco </w:t>
      </w:r>
      <w:r w:rsidRPr="00CA2971">
        <w:t>por ciento respecto a 202</w:t>
      </w:r>
      <w:r w:rsidR="003D7A10" w:rsidRPr="00CA2971">
        <w:t>2</w:t>
      </w:r>
      <w:r w:rsidRPr="00CA2971">
        <w:t xml:space="preserve"> pasando de 4.</w:t>
      </w:r>
      <w:r w:rsidR="003D7A10" w:rsidRPr="00CA2971">
        <w:t>9</w:t>
      </w:r>
      <w:r w:rsidR="00CA2971" w:rsidRPr="00CA2971">
        <w:t xml:space="preserve">10,44 </w:t>
      </w:r>
      <w:r w:rsidRPr="00CA2971">
        <w:t xml:space="preserve">millones a </w:t>
      </w:r>
      <w:r w:rsidR="003D7A10" w:rsidRPr="00CA2971">
        <w:t>5.1</w:t>
      </w:r>
      <w:r w:rsidR="00CA2971" w:rsidRPr="00CA2971">
        <w:t>45,90</w:t>
      </w:r>
      <w:r w:rsidR="003D7A10" w:rsidRPr="00CA2971">
        <w:t xml:space="preserve">, lo que ha supuesto un incremento de </w:t>
      </w:r>
      <w:r w:rsidR="00CA2971" w:rsidRPr="00CA2971">
        <w:t xml:space="preserve">235,46 </w:t>
      </w:r>
      <w:r w:rsidR="003D7A10" w:rsidRPr="00CA2971">
        <w:t>millones</w:t>
      </w:r>
      <w:r w:rsidRPr="00CA2971">
        <w:t xml:space="preserve">. La mayoría de las figuras tributarias experimentan un incremento en mayor o menor medida, siendo las más relevantes: el </w:t>
      </w:r>
      <w:r w:rsidR="00B32CA6" w:rsidRPr="00CA2971">
        <w:t>Im</w:t>
      </w:r>
      <w:r w:rsidR="00B32CA6" w:rsidRPr="00516E70">
        <w:t>puesto de Sociedades que aumenta en 117,95 millones (un 32 por ciento) y el IVA con un aumento de 138,71 millones (un nueve por ciento).</w:t>
      </w:r>
    </w:p>
    <w:p w14:paraId="72614A90" w14:textId="77777777" w:rsidR="00B32CA6" w:rsidRPr="00CA2971" w:rsidRDefault="00614DC4" w:rsidP="008C2B8E">
      <w:pPr>
        <w:pStyle w:val="texto"/>
        <w:numPr>
          <w:ilvl w:val="0"/>
          <w:numId w:val="6"/>
        </w:numPr>
        <w:tabs>
          <w:tab w:val="clear" w:pos="360"/>
          <w:tab w:val="num" w:pos="300"/>
          <w:tab w:val="left" w:pos="480"/>
          <w:tab w:val="num" w:pos="600"/>
        </w:tabs>
        <w:spacing w:before="120" w:after="120"/>
        <w:ind w:firstLine="289"/>
        <w:jc w:val="both"/>
      </w:pPr>
      <w:r w:rsidRPr="002630A8">
        <w:t xml:space="preserve">En relación con el IRPF, </w:t>
      </w:r>
      <w:r w:rsidR="00B32CA6" w:rsidRPr="002630A8">
        <w:t xml:space="preserve">si bien la variación interanual es negativa en </w:t>
      </w:r>
      <w:r w:rsidR="00CA2971" w:rsidRPr="002630A8">
        <w:t xml:space="preserve">51,9 </w:t>
      </w:r>
      <w:r w:rsidR="00B32CA6" w:rsidRPr="00CA2971">
        <w:t xml:space="preserve">millones (un - </w:t>
      </w:r>
      <w:r w:rsidR="00CA2971" w:rsidRPr="00CA2971">
        <w:t>2</w:t>
      </w:r>
      <w:r w:rsidR="00B32CA6" w:rsidRPr="00CA2971">
        <w:t xml:space="preserve">,4 por ciento), es necesario destacar que esta disminución es en términos netos, por la agregación </w:t>
      </w:r>
      <w:r w:rsidR="0056112E">
        <w:t xml:space="preserve">principalmente </w:t>
      </w:r>
      <w:r w:rsidR="00B32CA6" w:rsidRPr="00CA2971">
        <w:t xml:space="preserve">de </w:t>
      </w:r>
      <w:r w:rsidR="0056112E">
        <w:t xml:space="preserve">dos </w:t>
      </w:r>
      <w:r w:rsidR="00B32CA6" w:rsidRPr="00CA2971">
        <w:t>factores</w:t>
      </w:r>
      <w:r w:rsidR="006878CB">
        <w:t>, según se desprende de los estados contables</w:t>
      </w:r>
      <w:r w:rsidR="00B32CA6" w:rsidRPr="00CA2971">
        <w:t>:</w:t>
      </w:r>
    </w:p>
    <w:p w14:paraId="19767C49" w14:textId="77777777" w:rsidR="0056112E" w:rsidRDefault="006C446B" w:rsidP="0056112E">
      <w:pPr>
        <w:pStyle w:val="texto"/>
        <w:numPr>
          <w:ilvl w:val="0"/>
          <w:numId w:val="3"/>
        </w:numPr>
        <w:tabs>
          <w:tab w:val="clear" w:pos="2835"/>
          <w:tab w:val="clear" w:pos="3969"/>
          <w:tab w:val="num" w:pos="300"/>
          <w:tab w:val="num" w:pos="360"/>
          <w:tab w:val="left" w:pos="480"/>
          <w:tab w:val="num" w:pos="589"/>
          <w:tab w:val="num" w:pos="720"/>
          <w:tab w:val="num" w:pos="1320"/>
          <w:tab w:val="num" w:pos="2062"/>
          <w:tab w:val="num" w:pos="4472"/>
        </w:tabs>
        <w:spacing w:after="120"/>
        <w:ind w:left="0" w:firstLine="289"/>
        <w:jc w:val="both"/>
        <w:rPr>
          <w:szCs w:val="26"/>
        </w:rPr>
      </w:pPr>
      <w:r w:rsidRPr="006878CB">
        <w:rPr>
          <w:szCs w:val="26"/>
        </w:rPr>
        <w:t>El incremento en 1</w:t>
      </w:r>
      <w:r w:rsidR="00CA2971" w:rsidRPr="006878CB">
        <w:rPr>
          <w:szCs w:val="26"/>
        </w:rPr>
        <w:t>05</w:t>
      </w:r>
      <w:r w:rsidRPr="006878CB">
        <w:rPr>
          <w:szCs w:val="26"/>
        </w:rPr>
        <w:t xml:space="preserve"> millones </w:t>
      </w:r>
      <w:r w:rsidR="00516E70" w:rsidRPr="006878CB">
        <w:rPr>
          <w:szCs w:val="26"/>
        </w:rPr>
        <w:t>se debe</w:t>
      </w:r>
      <w:r w:rsidR="002630A8" w:rsidRPr="006878CB">
        <w:rPr>
          <w:szCs w:val="26"/>
        </w:rPr>
        <w:t xml:space="preserve"> a </w:t>
      </w:r>
      <w:r w:rsidR="00516E70" w:rsidRPr="006878CB">
        <w:rPr>
          <w:szCs w:val="26"/>
        </w:rPr>
        <w:t xml:space="preserve">la evolución favorable </w:t>
      </w:r>
      <w:r w:rsidRPr="006878CB">
        <w:rPr>
          <w:szCs w:val="26"/>
        </w:rPr>
        <w:t>del impuesto</w:t>
      </w:r>
      <w:r w:rsidR="0056112E">
        <w:rPr>
          <w:szCs w:val="26"/>
        </w:rPr>
        <w:t>.</w:t>
      </w:r>
    </w:p>
    <w:p w14:paraId="718ACDAA" w14:textId="77777777" w:rsidR="0056112E" w:rsidRPr="0056112E" w:rsidRDefault="006C446B" w:rsidP="0056112E">
      <w:pPr>
        <w:pStyle w:val="texto"/>
        <w:numPr>
          <w:ilvl w:val="0"/>
          <w:numId w:val="3"/>
        </w:numPr>
        <w:tabs>
          <w:tab w:val="clear" w:pos="2835"/>
          <w:tab w:val="clear" w:pos="3969"/>
          <w:tab w:val="num" w:pos="300"/>
          <w:tab w:val="num" w:pos="360"/>
          <w:tab w:val="left" w:pos="480"/>
          <w:tab w:val="num" w:pos="589"/>
          <w:tab w:val="num" w:pos="720"/>
          <w:tab w:val="num" w:pos="1320"/>
          <w:tab w:val="num" w:pos="2062"/>
          <w:tab w:val="num" w:pos="4472"/>
        </w:tabs>
        <w:spacing w:after="120"/>
        <w:ind w:left="0" w:firstLine="289"/>
        <w:jc w:val="both"/>
        <w:rPr>
          <w:szCs w:val="26"/>
        </w:rPr>
      </w:pPr>
      <w:r w:rsidRPr="0056112E">
        <w:rPr>
          <w:szCs w:val="26"/>
        </w:rPr>
        <w:lastRenderedPageBreak/>
        <w:t xml:space="preserve">La disminución en </w:t>
      </w:r>
      <w:r w:rsidR="00B55A09" w:rsidRPr="0056112E">
        <w:rPr>
          <w:szCs w:val="26"/>
        </w:rPr>
        <w:t xml:space="preserve">156,50 millones por el concepto “Ajustes por retenciones de trabajo y de capital” </w:t>
      </w:r>
      <w:r w:rsidR="00426B0B">
        <w:rPr>
          <w:szCs w:val="26"/>
        </w:rPr>
        <w:t xml:space="preserve">por el nuevo tratamiento </w:t>
      </w:r>
      <w:r w:rsidR="00576D79">
        <w:rPr>
          <w:szCs w:val="26"/>
        </w:rPr>
        <w:t xml:space="preserve">que se le da a este concepto, </w:t>
      </w:r>
      <w:r w:rsidR="0056112E" w:rsidRPr="0056112E">
        <w:rPr>
          <w:szCs w:val="26"/>
        </w:rPr>
        <w:t xml:space="preserve">tal y como se ha indicado anteriormente en el apartado referido al Convenio Económico. </w:t>
      </w:r>
    </w:p>
    <w:p w14:paraId="7500E818" w14:textId="77777777" w:rsidR="00131A5E" w:rsidRPr="00D30257" w:rsidRDefault="00614DC4" w:rsidP="008C2B8E">
      <w:pPr>
        <w:pStyle w:val="texto"/>
        <w:numPr>
          <w:ilvl w:val="0"/>
          <w:numId w:val="6"/>
        </w:numPr>
        <w:tabs>
          <w:tab w:val="clear" w:pos="2835"/>
          <w:tab w:val="clear" w:pos="3969"/>
          <w:tab w:val="num" w:pos="300"/>
          <w:tab w:val="left" w:pos="480"/>
          <w:tab w:val="num" w:pos="600"/>
          <w:tab w:val="num" w:pos="720"/>
          <w:tab w:val="num" w:pos="1320"/>
          <w:tab w:val="num" w:pos="2062"/>
          <w:tab w:val="num" w:pos="4472"/>
        </w:tabs>
        <w:spacing w:before="120" w:after="120"/>
        <w:ind w:firstLine="289"/>
        <w:jc w:val="both"/>
      </w:pPr>
      <w:r w:rsidRPr="00D30257">
        <w:t>En relación con el IVA hay que tener en cuenta si los derechos reconocidos por este impuesto proceden de la gestión directa realizada por Navarra o del Estado por los ajustes establecidos en el convenio económico relacionados con esta figura tributaria. El desglose del origen de estos ingresos es el siguiente:</w:t>
      </w:r>
    </w:p>
    <w:p w14:paraId="3ED4CBF1" w14:textId="77777777" w:rsidR="00614DC4" w:rsidRPr="00CA2971" w:rsidRDefault="00614DC4" w:rsidP="00614DC4">
      <w:pPr>
        <w:tabs>
          <w:tab w:val="left" w:pos="490"/>
          <w:tab w:val="num" w:pos="4920"/>
        </w:tabs>
        <w:spacing w:after="60"/>
        <w:ind w:left="289"/>
        <w:jc w:val="right"/>
        <w:rPr>
          <w:rFonts w:ascii="Arial" w:hAnsi="Arial"/>
          <w:spacing w:val="6"/>
          <w:sz w:val="17"/>
          <w:szCs w:val="17"/>
        </w:rPr>
      </w:pPr>
      <w:r w:rsidRPr="00CA2971">
        <w:rPr>
          <w:rFonts w:ascii="Arial" w:hAnsi="Arial"/>
          <w:spacing w:val="6"/>
          <w:sz w:val="17"/>
          <w:szCs w:val="17"/>
        </w:rPr>
        <w:t>(en miles)</w:t>
      </w:r>
    </w:p>
    <w:tbl>
      <w:tblPr>
        <w:tblW w:w="5000" w:type="pct"/>
        <w:jc w:val="center"/>
        <w:tblCellMar>
          <w:left w:w="70" w:type="dxa"/>
          <w:right w:w="70" w:type="dxa"/>
        </w:tblCellMar>
        <w:tblLook w:val="04A0" w:firstRow="1" w:lastRow="0" w:firstColumn="1" w:lastColumn="0" w:noHBand="0" w:noVBand="1"/>
      </w:tblPr>
      <w:tblGrid>
        <w:gridCol w:w="1794"/>
        <w:gridCol w:w="995"/>
        <w:gridCol w:w="1179"/>
        <w:gridCol w:w="1338"/>
        <w:gridCol w:w="1215"/>
        <w:gridCol w:w="1157"/>
        <w:gridCol w:w="1111"/>
      </w:tblGrid>
      <w:tr w:rsidR="00485495" w:rsidRPr="000511C1" w14:paraId="00CD290F" w14:textId="77777777" w:rsidTr="00810207">
        <w:trPr>
          <w:trHeight w:val="255"/>
          <w:jc w:val="center"/>
        </w:trPr>
        <w:tc>
          <w:tcPr>
            <w:tcW w:w="1021" w:type="pct"/>
            <w:vMerge w:val="restart"/>
            <w:tcBorders>
              <w:top w:val="single" w:sz="4" w:space="0" w:color="auto"/>
              <w:left w:val="nil"/>
              <w:bottom w:val="single" w:sz="4" w:space="0" w:color="auto"/>
              <w:right w:val="nil"/>
            </w:tcBorders>
            <w:shd w:val="clear" w:color="auto" w:fill="8DB3E2"/>
            <w:noWrap/>
            <w:vAlign w:val="center"/>
            <w:hideMark/>
          </w:tcPr>
          <w:p w14:paraId="04A0B3B2" w14:textId="77777777" w:rsidR="00614DC4" w:rsidRPr="000511C1" w:rsidRDefault="00614DC4" w:rsidP="006F296B">
            <w:pPr>
              <w:pStyle w:val="cuadroCabe"/>
            </w:pPr>
            <w:r w:rsidRPr="000511C1">
              <w:t>IVA reconocido</w:t>
            </w:r>
          </w:p>
        </w:tc>
        <w:tc>
          <w:tcPr>
            <w:tcW w:w="1237" w:type="pct"/>
            <w:gridSpan w:val="2"/>
            <w:tcBorders>
              <w:top w:val="single" w:sz="4" w:space="0" w:color="auto"/>
              <w:left w:val="nil"/>
              <w:bottom w:val="single" w:sz="2" w:space="0" w:color="auto"/>
              <w:right w:val="single" w:sz="2" w:space="0" w:color="auto"/>
            </w:tcBorders>
            <w:shd w:val="clear" w:color="auto" w:fill="8DB3E2"/>
            <w:noWrap/>
            <w:vAlign w:val="center"/>
            <w:hideMark/>
          </w:tcPr>
          <w:p w14:paraId="241A70A8" w14:textId="77777777" w:rsidR="00614DC4" w:rsidRPr="000511C1" w:rsidRDefault="00614DC4" w:rsidP="00D30257">
            <w:pPr>
              <w:pStyle w:val="cuadroCabe"/>
              <w:jc w:val="center"/>
            </w:pPr>
            <w:r w:rsidRPr="000511C1">
              <w:t>202</w:t>
            </w:r>
            <w:r w:rsidR="00D30257" w:rsidRPr="000511C1">
              <w:t>1</w:t>
            </w:r>
          </w:p>
        </w:tc>
        <w:tc>
          <w:tcPr>
            <w:tcW w:w="1452" w:type="pct"/>
            <w:gridSpan w:val="2"/>
            <w:tcBorders>
              <w:top w:val="single" w:sz="2" w:space="0" w:color="auto"/>
              <w:left w:val="single" w:sz="2" w:space="0" w:color="auto"/>
              <w:bottom w:val="single" w:sz="2" w:space="0" w:color="auto"/>
              <w:right w:val="single" w:sz="2" w:space="0" w:color="auto"/>
            </w:tcBorders>
            <w:shd w:val="clear" w:color="auto" w:fill="8DB3E2"/>
            <w:noWrap/>
            <w:vAlign w:val="center"/>
            <w:hideMark/>
          </w:tcPr>
          <w:p w14:paraId="2560B154" w14:textId="77777777" w:rsidR="00614DC4" w:rsidRPr="000511C1" w:rsidRDefault="00614DC4" w:rsidP="00D30257">
            <w:pPr>
              <w:pStyle w:val="cuadroCabe"/>
              <w:jc w:val="center"/>
            </w:pPr>
            <w:r w:rsidRPr="000511C1">
              <w:t>202</w:t>
            </w:r>
            <w:r w:rsidR="00D30257" w:rsidRPr="000511C1">
              <w:t>2</w:t>
            </w:r>
          </w:p>
        </w:tc>
        <w:tc>
          <w:tcPr>
            <w:tcW w:w="1290" w:type="pct"/>
            <w:gridSpan w:val="2"/>
            <w:tcBorders>
              <w:top w:val="single" w:sz="4" w:space="0" w:color="auto"/>
              <w:left w:val="single" w:sz="2" w:space="0" w:color="auto"/>
              <w:bottom w:val="single" w:sz="2" w:space="0" w:color="auto"/>
              <w:right w:val="nil"/>
            </w:tcBorders>
            <w:shd w:val="clear" w:color="auto" w:fill="8DB3E2"/>
            <w:vAlign w:val="center"/>
            <w:hideMark/>
          </w:tcPr>
          <w:p w14:paraId="097FA442" w14:textId="77777777" w:rsidR="00614DC4" w:rsidRPr="000511C1" w:rsidRDefault="00614DC4" w:rsidP="00D30257">
            <w:pPr>
              <w:pStyle w:val="cuadroCabe"/>
              <w:jc w:val="center"/>
            </w:pPr>
            <w:r w:rsidRPr="000511C1">
              <w:t>202</w:t>
            </w:r>
            <w:r w:rsidR="00D30257" w:rsidRPr="000511C1">
              <w:t>3</w:t>
            </w:r>
          </w:p>
        </w:tc>
      </w:tr>
      <w:tr w:rsidR="00485495" w:rsidRPr="00485495" w14:paraId="6C923B88" w14:textId="77777777" w:rsidTr="00810207">
        <w:trPr>
          <w:trHeight w:val="198"/>
          <w:jc w:val="center"/>
        </w:trPr>
        <w:tc>
          <w:tcPr>
            <w:tcW w:w="1021" w:type="pct"/>
            <w:vMerge/>
            <w:tcBorders>
              <w:top w:val="single" w:sz="4" w:space="0" w:color="auto"/>
              <w:left w:val="nil"/>
              <w:bottom w:val="single" w:sz="4" w:space="0" w:color="auto"/>
              <w:right w:val="nil"/>
            </w:tcBorders>
            <w:vAlign w:val="center"/>
            <w:hideMark/>
          </w:tcPr>
          <w:p w14:paraId="59ACD6F3" w14:textId="77777777" w:rsidR="00614DC4" w:rsidRPr="00485495" w:rsidRDefault="00614DC4" w:rsidP="006F296B">
            <w:pPr>
              <w:pStyle w:val="cuadroCabe"/>
              <w:rPr>
                <w:rFonts w:ascii="Arial Narrow" w:hAnsi="Arial Narrow"/>
              </w:rPr>
            </w:pPr>
          </w:p>
        </w:tc>
        <w:tc>
          <w:tcPr>
            <w:tcW w:w="566" w:type="pct"/>
            <w:tcBorders>
              <w:top w:val="single" w:sz="2" w:space="0" w:color="auto"/>
              <w:left w:val="nil"/>
              <w:bottom w:val="single" w:sz="4" w:space="0" w:color="auto"/>
              <w:right w:val="nil"/>
            </w:tcBorders>
            <w:shd w:val="clear" w:color="auto" w:fill="8DB3E2"/>
            <w:noWrap/>
            <w:vAlign w:val="center"/>
            <w:hideMark/>
          </w:tcPr>
          <w:p w14:paraId="56BF1273" w14:textId="77777777" w:rsidR="00614DC4" w:rsidRPr="000511C1" w:rsidRDefault="00614DC4" w:rsidP="00D12353">
            <w:pPr>
              <w:pStyle w:val="cuadroCabe"/>
              <w:jc w:val="right"/>
              <w:rPr>
                <w:rFonts w:cs="Arial"/>
              </w:rPr>
            </w:pPr>
            <w:r w:rsidRPr="000511C1">
              <w:rPr>
                <w:rFonts w:cs="Arial"/>
              </w:rPr>
              <w:t>Importe</w:t>
            </w:r>
          </w:p>
        </w:tc>
        <w:tc>
          <w:tcPr>
            <w:tcW w:w="671" w:type="pct"/>
            <w:tcBorders>
              <w:top w:val="single" w:sz="2" w:space="0" w:color="auto"/>
              <w:left w:val="nil"/>
              <w:bottom w:val="single" w:sz="4" w:space="0" w:color="auto"/>
              <w:right w:val="single" w:sz="2" w:space="0" w:color="auto"/>
            </w:tcBorders>
            <w:shd w:val="clear" w:color="auto" w:fill="8DB3E2"/>
            <w:vAlign w:val="center"/>
            <w:hideMark/>
          </w:tcPr>
          <w:p w14:paraId="7B33B9D7" w14:textId="77777777" w:rsidR="00614DC4" w:rsidRPr="000511C1" w:rsidRDefault="00614DC4" w:rsidP="00D12353">
            <w:pPr>
              <w:pStyle w:val="cuadroCabe"/>
              <w:jc w:val="right"/>
              <w:rPr>
                <w:rFonts w:cs="Arial"/>
              </w:rPr>
            </w:pPr>
            <w:r w:rsidRPr="000511C1">
              <w:rPr>
                <w:rFonts w:cs="Arial"/>
              </w:rPr>
              <w:t xml:space="preserve">Porcentaje  </w:t>
            </w:r>
          </w:p>
        </w:tc>
        <w:tc>
          <w:tcPr>
            <w:tcW w:w="761" w:type="pct"/>
            <w:tcBorders>
              <w:top w:val="single" w:sz="2" w:space="0" w:color="auto"/>
              <w:left w:val="single" w:sz="2" w:space="0" w:color="auto"/>
              <w:bottom w:val="single" w:sz="4" w:space="0" w:color="auto"/>
              <w:right w:val="nil"/>
            </w:tcBorders>
            <w:shd w:val="clear" w:color="auto" w:fill="8DB3E2"/>
            <w:vAlign w:val="center"/>
            <w:hideMark/>
          </w:tcPr>
          <w:p w14:paraId="0A6D54CF" w14:textId="77777777" w:rsidR="00614DC4" w:rsidRPr="000511C1" w:rsidRDefault="00614DC4" w:rsidP="00D12353">
            <w:pPr>
              <w:pStyle w:val="cuadroCabe"/>
              <w:jc w:val="right"/>
              <w:rPr>
                <w:rFonts w:cs="Arial"/>
              </w:rPr>
            </w:pPr>
            <w:r w:rsidRPr="000511C1">
              <w:rPr>
                <w:rFonts w:cs="Arial"/>
              </w:rPr>
              <w:t>Importe</w:t>
            </w:r>
          </w:p>
        </w:tc>
        <w:tc>
          <w:tcPr>
            <w:tcW w:w="691" w:type="pct"/>
            <w:tcBorders>
              <w:top w:val="single" w:sz="2" w:space="0" w:color="auto"/>
              <w:left w:val="nil"/>
              <w:bottom w:val="single" w:sz="4" w:space="0" w:color="auto"/>
              <w:right w:val="single" w:sz="2" w:space="0" w:color="auto"/>
            </w:tcBorders>
            <w:shd w:val="clear" w:color="auto" w:fill="8DB3E2"/>
            <w:vAlign w:val="center"/>
            <w:hideMark/>
          </w:tcPr>
          <w:p w14:paraId="1F5B4BAA" w14:textId="77777777" w:rsidR="00614DC4" w:rsidRPr="000511C1" w:rsidRDefault="00614DC4" w:rsidP="00D12353">
            <w:pPr>
              <w:pStyle w:val="cuadroCabe"/>
              <w:jc w:val="right"/>
              <w:rPr>
                <w:rFonts w:cs="Arial"/>
              </w:rPr>
            </w:pPr>
            <w:r w:rsidRPr="000511C1">
              <w:rPr>
                <w:rFonts w:cs="Arial"/>
              </w:rPr>
              <w:t>Porcentaje</w:t>
            </w:r>
          </w:p>
        </w:tc>
        <w:tc>
          <w:tcPr>
            <w:tcW w:w="658" w:type="pct"/>
            <w:tcBorders>
              <w:top w:val="single" w:sz="2" w:space="0" w:color="auto"/>
              <w:left w:val="single" w:sz="2" w:space="0" w:color="auto"/>
              <w:bottom w:val="single" w:sz="4" w:space="0" w:color="auto"/>
              <w:right w:val="nil"/>
            </w:tcBorders>
            <w:shd w:val="clear" w:color="auto" w:fill="8DB3E2"/>
            <w:vAlign w:val="center"/>
            <w:hideMark/>
          </w:tcPr>
          <w:p w14:paraId="0C7270A8" w14:textId="77777777" w:rsidR="00614DC4" w:rsidRPr="000511C1" w:rsidRDefault="00614DC4" w:rsidP="00D12353">
            <w:pPr>
              <w:pStyle w:val="cuadroCabe"/>
              <w:jc w:val="right"/>
              <w:rPr>
                <w:rFonts w:cs="Arial"/>
              </w:rPr>
            </w:pPr>
            <w:r w:rsidRPr="000511C1">
              <w:rPr>
                <w:rFonts w:cs="Arial"/>
              </w:rPr>
              <w:t>Importe</w:t>
            </w:r>
          </w:p>
        </w:tc>
        <w:tc>
          <w:tcPr>
            <w:tcW w:w="632" w:type="pct"/>
            <w:tcBorders>
              <w:top w:val="single" w:sz="2" w:space="0" w:color="auto"/>
              <w:left w:val="nil"/>
              <w:bottom w:val="single" w:sz="4" w:space="0" w:color="auto"/>
              <w:right w:val="nil"/>
            </w:tcBorders>
            <w:shd w:val="clear" w:color="auto" w:fill="8DB3E2"/>
            <w:noWrap/>
            <w:vAlign w:val="center"/>
            <w:hideMark/>
          </w:tcPr>
          <w:p w14:paraId="1D58A3D7" w14:textId="77777777" w:rsidR="00614DC4" w:rsidRPr="000511C1" w:rsidRDefault="00614DC4" w:rsidP="00D12353">
            <w:pPr>
              <w:pStyle w:val="cuadroCabe"/>
              <w:jc w:val="right"/>
              <w:rPr>
                <w:rFonts w:cs="Arial"/>
              </w:rPr>
            </w:pPr>
            <w:r w:rsidRPr="000511C1">
              <w:rPr>
                <w:rFonts w:cs="Arial"/>
              </w:rPr>
              <w:t>Porcentaje</w:t>
            </w:r>
          </w:p>
        </w:tc>
      </w:tr>
      <w:tr w:rsidR="00485495" w:rsidRPr="00485495" w14:paraId="3FD8E6F7" w14:textId="77777777" w:rsidTr="00810207">
        <w:trPr>
          <w:trHeight w:val="198"/>
          <w:jc w:val="center"/>
        </w:trPr>
        <w:tc>
          <w:tcPr>
            <w:tcW w:w="1021" w:type="pct"/>
            <w:tcBorders>
              <w:top w:val="single" w:sz="4" w:space="0" w:color="auto"/>
              <w:left w:val="nil"/>
              <w:bottom w:val="single" w:sz="2" w:space="0" w:color="auto"/>
              <w:right w:val="nil"/>
            </w:tcBorders>
            <w:noWrap/>
            <w:vAlign w:val="center"/>
            <w:hideMark/>
          </w:tcPr>
          <w:p w14:paraId="4102B4BC" w14:textId="77777777" w:rsidR="00485495" w:rsidRPr="00485495" w:rsidRDefault="00485495" w:rsidP="00485495">
            <w:pPr>
              <w:pStyle w:val="cuatexto"/>
            </w:pPr>
            <w:r w:rsidRPr="00485495">
              <w:t>Gestión directa</w:t>
            </w:r>
          </w:p>
        </w:tc>
        <w:tc>
          <w:tcPr>
            <w:tcW w:w="566" w:type="pct"/>
            <w:tcBorders>
              <w:top w:val="single" w:sz="4" w:space="0" w:color="auto"/>
              <w:left w:val="nil"/>
              <w:bottom w:val="single" w:sz="2" w:space="0" w:color="auto"/>
              <w:right w:val="nil"/>
            </w:tcBorders>
            <w:noWrap/>
            <w:vAlign w:val="center"/>
          </w:tcPr>
          <w:p w14:paraId="1FDC7288" w14:textId="77777777" w:rsidR="00485495" w:rsidRPr="00485495" w:rsidRDefault="00485495" w:rsidP="00485495">
            <w:pPr>
              <w:pStyle w:val="cuatexto"/>
              <w:jc w:val="right"/>
            </w:pPr>
            <w:r w:rsidRPr="00485495">
              <w:t>433.831</w:t>
            </w:r>
          </w:p>
        </w:tc>
        <w:tc>
          <w:tcPr>
            <w:tcW w:w="671" w:type="pct"/>
            <w:tcBorders>
              <w:top w:val="single" w:sz="4" w:space="0" w:color="auto"/>
              <w:left w:val="nil"/>
              <w:bottom w:val="single" w:sz="2" w:space="0" w:color="auto"/>
              <w:right w:val="single" w:sz="2" w:space="0" w:color="auto"/>
            </w:tcBorders>
            <w:vAlign w:val="center"/>
          </w:tcPr>
          <w:p w14:paraId="672283E6" w14:textId="77777777" w:rsidR="00485495" w:rsidRPr="00485495" w:rsidRDefault="00485495" w:rsidP="00485495">
            <w:pPr>
              <w:pStyle w:val="cuatexto"/>
              <w:jc w:val="right"/>
            </w:pPr>
            <w:r w:rsidRPr="00485495">
              <w:t>30</w:t>
            </w:r>
          </w:p>
        </w:tc>
        <w:tc>
          <w:tcPr>
            <w:tcW w:w="761" w:type="pct"/>
            <w:tcBorders>
              <w:top w:val="single" w:sz="4" w:space="0" w:color="auto"/>
              <w:left w:val="single" w:sz="2" w:space="0" w:color="auto"/>
              <w:bottom w:val="single" w:sz="2" w:space="0" w:color="auto"/>
              <w:right w:val="nil"/>
            </w:tcBorders>
            <w:vAlign w:val="center"/>
          </w:tcPr>
          <w:p w14:paraId="322B0D1C" w14:textId="77777777" w:rsidR="00485495" w:rsidRPr="00485495" w:rsidRDefault="00485495" w:rsidP="00485495">
            <w:pPr>
              <w:pStyle w:val="cuatexto"/>
              <w:jc w:val="right"/>
            </w:pPr>
            <w:r w:rsidRPr="00485495">
              <w:t>253.031</w:t>
            </w:r>
          </w:p>
        </w:tc>
        <w:tc>
          <w:tcPr>
            <w:tcW w:w="691" w:type="pct"/>
            <w:tcBorders>
              <w:top w:val="single" w:sz="4" w:space="0" w:color="auto"/>
              <w:left w:val="nil"/>
              <w:bottom w:val="single" w:sz="2" w:space="0" w:color="auto"/>
              <w:right w:val="single" w:sz="2" w:space="0" w:color="auto"/>
            </w:tcBorders>
            <w:vAlign w:val="center"/>
          </w:tcPr>
          <w:p w14:paraId="38A2BCFF" w14:textId="77777777" w:rsidR="00485495" w:rsidRPr="00485495" w:rsidRDefault="00485495" w:rsidP="00485495">
            <w:pPr>
              <w:pStyle w:val="cuatexto"/>
              <w:jc w:val="right"/>
            </w:pPr>
            <w:r w:rsidRPr="00485495">
              <w:t>16</w:t>
            </w:r>
          </w:p>
        </w:tc>
        <w:tc>
          <w:tcPr>
            <w:tcW w:w="658" w:type="pct"/>
            <w:tcBorders>
              <w:top w:val="single" w:sz="4" w:space="0" w:color="auto"/>
              <w:left w:val="single" w:sz="2" w:space="0" w:color="auto"/>
              <w:bottom w:val="single" w:sz="2" w:space="0" w:color="auto"/>
              <w:right w:val="nil"/>
            </w:tcBorders>
            <w:vAlign w:val="center"/>
          </w:tcPr>
          <w:p w14:paraId="56394399" w14:textId="77777777" w:rsidR="00485495" w:rsidRPr="00485495" w:rsidRDefault="00485495" w:rsidP="00485495">
            <w:pPr>
              <w:pStyle w:val="cuatexto"/>
              <w:jc w:val="right"/>
            </w:pPr>
            <w:r w:rsidRPr="00485495">
              <w:t>618.490</w:t>
            </w:r>
          </w:p>
        </w:tc>
        <w:tc>
          <w:tcPr>
            <w:tcW w:w="632" w:type="pct"/>
            <w:tcBorders>
              <w:top w:val="single" w:sz="4" w:space="0" w:color="auto"/>
              <w:left w:val="nil"/>
              <w:bottom w:val="single" w:sz="2" w:space="0" w:color="auto"/>
              <w:right w:val="nil"/>
            </w:tcBorders>
            <w:noWrap/>
            <w:vAlign w:val="center"/>
          </w:tcPr>
          <w:p w14:paraId="6DE330ED" w14:textId="77777777" w:rsidR="00485495" w:rsidRPr="00485495" w:rsidRDefault="00485495" w:rsidP="00485495">
            <w:pPr>
              <w:pStyle w:val="cuatexto"/>
              <w:jc w:val="right"/>
            </w:pPr>
            <w:r w:rsidRPr="00485495">
              <w:t>35</w:t>
            </w:r>
          </w:p>
        </w:tc>
      </w:tr>
      <w:tr w:rsidR="00485495" w:rsidRPr="00485495" w14:paraId="3FDA45C3" w14:textId="77777777" w:rsidTr="00810207">
        <w:trPr>
          <w:trHeight w:val="198"/>
          <w:jc w:val="center"/>
        </w:trPr>
        <w:tc>
          <w:tcPr>
            <w:tcW w:w="1021" w:type="pct"/>
            <w:tcBorders>
              <w:top w:val="single" w:sz="2" w:space="0" w:color="auto"/>
              <w:left w:val="nil"/>
              <w:bottom w:val="single" w:sz="4" w:space="0" w:color="auto"/>
              <w:right w:val="nil"/>
            </w:tcBorders>
            <w:noWrap/>
            <w:vAlign w:val="center"/>
            <w:hideMark/>
          </w:tcPr>
          <w:p w14:paraId="7F2156BC" w14:textId="77777777" w:rsidR="00485495" w:rsidRPr="00485495" w:rsidRDefault="00485495" w:rsidP="00485495">
            <w:pPr>
              <w:pStyle w:val="cuatexto"/>
            </w:pPr>
            <w:r w:rsidRPr="00485495">
              <w:t>Ajuste Convenio</w:t>
            </w:r>
          </w:p>
        </w:tc>
        <w:tc>
          <w:tcPr>
            <w:tcW w:w="566" w:type="pct"/>
            <w:tcBorders>
              <w:top w:val="single" w:sz="2" w:space="0" w:color="auto"/>
              <w:left w:val="nil"/>
              <w:bottom w:val="single" w:sz="4" w:space="0" w:color="auto"/>
              <w:right w:val="nil"/>
            </w:tcBorders>
            <w:noWrap/>
            <w:vAlign w:val="center"/>
          </w:tcPr>
          <w:p w14:paraId="3D0975AA" w14:textId="77777777" w:rsidR="00485495" w:rsidRPr="00485495" w:rsidRDefault="00485495" w:rsidP="00485495">
            <w:pPr>
              <w:pStyle w:val="cuatexto"/>
              <w:jc w:val="right"/>
            </w:pPr>
            <w:r w:rsidRPr="00485495">
              <w:t>1.027.452</w:t>
            </w:r>
          </w:p>
        </w:tc>
        <w:tc>
          <w:tcPr>
            <w:tcW w:w="671" w:type="pct"/>
            <w:tcBorders>
              <w:top w:val="single" w:sz="2" w:space="0" w:color="auto"/>
              <w:left w:val="nil"/>
              <w:bottom w:val="single" w:sz="4" w:space="0" w:color="auto"/>
              <w:right w:val="single" w:sz="2" w:space="0" w:color="auto"/>
            </w:tcBorders>
            <w:vAlign w:val="center"/>
          </w:tcPr>
          <w:p w14:paraId="2EF3CEE7" w14:textId="77777777" w:rsidR="00485495" w:rsidRPr="00485495" w:rsidRDefault="00485495" w:rsidP="00485495">
            <w:pPr>
              <w:pStyle w:val="cuatexto"/>
              <w:jc w:val="right"/>
            </w:pPr>
            <w:r w:rsidRPr="00485495">
              <w:t>70</w:t>
            </w:r>
          </w:p>
        </w:tc>
        <w:tc>
          <w:tcPr>
            <w:tcW w:w="761" w:type="pct"/>
            <w:tcBorders>
              <w:top w:val="single" w:sz="2" w:space="0" w:color="auto"/>
              <w:left w:val="single" w:sz="2" w:space="0" w:color="auto"/>
              <w:bottom w:val="single" w:sz="4" w:space="0" w:color="auto"/>
              <w:right w:val="nil"/>
            </w:tcBorders>
            <w:vAlign w:val="center"/>
          </w:tcPr>
          <w:p w14:paraId="5A554D15" w14:textId="77777777" w:rsidR="00485495" w:rsidRPr="00485495" w:rsidRDefault="00485495" w:rsidP="00485495">
            <w:pPr>
              <w:pStyle w:val="cuatexto"/>
              <w:jc w:val="right"/>
            </w:pPr>
            <w:r w:rsidRPr="00485495">
              <w:t>1.363.868</w:t>
            </w:r>
          </w:p>
        </w:tc>
        <w:tc>
          <w:tcPr>
            <w:tcW w:w="691" w:type="pct"/>
            <w:tcBorders>
              <w:top w:val="single" w:sz="2" w:space="0" w:color="auto"/>
              <w:left w:val="nil"/>
              <w:bottom w:val="single" w:sz="4" w:space="0" w:color="auto"/>
              <w:right w:val="single" w:sz="2" w:space="0" w:color="auto"/>
            </w:tcBorders>
            <w:vAlign w:val="center"/>
          </w:tcPr>
          <w:p w14:paraId="157AFE51" w14:textId="77777777" w:rsidR="00485495" w:rsidRPr="00485495" w:rsidRDefault="00485495" w:rsidP="00485495">
            <w:pPr>
              <w:pStyle w:val="cuatexto"/>
              <w:jc w:val="right"/>
            </w:pPr>
            <w:r w:rsidRPr="00485495">
              <w:t>84</w:t>
            </w:r>
          </w:p>
        </w:tc>
        <w:tc>
          <w:tcPr>
            <w:tcW w:w="658" w:type="pct"/>
            <w:tcBorders>
              <w:top w:val="single" w:sz="2" w:space="0" w:color="auto"/>
              <w:left w:val="single" w:sz="2" w:space="0" w:color="auto"/>
              <w:bottom w:val="single" w:sz="4" w:space="0" w:color="auto"/>
              <w:right w:val="nil"/>
            </w:tcBorders>
            <w:vAlign w:val="center"/>
          </w:tcPr>
          <w:p w14:paraId="2A7B1B2E" w14:textId="77777777" w:rsidR="00485495" w:rsidRPr="00485495" w:rsidRDefault="00485495" w:rsidP="00485495">
            <w:pPr>
              <w:pStyle w:val="cuatexto"/>
              <w:jc w:val="right"/>
            </w:pPr>
            <w:r w:rsidRPr="00485495">
              <w:t>1.137.116</w:t>
            </w:r>
          </w:p>
        </w:tc>
        <w:tc>
          <w:tcPr>
            <w:tcW w:w="632" w:type="pct"/>
            <w:tcBorders>
              <w:top w:val="single" w:sz="2" w:space="0" w:color="auto"/>
              <w:left w:val="nil"/>
              <w:bottom w:val="single" w:sz="4" w:space="0" w:color="auto"/>
              <w:right w:val="nil"/>
            </w:tcBorders>
            <w:noWrap/>
            <w:vAlign w:val="center"/>
          </w:tcPr>
          <w:p w14:paraId="4FCE7E90" w14:textId="77777777" w:rsidR="00485495" w:rsidRPr="00485495" w:rsidRDefault="00485495" w:rsidP="00485495">
            <w:pPr>
              <w:pStyle w:val="cuatexto"/>
              <w:jc w:val="right"/>
            </w:pPr>
            <w:r w:rsidRPr="00485495">
              <w:t>65</w:t>
            </w:r>
          </w:p>
        </w:tc>
      </w:tr>
      <w:tr w:rsidR="00485495" w:rsidRPr="00485495" w14:paraId="70BD42CF" w14:textId="77777777" w:rsidTr="00810207">
        <w:trPr>
          <w:trHeight w:val="255"/>
          <w:jc w:val="center"/>
        </w:trPr>
        <w:tc>
          <w:tcPr>
            <w:tcW w:w="1021" w:type="pct"/>
            <w:tcBorders>
              <w:top w:val="single" w:sz="4" w:space="0" w:color="auto"/>
              <w:left w:val="nil"/>
              <w:bottom w:val="single" w:sz="4" w:space="0" w:color="auto"/>
              <w:right w:val="nil"/>
            </w:tcBorders>
            <w:shd w:val="clear" w:color="auto" w:fill="8DB3E2"/>
            <w:noWrap/>
            <w:vAlign w:val="center"/>
            <w:hideMark/>
          </w:tcPr>
          <w:p w14:paraId="33B30F73" w14:textId="77777777" w:rsidR="00485495" w:rsidRPr="00485495" w:rsidRDefault="00485495" w:rsidP="00485495">
            <w:pPr>
              <w:pStyle w:val="cuadroCabe"/>
            </w:pPr>
            <w:r w:rsidRPr="00485495">
              <w:t>Total IVA</w:t>
            </w:r>
          </w:p>
        </w:tc>
        <w:tc>
          <w:tcPr>
            <w:tcW w:w="566" w:type="pct"/>
            <w:tcBorders>
              <w:top w:val="single" w:sz="4" w:space="0" w:color="auto"/>
              <w:left w:val="nil"/>
              <w:bottom w:val="single" w:sz="4" w:space="0" w:color="auto"/>
              <w:right w:val="nil"/>
            </w:tcBorders>
            <w:shd w:val="clear" w:color="auto" w:fill="8DB3E2"/>
            <w:noWrap/>
            <w:vAlign w:val="center"/>
          </w:tcPr>
          <w:p w14:paraId="77647ECC" w14:textId="77777777" w:rsidR="00485495" w:rsidRPr="00485495" w:rsidRDefault="00485495" w:rsidP="00485495">
            <w:pPr>
              <w:pStyle w:val="cuadroCabe"/>
              <w:jc w:val="right"/>
              <w:rPr>
                <w:szCs w:val="18"/>
              </w:rPr>
            </w:pPr>
            <w:r w:rsidRPr="00485495">
              <w:rPr>
                <w:szCs w:val="18"/>
              </w:rPr>
              <w:t>1.461.283</w:t>
            </w:r>
          </w:p>
        </w:tc>
        <w:tc>
          <w:tcPr>
            <w:tcW w:w="671" w:type="pct"/>
            <w:tcBorders>
              <w:top w:val="single" w:sz="4" w:space="0" w:color="auto"/>
              <w:left w:val="nil"/>
              <w:bottom w:val="single" w:sz="4" w:space="0" w:color="auto"/>
              <w:right w:val="single" w:sz="2" w:space="0" w:color="auto"/>
            </w:tcBorders>
            <w:shd w:val="clear" w:color="auto" w:fill="8DB3E2"/>
            <w:vAlign w:val="center"/>
          </w:tcPr>
          <w:p w14:paraId="65615803" w14:textId="77777777" w:rsidR="00485495" w:rsidRPr="00485495" w:rsidRDefault="00485495" w:rsidP="00485495">
            <w:pPr>
              <w:pStyle w:val="cuadroCabe"/>
              <w:jc w:val="right"/>
              <w:rPr>
                <w:szCs w:val="18"/>
              </w:rPr>
            </w:pPr>
            <w:r w:rsidRPr="00485495">
              <w:rPr>
                <w:szCs w:val="18"/>
              </w:rPr>
              <w:t>100</w:t>
            </w:r>
          </w:p>
        </w:tc>
        <w:tc>
          <w:tcPr>
            <w:tcW w:w="761" w:type="pct"/>
            <w:tcBorders>
              <w:top w:val="single" w:sz="4" w:space="0" w:color="auto"/>
              <w:left w:val="single" w:sz="2" w:space="0" w:color="auto"/>
              <w:bottom w:val="single" w:sz="4" w:space="0" w:color="auto"/>
              <w:right w:val="nil"/>
            </w:tcBorders>
            <w:shd w:val="clear" w:color="auto" w:fill="8DB3E2"/>
            <w:vAlign w:val="center"/>
          </w:tcPr>
          <w:p w14:paraId="627A4753" w14:textId="77777777" w:rsidR="00485495" w:rsidRPr="00485495" w:rsidRDefault="00485495" w:rsidP="00485495">
            <w:pPr>
              <w:pStyle w:val="cuadroCabe"/>
              <w:jc w:val="right"/>
              <w:rPr>
                <w:szCs w:val="18"/>
              </w:rPr>
            </w:pPr>
            <w:r w:rsidRPr="00485495">
              <w:rPr>
                <w:szCs w:val="18"/>
              </w:rPr>
              <w:t>1.616.899</w:t>
            </w:r>
          </w:p>
        </w:tc>
        <w:tc>
          <w:tcPr>
            <w:tcW w:w="691" w:type="pct"/>
            <w:tcBorders>
              <w:top w:val="single" w:sz="4" w:space="0" w:color="auto"/>
              <w:left w:val="nil"/>
              <w:bottom w:val="single" w:sz="4" w:space="0" w:color="auto"/>
              <w:right w:val="single" w:sz="2" w:space="0" w:color="auto"/>
            </w:tcBorders>
            <w:shd w:val="clear" w:color="auto" w:fill="8DB3E2"/>
            <w:vAlign w:val="center"/>
          </w:tcPr>
          <w:p w14:paraId="080F2C00" w14:textId="77777777" w:rsidR="00485495" w:rsidRPr="00485495" w:rsidRDefault="00485495" w:rsidP="00485495">
            <w:pPr>
              <w:pStyle w:val="cuadroCabe"/>
              <w:jc w:val="right"/>
              <w:rPr>
                <w:szCs w:val="18"/>
              </w:rPr>
            </w:pPr>
            <w:r w:rsidRPr="00485495">
              <w:rPr>
                <w:szCs w:val="18"/>
              </w:rPr>
              <w:t>100</w:t>
            </w:r>
          </w:p>
        </w:tc>
        <w:tc>
          <w:tcPr>
            <w:tcW w:w="658" w:type="pct"/>
            <w:tcBorders>
              <w:top w:val="single" w:sz="4" w:space="0" w:color="auto"/>
              <w:left w:val="single" w:sz="2" w:space="0" w:color="auto"/>
              <w:bottom w:val="single" w:sz="4" w:space="0" w:color="auto"/>
              <w:right w:val="nil"/>
            </w:tcBorders>
            <w:shd w:val="clear" w:color="auto" w:fill="8DB3E2"/>
            <w:vAlign w:val="center"/>
          </w:tcPr>
          <w:p w14:paraId="49179E3E" w14:textId="77777777" w:rsidR="00485495" w:rsidRPr="00485495" w:rsidRDefault="00485495" w:rsidP="00485495">
            <w:pPr>
              <w:pStyle w:val="cuadroCabe"/>
              <w:jc w:val="right"/>
              <w:rPr>
                <w:szCs w:val="18"/>
              </w:rPr>
            </w:pPr>
            <w:r w:rsidRPr="00485495">
              <w:rPr>
                <w:szCs w:val="18"/>
              </w:rPr>
              <w:t>1.755.606</w:t>
            </w:r>
          </w:p>
        </w:tc>
        <w:tc>
          <w:tcPr>
            <w:tcW w:w="632" w:type="pct"/>
            <w:tcBorders>
              <w:top w:val="single" w:sz="4" w:space="0" w:color="auto"/>
              <w:left w:val="nil"/>
              <w:bottom w:val="single" w:sz="4" w:space="0" w:color="auto"/>
              <w:right w:val="nil"/>
            </w:tcBorders>
            <w:shd w:val="clear" w:color="auto" w:fill="8DB3E2"/>
            <w:noWrap/>
            <w:vAlign w:val="center"/>
          </w:tcPr>
          <w:p w14:paraId="2A1E8ABD" w14:textId="77777777" w:rsidR="00485495" w:rsidRPr="00485495" w:rsidRDefault="00485495" w:rsidP="00485495">
            <w:pPr>
              <w:pStyle w:val="cuadroCabe"/>
              <w:jc w:val="right"/>
              <w:rPr>
                <w:szCs w:val="18"/>
              </w:rPr>
            </w:pPr>
            <w:r w:rsidRPr="00485495">
              <w:rPr>
                <w:szCs w:val="18"/>
              </w:rPr>
              <w:t>100</w:t>
            </w:r>
          </w:p>
        </w:tc>
      </w:tr>
    </w:tbl>
    <w:p w14:paraId="27B8EA59" w14:textId="77777777" w:rsidR="00614DC4" w:rsidRPr="00464369" w:rsidRDefault="00614DC4" w:rsidP="00614DC4">
      <w:pPr>
        <w:pStyle w:val="texto"/>
        <w:tabs>
          <w:tab w:val="clear" w:pos="2835"/>
          <w:tab w:val="clear" w:pos="3969"/>
          <w:tab w:val="left" w:pos="480"/>
          <w:tab w:val="num" w:pos="600"/>
          <w:tab w:val="num" w:pos="720"/>
          <w:tab w:val="num" w:pos="1320"/>
          <w:tab w:val="num" w:pos="1948"/>
          <w:tab w:val="num" w:pos="2062"/>
          <w:tab w:val="num" w:pos="4472"/>
        </w:tabs>
        <w:spacing w:after="80"/>
        <w:rPr>
          <w:color w:val="FF0000"/>
        </w:rPr>
      </w:pPr>
    </w:p>
    <w:p w14:paraId="7C032894" w14:textId="77777777" w:rsidR="00485495" w:rsidRPr="00CA2971" w:rsidRDefault="00735746" w:rsidP="009A38AE">
      <w:pPr>
        <w:pStyle w:val="texto"/>
        <w:tabs>
          <w:tab w:val="clear" w:pos="2835"/>
          <w:tab w:val="clear" w:pos="3969"/>
          <w:tab w:val="left" w:pos="480"/>
          <w:tab w:val="num" w:pos="600"/>
          <w:tab w:val="num" w:pos="720"/>
          <w:tab w:val="num" w:pos="1320"/>
          <w:tab w:val="num" w:pos="1948"/>
          <w:tab w:val="num" w:pos="2062"/>
          <w:tab w:val="num" w:pos="4472"/>
        </w:tabs>
        <w:spacing w:after="80"/>
        <w:jc w:val="both"/>
      </w:pPr>
      <w:r w:rsidRPr="00CA2971">
        <w:t xml:space="preserve">De acuerdo con la metodología aplicable en el Convenio, se observa que </w:t>
      </w:r>
      <w:r w:rsidR="00485495" w:rsidRPr="00CA2971">
        <w:t>en 2023</w:t>
      </w:r>
      <w:r w:rsidRPr="00CA2971">
        <w:t xml:space="preserve"> </w:t>
      </w:r>
      <w:r w:rsidR="00614DC4" w:rsidRPr="00CA2971">
        <w:t xml:space="preserve">la mayor parte de los derechos reconocidos se </w:t>
      </w:r>
      <w:r w:rsidR="00485495" w:rsidRPr="00CA2971">
        <w:t>han generado deb</w:t>
      </w:r>
      <w:r w:rsidRPr="00CA2971">
        <w:t>ido a los ajustes del Convenio. No obstante, es</w:t>
      </w:r>
      <w:r w:rsidR="00485495" w:rsidRPr="00CA2971">
        <w:t xml:space="preserve"> significativo en relación al ejercicio 2022 (año de modificación del convenio y de la metodología de su cálculo) el incremento en el apartado de gestión directa, en detrimento de los ajustes del convenio. En cualquier caso, si se compara con el ejercicio 2021, los porcentajes en 2023 son razonablemente similares. </w:t>
      </w:r>
    </w:p>
    <w:p w14:paraId="2038A436" w14:textId="77777777" w:rsidR="00614DC4" w:rsidRPr="00485495" w:rsidRDefault="00614DC4" w:rsidP="008C2B8E">
      <w:pPr>
        <w:pStyle w:val="texto"/>
        <w:numPr>
          <w:ilvl w:val="0"/>
          <w:numId w:val="6"/>
        </w:numPr>
        <w:tabs>
          <w:tab w:val="clear" w:pos="360"/>
          <w:tab w:val="num" w:pos="300"/>
          <w:tab w:val="left" w:pos="480"/>
          <w:tab w:val="num" w:pos="600"/>
        </w:tabs>
        <w:spacing w:before="120"/>
        <w:ind w:firstLine="289"/>
        <w:jc w:val="both"/>
      </w:pPr>
      <w:r w:rsidRPr="00485495">
        <w:t>Las devoluciones gestionadas desde CAT y traspasadas globalmente a la liquidación presupuestaria, han ascendido a 1.</w:t>
      </w:r>
      <w:r w:rsidR="00485495">
        <w:t>810</w:t>
      </w:r>
      <w:r w:rsidRPr="00485495">
        <w:t xml:space="preserve"> millones, cantidad superior a la de 202</w:t>
      </w:r>
      <w:r w:rsidR="00485495">
        <w:t>2</w:t>
      </w:r>
      <w:r w:rsidRPr="00485495">
        <w:t xml:space="preserve"> en un </w:t>
      </w:r>
      <w:r w:rsidR="00485495">
        <w:t xml:space="preserve">siete </w:t>
      </w:r>
      <w:r w:rsidRPr="00485495">
        <w:t>por ciento. Atendiendo a su naturaleza, el 1</w:t>
      </w:r>
      <w:r w:rsidR="00485495">
        <w:t>5</w:t>
      </w:r>
      <w:r w:rsidRPr="00485495">
        <w:t xml:space="preserve"> por ciento de las devoluciones se ha efectuado mediante compensación con otras deudas.</w:t>
      </w:r>
    </w:p>
    <w:p w14:paraId="38007B91" w14:textId="77777777" w:rsidR="00AB0FC5" w:rsidRDefault="00AB0FC5">
      <w:pPr>
        <w:rPr>
          <w:spacing w:val="6"/>
          <w:sz w:val="26"/>
        </w:rPr>
      </w:pPr>
      <w:r>
        <w:br w:type="page"/>
      </w:r>
    </w:p>
    <w:p w14:paraId="05913C40" w14:textId="77777777" w:rsidR="00614DC4" w:rsidRPr="00485495" w:rsidRDefault="00614DC4" w:rsidP="009A38AE">
      <w:pPr>
        <w:pStyle w:val="texto"/>
        <w:spacing w:after="120"/>
        <w:jc w:val="both"/>
      </w:pPr>
      <w:r w:rsidRPr="00485495">
        <w:lastRenderedPageBreak/>
        <w:t>El cuadro siguiente muestra las devoluciones de los impuestos más relevantes en 202</w:t>
      </w:r>
      <w:r w:rsidR="00485495" w:rsidRPr="00485495">
        <w:t>3</w:t>
      </w:r>
      <w:r w:rsidRPr="00485495">
        <w:t xml:space="preserve"> y su comparación con las del ejercicio anterior:</w:t>
      </w:r>
    </w:p>
    <w:tbl>
      <w:tblPr>
        <w:tblW w:w="8789" w:type="dxa"/>
        <w:tblLayout w:type="fixed"/>
        <w:tblCellMar>
          <w:left w:w="70" w:type="dxa"/>
          <w:right w:w="70" w:type="dxa"/>
        </w:tblCellMar>
        <w:tblLook w:val="04A0" w:firstRow="1" w:lastRow="0" w:firstColumn="1" w:lastColumn="0" w:noHBand="0" w:noVBand="1"/>
      </w:tblPr>
      <w:tblGrid>
        <w:gridCol w:w="6056"/>
        <w:gridCol w:w="1445"/>
        <w:gridCol w:w="1288"/>
      </w:tblGrid>
      <w:tr w:rsidR="00485495" w:rsidRPr="00485495" w14:paraId="1E88E41F" w14:textId="77777777" w:rsidTr="000511C1">
        <w:trPr>
          <w:trHeight w:val="255"/>
        </w:trPr>
        <w:tc>
          <w:tcPr>
            <w:tcW w:w="8789" w:type="dxa"/>
            <w:gridSpan w:val="3"/>
            <w:tcBorders>
              <w:top w:val="nil"/>
              <w:left w:val="nil"/>
              <w:bottom w:val="single" w:sz="4" w:space="0" w:color="auto"/>
              <w:right w:val="nil"/>
            </w:tcBorders>
            <w:noWrap/>
            <w:vAlign w:val="center"/>
            <w:hideMark/>
          </w:tcPr>
          <w:p w14:paraId="2FC11D2C" w14:textId="77777777" w:rsidR="00614DC4" w:rsidRPr="00485495" w:rsidRDefault="00131A5E">
            <w:pPr>
              <w:jc w:val="right"/>
              <w:rPr>
                <w:rFonts w:ascii="Arial" w:hAnsi="Arial" w:cs="Arial"/>
                <w:sz w:val="18"/>
                <w:szCs w:val="18"/>
              </w:rPr>
            </w:pPr>
            <w:r w:rsidRPr="00485495">
              <w:rPr>
                <w:rFonts w:ascii="Arial" w:hAnsi="Arial" w:cs="Arial"/>
                <w:sz w:val="18"/>
                <w:szCs w:val="18"/>
              </w:rPr>
              <w:t xml:space="preserve"> </w:t>
            </w:r>
            <w:r w:rsidR="00614DC4" w:rsidRPr="00485495">
              <w:rPr>
                <w:rFonts w:ascii="Arial" w:hAnsi="Arial" w:cs="Arial"/>
                <w:sz w:val="18"/>
                <w:szCs w:val="18"/>
              </w:rPr>
              <w:t>(en miles)</w:t>
            </w:r>
          </w:p>
        </w:tc>
      </w:tr>
      <w:tr w:rsidR="00485495" w:rsidRPr="00485495" w14:paraId="5E951127" w14:textId="77777777" w:rsidTr="00447E7C">
        <w:trPr>
          <w:trHeight w:val="255"/>
        </w:trPr>
        <w:tc>
          <w:tcPr>
            <w:tcW w:w="6056" w:type="dxa"/>
            <w:tcBorders>
              <w:top w:val="single" w:sz="4" w:space="0" w:color="auto"/>
              <w:left w:val="nil"/>
              <w:bottom w:val="single" w:sz="2" w:space="0" w:color="auto"/>
              <w:right w:val="nil"/>
            </w:tcBorders>
            <w:shd w:val="clear" w:color="auto" w:fill="95B3D7" w:themeFill="accent1" w:themeFillTint="99"/>
            <w:vAlign w:val="center"/>
            <w:hideMark/>
          </w:tcPr>
          <w:p w14:paraId="04A44984" w14:textId="77777777" w:rsidR="00614DC4" w:rsidRPr="00485495" w:rsidRDefault="00614DC4" w:rsidP="00E87693">
            <w:pPr>
              <w:pStyle w:val="cuadroCabe"/>
            </w:pPr>
            <w:r w:rsidRPr="00485495">
              <w:t>Devolución de impuestos</w:t>
            </w:r>
            <w:r w:rsidR="00E87693">
              <w:t>*</w:t>
            </w:r>
          </w:p>
        </w:tc>
        <w:tc>
          <w:tcPr>
            <w:tcW w:w="1445" w:type="dxa"/>
            <w:tcBorders>
              <w:top w:val="single" w:sz="4" w:space="0" w:color="auto"/>
              <w:left w:val="nil"/>
              <w:bottom w:val="single" w:sz="2" w:space="0" w:color="auto"/>
              <w:right w:val="nil"/>
            </w:tcBorders>
            <w:shd w:val="clear" w:color="auto" w:fill="95B3D7" w:themeFill="accent1" w:themeFillTint="99"/>
            <w:vAlign w:val="center"/>
            <w:hideMark/>
          </w:tcPr>
          <w:p w14:paraId="2DA4EEAC" w14:textId="77777777" w:rsidR="00614DC4" w:rsidRPr="00485495" w:rsidRDefault="00614DC4" w:rsidP="00D30257">
            <w:pPr>
              <w:pStyle w:val="cuadroCabe"/>
              <w:jc w:val="right"/>
            </w:pPr>
            <w:r w:rsidRPr="00485495">
              <w:t>202</w:t>
            </w:r>
            <w:r w:rsidR="00D30257" w:rsidRPr="00485495">
              <w:t>2</w:t>
            </w:r>
          </w:p>
        </w:tc>
        <w:tc>
          <w:tcPr>
            <w:tcW w:w="1288" w:type="dxa"/>
            <w:tcBorders>
              <w:top w:val="single" w:sz="4" w:space="0" w:color="auto"/>
              <w:left w:val="nil"/>
              <w:bottom w:val="single" w:sz="2" w:space="0" w:color="auto"/>
              <w:right w:val="nil"/>
            </w:tcBorders>
            <w:shd w:val="clear" w:color="auto" w:fill="95B3D7" w:themeFill="accent1" w:themeFillTint="99"/>
            <w:vAlign w:val="center"/>
            <w:hideMark/>
          </w:tcPr>
          <w:p w14:paraId="2B650C49" w14:textId="77777777" w:rsidR="00614DC4" w:rsidRPr="00485495" w:rsidRDefault="00614DC4" w:rsidP="00D30257">
            <w:pPr>
              <w:pStyle w:val="cuadroCabe"/>
              <w:jc w:val="right"/>
            </w:pPr>
            <w:r w:rsidRPr="00485495">
              <w:t>202</w:t>
            </w:r>
            <w:r w:rsidR="00D30257" w:rsidRPr="00485495">
              <w:t>3</w:t>
            </w:r>
          </w:p>
        </w:tc>
      </w:tr>
      <w:tr w:rsidR="00485495" w:rsidRPr="00485495" w14:paraId="20398E62" w14:textId="77777777" w:rsidTr="000511C1">
        <w:trPr>
          <w:trHeight w:val="198"/>
        </w:trPr>
        <w:tc>
          <w:tcPr>
            <w:tcW w:w="6056" w:type="dxa"/>
            <w:tcBorders>
              <w:top w:val="single" w:sz="2" w:space="0" w:color="auto"/>
              <w:left w:val="nil"/>
              <w:bottom w:val="single" w:sz="2" w:space="0" w:color="auto"/>
              <w:right w:val="nil"/>
            </w:tcBorders>
            <w:noWrap/>
            <w:vAlign w:val="center"/>
            <w:hideMark/>
          </w:tcPr>
          <w:p w14:paraId="17BFEDB2" w14:textId="77777777" w:rsidR="00D30257" w:rsidRPr="00E1425B" w:rsidRDefault="00D30257" w:rsidP="00D30257">
            <w:pPr>
              <w:pStyle w:val="cuatexto"/>
            </w:pPr>
            <w:r w:rsidRPr="00E1425B">
              <w:t>IVA gestión directa</w:t>
            </w:r>
          </w:p>
        </w:tc>
        <w:tc>
          <w:tcPr>
            <w:tcW w:w="1445" w:type="dxa"/>
            <w:tcBorders>
              <w:top w:val="single" w:sz="2" w:space="0" w:color="auto"/>
              <w:left w:val="nil"/>
              <w:bottom w:val="single" w:sz="2" w:space="0" w:color="auto"/>
              <w:right w:val="nil"/>
            </w:tcBorders>
            <w:vAlign w:val="center"/>
          </w:tcPr>
          <w:p w14:paraId="390E880D" w14:textId="77777777" w:rsidR="00D30257" w:rsidRPr="00E1425B" w:rsidRDefault="00D30257" w:rsidP="00D30257">
            <w:pPr>
              <w:pStyle w:val="cuatexto"/>
              <w:jc w:val="right"/>
            </w:pPr>
            <w:r w:rsidRPr="00E1425B">
              <w:t>1.365.518</w:t>
            </w:r>
          </w:p>
        </w:tc>
        <w:tc>
          <w:tcPr>
            <w:tcW w:w="1288" w:type="dxa"/>
            <w:tcBorders>
              <w:top w:val="single" w:sz="2" w:space="0" w:color="auto"/>
              <w:left w:val="nil"/>
              <w:bottom w:val="single" w:sz="2" w:space="0" w:color="auto"/>
              <w:right w:val="nil"/>
            </w:tcBorders>
            <w:vAlign w:val="center"/>
          </w:tcPr>
          <w:p w14:paraId="7D863203" w14:textId="77777777" w:rsidR="00D30257" w:rsidRPr="00E1425B" w:rsidRDefault="00485495" w:rsidP="00D30257">
            <w:pPr>
              <w:pStyle w:val="cuatexto"/>
              <w:jc w:val="right"/>
            </w:pPr>
            <w:r w:rsidRPr="00E1425B">
              <w:t>1.378.939</w:t>
            </w:r>
          </w:p>
        </w:tc>
      </w:tr>
      <w:tr w:rsidR="00485495" w:rsidRPr="00485495" w14:paraId="4D7F7B7F" w14:textId="77777777" w:rsidTr="00447E7C">
        <w:trPr>
          <w:trHeight w:val="198"/>
        </w:trPr>
        <w:tc>
          <w:tcPr>
            <w:tcW w:w="6056" w:type="dxa"/>
            <w:tcBorders>
              <w:top w:val="single" w:sz="2" w:space="0" w:color="auto"/>
              <w:left w:val="nil"/>
              <w:bottom w:val="single" w:sz="2" w:space="0" w:color="auto"/>
              <w:right w:val="nil"/>
            </w:tcBorders>
            <w:noWrap/>
            <w:vAlign w:val="center"/>
            <w:hideMark/>
          </w:tcPr>
          <w:p w14:paraId="5B1811A7" w14:textId="77777777" w:rsidR="00D30257" w:rsidRPr="00E1425B" w:rsidRDefault="00D30257" w:rsidP="00D30257">
            <w:pPr>
              <w:pStyle w:val="cuatexto"/>
            </w:pPr>
            <w:r w:rsidRPr="00E1425B">
              <w:t>IRPF</w:t>
            </w:r>
          </w:p>
        </w:tc>
        <w:tc>
          <w:tcPr>
            <w:tcW w:w="1445" w:type="dxa"/>
            <w:tcBorders>
              <w:top w:val="single" w:sz="2" w:space="0" w:color="auto"/>
              <w:left w:val="nil"/>
              <w:bottom w:val="single" w:sz="2" w:space="0" w:color="auto"/>
              <w:right w:val="nil"/>
            </w:tcBorders>
            <w:vAlign w:val="center"/>
          </w:tcPr>
          <w:p w14:paraId="456A1B85" w14:textId="77777777" w:rsidR="00D30257" w:rsidRPr="00E1425B" w:rsidRDefault="00D30257" w:rsidP="00D30257">
            <w:pPr>
              <w:pStyle w:val="cuatexto"/>
              <w:jc w:val="right"/>
            </w:pPr>
            <w:r w:rsidRPr="00E1425B">
              <w:t>208.120</w:t>
            </w:r>
          </w:p>
        </w:tc>
        <w:tc>
          <w:tcPr>
            <w:tcW w:w="1288" w:type="dxa"/>
            <w:tcBorders>
              <w:top w:val="single" w:sz="2" w:space="0" w:color="auto"/>
              <w:left w:val="nil"/>
              <w:bottom w:val="single" w:sz="2" w:space="0" w:color="auto"/>
              <w:right w:val="nil"/>
            </w:tcBorders>
            <w:vAlign w:val="center"/>
          </w:tcPr>
          <w:p w14:paraId="12AE8DB8" w14:textId="77777777" w:rsidR="00D30257" w:rsidRPr="00E1425B" w:rsidRDefault="00485495" w:rsidP="00D30257">
            <w:pPr>
              <w:pStyle w:val="cuatexto"/>
              <w:jc w:val="right"/>
            </w:pPr>
            <w:r w:rsidRPr="00E1425B">
              <w:t>281.169</w:t>
            </w:r>
          </w:p>
        </w:tc>
      </w:tr>
      <w:tr w:rsidR="00485495" w:rsidRPr="00485495" w14:paraId="22DA56E7" w14:textId="77777777" w:rsidTr="00447E7C">
        <w:trPr>
          <w:trHeight w:val="198"/>
        </w:trPr>
        <w:tc>
          <w:tcPr>
            <w:tcW w:w="6056" w:type="dxa"/>
            <w:tcBorders>
              <w:top w:val="single" w:sz="2" w:space="0" w:color="auto"/>
              <w:left w:val="nil"/>
              <w:bottom w:val="single" w:sz="4" w:space="0" w:color="auto"/>
              <w:right w:val="nil"/>
            </w:tcBorders>
            <w:noWrap/>
            <w:vAlign w:val="center"/>
            <w:hideMark/>
          </w:tcPr>
          <w:p w14:paraId="2EB1A50F" w14:textId="77777777" w:rsidR="00D30257" w:rsidRPr="00E1425B" w:rsidRDefault="00D30257" w:rsidP="00D30257">
            <w:pPr>
              <w:pStyle w:val="cuatexto"/>
              <w:rPr>
                <w:rFonts w:cs="Arial"/>
              </w:rPr>
            </w:pPr>
            <w:r w:rsidRPr="00E1425B">
              <w:rPr>
                <w:rFonts w:cs="Arial"/>
              </w:rPr>
              <w:t>Sociedades</w:t>
            </w:r>
          </w:p>
        </w:tc>
        <w:tc>
          <w:tcPr>
            <w:tcW w:w="1445" w:type="dxa"/>
            <w:tcBorders>
              <w:top w:val="single" w:sz="2" w:space="0" w:color="auto"/>
              <w:left w:val="nil"/>
              <w:bottom w:val="single" w:sz="4" w:space="0" w:color="auto"/>
              <w:right w:val="nil"/>
            </w:tcBorders>
            <w:vAlign w:val="center"/>
          </w:tcPr>
          <w:p w14:paraId="7015F5D5" w14:textId="77777777" w:rsidR="00D30257" w:rsidRPr="00E1425B" w:rsidRDefault="00D30257" w:rsidP="00D30257">
            <w:pPr>
              <w:pStyle w:val="cuatexto"/>
              <w:jc w:val="right"/>
              <w:rPr>
                <w:rFonts w:cs="Arial"/>
              </w:rPr>
            </w:pPr>
            <w:r w:rsidRPr="00E1425B">
              <w:rPr>
                <w:rFonts w:cs="Arial"/>
              </w:rPr>
              <w:t>77.325</w:t>
            </w:r>
          </w:p>
        </w:tc>
        <w:tc>
          <w:tcPr>
            <w:tcW w:w="1288" w:type="dxa"/>
            <w:tcBorders>
              <w:top w:val="single" w:sz="2" w:space="0" w:color="auto"/>
              <w:left w:val="nil"/>
              <w:bottom w:val="single" w:sz="4" w:space="0" w:color="auto"/>
              <w:right w:val="nil"/>
            </w:tcBorders>
            <w:vAlign w:val="center"/>
          </w:tcPr>
          <w:p w14:paraId="1584CDDD" w14:textId="77777777" w:rsidR="00D30257" w:rsidRPr="00E1425B" w:rsidRDefault="00485495" w:rsidP="00D30257">
            <w:pPr>
              <w:pStyle w:val="cuatexto"/>
              <w:jc w:val="right"/>
              <w:rPr>
                <w:rFonts w:cs="Arial"/>
              </w:rPr>
            </w:pPr>
            <w:r w:rsidRPr="00E1425B">
              <w:rPr>
                <w:rFonts w:cs="Arial"/>
              </w:rPr>
              <w:t>130.608</w:t>
            </w:r>
          </w:p>
        </w:tc>
      </w:tr>
      <w:tr w:rsidR="00576D79" w:rsidRPr="00447E7C" w14:paraId="1C4816AD" w14:textId="77777777" w:rsidTr="00447E7C">
        <w:trPr>
          <w:trHeight w:val="255"/>
        </w:trPr>
        <w:tc>
          <w:tcPr>
            <w:tcW w:w="6056" w:type="dxa"/>
            <w:tcBorders>
              <w:top w:val="single" w:sz="4" w:space="0" w:color="auto"/>
              <w:left w:val="nil"/>
              <w:bottom w:val="single" w:sz="4" w:space="0" w:color="auto"/>
              <w:right w:val="nil"/>
            </w:tcBorders>
            <w:shd w:val="clear" w:color="auto" w:fill="8DB3E2" w:themeFill="text2" w:themeFillTint="66"/>
            <w:noWrap/>
            <w:vAlign w:val="center"/>
          </w:tcPr>
          <w:p w14:paraId="2D449790" w14:textId="77777777" w:rsidR="00576D79" w:rsidRPr="00447E7C" w:rsidRDefault="00576D79" w:rsidP="00D30257">
            <w:pPr>
              <w:pStyle w:val="cuatexto"/>
              <w:rPr>
                <w:rFonts w:ascii="Arial" w:hAnsi="Arial" w:cs="Arial"/>
                <w:b/>
                <w:sz w:val="18"/>
                <w:szCs w:val="18"/>
              </w:rPr>
            </w:pPr>
            <w:r w:rsidRPr="00447E7C">
              <w:rPr>
                <w:rFonts w:ascii="Arial" w:hAnsi="Arial" w:cs="Arial"/>
                <w:b/>
                <w:sz w:val="18"/>
                <w:szCs w:val="18"/>
              </w:rPr>
              <w:t>Total</w:t>
            </w:r>
          </w:p>
        </w:tc>
        <w:tc>
          <w:tcPr>
            <w:tcW w:w="1445" w:type="dxa"/>
            <w:tcBorders>
              <w:top w:val="single" w:sz="4" w:space="0" w:color="auto"/>
              <w:left w:val="nil"/>
              <w:bottom w:val="single" w:sz="4" w:space="0" w:color="auto"/>
              <w:right w:val="nil"/>
            </w:tcBorders>
            <w:shd w:val="clear" w:color="auto" w:fill="8DB3E2" w:themeFill="text2" w:themeFillTint="66"/>
            <w:vAlign w:val="center"/>
          </w:tcPr>
          <w:p w14:paraId="3B773944" w14:textId="77777777" w:rsidR="00576D79" w:rsidRPr="00447E7C" w:rsidRDefault="00576D79" w:rsidP="00D30257">
            <w:pPr>
              <w:pStyle w:val="cuatexto"/>
              <w:jc w:val="right"/>
              <w:rPr>
                <w:rFonts w:ascii="Arial" w:hAnsi="Arial" w:cs="Arial"/>
                <w:b/>
                <w:sz w:val="18"/>
                <w:szCs w:val="18"/>
              </w:rPr>
            </w:pPr>
            <w:r w:rsidRPr="00447E7C">
              <w:rPr>
                <w:rFonts w:ascii="Arial" w:hAnsi="Arial" w:cs="Arial"/>
                <w:b/>
                <w:sz w:val="18"/>
                <w:szCs w:val="18"/>
              </w:rPr>
              <w:t>1.650.963</w:t>
            </w:r>
          </w:p>
        </w:tc>
        <w:tc>
          <w:tcPr>
            <w:tcW w:w="1288" w:type="dxa"/>
            <w:tcBorders>
              <w:top w:val="single" w:sz="4" w:space="0" w:color="auto"/>
              <w:left w:val="nil"/>
              <w:bottom w:val="single" w:sz="4" w:space="0" w:color="auto"/>
              <w:right w:val="nil"/>
            </w:tcBorders>
            <w:shd w:val="clear" w:color="auto" w:fill="8DB3E2" w:themeFill="text2" w:themeFillTint="66"/>
            <w:vAlign w:val="center"/>
          </w:tcPr>
          <w:p w14:paraId="67DCCA41" w14:textId="77777777" w:rsidR="00576D79" w:rsidRPr="00447E7C" w:rsidRDefault="00576D79" w:rsidP="00D30257">
            <w:pPr>
              <w:pStyle w:val="cuatexto"/>
              <w:jc w:val="right"/>
              <w:rPr>
                <w:rFonts w:ascii="Arial" w:hAnsi="Arial" w:cs="Arial"/>
                <w:b/>
                <w:sz w:val="18"/>
                <w:szCs w:val="18"/>
              </w:rPr>
            </w:pPr>
            <w:r w:rsidRPr="00447E7C">
              <w:rPr>
                <w:rFonts w:ascii="Arial" w:hAnsi="Arial" w:cs="Arial"/>
                <w:b/>
                <w:sz w:val="18"/>
                <w:szCs w:val="18"/>
              </w:rPr>
              <w:t>1.790.716</w:t>
            </w:r>
          </w:p>
        </w:tc>
      </w:tr>
    </w:tbl>
    <w:p w14:paraId="149AB661" w14:textId="77777777" w:rsidR="00E87693" w:rsidRPr="00E87693" w:rsidRDefault="00E87693" w:rsidP="00E87693">
      <w:pPr>
        <w:pStyle w:val="texto"/>
        <w:spacing w:before="60"/>
        <w:ind w:firstLine="0"/>
        <w:jc w:val="both"/>
        <w:rPr>
          <w:rFonts w:ascii="Arial" w:hAnsi="Arial" w:cs="Arial"/>
          <w:sz w:val="16"/>
          <w:szCs w:val="16"/>
        </w:rPr>
      </w:pPr>
      <w:r>
        <w:rPr>
          <w:rFonts w:ascii="Arial" w:hAnsi="Arial" w:cs="Arial"/>
          <w:sz w:val="16"/>
          <w:szCs w:val="16"/>
        </w:rPr>
        <w:t xml:space="preserve">* </w:t>
      </w:r>
      <w:r w:rsidRPr="00E87693">
        <w:rPr>
          <w:rFonts w:ascii="Arial" w:hAnsi="Arial" w:cs="Arial"/>
          <w:sz w:val="16"/>
          <w:szCs w:val="16"/>
        </w:rPr>
        <w:t xml:space="preserve">Fuente: información incluida en un informe del Servicio de Recaudación </w:t>
      </w:r>
    </w:p>
    <w:p w14:paraId="0E535E50" w14:textId="77777777" w:rsidR="00614DC4" w:rsidRPr="00485495" w:rsidRDefault="00614DC4" w:rsidP="009A38AE">
      <w:pPr>
        <w:pStyle w:val="texto"/>
        <w:spacing w:before="240"/>
        <w:jc w:val="both"/>
      </w:pPr>
      <w:r w:rsidRPr="00485495">
        <w:t>Como viene ocurriendo en los últimos años, el IVA de gestión directa es el impuesto que genera un mayor volumen de devoluciones. En 202</w:t>
      </w:r>
      <w:r w:rsidR="00485495" w:rsidRPr="00485495">
        <w:t>3</w:t>
      </w:r>
      <w:r w:rsidRPr="00485495">
        <w:t xml:space="preserve"> ha supuesto el </w:t>
      </w:r>
      <w:r w:rsidR="00485495" w:rsidRPr="00485495">
        <w:t>76</w:t>
      </w:r>
      <w:r w:rsidRPr="00485495">
        <w:t xml:space="preserve"> por ciento sobre el total.</w:t>
      </w:r>
    </w:p>
    <w:p w14:paraId="2F55E9F2" w14:textId="77777777" w:rsidR="0029215B" w:rsidRPr="0029215B" w:rsidRDefault="00614DC4" w:rsidP="008C2B8E">
      <w:pPr>
        <w:pStyle w:val="texto"/>
        <w:numPr>
          <w:ilvl w:val="0"/>
          <w:numId w:val="6"/>
        </w:numPr>
        <w:tabs>
          <w:tab w:val="clear" w:pos="360"/>
          <w:tab w:val="num" w:pos="300"/>
          <w:tab w:val="left" w:pos="480"/>
          <w:tab w:val="num" w:pos="600"/>
        </w:tabs>
        <w:spacing w:before="120"/>
        <w:ind w:firstLine="289"/>
        <w:jc w:val="both"/>
      </w:pPr>
      <w:r w:rsidRPr="0029215B">
        <w:t>No se incluye en la memoria de ejecución presupuestaria, información sobre derechos anulados ni cancelados en el presupuesto corriente ni en el presupuesto de ejercicios cerrados. Tampoco se informa sobre devoluciones de impuestos, aplazamientos o fraccionamientos solicitados, en periodo voluntario o en periodo ejecutivo.</w:t>
      </w:r>
    </w:p>
    <w:p w14:paraId="0DFCBC50" w14:textId="77777777" w:rsidR="00614DC4" w:rsidRPr="0029215B" w:rsidRDefault="0029215B" w:rsidP="008C2B8E">
      <w:pPr>
        <w:pStyle w:val="texto"/>
        <w:numPr>
          <w:ilvl w:val="0"/>
          <w:numId w:val="6"/>
        </w:numPr>
        <w:tabs>
          <w:tab w:val="clear" w:pos="360"/>
          <w:tab w:val="num" w:pos="300"/>
          <w:tab w:val="left" w:pos="480"/>
          <w:tab w:val="num" w:pos="600"/>
        </w:tabs>
        <w:spacing w:before="120"/>
        <w:ind w:firstLine="289"/>
        <w:jc w:val="both"/>
      </w:pPr>
      <w:r w:rsidRPr="0029215B">
        <w:t xml:space="preserve">No se incluye </w:t>
      </w:r>
      <w:r w:rsidR="0056112E">
        <w:t xml:space="preserve">en la memoria </w:t>
      </w:r>
      <w:r w:rsidRPr="0029215B">
        <w:t>suficiente información sobre los motivos de las variaciones en los impuestos más relevantes</w:t>
      </w:r>
      <w:r w:rsidR="003767F2">
        <w:rPr>
          <w:rStyle w:val="Refdenotaalpie"/>
        </w:rPr>
        <w:footnoteReference w:id="33"/>
      </w:r>
      <w:r w:rsidRPr="0029215B">
        <w:t>.</w:t>
      </w:r>
    </w:p>
    <w:p w14:paraId="33D102E9" w14:textId="77777777" w:rsidR="0029215B" w:rsidRDefault="0029215B" w:rsidP="00E1425B">
      <w:pPr>
        <w:pStyle w:val="texto"/>
        <w:jc w:val="both"/>
      </w:pPr>
    </w:p>
    <w:p w14:paraId="746960CF" w14:textId="77777777" w:rsidR="0029215B" w:rsidRPr="0029215B" w:rsidRDefault="0029215B" w:rsidP="009A38AE">
      <w:pPr>
        <w:pStyle w:val="texto"/>
        <w:jc w:val="both"/>
      </w:pPr>
      <w:r w:rsidRPr="0029215B">
        <w:t xml:space="preserve">Por todo lo anterior, efectuamos las siguientes </w:t>
      </w:r>
      <w:r w:rsidRPr="002F7C8C">
        <w:rPr>
          <w:i/>
        </w:rPr>
        <w:t>recomendaciones</w:t>
      </w:r>
      <w:r w:rsidRPr="0029215B">
        <w:t>:</w:t>
      </w:r>
    </w:p>
    <w:p w14:paraId="09B3DFEF" w14:textId="77777777" w:rsidR="00614DC4" w:rsidRPr="0029215B" w:rsidRDefault="0029215B" w:rsidP="008C2B8E">
      <w:pPr>
        <w:pStyle w:val="texto"/>
        <w:numPr>
          <w:ilvl w:val="0"/>
          <w:numId w:val="6"/>
        </w:numPr>
        <w:tabs>
          <w:tab w:val="clear" w:pos="360"/>
          <w:tab w:val="num" w:pos="300"/>
          <w:tab w:val="left" w:pos="480"/>
          <w:tab w:val="num" w:pos="600"/>
        </w:tabs>
        <w:spacing w:before="120"/>
        <w:ind w:firstLine="289"/>
        <w:jc w:val="both"/>
        <w:rPr>
          <w:i/>
        </w:rPr>
      </w:pPr>
      <w:r w:rsidRPr="0029215B">
        <w:rPr>
          <w:i/>
        </w:rPr>
        <w:t>I</w:t>
      </w:r>
      <w:r w:rsidR="00614DC4" w:rsidRPr="0029215B">
        <w:rPr>
          <w:i/>
        </w:rPr>
        <w:t xml:space="preserve">ncluir en la memoria de ejecución presupuestaria, toda la información necesaria sobre las distintas situaciones que inciden en el proceso recaudatorio. </w:t>
      </w:r>
    </w:p>
    <w:p w14:paraId="54A29BAE" w14:textId="77777777" w:rsidR="0029215B" w:rsidRDefault="0029215B" w:rsidP="008C2B8E">
      <w:pPr>
        <w:pStyle w:val="texto"/>
        <w:numPr>
          <w:ilvl w:val="0"/>
          <w:numId w:val="6"/>
        </w:numPr>
        <w:tabs>
          <w:tab w:val="clear" w:pos="360"/>
          <w:tab w:val="num" w:pos="300"/>
          <w:tab w:val="left" w:pos="480"/>
          <w:tab w:val="num" w:pos="600"/>
        </w:tabs>
        <w:spacing w:before="120"/>
        <w:ind w:firstLine="289"/>
        <w:jc w:val="both"/>
        <w:rPr>
          <w:i/>
        </w:rPr>
      </w:pPr>
      <w:r>
        <w:rPr>
          <w:i/>
        </w:rPr>
        <w:t xml:space="preserve">Incorporar en la </w:t>
      </w:r>
      <w:r w:rsidRPr="0029215B">
        <w:rPr>
          <w:i/>
        </w:rPr>
        <w:t xml:space="preserve">memoria de ejecución presupuestaria, </w:t>
      </w:r>
      <w:r w:rsidR="000511C1">
        <w:rPr>
          <w:i/>
        </w:rPr>
        <w:t>más</w:t>
      </w:r>
      <w:r w:rsidR="00576D79">
        <w:rPr>
          <w:i/>
        </w:rPr>
        <w:t xml:space="preserve"> </w:t>
      </w:r>
      <w:r w:rsidR="006878CB">
        <w:rPr>
          <w:i/>
        </w:rPr>
        <w:t xml:space="preserve">información sobre los </w:t>
      </w:r>
      <w:r w:rsidR="0056112E">
        <w:rPr>
          <w:i/>
        </w:rPr>
        <w:t xml:space="preserve">motivos </w:t>
      </w:r>
      <w:r w:rsidR="006878CB">
        <w:rPr>
          <w:i/>
        </w:rPr>
        <w:t xml:space="preserve">tributarios más relevantes en la </w:t>
      </w:r>
      <w:r>
        <w:rPr>
          <w:i/>
        </w:rPr>
        <w:t xml:space="preserve">evolución de los impuestos más </w:t>
      </w:r>
      <w:r w:rsidR="006878CB">
        <w:rPr>
          <w:i/>
        </w:rPr>
        <w:t xml:space="preserve">significativos </w:t>
      </w:r>
      <w:r>
        <w:rPr>
          <w:i/>
        </w:rPr>
        <w:t xml:space="preserve">(IRPF, IS, e IVA) </w:t>
      </w:r>
    </w:p>
    <w:p w14:paraId="7D3B4377" w14:textId="77777777" w:rsidR="00AB0FC5" w:rsidRDefault="00AB0FC5">
      <w:pPr>
        <w:rPr>
          <w:rFonts w:cs="Arial"/>
          <w:spacing w:val="6"/>
          <w:sz w:val="26"/>
        </w:rPr>
      </w:pPr>
      <w:r>
        <w:rPr>
          <w:rFonts w:cs="Arial"/>
        </w:rPr>
        <w:br w:type="page"/>
      </w:r>
    </w:p>
    <w:p w14:paraId="65982397" w14:textId="77777777" w:rsidR="00614DC4" w:rsidRDefault="00614DC4" w:rsidP="007D37B5">
      <w:pPr>
        <w:pStyle w:val="texto"/>
        <w:spacing w:before="240"/>
        <w:jc w:val="both"/>
        <w:rPr>
          <w:rFonts w:cs="Arial"/>
        </w:rPr>
      </w:pPr>
      <w:r>
        <w:rPr>
          <w:rFonts w:cs="Arial"/>
        </w:rPr>
        <w:lastRenderedPageBreak/>
        <w:t>La memoria de las Cuentas Generales contiene información sobre la ejecución de los beneficios fiscales, cuyo resumen es el siguiente:</w:t>
      </w:r>
    </w:p>
    <w:tbl>
      <w:tblPr>
        <w:tblW w:w="8838" w:type="dxa"/>
        <w:jc w:val="center"/>
        <w:tblLayout w:type="fixed"/>
        <w:tblCellMar>
          <w:left w:w="70" w:type="dxa"/>
          <w:right w:w="70" w:type="dxa"/>
        </w:tblCellMar>
        <w:tblLook w:val="04A0" w:firstRow="1" w:lastRow="0" w:firstColumn="1" w:lastColumn="0" w:noHBand="0" w:noVBand="1"/>
      </w:tblPr>
      <w:tblGrid>
        <w:gridCol w:w="4919"/>
        <w:gridCol w:w="27"/>
        <w:gridCol w:w="1512"/>
        <w:gridCol w:w="36"/>
        <w:gridCol w:w="1119"/>
        <w:gridCol w:w="42"/>
        <w:gridCol w:w="1134"/>
        <w:gridCol w:w="49"/>
      </w:tblGrid>
      <w:tr w:rsidR="00614DC4" w:rsidRPr="00F0287A" w14:paraId="707C73CC" w14:textId="77777777" w:rsidTr="000511C1">
        <w:trPr>
          <w:gridAfter w:val="1"/>
          <w:wAfter w:w="49" w:type="dxa"/>
          <w:trHeight w:val="255"/>
          <w:jc w:val="center"/>
        </w:trPr>
        <w:tc>
          <w:tcPr>
            <w:tcW w:w="8789" w:type="dxa"/>
            <w:gridSpan w:val="7"/>
            <w:tcBorders>
              <w:top w:val="nil"/>
              <w:left w:val="nil"/>
              <w:bottom w:val="single" w:sz="4" w:space="0" w:color="auto"/>
              <w:right w:val="nil"/>
            </w:tcBorders>
            <w:noWrap/>
            <w:vAlign w:val="center"/>
            <w:hideMark/>
          </w:tcPr>
          <w:p w14:paraId="189A3F56" w14:textId="77777777" w:rsidR="00614DC4" w:rsidRPr="00F0287A" w:rsidRDefault="00614DC4">
            <w:pPr>
              <w:jc w:val="right"/>
              <w:rPr>
                <w:rFonts w:ascii="Arial" w:hAnsi="Arial" w:cs="Arial"/>
                <w:sz w:val="17"/>
                <w:szCs w:val="17"/>
              </w:rPr>
            </w:pPr>
            <w:r w:rsidRPr="00F0287A">
              <w:rPr>
                <w:rFonts w:ascii="Arial" w:hAnsi="Arial" w:cs="Arial"/>
                <w:sz w:val="17"/>
                <w:szCs w:val="17"/>
              </w:rPr>
              <w:t>(en miles)</w:t>
            </w:r>
          </w:p>
        </w:tc>
      </w:tr>
      <w:tr w:rsidR="00614DC4" w14:paraId="1172616B" w14:textId="77777777" w:rsidTr="000511C1">
        <w:trPr>
          <w:trHeight w:val="255"/>
          <w:jc w:val="center"/>
        </w:trPr>
        <w:tc>
          <w:tcPr>
            <w:tcW w:w="4946" w:type="dxa"/>
            <w:gridSpan w:val="2"/>
            <w:tcBorders>
              <w:top w:val="single" w:sz="4" w:space="0" w:color="auto"/>
              <w:left w:val="nil"/>
              <w:bottom w:val="single" w:sz="4" w:space="0" w:color="auto"/>
              <w:right w:val="nil"/>
            </w:tcBorders>
            <w:shd w:val="clear" w:color="auto" w:fill="8DB3E2"/>
            <w:vAlign w:val="center"/>
            <w:hideMark/>
          </w:tcPr>
          <w:p w14:paraId="717343BB" w14:textId="77777777" w:rsidR="00614DC4" w:rsidRDefault="00614DC4" w:rsidP="006F296B">
            <w:pPr>
              <w:pStyle w:val="cuadroCabe"/>
            </w:pPr>
            <w:r>
              <w:t>Impuestos</w:t>
            </w:r>
          </w:p>
        </w:tc>
        <w:tc>
          <w:tcPr>
            <w:tcW w:w="1548" w:type="dxa"/>
            <w:gridSpan w:val="2"/>
            <w:tcBorders>
              <w:top w:val="single" w:sz="4" w:space="0" w:color="auto"/>
              <w:left w:val="nil"/>
              <w:bottom w:val="single" w:sz="4" w:space="0" w:color="auto"/>
              <w:right w:val="nil"/>
            </w:tcBorders>
            <w:shd w:val="clear" w:color="auto" w:fill="8DB3E2"/>
            <w:vAlign w:val="center"/>
            <w:hideMark/>
          </w:tcPr>
          <w:p w14:paraId="6DFA490D" w14:textId="77777777" w:rsidR="00614DC4" w:rsidRDefault="00614DC4" w:rsidP="00D12353">
            <w:pPr>
              <w:pStyle w:val="cuadroCabe"/>
              <w:jc w:val="right"/>
            </w:pPr>
            <w:r>
              <w:t>Presupuesto</w:t>
            </w:r>
          </w:p>
          <w:p w14:paraId="35D17C1F" w14:textId="77777777" w:rsidR="00614DC4" w:rsidRDefault="00614DC4" w:rsidP="00E87693">
            <w:pPr>
              <w:pStyle w:val="cuadroCabe"/>
              <w:jc w:val="right"/>
            </w:pPr>
            <w:proofErr w:type="spellStart"/>
            <w:r>
              <w:t>benef</w:t>
            </w:r>
            <w:proofErr w:type="spellEnd"/>
            <w:r>
              <w:t xml:space="preserve">. </w:t>
            </w:r>
            <w:proofErr w:type="spellStart"/>
            <w:r>
              <w:t>fisc</w:t>
            </w:r>
            <w:proofErr w:type="spellEnd"/>
            <w:r>
              <w:t xml:space="preserve"> 202</w:t>
            </w:r>
            <w:r w:rsidR="00464369">
              <w:t>3</w:t>
            </w:r>
          </w:p>
        </w:tc>
        <w:tc>
          <w:tcPr>
            <w:tcW w:w="1161" w:type="dxa"/>
            <w:gridSpan w:val="2"/>
            <w:tcBorders>
              <w:top w:val="single" w:sz="4" w:space="0" w:color="auto"/>
              <w:left w:val="nil"/>
              <w:bottom w:val="single" w:sz="4" w:space="0" w:color="auto"/>
              <w:right w:val="nil"/>
            </w:tcBorders>
            <w:shd w:val="clear" w:color="auto" w:fill="8DB3E2"/>
            <w:vAlign w:val="center"/>
            <w:hideMark/>
          </w:tcPr>
          <w:p w14:paraId="4093899A" w14:textId="77777777" w:rsidR="00614DC4" w:rsidRDefault="00614DC4" w:rsidP="00D12353">
            <w:pPr>
              <w:pStyle w:val="cuadroCabe"/>
              <w:jc w:val="right"/>
            </w:pPr>
            <w:r>
              <w:t>Resultados</w:t>
            </w:r>
          </w:p>
          <w:p w14:paraId="7712B8B3" w14:textId="77777777" w:rsidR="00614DC4" w:rsidRDefault="00614DC4" w:rsidP="00D12353">
            <w:pPr>
              <w:pStyle w:val="cuadroCabe"/>
              <w:jc w:val="right"/>
            </w:pPr>
            <w:r>
              <w:t>202</w:t>
            </w:r>
            <w:r w:rsidR="00464369">
              <w:t>3</w:t>
            </w:r>
          </w:p>
        </w:tc>
        <w:tc>
          <w:tcPr>
            <w:tcW w:w="1183" w:type="dxa"/>
            <w:gridSpan w:val="2"/>
            <w:tcBorders>
              <w:top w:val="single" w:sz="4" w:space="0" w:color="auto"/>
              <w:left w:val="nil"/>
              <w:bottom w:val="single" w:sz="4" w:space="0" w:color="auto"/>
              <w:right w:val="nil"/>
            </w:tcBorders>
            <w:shd w:val="clear" w:color="auto" w:fill="8DB3E2"/>
            <w:vAlign w:val="center"/>
            <w:hideMark/>
          </w:tcPr>
          <w:p w14:paraId="2444B07A" w14:textId="77777777" w:rsidR="00614DC4" w:rsidRDefault="00614DC4" w:rsidP="00E87693">
            <w:pPr>
              <w:pStyle w:val="cuadroCabe"/>
              <w:jc w:val="right"/>
            </w:pPr>
            <w:r>
              <w:t xml:space="preserve">Porcentaje </w:t>
            </w:r>
          </w:p>
          <w:p w14:paraId="7A32FF20" w14:textId="77777777" w:rsidR="00614DC4" w:rsidRDefault="00614DC4" w:rsidP="00E87693">
            <w:pPr>
              <w:pStyle w:val="cuadroCabe"/>
              <w:jc w:val="right"/>
            </w:pPr>
            <w:r>
              <w:t>realización</w:t>
            </w:r>
          </w:p>
        </w:tc>
      </w:tr>
      <w:tr w:rsidR="00464369" w:rsidRPr="0069768F" w14:paraId="72D44ACC" w14:textId="77777777" w:rsidTr="000511C1">
        <w:trPr>
          <w:gridAfter w:val="1"/>
          <w:wAfter w:w="49" w:type="dxa"/>
          <w:trHeight w:val="198"/>
          <w:jc w:val="center"/>
        </w:trPr>
        <w:tc>
          <w:tcPr>
            <w:tcW w:w="4919" w:type="dxa"/>
            <w:tcBorders>
              <w:top w:val="single" w:sz="2" w:space="0" w:color="auto"/>
              <w:left w:val="nil"/>
              <w:bottom w:val="single" w:sz="2" w:space="0" w:color="auto"/>
              <w:right w:val="nil"/>
            </w:tcBorders>
            <w:noWrap/>
            <w:vAlign w:val="center"/>
            <w:hideMark/>
          </w:tcPr>
          <w:p w14:paraId="6C1003D6" w14:textId="77777777" w:rsidR="00464369" w:rsidRPr="0069768F" w:rsidRDefault="00464369" w:rsidP="006F296B">
            <w:pPr>
              <w:pStyle w:val="cuatexto"/>
            </w:pPr>
            <w:r w:rsidRPr="0069768F">
              <w:t>IRPF</w:t>
            </w:r>
          </w:p>
        </w:tc>
        <w:tc>
          <w:tcPr>
            <w:tcW w:w="1539" w:type="dxa"/>
            <w:gridSpan w:val="2"/>
            <w:tcBorders>
              <w:top w:val="single" w:sz="2" w:space="0" w:color="auto"/>
              <w:left w:val="nil"/>
              <w:bottom w:val="single" w:sz="2" w:space="0" w:color="auto"/>
              <w:right w:val="nil"/>
            </w:tcBorders>
            <w:shd w:val="clear" w:color="auto" w:fill="auto"/>
            <w:vAlign w:val="center"/>
          </w:tcPr>
          <w:p w14:paraId="3D700AE6" w14:textId="77777777" w:rsidR="00464369" w:rsidRPr="0069768F" w:rsidRDefault="00464369" w:rsidP="006F296B">
            <w:pPr>
              <w:pStyle w:val="cuatexto"/>
              <w:jc w:val="right"/>
              <w:rPr>
                <w:rFonts w:cs="Arial"/>
              </w:rPr>
            </w:pPr>
            <w:r w:rsidRPr="0069768F">
              <w:rPr>
                <w:rFonts w:cs="Arial"/>
              </w:rPr>
              <w:t>438.634</w:t>
            </w:r>
          </w:p>
        </w:tc>
        <w:tc>
          <w:tcPr>
            <w:tcW w:w="1155" w:type="dxa"/>
            <w:gridSpan w:val="2"/>
            <w:tcBorders>
              <w:top w:val="single" w:sz="2" w:space="0" w:color="auto"/>
              <w:left w:val="nil"/>
              <w:bottom w:val="single" w:sz="2" w:space="0" w:color="auto"/>
              <w:right w:val="nil"/>
            </w:tcBorders>
            <w:shd w:val="clear" w:color="auto" w:fill="auto"/>
            <w:vAlign w:val="center"/>
          </w:tcPr>
          <w:p w14:paraId="0E5EF199" w14:textId="77777777" w:rsidR="00464369" w:rsidRPr="0069768F" w:rsidRDefault="00464369" w:rsidP="006F296B">
            <w:pPr>
              <w:pStyle w:val="cuatexto"/>
              <w:jc w:val="right"/>
              <w:rPr>
                <w:rFonts w:cs="Arial"/>
              </w:rPr>
            </w:pPr>
            <w:r w:rsidRPr="0069768F">
              <w:rPr>
                <w:rFonts w:cs="Arial"/>
              </w:rPr>
              <w:t>441.432</w:t>
            </w:r>
          </w:p>
        </w:tc>
        <w:tc>
          <w:tcPr>
            <w:tcW w:w="1176" w:type="dxa"/>
            <w:gridSpan w:val="2"/>
            <w:tcBorders>
              <w:top w:val="single" w:sz="2" w:space="0" w:color="auto"/>
              <w:left w:val="nil"/>
              <w:bottom w:val="single" w:sz="2" w:space="0" w:color="auto"/>
              <w:right w:val="nil"/>
            </w:tcBorders>
            <w:shd w:val="clear" w:color="auto" w:fill="auto"/>
            <w:vAlign w:val="center"/>
          </w:tcPr>
          <w:p w14:paraId="6B673E77" w14:textId="77777777" w:rsidR="00464369" w:rsidRPr="0069768F" w:rsidRDefault="00464369" w:rsidP="006F296B">
            <w:pPr>
              <w:pStyle w:val="cuatexto"/>
              <w:jc w:val="right"/>
              <w:rPr>
                <w:rFonts w:cs="Arial"/>
              </w:rPr>
            </w:pPr>
            <w:r w:rsidRPr="0069768F">
              <w:rPr>
                <w:rFonts w:cs="Arial"/>
              </w:rPr>
              <w:t>101</w:t>
            </w:r>
          </w:p>
        </w:tc>
      </w:tr>
      <w:tr w:rsidR="00464369" w:rsidRPr="0069768F" w14:paraId="34CB411C" w14:textId="77777777" w:rsidTr="000511C1">
        <w:trPr>
          <w:gridAfter w:val="1"/>
          <w:wAfter w:w="49" w:type="dxa"/>
          <w:trHeight w:val="198"/>
          <w:jc w:val="center"/>
        </w:trPr>
        <w:tc>
          <w:tcPr>
            <w:tcW w:w="4919" w:type="dxa"/>
            <w:tcBorders>
              <w:top w:val="single" w:sz="2" w:space="0" w:color="auto"/>
              <w:left w:val="nil"/>
              <w:bottom w:val="single" w:sz="2" w:space="0" w:color="auto"/>
              <w:right w:val="nil"/>
            </w:tcBorders>
            <w:noWrap/>
            <w:vAlign w:val="center"/>
            <w:hideMark/>
          </w:tcPr>
          <w:p w14:paraId="55465FC8" w14:textId="77777777" w:rsidR="00464369" w:rsidRPr="0069768F" w:rsidRDefault="00464369" w:rsidP="006F296B">
            <w:pPr>
              <w:pStyle w:val="cuatexto"/>
            </w:pPr>
            <w:r w:rsidRPr="0069768F">
              <w:t>Sociedades</w:t>
            </w:r>
          </w:p>
        </w:tc>
        <w:tc>
          <w:tcPr>
            <w:tcW w:w="1539" w:type="dxa"/>
            <w:gridSpan w:val="2"/>
            <w:tcBorders>
              <w:top w:val="single" w:sz="2" w:space="0" w:color="auto"/>
              <w:left w:val="nil"/>
              <w:bottom w:val="single" w:sz="2" w:space="0" w:color="auto"/>
              <w:right w:val="nil"/>
            </w:tcBorders>
            <w:shd w:val="clear" w:color="auto" w:fill="auto"/>
            <w:vAlign w:val="center"/>
          </w:tcPr>
          <w:p w14:paraId="07D55640" w14:textId="77777777" w:rsidR="00464369" w:rsidRPr="0069768F" w:rsidRDefault="00464369" w:rsidP="006F296B">
            <w:pPr>
              <w:pStyle w:val="cuatexto"/>
              <w:jc w:val="right"/>
              <w:rPr>
                <w:rFonts w:cs="Arial"/>
              </w:rPr>
            </w:pPr>
            <w:r w:rsidRPr="0069768F">
              <w:rPr>
                <w:rFonts w:cs="Arial"/>
              </w:rPr>
              <w:t>131.466</w:t>
            </w:r>
          </w:p>
        </w:tc>
        <w:tc>
          <w:tcPr>
            <w:tcW w:w="1155" w:type="dxa"/>
            <w:gridSpan w:val="2"/>
            <w:tcBorders>
              <w:top w:val="single" w:sz="2" w:space="0" w:color="auto"/>
              <w:left w:val="nil"/>
              <w:bottom w:val="single" w:sz="2" w:space="0" w:color="auto"/>
              <w:right w:val="nil"/>
            </w:tcBorders>
            <w:shd w:val="clear" w:color="auto" w:fill="auto"/>
            <w:vAlign w:val="center"/>
          </w:tcPr>
          <w:p w14:paraId="1E5A7985" w14:textId="77777777" w:rsidR="00464369" w:rsidRPr="0069768F" w:rsidRDefault="00464369" w:rsidP="006F296B">
            <w:pPr>
              <w:pStyle w:val="cuatexto"/>
              <w:jc w:val="right"/>
              <w:rPr>
                <w:rFonts w:cs="Arial"/>
              </w:rPr>
            </w:pPr>
            <w:r w:rsidRPr="0069768F">
              <w:rPr>
                <w:rFonts w:cs="Arial"/>
              </w:rPr>
              <w:t>155.784</w:t>
            </w:r>
          </w:p>
        </w:tc>
        <w:tc>
          <w:tcPr>
            <w:tcW w:w="1176" w:type="dxa"/>
            <w:gridSpan w:val="2"/>
            <w:tcBorders>
              <w:top w:val="single" w:sz="2" w:space="0" w:color="auto"/>
              <w:left w:val="nil"/>
              <w:bottom w:val="single" w:sz="2" w:space="0" w:color="auto"/>
              <w:right w:val="nil"/>
            </w:tcBorders>
            <w:shd w:val="clear" w:color="auto" w:fill="auto"/>
            <w:vAlign w:val="center"/>
          </w:tcPr>
          <w:p w14:paraId="0FF49380" w14:textId="77777777" w:rsidR="00464369" w:rsidRPr="0069768F" w:rsidRDefault="00464369" w:rsidP="006F296B">
            <w:pPr>
              <w:pStyle w:val="cuatexto"/>
              <w:jc w:val="right"/>
              <w:rPr>
                <w:rFonts w:cs="Arial"/>
              </w:rPr>
            </w:pPr>
            <w:r w:rsidRPr="0069768F">
              <w:rPr>
                <w:rFonts w:cs="Arial"/>
              </w:rPr>
              <w:t>118</w:t>
            </w:r>
          </w:p>
        </w:tc>
      </w:tr>
      <w:tr w:rsidR="00464369" w:rsidRPr="0069768F" w14:paraId="69238B24" w14:textId="77777777" w:rsidTr="000511C1">
        <w:trPr>
          <w:gridAfter w:val="1"/>
          <w:wAfter w:w="49" w:type="dxa"/>
          <w:trHeight w:val="198"/>
          <w:jc w:val="center"/>
        </w:trPr>
        <w:tc>
          <w:tcPr>
            <w:tcW w:w="4919" w:type="dxa"/>
            <w:tcBorders>
              <w:top w:val="single" w:sz="2" w:space="0" w:color="auto"/>
              <w:left w:val="nil"/>
              <w:bottom w:val="single" w:sz="2" w:space="0" w:color="auto"/>
              <w:right w:val="nil"/>
            </w:tcBorders>
            <w:noWrap/>
            <w:vAlign w:val="center"/>
            <w:hideMark/>
          </w:tcPr>
          <w:p w14:paraId="748D9E12" w14:textId="77777777" w:rsidR="00464369" w:rsidRPr="0069768F" w:rsidRDefault="00464369" w:rsidP="006F296B">
            <w:pPr>
              <w:pStyle w:val="cuatexto"/>
            </w:pPr>
            <w:r w:rsidRPr="0069768F">
              <w:t>Patrimonio</w:t>
            </w:r>
          </w:p>
        </w:tc>
        <w:tc>
          <w:tcPr>
            <w:tcW w:w="1539" w:type="dxa"/>
            <w:gridSpan w:val="2"/>
            <w:tcBorders>
              <w:top w:val="single" w:sz="2" w:space="0" w:color="auto"/>
              <w:left w:val="nil"/>
              <w:bottom w:val="single" w:sz="2" w:space="0" w:color="auto"/>
              <w:right w:val="nil"/>
            </w:tcBorders>
            <w:shd w:val="clear" w:color="auto" w:fill="auto"/>
            <w:vAlign w:val="center"/>
          </w:tcPr>
          <w:p w14:paraId="77F5FCA4" w14:textId="77777777" w:rsidR="00464369" w:rsidRPr="0069768F" w:rsidRDefault="00464369" w:rsidP="006F296B">
            <w:pPr>
              <w:pStyle w:val="cuatexto"/>
              <w:jc w:val="right"/>
              <w:rPr>
                <w:rFonts w:cs="Arial"/>
              </w:rPr>
            </w:pPr>
            <w:r w:rsidRPr="0069768F">
              <w:rPr>
                <w:rFonts w:cs="Arial"/>
              </w:rPr>
              <w:t>28.500</w:t>
            </w:r>
          </w:p>
        </w:tc>
        <w:tc>
          <w:tcPr>
            <w:tcW w:w="1155" w:type="dxa"/>
            <w:gridSpan w:val="2"/>
            <w:tcBorders>
              <w:top w:val="single" w:sz="2" w:space="0" w:color="auto"/>
              <w:left w:val="nil"/>
              <w:bottom w:val="single" w:sz="2" w:space="0" w:color="auto"/>
              <w:right w:val="nil"/>
            </w:tcBorders>
            <w:shd w:val="clear" w:color="auto" w:fill="auto"/>
            <w:vAlign w:val="center"/>
          </w:tcPr>
          <w:p w14:paraId="32EA1332" w14:textId="77777777" w:rsidR="00464369" w:rsidRPr="0069768F" w:rsidRDefault="00464369" w:rsidP="006F296B">
            <w:pPr>
              <w:pStyle w:val="cuatexto"/>
              <w:jc w:val="right"/>
              <w:rPr>
                <w:rFonts w:cs="Arial"/>
              </w:rPr>
            </w:pPr>
            <w:r w:rsidRPr="0069768F">
              <w:rPr>
                <w:rFonts w:cs="Arial"/>
              </w:rPr>
              <w:t>26.898</w:t>
            </w:r>
          </w:p>
        </w:tc>
        <w:tc>
          <w:tcPr>
            <w:tcW w:w="1176" w:type="dxa"/>
            <w:gridSpan w:val="2"/>
            <w:tcBorders>
              <w:top w:val="single" w:sz="2" w:space="0" w:color="auto"/>
              <w:left w:val="nil"/>
              <w:bottom w:val="single" w:sz="2" w:space="0" w:color="auto"/>
              <w:right w:val="nil"/>
            </w:tcBorders>
            <w:shd w:val="clear" w:color="auto" w:fill="auto"/>
            <w:vAlign w:val="center"/>
          </w:tcPr>
          <w:p w14:paraId="58EF2321" w14:textId="77777777" w:rsidR="00464369" w:rsidRPr="0069768F" w:rsidRDefault="00464369" w:rsidP="006F296B">
            <w:pPr>
              <w:pStyle w:val="cuatexto"/>
              <w:jc w:val="right"/>
              <w:rPr>
                <w:rFonts w:cs="Arial"/>
              </w:rPr>
            </w:pPr>
            <w:r w:rsidRPr="0069768F">
              <w:rPr>
                <w:rFonts w:cs="Arial"/>
              </w:rPr>
              <w:t>94</w:t>
            </w:r>
          </w:p>
        </w:tc>
      </w:tr>
      <w:tr w:rsidR="00464369" w:rsidRPr="0069768F" w14:paraId="6BBEC5E2" w14:textId="77777777" w:rsidTr="000511C1">
        <w:trPr>
          <w:gridAfter w:val="1"/>
          <w:wAfter w:w="49" w:type="dxa"/>
          <w:trHeight w:val="198"/>
          <w:jc w:val="center"/>
        </w:trPr>
        <w:tc>
          <w:tcPr>
            <w:tcW w:w="4919" w:type="dxa"/>
            <w:tcBorders>
              <w:top w:val="single" w:sz="2" w:space="0" w:color="auto"/>
              <w:left w:val="nil"/>
              <w:bottom w:val="single" w:sz="2" w:space="0" w:color="auto"/>
              <w:right w:val="nil"/>
            </w:tcBorders>
            <w:noWrap/>
            <w:vAlign w:val="center"/>
            <w:hideMark/>
          </w:tcPr>
          <w:p w14:paraId="139DE256" w14:textId="77777777" w:rsidR="00464369" w:rsidRPr="0069768F" w:rsidRDefault="00464369" w:rsidP="006F296B">
            <w:pPr>
              <w:pStyle w:val="cuatexto"/>
            </w:pPr>
            <w:r w:rsidRPr="0069768F">
              <w:t>Renta de no residentes</w:t>
            </w:r>
          </w:p>
        </w:tc>
        <w:tc>
          <w:tcPr>
            <w:tcW w:w="1539" w:type="dxa"/>
            <w:gridSpan w:val="2"/>
            <w:tcBorders>
              <w:top w:val="single" w:sz="2" w:space="0" w:color="auto"/>
              <w:left w:val="nil"/>
              <w:bottom w:val="single" w:sz="2" w:space="0" w:color="auto"/>
              <w:right w:val="nil"/>
            </w:tcBorders>
            <w:shd w:val="clear" w:color="auto" w:fill="auto"/>
            <w:vAlign w:val="center"/>
          </w:tcPr>
          <w:p w14:paraId="2B00B331" w14:textId="77777777" w:rsidR="00464369" w:rsidRPr="0069768F" w:rsidRDefault="00464369" w:rsidP="006F296B">
            <w:pPr>
              <w:pStyle w:val="cuatexto"/>
              <w:jc w:val="right"/>
              <w:rPr>
                <w:rFonts w:cs="Arial"/>
              </w:rPr>
            </w:pPr>
            <w:r w:rsidRPr="0069768F">
              <w:rPr>
                <w:rFonts w:cs="Arial"/>
              </w:rPr>
              <w:t>1.565</w:t>
            </w:r>
          </w:p>
        </w:tc>
        <w:tc>
          <w:tcPr>
            <w:tcW w:w="1155" w:type="dxa"/>
            <w:gridSpan w:val="2"/>
            <w:tcBorders>
              <w:top w:val="single" w:sz="2" w:space="0" w:color="auto"/>
              <w:left w:val="nil"/>
              <w:bottom w:val="single" w:sz="2" w:space="0" w:color="auto"/>
              <w:right w:val="nil"/>
            </w:tcBorders>
            <w:shd w:val="clear" w:color="auto" w:fill="auto"/>
            <w:vAlign w:val="center"/>
          </w:tcPr>
          <w:p w14:paraId="54E7303F" w14:textId="77777777" w:rsidR="00464369" w:rsidRPr="0069768F" w:rsidRDefault="00464369" w:rsidP="006F296B">
            <w:pPr>
              <w:pStyle w:val="cuatexto"/>
              <w:jc w:val="right"/>
              <w:rPr>
                <w:rFonts w:cs="Arial"/>
              </w:rPr>
            </w:pPr>
            <w:r w:rsidRPr="0069768F">
              <w:rPr>
                <w:rFonts w:cs="Arial"/>
              </w:rPr>
              <w:t>8.426</w:t>
            </w:r>
          </w:p>
        </w:tc>
        <w:tc>
          <w:tcPr>
            <w:tcW w:w="1176" w:type="dxa"/>
            <w:gridSpan w:val="2"/>
            <w:tcBorders>
              <w:top w:val="single" w:sz="2" w:space="0" w:color="auto"/>
              <w:left w:val="nil"/>
              <w:bottom w:val="single" w:sz="2" w:space="0" w:color="auto"/>
              <w:right w:val="nil"/>
            </w:tcBorders>
            <w:shd w:val="clear" w:color="auto" w:fill="auto"/>
            <w:vAlign w:val="center"/>
          </w:tcPr>
          <w:p w14:paraId="4432CBBC" w14:textId="77777777" w:rsidR="00464369" w:rsidRPr="0069768F" w:rsidRDefault="00464369" w:rsidP="006F296B">
            <w:pPr>
              <w:pStyle w:val="cuatexto"/>
              <w:jc w:val="right"/>
              <w:rPr>
                <w:rFonts w:cs="Arial"/>
              </w:rPr>
            </w:pPr>
            <w:r w:rsidRPr="0069768F">
              <w:rPr>
                <w:rFonts w:cs="Arial"/>
              </w:rPr>
              <w:t>438</w:t>
            </w:r>
          </w:p>
        </w:tc>
      </w:tr>
      <w:tr w:rsidR="00464369" w:rsidRPr="0069768F" w14:paraId="6A86C778" w14:textId="77777777" w:rsidTr="000511C1">
        <w:trPr>
          <w:gridAfter w:val="1"/>
          <w:wAfter w:w="49" w:type="dxa"/>
          <w:trHeight w:val="198"/>
          <w:jc w:val="center"/>
        </w:trPr>
        <w:tc>
          <w:tcPr>
            <w:tcW w:w="4919" w:type="dxa"/>
            <w:tcBorders>
              <w:top w:val="single" w:sz="2" w:space="0" w:color="auto"/>
              <w:left w:val="nil"/>
              <w:bottom w:val="single" w:sz="4" w:space="0" w:color="auto"/>
              <w:right w:val="nil"/>
            </w:tcBorders>
            <w:noWrap/>
            <w:vAlign w:val="center"/>
            <w:hideMark/>
          </w:tcPr>
          <w:p w14:paraId="10BA6019" w14:textId="77777777" w:rsidR="00464369" w:rsidRPr="0069768F" w:rsidRDefault="00464369" w:rsidP="006F296B">
            <w:pPr>
              <w:pStyle w:val="cuatexto"/>
            </w:pPr>
            <w:r w:rsidRPr="0069768F">
              <w:t>Sucesiones y donaciones</w:t>
            </w:r>
          </w:p>
        </w:tc>
        <w:tc>
          <w:tcPr>
            <w:tcW w:w="1539" w:type="dxa"/>
            <w:gridSpan w:val="2"/>
            <w:tcBorders>
              <w:top w:val="single" w:sz="2" w:space="0" w:color="auto"/>
              <w:left w:val="nil"/>
              <w:bottom w:val="single" w:sz="4" w:space="0" w:color="auto"/>
              <w:right w:val="nil"/>
            </w:tcBorders>
            <w:shd w:val="clear" w:color="auto" w:fill="auto"/>
            <w:vAlign w:val="center"/>
          </w:tcPr>
          <w:p w14:paraId="59054F42" w14:textId="77777777" w:rsidR="00464369" w:rsidRPr="0069768F" w:rsidRDefault="00464369" w:rsidP="006F296B">
            <w:pPr>
              <w:pStyle w:val="cuatexto"/>
              <w:jc w:val="right"/>
              <w:rPr>
                <w:rFonts w:cs="Arial"/>
              </w:rPr>
            </w:pPr>
            <w:r w:rsidRPr="0069768F">
              <w:rPr>
                <w:rFonts w:cs="Arial"/>
              </w:rPr>
              <w:t>8.993</w:t>
            </w:r>
          </w:p>
        </w:tc>
        <w:tc>
          <w:tcPr>
            <w:tcW w:w="1155" w:type="dxa"/>
            <w:gridSpan w:val="2"/>
            <w:tcBorders>
              <w:top w:val="single" w:sz="2" w:space="0" w:color="auto"/>
              <w:left w:val="nil"/>
              <w:bottom w:val="single" w:sz="4" w:space="0" w:color="auto"/>
              <w:right w:val="nil"/>
            </w:tcBorders>
            <w:shd w:val="clear" w:color="auto" w:fill="auto"/>
            <w:vAlign w:val="center"/>
          </w:tcPr>
          <w:p w14:paraId="3BBE8F50" w14:textId="77777777" w:rsidR="00464369" w:rsidRPr="0069768F" w:rsidRDefault="00464369" w:rsidP="006F296B">
            <w:pPr>
              <w:pStyle w:val="cuatexto"/>
              <w:jc w:val="right"/>
              <w:rPr>
                <w:rFonts w:cs="Arial"/>
              </w:rPr>
            </w:pPr>
            <w:r w:rsidRPr="0069768F">
              <w:rPr>
                <w:rFonts w:cs="Arial"/>
              </w:rPr>
              <w:t>10.567</w:t>
            </w:r>
          </w:p>
        </w:tc>
        <w:tc>
          <w:tcPr>
            <w:tcW w:w="1176" w:type="dxa"/>
            <w:gridSpan w:val="2"/>
            <w:tcBorders>
              <w:top w:val="single" w:sz="2" w:space="0" w:color="auto"/>
              <w:left w:val="nil"/>
              <w:bottom w:val="single" w:sz="4" w:space="0" w:color="auto"/>
              <w:right w:val="nil"/>
            </w:tcBorders>
            <w:shd w:val="clear" w:color="auto" w:fill="auto"/>
            <w:vAlign w:val="center"/>
          </w:tcPr>
          <w:p w14:paraId="188CBEF7" w14:textId="77777777" w:rsidR="00464369" w:rsidRPr="0069768F" w:rsidRDefault="004C5A8F" w:rsidP="006F296B">
            <w:pPr>
              <w:pStyle w:val="cuatexto"/>
              <w:jc w:val="right"/>
              <w:rPr>
                <w:rFonts w:cs="Arial"/>
              </w:rPr>
            </w:pPr>
            <w:r w:rsidRPr="0069768F">
              <w:rPr>
                <w:rFonts w:cs="Arial"/>
              </w:rPr>
              <w:t>118</w:t>
            </w:r>
          </w:p>
        </w:tc>
      </w:tr>
      <w:tr w:rsidR="00464369" w:rsidRPr="0069768F" w14:paraId="3CCBD941" w14:textId="77777777" w:rsidTr="000511C1">
        <w:trPr>
          <w:gridAfter w:val="1"/>
          <w:wAfter w:w="49" w:type="dxa"/>
          <w:trHeight w:val="255"/>
          <w:jc w:val="center"/>
        </w:trPr>
        <w:tc>
          <w:tcPr>
            <w:tcW w:w="4919" w:type="dxa"/>
            <w:tcBorders>
              <w:top w:val="single" w:sz="4" w:space="0" w:color="auto"/>
              <w:left w:val="nil"/>
              <w:bottom w:val="single" w:sz="4" w:space="0" w:color="auto"/>
              <w:right w:val="nil"/>
            </w:tcBorders>
            <w:shd w:val="clear" w:color="auto" w:fill="95B3D7" w:themeFill="accent1" w:themeFillTint="99"/>
            <w:noWrap/>
            <w:vAlign w:val="center"/>
            <w:hideMark/>
          </w:tcPr>
          <w:p w14:paraId="4F9F3A35" w14:textId="77777777" w:rsidR="00464369" w:rsidRPr="0069768F" w:rsidRDefault="00464369" w:rsidP="006F296B">
            <w:pPr>
              <w:pStyle w:val="cuadroCabe"/>
            </w:pPr>
            <w:r w:rsidRPr="0069768F">
              <w:t>1. Impuestos directos</w:t>
            </w:r>
          </w:p>
        </w:tc>
        <w:tc>
          <w:tcPr>
            <w:tcW w:w="1539" w:type="dxa"/>
            <w:gridSpan w:val="2"/>
            <w:tcBorders>
              <w:top w:val="single" w:sz="4" w:space="0" w:color="auto"/>
              <w:left w:val="nil"/>
              <w:bottom w:val="single" w:sz="4" w:space="0" w:color="auto"/>
              <w:right w:val="nil"/>
            </w:tcBorders>
            <w:shd w:val="clear" w:color="000000" w:fill="95B3D7"/>
            <w:vAlign w:val="center"/>
          </w:tcPr>
          <w:p w14:paraId="2A88E782" w14:textId="77777777" w:rsidR="00464369" w:rsidRPr="0069768F" w:rsidRDefault="00464369" w:rsidP="006F296B">
            <w:pPr>
              <w:pStyle w:val="cuadroCabe"/>
              <w:jc w:val="right"/>
            </w:pPr>
            <w:r w:rsidRPr="0069768F">
              <w:t>609.158</w:t>
            </w:r>
          </w:p>
        </w:tc>
        <w:tc>
          <w:tcPr>
            <w:tcW w:w="1155" w:type="dxa"/>
            <w:gridSpan w:val="2"/>
            <w:tcBorders>
              <w:top w:val="single" w:sz="4" w:space="0" w:color="auto"/>
              <w:left w:val="nil"/>
              <w:bottom w:val="single" w:sz="4" w:space="0" w:color="auto"/>
              <w:right w:val="nil"/>
            </w:tcBorders>
            <w:shd w:val="clear" w:color="000000" w:fill="95B3D7"/>
            <w:vAlign w:val="center"/>
          </w:tcPr>
          <w:p w14:paraId="6126416A" w14:textId="77777777" w:rsidR="00464369" w:rsidRPr="0069768F" w:rsidRDefault="00464369" w:rsidP="006F296B">
            <w:pPr>
              <w:pStyle w:val="cuadroCabe"/>
              <w:jc w:val="right"/>
            </w:pPr>
            <w:r w:rsidRPr="0069768F">
              <w:t>643.107</w:t>
            </w:r>
          </w:p>
        </w:tc>
        <w:tc>
          <w:tcPr>
            <w:tcW w:w="1176" w:type="dxa"/>
            <w:gridSpan w:val="2"/>
            <w:tcBorders>
              <w:top w:val="single" w:sz="4" w:space="0" w:color="auto"/>
              <w:left w:val="nil"/>
              <w:bottom w:val="single" w:sz="4" w:space="0" w:color="auto"/>
              <w:right w:val="nil"/>
            </w:tcBorders>
            <w:shd w:val="clear" w:color="000000" w:fill="95B3D7"/>
            <w:vAlign w:val="center"/>
          </w:tcPr>
          <w:p w14:paraId="13A85B86" w14:textId="77777777" w:rsidR="00464369" w:rsidRPr="0069768F" w:rsidRDefault="004C5A8F" w:rsidP="006F296B">
            <w:pPr>
              <w:pStyle w:val="cuadroCabe"/>
              <w:jc w:val="right"/>
            </w:pPr>
            <w:r w:rsidRPr="0069768F">
              <w:t>106</w:t>
            </w:r>
          </w:p>
        </w:tc>
      </w:tr>
      <w:tr w:rsidR="00464369" w:rsidRPr="0069768F" w14:paraId="16BC202E" w14:textId="77777777" w:rsidTr="000511C1">
        <w:trPr>
          <w:gridAfter w:val="1"/>
          <w:wAfter w:w="49" w:type="dxa"/>
          <w:trHeight w:val="198"/>
          <w:jc w:val="center"/>
        </w:trPr>
        <w:tc>
          <w:tcPr>
            <w:tcW w:w="4919" w:type="dxa"/>
            <w:tcBorders>
              <w:top w:val="single" w:sz="4" w:space="0" w:color="auto"/>
              <w:left w:val="nil"/>
              <w:bottom w:val="single" w:sz="2" w:space="0" w:color="auto"/>
              <w:right w:val="nil"/>
            </w:tcBorders>
            <w:noWrap/>
            <w:vAlign w:val="center"/>
            <w:hideMark/>
          </w:tcPr>
          <w:p w14:paraId="735A6794" w14:textId="77777777" w:rsidR="00464369" w:rsidRPr="0069768F" w:rsidRDefault="00464369" w:rsidP="006F296B">
            <w:pPr>
              <w:pStyle w:val="cuatexto"/>
            </w:pPr>
            <w:r w:rsidRPr="0069768F">
              <w:t>IVA</w:t>
            </w:r>
          </w:p>
        </w:tc>
        <w:tc>
          <w:tcPr>
            <w:tcW w:w="1539" w:type="dxa"/>
            <w:gridSpan w:val="2"/>
            <w:tcBorders>
              <w:top w:val="single" w:sz="4" w:space="0" w:color="auto"/>
              <w:left w:val="nil"/>
              <w:bottom w:val="single" w:sz="2" w:space="0" w:color="auto"/>
              <w:right w:val="nil"/>
            </w:tcBorders>
            <w:shd w:val="clear" w:color="auto" w:fill="auto"/>
            <w:vAlign w:val="center"/>
          </w:tcPr>
          <w:p w14:paraId="6E449837" w14:textId="77777777" w:rsidR="00464369" w:rsidRPr="0069768F" w:rsidRDefault="00464369" w:rsidP="006F296B">
            <w:pPr>
              <w:pStyle w:val="cuatexto"/>
              <w:jc w:val="right"/>
              <w:rPr>
                <w:rFonts w:cs="Arial"/>
              </w:rPr>
            </w:pPr>
            <w:r w:rsidRPr="0069768F">
              <w:rPr>
                <w:rFonts w:cs="Arial"/>
              </w:rPr>
              <w:t>797.988</w:t>
            </w:r>
          </w:p>
        </w:tc>
        <w:tc>
          <w:tcPr>
            <w:tcW w:w="1155" w:type="dxa"/>
            <w:gridSpan w:val="2"/>
            <w:tcBorders>
              <w:top w:val="single" w:sz="4" w:space="0" w:color="auto"/>
              <w:left w:val="nil"/>
              <w:bottom w:val="single" w:sz="2" w:space="0" w:color="auto"/>
              <w:right w:val="nil"/>
            </w:tcBorders>
            <w:shd w:val="clear" w:color="auto" w:fill="auto"/>
            <w:vAlign w:val="center"/>
          </w:tcPr>
          <w:p w14:paraId="58907522" w14:textId="77777777" w:rsidR="00464369" w:rsidRPr="0069768F" w:rsidRDefault="00464369" w:rsidP="006F296B">
            <w:pPr>
              <w:pStyle w:val="cuatexto"/>
              <w:jc w:val="right"/>
              <w:rPr>
                <w:rFonts w:cs="Arial"/>
              </w:rPr>
            </w:pPr>
            <w:r w:rsidRPr="0069768F">
              <w:rPr>
                <w:rFonts w:cs="Arial"/>
              </w:rPr>
              <w:t>884.158</w:t>
            </w:r>
          </w:p>
        </w:tc>
        <w:tc>
          <w:tcPr>
            <w:tcW w:w="1176" w:type="dxa"/>
            <w:gridSpan w:val="2"/>
            <w:tcBorders>
              <w:top w:val="single" w:sz="4" w:space="0" w:color="auto"/>
              <w:left w:val="nil"/>
              <w:bottom w:val="single" w:sz="2" w:space="0" w:color="auto"/>
              <w:right w:val="nil"/>
            </w:tcBorders>
            <w:shd w:val="clear" w:color="auto" w:fill="auto"/>
            <w:vAlign w:val="center"/>
          </w:tcPr>
          <w:p w14:paraId="38EA7CA2" w14:textId="77777777" w:rsidR="00464369" w:rsidRPr="0069768F" w:rsidRDefault="00464369" w:rsidP="006F296B">
            <w:pPr>
              <w:pStyle w:val="cuatexto"/>
              <w:jc w:val="right"/>
              <w:rPr>
                <w:rFonts w:cs="Arial"/>
              </w:rPr>
            </w:pPr>
            <w:r w:rsidRPr="0069768F">
              <w:rPr>
                <w:rFonts w:cs="Arial"/>
              </w:rPr>
              <w:t>11</w:t>
            </w:r>
            <w:r w:rsidR="004C5A8F" w:rsidRPr="0069768F">
              <w:rPr>
                <w:rFonts w:cs="Arial"/>
              </w:rPr>
              <w:t>1</w:t>
            </w:r>
          </w:p>
        </w:tc>
      </w:tr>
      <w:tr w:rsidR="00464369" w:rsidRPr="0069768F" w14:paraId="30FE8B5D" w14:textId="77777777" w:rsidTr="000511C1">
        <w:trPr>
          <w:gridAfter w:val="1"/>
          <w:wAfter w:w="49" w:type="dxa"/>
          <w:trHeight w:val="198"/>
          <w:jc w:val="center"/>
        </w:trPr>
        <w:tc>
          <w:tcPr>
            <w:tcW w:w="4919" w:type="dxa"/>
            <w:tcBorders>
              <w:top w:val="single" w:sz="2" w:space="0" w:color="auto"/>
              <w:left w:val="nil"/>
              <w:bottom w:val="single" w:sz="2" w:space="0" w:color="auto"/>
              <w:right w:val="nil"/>
            </w:tcBorders>
            <w:noWrap/>
            <w:vAlign w:val="center"/>
            <w:hideMark/>
          </w:tcPr>
          <w:p w14:paraId="4A2B4992" w14:textId="77777777" w:rsidR="00464369" w:rsidRPr="0069768F" w:rsidRDefault="00464369" w:rsidP="006F296B">
            <w:pPr>
              <w:pStyle w:val="cuatexto"/>
            </w:pPr>
            <w:r w:rsidRPr="0069768F">
              <w:t>Impuestos especiales</w:t>
            </w:r>
          </w:p>
        </w:tc>
        <w:tc>
          <w:tcPr>
            <w:tcW w:w="1539" w:type="dxa"/>
            <w:gridSpan w:val="2"/>
            <w:tcBorders>
              <w:top w:val="single" w:sz="2" w:space="0" w:color="auto"/>
              <w:left w:val="nil"/>
              <w:bottom w:val="single" w:sz="2" w:space="0" w:color="auto"/>
              <w:right w:val="nil"/>
            </w:tcBorders>
            <w:shd w:val="clear" w:color="auto" w:fill="auto"/>
            <w:vAlign w:val="center"/>
          </w:tcPr>
          <w:p w14:paraId="79B23D1A" w14:textId="77777777" w:rsidR="00464369" w:rsidRPr="0069768F" w:rsidRDefault="00464369" w:rsidP="006F296B">
            <w:pPr>
              <w:pStyle w:val="cuatexto"/>
              <w:jc w:val="right"/>
              <w:rPr>
                <w:rFonts w:cs="Arial"/>
              </w:rPr>
            </w:pPr>
            <w:r w:rsidRPr="0069768F">
              <w:rPr>
                <w:rFonts w:cs="Arial"/>
              </w:rPr>
              <w:t>56.681</w:t>
            </w:r>
          </w:p>
        </w:tc>
        <w:tc>
          <w:tcPr>
            <w:tcW w:w="1155" w:type="dxa"/>
            <w:gridSpan w:val="2"/>
            <w:tcBorders>
              <w:top w:val="single" w:sz="2" w:space="0" w:color="auto"/>
              <w:left w:val="nil"/>
              <w:bottom w:val="single" w:sz="2" w:space="0" w:color="auto"/>
              <w:right w:val="nil"/>
            </w:tcBorders>
            <w:shd w:val="clear" w:color="auto" w:fill="auto"/>
            <w:vAlign w:val="center"/>
          </w:tcPr>
          <w:p w14:paraId="45DF1132" w14:textId="77777777" w:rsidR="00464369" w:rsidRPr="0069768F" w:rsidRDefault="00464369" w:rsidP="006F296B">
            <w:pPr>
              <w:pStyle w:val="cuatexto"/>
              <w:jc w:val="right"/>
              <w:rPr>
                <w:rFonts w:cs="Arial"/>
              </w:rPr>
            </w:pPr>
            <w:r w:rsidRPr="0069768F">
              <w:rPr>
                <w:rFonts w:cs="Arial"/>
              </w:rPr>
              <w:t>50.743</w:t>
            </w:r>
          </w:p>
        </w:tc>
        <w:tc>
          <w:tcPr>
            <w:tcW w:w="1176" w:type="dxa"/>
            <w:gridSpan w:val="2"/>
            <w:tcBorders>
              <w:top w:val="single" w:sz="2" w:space="0" w:color="auto"/>
              <w:left w:val="nil"/>
              <w:bottom w:val="single" w:sz="2" w:space="0" w:color="auto"/>
              <w:right w:val="nil"/>
            </w:tcBorders>
            <w:shd w:val="clear" w:color="auto" w:fill="auto"/>
            <w:vAlign w:val="center"/>
          </w:tcPr>
          <w:p w14:paraId="19A383A8" w14:textId="77777777" w:rsidR="00464369" w:rsidRPr="0069768F" w:rsidRDefault="004C5A8F" w:rsidP="006F296B">
            <w:pPr>
              <w:pStyle w:val="cuatexto"/>
              <w:jc w:val="right"/>
              <w:rPr>
                <w:rFonts w:cs="Arial"/>
              </w:rPr>
            </w:pPr>
            <w:r w:rsidRPr="0069768F">
              <w:rPr>
                <w:rFonts w:cs="Arial"/>
              </w:rPr>
              <w:t>90</w:t>
            </w:r>
          </w:p>
        </w:tc>
      </w:tr>
      <w:tr w:rsidR="00464369" w:rsidRPr="0069768F" w14:paraId="46EB5290" w14:textId="77777777" w:rsidTr="000511C1">
        <w:trPr>
          <w:gridAfter w:val="1"/>
          <w:wAfter w:w="49" w:type="dxa"/>
          <w:trHeight w:val="198"/>
          <w:jc w:val="center"/>
        </w:trPr>
        <w:tc>
          <w:tcPr>
            <w:tcW w:w="4919" w:type="dxa"/>
            <w:tcBorders>
              <w:top w:val="single" w:sz="2" w:space="0" w:color="auto"/>
              <w:left w:val="nil"/>
              <w:bottom w:val="single" w:sz="2" w:space="0" w:color="auto"/>
              <w:right w:val="nil"/>
            </w:tcBorders>
            <w:noWrap/>
            <w:vAlign w:val="center"/>
            <w:hideMark/>
          </w:tcPr>
          <w:p w14:paraId="303545A1" w14:textId="77777777" w:rsidR="00464369" w:rsidRPr="0069768F" w:rsidRDefault="00464369" w:rsidP="006F296B">
            <w:pPr>
              <w:pStyle w:val="cuatexto"/>
            </w:pPr>
            <w:r w:rsidRPr="0069768F">
              <w:t>Impuesto sobre las primas de seguros</w:t>
            </w:r>
          </w:p>
        </w:tc>
        <w:tc>
          <w:tcPr>
            <w:tcW w:w="1539" w:type="dxa"/>
            <w:gridSpan w:val="2"/>
            <w:tcBorders>
              <w:top w:val="single" w:sz="2" w:space="0" w:color="auto"/>
              <w:left w:val="nil"/>
              <w:bottom w:val="single" w:sz="2" w:space="0" w:color="auto"/>
              <w:right w:val="nil"/>
            </w:tcBorders>
            <w:shd w:val="clear" w:color="auto" w:fill="auto"/>
            <w:vAlign w:val="center"/>
          </w:tcPr>
          <w:p w14:paraId="06BCF8F9" w14:textId="77777777" w:rsidR="00464369" w:rsidRPr="0069768F" w:rsidRDefault="00464369" w:rsidP="006F296B">
            <w:pPr>
              <w:pStyle w:val="cuatexto"/>
              <w:jc w:val="right"/>
              <w:rPr>
                <w:rFonts w:cs="Arial"/>
              </w:rPr>
            </w:pPr>
            <w:r w:rsidRPr="0069768F">
              <w:rPr>
                <w:rFonts w:cs="Arial"/>
              </w:rPr>
              <w:t>11.655</w:t>
            </w:r>
          </w:p>
        </w:tc>
        <w:tc>
          <w:tcPr>
            <w:tcW w:w="1155" w:type="dxa"/>
            <w:gridSpan w:val="2"/>
            <w:tcBorders>
              <w:top w:val="single" w:sz="2" w:space="0" w:color="auto"/>
              <w:left w:val="nil"/>
              <w:bottom w:val="single" w:sz="2" w:space="0" w:color="auto"/>
              <w:right w:val="nil"/>
            </w:tcBorders>
            <w:shd w:val="clear" w:color="auto" w:fill="auto"/>
            <w:vAlign w:val="center"/>
          </w:tcPr>
          <w:p w14:paraId="1AA826E0" w14:textId="77777777" w:rsidR="00464369" w:rsidRPr="0069768F" w:rsidRDefault="00464369" w:rsidP="006F296B">
            <w:pPr>
              <w:pStyle w:val="cuatexto"/>
              <w:jc w:val="right"/>
              <w:rPr>
                <w:rFonts w:cs="Arial"/>
              </w:rPr>
            </w:pPr>
            <w:r w:rsidRPr="0069768F">
              <w:rPr>
                <w:rFonts w:cs="Arial"/>
              </w:rPr>
              <w:t>13.684</w:t>
            </w:r>
          </w:p>
        </w:tc>
        <w:tc>
          <w:tcPr>
            <w:tcW w:w="1176" w:type="dxa"/>
            <w:gridSpan w:val="2"/>
            <w:tcBorders>
              <w:top w:val="single" w:sz="2" w:space="0" w:color="auto"/>
              <w:left w:val="nil"/>
              <w:bottom w:val="single" w:sz="2" w:space="0" w:color="auto"/>
              <w:right w:val="nil"/>
            </w:tcBorders>
            <w:shd w:val="clear" w:color="auto" w:fill="auto"/>
            <w:vAlign w:val="center"/>
          </w:tcPr>
          <w:p w14:paraId="3FE81E9D" w14:textId="77777777" w:rsidR="00464369" w:rsidRPr="0069768F" w:rsidRDefault="004C5A8F" w:rsidP="006F296B">
            <w:pPr>
              <w:pStyle w:val="cuatexto"/>
              <w:jc w:val="right"/>
              <w:rPr>
                <w:rFonts w:cs="Arial"/>
              </w:rPr>
            </w:pPr>
            <w:r w:rsidRPr="0069768F">
              <w:rPr>
                <w:rFonts w:cs="Arial"/>
              </w:rPr>
              <w:t>1</w:t>
            </w:r>
            <w:r w:rsidR="00464369" w:rsidRPr="0069768F">
              <w:rPr>
                <w:rFonts w:cs="Arial"/>
              </w:rPr>
              <w:t>17</w:t>
            </w:r>
          </w:p>
        </w:tc>
      </w:tr>
      <w:tr w:rsidR="00464369" w:rsidRPr="0069768F" w14:paraId="77C9D7DB" w14:textId="77777777" w:rsidTr="000511C1">
        <w:trPr>
          <w:gridAfter w:val="1"/>
          <w:wAfter w:w="49" w:type="dxa"/>
          <w:trHeight w:val="198"/>
          <w:jc w:val="center"/>
        </w:trPr>
        <w:tc>
          <w:tcPr>
            <w:tcW w:w="4919" w:type="dxa"/>
            <w:tcBorders>
              <w:top w:val="single" w:sz="2" w:space="0" w:color="auto"/>
              <w:left w:val="nil"/>
              <w:bottom w:val="single" w:sz="4" w:space="0" w:color="auto"/>
              <w:right w:val="nil"/>
            </w:tcBorders>
            <w:noWrap/>
            <w:vAlign w:val="center"/>
            <w:hideMark/>
          </w:tcPr>
          <w:p w14:paraId="4CCB3CDF" w14:textId="77777777" w:rsidR="00464369" w:rsidRPr="0069768F" w:rsidRDefault="00464369" w:rsidP="006F296B">
            <w:pPr>
              <w:pStyle w:val="cuatexto"/>
            </w:pPr>
            <w:r w:rsidRPr="0069768F">
              <w:t>Transmisiones patrimoniales y actos jurídicos documentados</w:t>
            </w:r>
          </w:p>
        </w:tc>
        <w:tc>
          <w:tcPr>
            <w:tcW w:w="1539" w:type="dxa"/>
            <w:gridSpan w:val="2"/>
            <w:tcBorders>
              <w:top w:val="single" w:sz="2" w:space="0" w:color="auto"/>
              <w:left w:val="nil"/>
              <w:bottom w:val="single" w:sz="4" w:space="0" w:color="auto"/>
              <w:right w:val="nil"/>
            </w:tcBorders>
            <w:shd w:val="clear" w:color="auto" w:fill="auto"/>
            <w:vAlign w:val="center"/>
          </w:tcPr>
          <w:p w14:paraId="2BEB19B2" w14:textId="77777777" w:rsidR="00464369" w:rsidRPr="0069768F" w:rsidRDefault="00464369" w:rsidP="006F296B">
            <w:pPr>
              <w:pStyle w:val="cuatexto"/>
              <w:jc w:val="right"/>
              <w:rPr>
                <w:rFonts w:cs="Arial"/>
              </w:rPr>
            </w:pPr>
            <w:r w:rsidRPr="0069768F">
              <w:rPr>
                <w:rFonts w:cs="Arial"/>
              </w:rPr>
              <w:t>8.930</w:t>
            </w:r>
          </w:p>
        </w:tc>
        <w:tc>
          <w:tcPr>
            <w:tcW w:w="1155" w:type="dxa"/>
            <w:gridSpan w:val="2"/>
            <w:tcBorders>
              <w:top w:val="single" w:sz="2" w:space="0" w:color="auto"/>
              <w:left w:val="nil"/>
              <w:bottom w:val="single" w:sz="4" w:space="0" w:color="auto"/>
              <w:right w:val="nil"/>
            </w:tcBorders>
            <w:shd w:val="clear" w:color="auto" w:fill="auto"/>
            <w:vAlign w:val="center"/>
          </w:tcPr>
          <w:p w14:paraId="75457D9B" w14:textId="77777777" w:rsidR="00464369" w:rsidRPr="0069768F" w:rsidRDefault="00464369" w:rsidP="006F296B">
            <w:pPr>
              <w:pStyle w:val="cuatexto"/>
              <w:jc w:val="right"/>
              <w:rPr>
                <w:rFonts w:cs="Arial"/>
              </w:rPr>
            </w:pPr>
            <w:r w:rsidRPr="0069768F">
              <w:rPr>
                <w:rFonts w:cs="Arial"/>
              </w:rPr>
              <w:t>7.610</w:t>
            </w:r>
          </w:p>
        </w:tc>
        <w:tc>
          <w:tcPr>
            <w:tcW w:w="1176" w:type="dxa"/>
            <w:gridSpan w:val="2"/>
            <w:tcBorders>
              <w:top w:val="single" w:sz="2" w:space="0" w:color="auto"/>
              <w:left w:val="nil"/>
              <w:bottom w:val="single" w:sz="4" w:space="0" w:color="auto"/>
              <w:right w:val="nil"/>
            </w:tcBorders>
            <w:shd w:val="clear" w:color="auto" w:fill="auto"/>
            <w:vAlign w:val="center"/>
          </w:tcPr>
          <w:p w14:paraId="05F08924" w14:textId="77777777" w:rsidR="00464369" w:rsidRPr="0069768F" w:rsidRDefault="004C5A8F" w:rsidP="006F296B">
            <w:pPr>
              <w:pStyle w:val="cuatexto"/>
              <w:jc w:val="right"/>
              <w:rPr>
                <w:rFonts w:cs="Arial"/>
              </w:rPr>
            </w:pPr>
            <w:r w:rsidRPr="0069768F">
              <w:rPr>
                <w:rFonts w:cs="Arial"/>
              </w:rPr>
              <w:t>85</w:t>
            </w:r>
          </w:p>
        </w:tc>
      </w:tr>
      <w:tr w:rsidR="00464369" w:rsidRPr="0069768F" w14:paraId="2EB31CFC" w14:textId="77777777" w:rsidTr="000511C1">
        <w:trPr>
          <w:gridAfter w:val="1"/>
          <w:wAfter w:w="49" w:type="dxa"/>
          <w:trHeight w:val="255"/>
          <w:jc w:val="center"/>
        </w:trPr>
        <w:tc>
          <w:tcPr>
            <w:tcW w:w="4919" w:type="dxa"/>
            <w:tcBorders>
              <w:top w:val="single" w:sz="4" w:space="0" w:color="auto"/>
              <w:left w:val="nil"/>
              <w:bottom w:val="single" w:sz="4" w:space="0" w:color="auto"/>
              <w:right w:val="nil"/>
            </w:tcBorders>
            <w:shd w:val="clear" w:color="auto" w:fill="95B3D7" w:themeFill="accent1" w:themeFillTint="99"/>
            <w:noWrap/>
            <w:vAlign w:val="center"/>
            <w:hideMark/>
          </w:tcPr>
          <w:p w14:paraId="156AEC17" w14:textId="77777777" w:rsidR="00464369" w:rsidRPr="0069768F" w:rsidRDefault="00464369" w:rsidP="006F296B">
            <w:pPr>
              <w:pStyle w:val="cuadroCabe"/>
            </w:pPr>
            <w:r w:rsidRPr="0069768F">
              <w:t>2. Impuestos indirectos</w:t>
            </w:r>
          </w:p>
        </w:tc>
        <w:tc>
          <w:tcPr>
            <w:tcW w:w="1539" w:type="dxa"/>
            <w:gridSpan w:val="2"/>
            <w:tcBorders>
              <w:top w:val="single" w:sz="4" w:space="0" w:color="auto"/>
              <w:left w:val="nil"/>
              <w:bottom w:val="single" w:sz="4" w:space="0" w:color="auto"/>
              <w:right w:val="nil"/>
            </w:tcBorders>
            <w:shd w:val="clear" w:color="000000" w:fill="95B3D7"/>
            <w:vAlign w:val="center"/>
          </w:tcPr>
          <w:p w14:paraId="41EFE7D3" w14:textId="77777777" w:rsidR="00464369" w:rsidRPr="0069768F" w:rsidRDefault="00464369" w:rsidP="006F296B">
            <w:pPr>
              <w:pStyle w:val="cuadroCabe"/>
              <w:jc w:val="right"/>
            </w:pPr>
            <w:r w:rsidRPr="0069768F">
              <w:t>875.254</w:t>
            </w:r>
          </w:p>
        </w:tc>
        <w:tc>
          <w:tcPr>
            <w:tcW w:w="1155" w:type="dxa"/>
            <w:gridSpan w:val="2"/>
            <w:tcBorders>
              <w:top w:val="single" w:sz="4" w:space="0" w:color="auto"/>
              <w:left w:val="nil"/>
              <w:bottom w:val="single" w:sz="4" w:space="0" w:color="auto"/>
              <w:right w:val="nil"/>
            </w:tcBorders>
            <w:shd w:val="clear" w:color="000000" w:fill="95B3D7"/>
            <w:vAlign w:val="center"/>
          </w:tcPr>
          <w:p w14:paraId="2B9D6FB5" w14:textId="77777777" w:rsidR="00464369" w:rsidRPr="0069768F" w:rsidRDefault="00464369" w:rsidP="006F296B">
            <w:pPr>
              <w:pStyle w:val="cuadroCabe"/>
              <w:jc w:val="right"/>
            </w:pPr>
            <w:r w:rsidRPr="0069768F">
              <w:t>956.195</w:t>
            </w:r>
          </w:p>
        </w:tc>
        <w:tc>
          <w:tcPr>
            <w:tcW w:w="1176" w:type="dxa"/>
            <w:gridSpan w:val="2"/>
            <w:tcBorders>
              <w:top w:val="single" w:sz="4" w:space="0" w:color="auto"/>
              <w:left w:val="nil"/>
              <w:bottom w:val="single" w:sz="4" w:space="0" w:color="auto"/>
              <w:right w:val="nil"/>
            </w:tcBorders>
            <w:shd w:val="clear" w:color="000000" w:fill="95B3D7"/>
            <w:vAlign w:val="center"/>
          </w:tcPr>
          <w:p w14:paraId="51D3355D" w14:textId="77777777" w:rsidR="00464369" w:rsidRPr="0069768F" w:rsidRDefault="004C5A8F" w:rsidP="006F296B">
            <w:pPr>
              <w:pStyle w:val="cuadroCabe"/>
              <w:jc w:val="right"/>
            </w:pPr>
            <w:r w:rsidRPr="0069768F">
              <w:t>109</w:t>
            </w:r>
          </w:p>
        </w:tc>
      </w:tr>
      <w:tr w:rsidR="00464369" w:rsidRPr="0069768F" w14:paraId="37885335" w14:textId="77777777" w:rsidTr="000511C1">
        <w:trPr>
          <w:gridAfter w:val="1"/>
          <w:wAfter w:w="49" w:type="dxa"/>
          <w:trHeight w:val="255"/>
          <w:jc w:val="center"/>
        </w:trPr>
        <w:tc>
          <w:tcPr>
            <w:tcW w:w="4919" w:type="dxa"/>
            <w:tcBorders>
              <w:top w:val="single" w:sz="4" w:space="0" w:color="auto"/>
              <w:left w:val="nil"/>
              <w:bottom w:val="single" w:sz="4" w:space="0" w:color="auto"/>
              <w:right w:val="nil"/>
            </w:tcBorders>
            <w:shd w:val="clear" w:color="auto" w:fill="95B3D7" w:themeFill="accent1" w:themeFillTint="99"/>
            <w:noWrap/>
            <w:vAlign w:val="center"/>
            <w:hideMark/>
          </w:tcPr>
          <w:p w14:paraId="286BAE1D" w14:textId="77777777" w:rsidR="00464369" w:rsidRPr="0069768F" w:rsidRDefault="00464369" w:rsidP="006F296B">
            <w:pPr>
              <w:pStyle w:val="cuadroCabe"/>
            </w:pPr>
            <w:r w:rsidRPr="0069768F">
              <w:t>Total beneficios fiscales</w:t>
            </w:r>
          </w:p>
        </w:tc>
        <w:tc>
          <w:tcPr>
            <w:tcW w:w="1539" w:type="dxa"/>
            <w:gridSpan w:val="2"/>
            <w:tcBorders>
              <w:top w:val="single" w:sz="4" w:space="0" w:color="auto"/>
              <w:left w:val="nil"/>
              <w:bottom w:val="single" w:sz="4" w:space="0" w:color="auto"/>
              <w:right w:val="nil"/>
            </w:tcBorders>
            <w:shd w:val="clear" w:color="000000" w:fill="95B3D7"/>
            <w:vAlign w:val="center"/>
          </w:tcPr>
          <w:p w14:paraId="46035BB6" w14:textId="77777777" w:rsidR="00464369" w:rsidRPr="0069768F" w:rsidRDefault="00464369" w:rsidP="006F296B">
            <w:pPr>
              <w:pStyle w:val="cuadroCabe"/>
              <w:jc w:val="right"/>
            </w:pPr>
            <w:r w:rsidRPr="0069768F">
              <w:t>1.484.412</w:t>
            </w:r>
          </w:p>
        </w:tc>
        <w:tc>
          <w:tcPr>
            <w:tcW w:w="1155" w:type="dxa"/>
            <w:gridSpan w:val="2"/>
            <w:tcBorders>
              <w:top w:val="single" w:sz="4" w:space="0" w:color="auto"/>
              <w:left w:val="nil"/>
              <w:bottom w:val="single" w:sz="4" w:space="0" w:color="auto"/>
              <w:right w:val="nil"/>
            </w:tcBorders>
            <w:shd w:val="clear" w:color="000000" w:fill="95B3D7"/>
            <w:vAlign w:val="center"/>
          </w:tcPr>
          <w:p w14:paraId="09E23268" w14:textId="77777777" w:rsidR="00464369" w:rsidRPr="0069768F" w:rsidRDefault="00464369" w:rsidP="006F296B">
            <w:pPr>
              <w:pStyle w:val="cuadroCabe"/>
              <w:jc w:val="right"/>
            </w:pPr>
            <w:r w:rsidRPr="0069768F">
              <w:t>1.599.302</w:t>
            </w:r>
          </w:p>
        </w:tc>
        <w:tc>
          <w:tcPr>
            <w:tcW w:w="1176" w:type="dxa"/>
            <w:gridSpan w:val="2"/>
            <w:tcBorders>
              <w:top w:val="single" w:sz="4" w:space="0" w:color="auto"/>
              <w:left w:val="nil"/>
              <w:bottom w:val="single" w:sz="4" w:space="0" w:color="auto"/>
              <w:right w:val="nil"/>
            </w:tcBorders>
            <w:shd w:val="clear" w:color="000000" w:fill="95B3D7"/>
            <w:vAlign w:val="center"/>
          </w:tcPr>
          <w:p w14:paraId="45B478BA" w14:textId="77777777" w:rsidR="00464369" w:rsidRPr="0069768F" w:rsidRDefault="004C5A8F" w:rsidP="002C33F0">
            <w:pPr>
              <w:pStyle w:val="cuadroCabe"/>
              <w:jc w:val="right"/>
            </w:pPr>
            <w:r w:rsidRPr="0069768F">
              <w:t>10</w:t>
            </w:r>
            <w:r w:rsidR="002C33F0">
              <w:t>8</w:t>
            </w:r>
          </w:p>
        </w:tc>
      </w:tr>
    </w:tbl>
    <w:p w14:paraId="03ECF7B7" w14:textId="77777777" w:rsidR="00614DC4" w:rsidRDefault="00614DC4" w:rsidP="004B3C2F">
      <w:pPr>
        <w:pStyle w:val="texto"/>
        <w:spacing w:before="240"/>
        <w:jc w:val="both"/>
      </w:pPr>
      <w:r>
        <w:t>Los beneficios fiscales de 202</w:t>
      </w:r>
      <w:r w:rsidR="004C5A8F">
        <w:t>3</w:t>
      </w:r>
      <w:r>
        <w:t>, según la información contenida en la memoria, alcanzan los 1.</w:t>
      </w:r>
      <w:r w:rsidR="004C5A8F">
        <w:t>599</w:t>
      </w:r>
      <w:r w:rsidR="004B3C2F">
        <w:t>,30</w:t>
      </w:r>
      <w:r>
        <w:t xml:space="preserve"> millones, cifra superior a la prevista en un </w:t>
      </w:r>
      <w:r w:rsidR="002C33F0">
        <w:t xml:space="preserve">ocho </w:t>
      </w:r>
      <w:r w:rsidR="004B3C2F">
        <w:t>por ciento. E</w:t>
      </w:r>
      <w:r w:rsidRPr="00C22916">
        <w:t>n la memoria no se aportan datos sobre los objetivos pretendidos con cada beneficio fiscal ni de su consecución.</w:t>
      </w:r>
      <w:bookmarkStart w:id="145" w:name="_Toc418853788"/>
      <w:r w:rsidR="004B3C2F">
        <w:t xml:space="preserve"> </w:t>
      </w:r>
      <w:r>
        <w:t>Asimismo, como vienen indicando los informes de esta Cámara en los últimos años, es significativo que los beneficios fiscales en el ejercicio 202</w:t>
      </w:r>
      <w:r w:rsidR="004C5A8F">
        <w:t>3</w:t>
      </w:r>
      <w:r>
        <w:t xml:space="preserve">, supongan el </w:t>
      </w:r>
      <w:r w:rsidR="00C22916">
        <w:t>31</w:t>
      </w:r>
      <w:r>
        <w:t xml:space="preserve"> por ciento de los derechos reconocidos netos que se hubieran tenido si no existieran beneficios fiscales. </w:t>
      </w:r>
    </w:p>
    <w:p w14:paraId="34E7EAB1" w14:textId="77777777" w:rsidR="00614DC4" w:rsidRPr="009B37A0" w:rsidRDefault="00614DC4" w:rsidP="0017053D">
      <w:pPr>
        <w:pStyle w:val="atitulo3"/>
        <w:spacing w:before="240"/>
      </w:pPr>
      <w:r w:rsidRPr="009B37A0">
        <w:t xml:space="preserve">Lucha contra el fraude fiscal </w:t>
      </w:r>
    </w:p>
    <w:p w14:paraId="40235F85" w14:textId="77777777" w:rsidR="002630A8" w:rsidRDefault="00614DC4" w:rsidP="009A38AE">
      <w:pPr>
        <w:pStyle w:val="texto"/>
        <w:spacing w:after="120"/>
        <w:jc w:val="both"/>
      </w:pPr>
      <w:r w:rsidRPr="009B37A0">
        <w:t>De acuerdo con la información proporcionada por la H</w:t>
      </w:r>
      <w:r w:rsidR="00D517FE" w:rsidRPr="009B37A0">
        <w:t>F</w:t>
      </w:r>
      <w:r w:rsidRPr="009B37A0">
        <w:t>N a esta Cámara, la lucha contra el fraude fiscal entre 2011 y 202</w:t>
      </w:r>
      <w:r w:rsidR="009B37A0" w:rsidRPr="009B37A0">
        <w:t>3</w:t>
      </w:r>
      <w:r w:rsidRPr="009B37A0">
        <w:t xml:space="preserve"> ha devengado los siguientes ingresos:</w:t>
      </w:r>
    </w:p>
    <w:tbl>
      <w:tblPr>
        <w:tblW w:w="8789" w:type="dxa"/>
        <w:tblLayout w:type="fixed"/>
        <w:tblCellMar>
          <w:left w:w="70" w:type="dxa"/>
          <w:right w:w="70" w:type="dxa"/>
        </w:tblCellMar>
        <w:tblLook w:val="04A0" w:firstRow="1" w:lastRow="0" w:firstColumn="1" w:lastColumn="0" w:noHBand="0" w:noVBand="1"/>
      </w:tblPr>
      <w:tblGrid>
        <w:gridCol w:w="993"/>
        <w:gridCol w:w="1702"/>
        <w:gridCol w:w="1559"/>
        <w:gridCol w:w="2125"/>
        <w:gridCol w:w="1419"/>
        <w:gridCol w:w="991"/>
      </w:tblGrid>
      <w:tr w:rsidR="00614DC4" w:rsidRPr="00F0287A" w14:paraId="2A4CB4F8" w14:textId="77777777" w:rsidTr="00F0287A">
        <w:trPr>
          <w:trHeight w:val="255"/>
        </w:trPr>
        <w:tc>
          <w:tcPr>
            <w:tcW w:w="8789" w:type="dxa"/>
            <w:gridSpan w:val="6"/>
            <w:tcBorders>
              <w:top w:val="nil"/>
              <w:left w:val="nil"/>
              <w:bottom w:val="single" w:sz="4" w:space="0" w:color="auto"/>
              <w:right w:val="nil"/>
            </w:tcBorders>
            <w:noWrap/>
            <w:vAlign w:val="center"/>
            <w:hideMark/>
          </w:tcPr>
          <w:p w14:paraId="28143547" w14:textId="77777777" w:rsidR="00614DC4" w:rsidRPr="00F0287A" w:rsidRDefault="002C33F0">
            <w:pPr>
              <w:jc w:val="right"/>
              <w:rPr>
                <w:rFonts w:ascii="Arial" w:hAnsi="Arial" w:cs="Arial"/>
                <w:sz w:val="17"/>
                <w:szCs w:val="17"/>
              </w:rPr>
            </w:pPr>
            <w:r w:rsidRPr="00F0287A">
              <w:rPr>
                <w:rFonts w:ascii="Arial" w:hAnsi="Arial" w:cs="Arial"/>
                <w:sz w:val="17"/>
                <w:szCs w:val="17"/>
              </w:rPr>
              <w:t xml:space="preserve"> </w:t>
            </w:r>
            <w:r w:rsidR="00614DC4" w:rsidRPr="00F0287A">
              <w:rPr>
                <w:rFonts w:ascii="Arial" w:hAnsi="Arial" w:cs="Arial"/>
                <w:sz w:val="17"/>
                <w:szCs w:val="17"/>
              </w:rPr>
              <w:t>(en miles)</w:t>
            </w:r>
          </w:p>
        </w:tc>
      </w:tr>
      <w:tr w:rsidR="00614DC4" w:rsidRPr="009B37A0" w14:paraId="7129AB9D" w14:textId="77777777" w:rsidTr="000511C1">
        <w:trPr>
          <w:trHeight w:val="255"/>
        </w:trPr>
        <w:tc>
          <w:tcPr>
            <w:tcW w:w="993" w:type="dxa"/>
            <w:tcBorders>
              <w:top w:val="single" w:sz="4" w:space="0" w:color="auto"/>
              <w:left w:val="nil"/>
              <w:bottom w:val="single" w:sz="2" w:space="0" w:color="auto"/>
              <w:right w:val="nil"/>
            </w:tcBorders>
            <w:shd w:val="clear" w:color="auto" w:fill="95B3D7" w:themeFill="accent1" w:themeFillTint="99"/>
            <w:vAlign w:val="center"/>
            <w:hideMark/>
          </w:tcPr>
          <w:p w14:paraId="5BC74F34" w14:textId="77777777" w:rsidR="00614DC4" w:rsidRPr="009B37A0" w:rsidRDefault="00614DC4" w:rsidP="006F296B">
            <w:pPr>
              <w:pStyle w:val="cuadroCabe"/>
            </w:pPr>
            <w:r w:rsidRPr="009B37A0">
              <w:t>Ejercicio</w:t>
            </w:r>
          </w:p>
        </w:tc>
        <w:tc>
          <w:tcPr>
            <w:tcW w:w="1702" w:type="dxa"/>
            <w:tcBorders>
              <w:top w:val="single" w:sz="4" w:space="0" w:color="auto"/>
              <w:left w:val="nil"/>
              <w:bottom w:val="single" w:sz="2" w:space="0" w:color="auto"/>
              <w:right w:val="nil"/>
            </w:tcBorders>
            <w:shd w:val="clear" w:color="auto" w:fill="95B3D7" w:themeFill="accent1" w:themeFillTint="99"/>
            <w:vAlign w:val="center"/>
            <w:hideMark/>
          </w:tcPr>
          <w:p w14:paraId="0836782D" w14:textId="77777777" w:rsidR="00614DC4" w:rsidRPr="009B37A0" w:rsidRDefault="00614DC4" w:rsidP="00D12353">
            <w:pPr>
              <w:pStyle w:val="cuadroCabe"/>
              <w:jc w:val="right"/>
            </w:pPr>
            <w:r w:rsidRPr="009B37A0">
              <w:t xml:space="preserve">Gestión </w:t>
            </w:r>
            <w:proofErr w:type="spellStart"/>
            <w:r w:rsidRPr="009B37A0">
              <w:t>tribut</w:t>
            </w:r>
            <w:proofErr w:type="spellEnd"/>
            <w:r w:rsidRPr="009B37A0">
              <w:t>.</w:t>
            </w:r>
          </w:p>
        </w:tc>
        <w:tc>
          <w:tcPr>
            <w:tcW w:w="1559" w:type="dxa"/>
            <w:tcBorders>
              <w:top w:val="single" w:sz="4" w:space="0" w:color="auto"/>
              <w:left w:val="nil"/>
              <w:bottom w:val="single" w:sz="2" w:space="0" w:color="auto"/>
              <w:right w:val="nil"/>
            </w:tcBorders>
            <w:shd w:val="clear" w:color="auto" w:fill="95B3D7" w:themeFill="accent1" w:themeFillTint="99"/>
            <w:vAlign w:val="center"/>
            <w:hideMark/>
          </w:tcPr>
          <w:p w14:paraId="2CAD1A9C" w14:textId="77777777" w:rsidR="00614DC4" w:rsidRPr="009B37A0" w:rsidRDefault="00614DC4" w:rsidP="00D12353">
            <w:pPr>
              <w:pStyle w:val="cuadroCabe"/>
              <w:jc w:val="right"/>
            </w:pPr>
            <w:r w:rsidRPr="009B37A0">
              <w:t>Inspección</w:t>
            </w:r>
          </w:p>
        </w:tc>
        <w:tc>
          <w:tcPr>
            <w:tcW w:w="2125" w:type="dxa"/>
            <w:tcBorders>
              <w:top w:val="single" w:sz="4" w:space="0" w:color="auto"/>
              <w:left w:val="nil"/>
              <w:bottom w:val="single" w:sz="2" w:space="0" w:color="auto"/>
              <w:right w:val="nil"/>
            </w:tcBorders>
            <w:shd w:val="clear" w:color="auto" w:fill="95B3D7" w:themeFill="accent1" w:themeFillTint="99"/>
            <w:vAlign w:val="center"/>
            <w:hideMark/>
          </w:tcPr>
          <w:p w14:paraId="07E2985C" w14:textId="77777777" w:rsidR="00614DC4" w:rsidRPr="009B37A0" w:rsidRDefault="00614DC4" w:rsidP="00D12353">
            <w:pPr>
              <w:pStyle w:val="cuadroCabe"/>
              <w:jc w:val="right"/>
            </w:pPr>
            <w:r w:rsidRPr="009B37A0">
              <w:t xml:space="preserve">Otras </w:t>
            </w:r>
            <w:proofErr w:type="spellStart"/>
            <w:r w:rsidRPr="009B37A0">
              <w:t>actuac</w:t>
            </w:r>
            <w:proofErr w:type="spellEnd"/>
            <w:r w:rsidRPr="009B37A0">
              <w:t>. tributa.*</w:t>
            </w:r>
          </w:p>
        </w:tc>
        <w:tc>
          <w:tcPr>
            <w:tcW w:w="1419" w:type="dxa"/>
            <w:tcBorders>
              <w:top w:val="single" w:sz="4" w:space="0" w:color="auto"/>
              <w:left w:val="nil"/>
              <w:bottom w:val="single" w:sz="2" w:space="0" w:color="auto"/>
              <w:right w:val="nil"/>
            </w:tcBorders>
            <w:shd w:val="clear" w:color="auto" w:fill="95B3D7" w:themeFill="accent1" w:themeFillTint="99"/>
            <w:vAlign w:val="center"/>
            <w:hideMark/>
          </w:tcPr>
          <w:p w14:paraId="1AFBB20E" w14:textId="77777777" w:rsidR="00614DC4" w:rsidRPr="009B37A0" w:rsidRDefault="00614DC4" w:rsidP="00D12353">
            <w:pPr>
              <w:pStyle w:val="cuadroCabe"/>
              <w:jc w:val="right"/>
            </w:pPr>
            <w:r w:rsidRPr="009B37A0">
              <w:t>Importe total</w:t>
            </w:r>
          </w:p>
        </w:tc>
        <w:tc>
          <w:tcPr>
            <w:tcW w:w="991" w:type="dxa"/>
            <w:tcBorders>
              <w:top w:val="single" w:sz="4" w:space="0" w:color="auto"/>
              <w:left w:val="nil"/>
              <w:bottom w:val="single" w:sz="2" w:space="0" w:color="auto"/>
              <w:right w:val="nil"/>
            </w:tcBorders>
            <w:shd w:val="clear" w:color="auto" w:fill="95B3D7" w:themeFill="accent1" w:themeFillTint="99"/>
            <w:vAlign w:val="center"/>
            <w:hideMark/>
          </w:tcPr>
          <w:p w14:paraId="44EA7224" w14:textId="77777777" w:rsidR="00614DC4" w:rsidRPr="009B37A0" w:rsidRDefault="00614DC4" w:rsidP="00D12353">
            <w:pPr>
              <w:pStyle w:val="cuadroCabe"/>
              <w:jc w:val="right"/>
            </w:pPr>
            <w:r w:rsidRPr="009B37A0">
              <w:t>Índice</w:t>
            </w:r>
          </w:p>
        </w:tc>
      </w:tr>
      <w:tr w:rsidR="006F296B" w:rsidRPr="009B37A0" w14:paraId="34FC64BB" w14:textId="77777777" w:rsidTr="006F296B">
        <w:trPr>
          <w:trHeight w:val="198"/>
        </w:trPr>
        <w:tc>
          <w:tcPr>
            <w:tcW w:w="993" w:type="dxa"/>
            <w:tcBorders>
              <w:top w:val="single" w:sz="2" w:space="0" w:color="auto"/>
              <w:left w:val="nil"/>
              <w:bottom w:val="single" w:sz="2" w:space="0" w:color="auto"/>
              <w:right w:val="nil"/>
            </w:tcBorders>
            <w:noWrap/>
            <w:vAlign w:val="center"/>
            <w:hideMark/>
          </w:tcPr>
          <w:p w14:paraId="66A98C63" w14:textId="77777777" w:rsidR="00614DC4" w:rsidRPr="00F0287A" w:rsidRDefault="00614DC4" w:rsidP="007D37B5">
            <w:pPr>
              <w:pStyle w:val="cuatexto"/>
              <w:ind w:right="35"/>
              <w:rPr>
                <w:szCs w:val="20"/>
              </w:rPr>
            </w:pPr>
            <w:r w:rsidRPr="00F0287A">
              <w:rPr>
                <w:szCs w:val="20"/>
              </w:rPr>
              <w:t>2011</w:t>
            </w:r>
          </w:p>
        </w:tc>
        <w:tc>
          <w:tcPr>
            <w:tcW w:w="1702" w:type="dxa"/>
            <w:tcBorders>
              <w:top w:val="single" w:sz="2" w:space="0" w:color="auto"/>
              <w:left w:val="nil"/>
              <w:bottom w:val="single" w:sz="2" w:space="0" w:color="auto"/>
              <w:right w:val="nil"/>
            </w:tcBorders>
            <w:noWrap/>
            <w:vAlign w:val="center"/>
            <w:hideMark/>
          </w:tcPr>
          <w:p w14:paraId="117B909A" w14:textId="77777777" w:rsidR="00614DC4" w:rsidRPr="00F0287A" w:rsidRDefault="00614DC4" w:rsidP="006F296B">
            <w:pPr>
              <w:pStyle w:val="cuatexto"/>
              <w:jc w:val="right"/>
              <w:rPr>
                <w:szCs w:val="20"/>
              </w:rPr>
            </w:pPr>
            <w:r w:rsidRPr="00F0287A">
              <w:rPr>
                <w:szCs w:val="20"/>
              </w:rPr>
              <w:t>52.045</w:t>
            </w:r>
          </w:p>
        </w:tc>
        <w:tc>
          <w:tcPr>
            <w:tcW w:w="1559" w:type="dxa"/>
            <w:tcBorders>
              <w:top w:val="single" w:sz="2" w:space="0" w:color="auto"/>
              <w:left w:val="nil"/>
              <w:bottom w:val="single" w:sz="2" w:space="0" w:color="auto"/>
              <w:right w:val="nil"/>
            </w:tcBorders>
            <w:noWrap/>
            <w:vAlign w:val="center"/>
            <w:hideMark/>
          </w:tcPr>
          <w:p w14:paraId="4C67273B" w14:textId="77777777" w:rsidR="00614DC4" w:rsidRPr="00F0287A" w:rsidRDefault="00614DC4" w:rsidP="006F296B">
            <w:pPr>
              <w:pStyle w:val="cuatexto"/>
              <w:jc w:val="right"/>
              <w:rPr>
                <w:szCs w:val="20"/>
              </w:rPr>
            </w:pPr>
            <w:r w:rsidRPr="00F0287A">
              <w:rPr>
                <w:szCs w:val="20"/>
              </w:rPr>
              <w:t>38.808</w:t>
            </w:r>
          </w:p>
        </w:tc>
        <w:tc>
          <w:tcPr>
            <w:tcW w:w="2125" w:type="dxa"/>
            <w:tcBorders>
              <w:top w:val="single" w:sz="2" w:space="0" w:color="auto"/>
              <w:left w:val="nil"/>
              <w:bottom w:val="single" w:sz="2" w:space="0" w:color="auto"/>
              <w:right w:val="nil"/>
            </w:tcBorders>
            <w:vAlign w:val="center"/>
            <w:hideMark/>
          </w:tcPr>
          <w:p w14:paraId="2C58E09F" w14:textId="77777777" w:rsidR="00614DC4" w:rsidRPr="00F0287A" w:rsidRDefault="00614DC4" w:rsidP="006F296B">
            <w:pPr>
              <w:pStyle w:val="cuatexto"/>
              <w:jc w:val="right"/>
              <w:rPr>
                <w:rFonts w:cs="Arial"/>
                <w:szCs w:val="20"/>
              </w:rPr>
            </w:pPr>
            <w:r w:rsidRPr="00F0287A">
              <w:rPr>
                <w:rFonts w:cs="Arial"/>
                <w:szCs w:val="20"/>
              </w:rPr>
              <w:t>-</w:t>
            </w:r>
          </w:p>
        </w:tc>
        <w:tc>
          <w:tcPr>
            <w:tcW w:w="1419" w:type="dxa"/>
            <w:tcBorders>
              <w:top w:val="single" w:sz="2" w:space="0" w:color="auto"/>
              <w:left w:val="nil"/>
              <w:bottom w:val="single" w:sz="2" w:space="0" w:color="auto"/>
              <w:right w:val="nil"/>
            </w:tcBorders>
            <w:noWrap/>
            <w:vAlign w:val="center"/>
            <w:hideMark/>
          </w:tcPr>
          <w:p w14:paraId="68ADF399" w14:textId="77777777" w:rsidR="00614DC4" w:rsidRPr="00F0287A" w:rsidRDefault="00614DC4" w:rsidP="006F296B">
            <w:pPr>
              <w:pStyle w:val="cuatexto"/>
              <w:jc w:val="right"/>
              <w:rPr>
                <w:rFonts w:cs="Arial"/>
                <w:szCs w:val="20"/>
              </w:rPr>
            </w:pPr>
            <w:r w:rsidRPr="00F0287A">
              <w:rPr>
                <w:rFonts w:cs="Arial"/>
                <w:szCs w:val="20"/>
              </w:rPr>
              <w:t>90.853</w:t>
            </w:r>
          </w:p>
        </w:tc>
        <w:tc>
          <w:tcPr>
            <w:tcW w:w="991" w:type="dxa"/>
            <w:tcBorders>
              <w:top w:val="single" w:sz="2" w:space="0" w:color="auto"/>
              <w:left w:val="nil"/>
              <w:bottom w:val="single" w:sz="2" w:space="0" w:color="auto"/>
              <w:right w:val="nil"/>
            </w:tcBorders>
            <w:vAlign w:val="center"/>
            <w:hideMark/>
          </w:tcPr>
          <w:p w14:paraId="74672B7E" w14:textId="77777777" w:rsidR="00614DC4" w:rsidRPr="00F0287A" w:rsidRDefault="00614DC4" w:rsidP="006F296B">
            <w:pPr>
              <w:pStyle w:val="cuatexto"/>
              <w:jc w:val="right"/>
              <w:rPr>
                <w:rFonts w:cs="Arial"/>
                <w:szCs w:val="20"/>
              </w:rPr>
            </w:pPr>
            <w:r w:rsidRPr="00F0287A">
              <w:rPr>
                <w:rFonts w:cs="Arial"/>
                <w:szCs w:val="20"/>
              </w:rPr>
              <w:t>100</w:t>
            </w:r>
          </w:p>
        </w:tc>
      </w:tr>
      <w:tr w:rsidR="006F296B" w:rsidRPr="009B37A0" w14:paraId="1187C05E" w14:textId="77777777" w:rsidTr="006F296B">
        <w:trPr>
          <w:trHeight w:val="198"/>
        </w:trPr>
        <w:tc>
          <w:tcPr>
            <w:tcW w:w="993" w:type="dxa"/>
            <w:tcBorders>
              <w:top w:val="single" w:sz="2" w:space="0" w:color="auto"/>
              <w:left w:val="nil"/>
              <w:bottom w:val="single" w:sz="2" w:space="0" w:color="auto"/>
              <w:right w:val="nil"/>
            </w:tcBorders>
            <w:noWrap/>
            <w:vAlign w:val="center"/>
            <w:hideMark/>
          </w:tcPr>
          <w:p w14:paraId="51B11966" w14:textId="77777777" w:rsidR="00614DC4" w:rsidRPr="00F0287A" w:rsidRDefault="00614DC4" w:rsidP="007D37B5">
            <w:pPr>
              <w:pStyle w:val="cuatexto"/>
              <w:ind w:right="35"/>
              <w:rPr>
                <w:szCs w:val="20"/>
              </w:rPr>
            </w:pPr>
            <w:r w:rsidRPr="00F0287A">
              <w:rPr>
                <w:szCs w:val="20"/>
              </w:rPr>
              <w:t>2012</w:t>
            </w:r>
          </w:p>
        </w:tc>
        <w:tc>
          <w:tcPr>
            <w:tcW w:w="1702" w:type="dxa"/>
            <w:tcBorders>
              <w:top w:val="single" w:sz="2" w:space="0" w:color="auto"/>
              <w:left w:val="nil"/>
              <w:bottom w:val="single" w:sz="2" w:space="0" w:color="auto"/>
              <w:right w:val="nil"/>
            </w:tcBorders>
            <w:noWrap/>
            <w:vAlign w:val="center"/>
            <w:hideMark/>
          </w:tcPr>
          <w:p w14:paraId="12283221" w14:textId="77777777" w:rsidR="00614DC4" w:rsidRPr="00F0287A" w:rsidRDefault="00614DC4" w:rsidP="006F296B">
            <w:pPr>
              <w:pStyle w:val="cuatexto"/>
              <w:jc w:val="right"/>
              <w:rPr>
                <w:szCs w:val="20"/>
              </w:rPr>
            </w:pPr>
            <w:r w:rsidRPr="00F0287A">
              <w:rPr>
                <w:szCs w:val="20"/>
              </w:rPr>
              <w:t>58.648</w:t>
            </w:r>
          </w:p>
        </w:tc>
        <w:tc>
          <w:tcPr>
            <w:tcW w:w="1559" w:type="dxa"/>
            <w:tcBorders>
              <w:top w:val="single" w:sz="2" w:space="0" w:color="auto"/>
              <w:left w:val="nil"/>
              <w:bottom w:val="single" w:sz="2" w:space="0" w:color="auto"/>
              <w:right w:val="nil"/>
            </w:tcBorders>
            <w:noWrap/>
            <w:vAlign w:val="center"/>
            <w:hideMark/>
          </w:tcPr>
          <w:p w14:paraId="2B17C7D3" w14:textId="77777777" w:rsidR="00614DC4" w:rsidRPr="00F0287A" w:rsidRDefault="00614DC4" w:rsidP="006F296B">
            <w:pPr>
              <w:pStyle w:val="cuatexto"/>
              <w:jc w:val="right"/>
              <w:rPr>
                <w:szCs w:val="20"/>
              </w:rPr>
            </w:pPr>
            <w:r w:rsidRPr="00F0287A">
              <w:rPr>
                <w:szCs w:val="20"/>
              </w:rPr>
              <w:t>69.499</w:t>
            </w:r>
          </w:p>
        </w:tc>
        <w:tc>
          <w:tcPr>
            <w:tcW w:w="2125" w:type="dxa"/>
            <w:tcBorders>
              <w:top w:val="single" w:sz="2" w:space="0" w:color="auto"/>
              <w:left w:val="nil"/>
              <w:bottom w:val="single" w:sz="2" w:space="0" w:color="auto"/>
              <w:right w:val="nil"/>
            </w:tcBorders>
            <w:vAlign w:val="center"/>
            <w:hideMark/>
          </w:tcPr>
          <w:p w14:paraId="4A59A718" w14:textId="77777777" w:rsidR="00614DC4" w:rsidRPr="00F0287A" w:rsidRDefault="00614DC4" w:rsidP="006F296B">
            <w:pPr>
              <w:pStyle w:val="cuatexto"/>
              <w:jc w:val="right"/>
              <w:rPr>
                <w:rFonts w:cs="Arial"/>
                <w:szCs w:val="20"/>
              </w:rPr>
            </w:pPr>
            <w:r w:rsidRPr="00F0287A">
              <w:rPr>
                <w:rFonts w:cs="Arial"/>
                <w:szCs w:val="20"/>
              </w:rPr>
              <w:t>-</w:t>
            </w:r>
          </w:p>
        </w:tc>
        <w:tc>
          <w:tcPr>
            <w:tcW w:w="1419" w:type="dxa"/>
            <w:tcBorders>
              <w:top w:val="single" w:sz="2" w:space="0" w:color="auto"/>
              <w:left w:val="nil"/>
              <w:bottom w:val="single" w:sz="2" w:space="0" w:color="auto"/>
              <w:right w:val="nil"/>
            </w:tcBorders>
            <w:noWrap/>
            <w:vAlign w:val="center"/>
            <w:hideMark/>
          </w:tcPr>
          <w:p w14:paraId="6C6C1B75" w14:textId="77777777" w:rsidR="00614DC4" w:rsidRPr="00F0287A" w:rsidRDefault="00614DC4" w:rsidP="006F296B">
            <w:pPr>
              <w:pStyle w:val="cuatexto"/>
              <w:jc w:val="right"/>
              <w:rPr>
                <w:rFonts w:cs="Arial"/>
                <w:szCs w:val="20"/>
              </w:rPr>
            </w:pPr>
            <w:r w:rsidRPr="00F0287A">
              <w:rPr>
                <w:rFonts w:cs="Arial"/>
                <w:szCs w:val="20"/>
              </w:rPr>
              <w:t>128.147</w:t>
            </w:r>
          </w:p>
        </w:tc>
        <w:tc>
          <w:tcPr>
            <w:tcW w:w="991" w:type="dxa"/>
            <w:tcBorders>
              <w:top w:val="single" w:sz="2" w:space="0" w:color="auto"/>
              <w:left w:val="nil"/>
              <w:bottom w:val="single" w:sz="2" w:space="0" w:color="auto"/>
              <w:right w:val="nil"/>
            </w:tcBorders>
            <w:vAlign w:val="center"/>
            <w:hideMark/>
          </w:tcPr>
          <w:p w14:paraId="0A664C3F" w14:textId="77777777" w:rsidR="00614DC4" w:rsidRPr="00F0287A" w:rsidRDefault="00614DC4" w:rsidP="006F296B">
            <w:pPr>
              <w:pStyle w:val="cuatexto"/>
              <w:jc w:val="right"/>
              <w:rPr>
                <w:rFonts w:cs="Arial"/>
                <w:szCs w:val="20"/>
              </w:rPr>
            </w:pPr>
            <w:r w:rsidRPr="00F0287A">
              <w:rPr>
                <w:rFonts w:cs="Arial"/>
                <w:szCs w:val="20"/>
              </w:rPr>
              <w:t>141</w:t>
            </w:r>
          </w:p>
        </w:tc>
      </w:tr>
      <w:tr w:rsidR="006F296B" w:rsidRPr="009B37A0" w14:paraId="41EFB389" w14:textId="77777777" w:rsidTr="006F296B">
        <w:trPr>
          <w:trHeight w:val="198"/>
        </w:trPr>
        <w:tc>
          <w:tcPr>
            <w:tcW w:w="993" w:type="dxa"/>
            <w:tcBorders>
              <w:top w:val="single" w:sz="2" w:space="0" w:color="auto"/>
              <w:left w:val="nil"/>
              <w:bottom w:val="single" w:sz="2" w:space="0" w:color="auto"/>
              <w:right w:val="nil"/>
            </w:tcBorders>
            <w:noWrap/>
            <w:vAlign w:val="center"/>
            <w:hideMark/>
          </w:tcPr>
          <w:p w14:paraId="1FEB8176" w14:textId="77777777" w:rsidR="00614DC4" w:rsidRPr="00F0287A" w:rsidRDefault="00614DC4" w:rsidP="007D37B5">
            <w:pPr>
              <w:pStyle w:val="cuatexto"/>
              <w:ind w:right="35"/>
              <w:rPr>
                <w:szCs w:val="20"/>
              </w:rPr>
            </w:pPr>
            <w:r w:rsidRPr="00F0287A">
              <w:rPr>
                <w:szCs w:val="20"/>
              </w:rPr>
              <w:t>2013</w:t>
            </w:r>
          </w:p>
        </w:tc>
        <w:tc>
          <w:tcPr>
            <w:tcW w:w="1702" w:type="dxa"/>
            <w:tcBorders>
              <w:top w:val="single" w:sz="2" w:space="0" w:color="auto"/>
              <w:left w:val="nil"/>
              <w:bottom w:val="single" w:sz="2" w:space="0" w:color="auto"/>
              <w:right w:val="nil"/>
            </w:tcBorders>
            <w:noWrap/>
            <w:vAlign w:val="center"/>
            <w:hideMark/>
          </w:tcPr>
          <w:p w14:paraId="28D23EE5" w14:textId="77777777" w:rsidR="00614DC4" w:rsidRPr="00F0287A" w:rsidRDefault="00614DC4" w:rsidP="006F296B">
            <w:pPr>
              <w:pStyle w:val="cuatexto"/>
              <w:jc w:val="right"/>
              <w:rPr>
                <w:szCs w:val="20"/>
              </w:rPr>
            </w:pPr>
            <w:r w:rsidRPr="00F0287A">
              <w:rPr>
                <w:szCs w:val="20"/>
              </w:rPr>
              <w:t>57.358</w:t>
            </w:r>
          </w:p>
        </w:tc>
        <w:tc>
          <w:tcPr>
            <w:tcW w:w="1559" w:type="dxa"/>
            <w:tcBorders>
              <w:top w:val="single" w:sz="2" w:space="0" w:color="auto"/>
              <w:left w:val="nil"/>
              <w:bottom w:val="single" w:sz="2" w:space="0" w:color="auto"/>
              <w:right w:val="nil"/>
            </w:tcBorders>
            <w:noWrap/>
            <w:vAlign w:val="center"/>
            <w:hideMark/>
          </w:tcPr>
          <w:p w14:paraId="24C3A56B" w14:textId="77777777" w:rsidR="00614DC4" w:rsidRPr="00F0287A" w:rsidRDefault="00614DC4" w:rsidP="006F296B">
            <w:pPr>
              <w:pStyle w:val="cuatexto"/>
              <w:jc w:val="right"/>
              <w:rPr>
                <w:szCs w:val="20"/>
              </w:rPr>
            </w:pPr>
            <w:r w:rsidRPr="00F0287A">
              <w:rPr>
                <w:szCs w:val="20"/>
              </w:rPr>
              <w:t>37.826</w:t>
            </w:r>
          </w:p>
        </w:tc>
        <w:tc>
          <w:tcPr>
            <w:tcW w:w="2125" w:type="dxa"/>
            <w:tcBorders>
              <w:top w:val="single" w:sz="2" w:space="0" w:color="auto"/>
              <w:left w:val="nil"/>
              <w:bottom w:val="single" w:sz="2" w:space="0" w:color="auto"/>
              <w:right w:val="nil"/>
            </w:tcBorders>
            <w:vAlign w:val="center"/>
            <w:hideMark/>
          </w:tcPr>
          <w:p w14:paraId="00ADC5A1" w14:textId="77777777" w:rsidR="00614DC4" w:rsidRPr="00F0287A" w:rsidRDefault="00614DC4" w:rsidP="006F296B">
            <w:pPr>
              <w:pStyle w:val="cuatexto"/>
              <w:jc w:val="right"/>
              <w:rPr>
                <w:rFonts w:cs="Arial"/>
                <w:szCs w:val="20"/>
              </w:rPr>
            </w:pPr>
            <w:r w:rsidRPr="00F0287A">
              <w:rPr>
                <w:rFonts w:cs="Arial"/>
                <w:szCs w:val="20"/>
              </w:rPr>
              <w:t>-</w:t>
            </w:r>
          </w:p>
        </w:tc>
        <w:tc>
          <w:tcPr>
            <w:tcW w:w="1419" w:type="dxa"/>
            <w:tcBorders>
              <w:top w:val="single" w:sz="2" w:space="0" w:color="auto"/>
              <w:left w:val="nil"/>
              <w:bottom w:val="single" w:sz="2" w:space="0" w:color="auto"/>
              <w:right w:val="nil"/>
            </w:tcBorders>
            <w:noWrap/>
            <w:vAlign w:val="center"/>
            <w:hideMark/>
          </w:tcPr>
          <w:p w14:paraId="2583571B" w14:textId="77777777" w:rsidR="00614DC4" w:rsidRPr="00F0287A" w:rsidRDefault="00614DC4" w:rsidP="006F296B">
            <w:pPr>
              <w:pStyle w:val="cuatexto"/>
              <w:jc w:val="right"/>
              <w:rPr>
                <w:rFonts w:cs="Arial"/>
                <w:szCs w:val="20"/>
              </w:rPr>
            </w:pPr>
            <w:r w:rsidRPr="00F0287A">
              <w:rPr>
                <w:rFonts w:cs="Arial"/>
                <w:szCs w:val="20"/>
              </w:rPr>
              <w:t>95.184</w:t>
            </w:r>
          </w:p>
        </w:tc>
        <w:tc>
          <w:tcPr>
            <w:tcW w:w="991" w:type="dxa"/>
            <w:tcBorders>
              <w:top w:val="single" w:sz="2" w:space="0" w:color="auto"/>
              <w:left w:val="nil"/>
              <w:bottom w:val="single" w:sz="2" w:space="0" w:color="auto"/>
              <w:right w:val="nil"/>
            </w:tcBorders>
            <w:vAlign w:val="center"/>
            <w:hideMark/>
          </w:tcPr>
          <w:p w14:paraId="3AB16154" w14:textId="77777777" w:rsidR="00614DC4" w:rsidRPr="00F0287A" w:rsidRDefault="00614DC4" w:rsidP="006F296B">
            <w:pPr>
              <w:pStyle w:val="cuatexto"/>
              <w:jc w:val="right"/>
              <w:rPr>
                <w:rFonts w:cs="Arial"/>
                <w:szCs w:val="20"/>
              </w:rPr>
            </w:pPr>
            <w:r w:rsidRPr="00F0287A">
              <w:rPr>
                <w:rFonts w:cs="Arial"/>
                <w:szCs w:val="20"/>
              </w:rPr>
              <w:t>105</w:t>
            </w:r>
          </w:p>
        </w:tc>
      </w:tr>
      <w:tr w:rsidR="006F296B" w:rsidRPr="009B37A0" w14:paraId="2C9B54F3" w14:textId="77777777" w:rsidTr="006F296B">
        <w:trPr>
          <w:trHeight w:val="198"/>
        </w:trPr>
        <w:tc>
          <w:tcPr>
            <w:tcW w:w="993" w:type="dxa"/>
            <w:tcBorders>
              <w:top w:val="single" w:sz="2" w:space="0" w:color="auto"/>
              <w:left w:val="nil"/>
              <w:bottom w:val="single" w:sz="2" w:space="0" w:color="auto"/>
              <w:right w:val="nil"/>
            </w:tcBorders>
            <w:noWrap/>
            <w:vAlign w:val="center"/>
            <w:hideMark/>
          </w:tcPr>
          <w:p w14:paraId="23C77307" w14:textId="77777777" w:rsidR="00614DC4" w:rsidRPr="00F0287A" w:rsidRDefault="00614DC4" w:rsidP="007D37B5">
            <w:pPr>
              <w:pStyle w:val="cuatexto"/>
              <w:ind w:right="35"/>
              <w:rPr>
                <w:szCs w:val="20"/>
              </w:rPr>
            </w:pPr>
            <w:r w:rsidRPr="00F0287A">
              <w:rPr>
                <w:szCs w:val="20"/>
              </w:rPr>
              <w:t>2014</w:t>
            </w:r>
          </w:p>
        </w:tc>
        <w:tc>
          <w:tcPr>
            <w:tcW w:w="1702" w:type="dxa"/>
            <w:tcBorders>
              <w:top w:val="single" w:sz="2" w:space="0" w:color="auto"/>
              <w:left w:val="nil"/>
              <w:bottom w:val="single" w:sz="2" w:space="0" w:color="auto"/>
              <w:right w:val="nil"/>
            </w:tcBorders>
            <w:noWrap/>
            <w:vAlign w:val="center"/>
            <w:hideMark/>
          </w:tcPr>
          <w:p w14:paraId="3594885E" w14:textId="77777777" w:rsidR="00614DC4" w:rsidRPr="00F0287A" w:rsidRDefault="00614DC4" w:rsidP="006F296B">
            <w:pPr>
              <w:pStyle w:val="cuatexto"/>
              <w:jc w:val="right"/>
              <w:rPr>
                <w:szCs w:val="20"/>
              </w:rPr>
            </w:pPr>
            <w:r w:rsidRPr="00F0287A">
              <w:rPr>
                <w:szCs w:val="20"/>
              </w:rPr>
              <w:t>56.137</w:t>
            </w:r>
          </w:p>
        </w:tc>
        <w:tc>
          <w:tcPr>
            <w:tcW w:w="1559" w:type="dxa"/>
            <w:tcBorders>
              <w:top w:val="single" w:sz="2" w:space="0" w:color="auto"/>
              <w:left w:val="nil"/>
              <w:bottom w:val="single" w:sz="2" w:space="0" w:color="auto"/>
              <w:right w:val="nil"/>
            </w:tcBorders>
            <w:noWrap/>
            <w:vAlign w:val="center"/>
            <w:hideMark/>
          </w:tcPr>
          <w:p w14:paraId="1E405A2A" w14:textId="77777777" w:rsidR="00614DC4" w:rsidRPr="00F0287A" w:rsidRDefault="00614DC4" w:rsidP="006F296B">
            <w:pPr>
              <w:pStyle w:val="cuatexto"/>
              <w:jc w:val="right"/>
              <w:rPr>
                <w:szCs w:val="20"/>
              </w:rPr>
            </w:pPr>
            <w:r w:rsidRPr="00F0287A">
              <w:rPr>
                <w:szCs w:val="20"/>
              </w:rPr>
              <w:t>28.681</w:t>
            </w:r>
          </w:p>
        </w:tc>
        <w:tc>
          <w:tcPr>
            <w:tcW w:w="2125" w:type="dxa"/>
            <w:tcBorders>
              <w:top w:val="single" w:sz="2" w:space="0" w:color="auto"/>
              <w:left w:val="nil"/>
              <w:bottom w:val="single" w:sz="2" w:space="0" w:color="auto"/>
              <w:right w:val="nil"/>
            </w:tcBorders>
            <w:vAlign w:val="center"/>
            <w:hideMark/>
          </w:tcPr>
          <w:p w14:paraId="25CFB2D5" w14:textId="77777777" w:rsidR="00614DC4" w:rsidRPr="00F0287A" w:rsidRDefault="00614DC4" w:rsidP="006F296B">
            <w:pPr>
              <w:pStyle w:val="cuatexto"/>
              <w:jc w:val="right"/>
              <w:rPr>
                <w:rFonts w:cs="Arial"/>
                <w:szCs w:val="20"/>
              </w:rPr>
            </w:pPr>
            <w:r w:rsidRPr="00F0287A">
              <w:rPr>
                <w:rFonts w:cs="Arial"/>
                <w:szCs w:val="20"/>
              </w:rPr>
              <w:t>-</w:t>
            </w:r>
          </w:p>
        </w:tc>
        <w:tc>
          <w:tcPr>
            <w:tcW w:w="1419" w:type="dxa"/>
            <w:tcBorders>
              <w:top w:val="single" w:sz="2" w:space="0" w:color="auto"/>
              <w:left w:val="nil"/>
              <w:bottom w:val="single" w:sz="2" w:space="0" w:color="auto"/>
              <w:right w:val="nil"/>
            </w:tcBorders>
            <w:noWrap/>
            <w:vAlign w:val="center"/>
            <w:hideMark/>
          </w:tcPr>
          <w:p w14:paraId="2C0C6A59" w14:textId="77777777" w:rsidR="00614DC4" w:rsidRPr="00F0287A" w:rsidRDefault="00614DC4" w:rsidP="006F296B">
            <w:pPr>
              <w:pStyle w:val="cuatexto"/>
              <w:jc w:val="right"/>
              <w:rPr>
                <w:rFonts w:cs="Arial"/>
                <w:szCs w:val="20"/>
              </w:rPr>
            </w:pPr>
            <w:r w:rsidRPr="00F0287A">
              <w:rPr>
                <w:rFonts w:cs="Arial"/>
                <w:szCs w:val="20"/>
              </w:rPr>
              <w:t>84.818</w:t>
            </w:r>
          </w:p>
        </w:tc>
        <w:tc>
          <w:tcPr>
            <w:tcW w:w="991" w:type="dxa"/>
            <w:tcBorders>
              <w:top w:val="single" w:sz="2" w:space="0" w:color="auto"/>
              <w:left w:val="nil"/>
              <w:bottom w:val="single" w:sz="2" w:space="0" w:color="auto"/>
              <w:right w:val="nil"/>
            </w:tcBorders>
            <w:vAlign w:val="center"/>
            <w:hideMark/>
          </w:tcPr>
          <w:p w14:paraId="7358B16B" w14:textId="77777777" w:rsidR="00614DC4" w:rsidRPr="00F0287A" w:rsidRDefault="00614DC4" w:rsidP="006F296B">
            <w:pPr>
              <w:pStyle w:val="cuatexto"/>
              <w:jc w:val="right"/>
              <w:rPr>
                <w:rFonts w:cs="Arial"/>
                <w:szCs w:val="20"/>
              </w:rPr>
            </w:pPr>
            <w:r w:rsidRPr="00F0287A">
              <w:rPr>
                <w:rFonts w:cs="Arial"/>
                <w:szCs w:val="20"/>
              </w:rPr>
              <w:t>93</w:t>
            </w:r>
          </w:p>
        </w:tc>
      </w:tr>
      <w:tr w:rsidR="006F296B" w:rsidRPr="009B37A0" w14:paraId="20D2F81F" w14:textId="77777777" w:rsidTr="006F296B">
        <w:trPr>
          <w:trHeight w:val="198"/>
        </w:trPr>
        <w:tc>
          <w:tcPr>
            <w:tcW w:w="993" w:type="dxa"/>
            <w:tcBorders>
              <w:top w:val="single" w:sz="2" w:space="0" w:color="auto"/>
              <w:left w:val="nil"/>
              <w:bottom w:val="single" w:sz="2" w:space="0" w:color="auto"/>
              <w:right w:val="nil"/>
            </w:tcBorders>
            <w:noWrap/>
            <w:vAlign w:val="center"/>
            <w:hideMark/>
          </w:tcPr>
          <w:p w14:paraId="5E16CA83" w14:textId="77777777" w:rsidR="00614DC4" w:rsidRPr="00F0287A" w:rsidRDefault="00614DC4" w:rsidP="007D37B5">
            <w:pPr>
              <w:pStyle w:val="cuatexto"/>
              <w:ind w:right="35"/>
              <w:rPr>
                <w:szCs w:val="20"/>
              </w:rPr>
            </w:pPr>
            <w:r w:rsidRPr="00F0287A">
              <w:rPr>
                <w:szCs w:val="20"/>
              </w:rPr>
              <w:t>2015</w:t>
            </w:r>
          </w:p>
        </w:tc>
        <w:tc>
          <w:tcPr>
            <w:tcW w:w="1702" w:type="dxa"/>
            <w:tcBorders>
              <w:top w:val="single" w:sz="2" w:space="0" w:color="auto"/>
              <w:left w:val="nil"/>
              <w:bottom w:val="single" w:sz="2" w:space="0" w:color="auto"/>
              <w:right w:val="nil"/>
            </w:tcBorders>
            <w:noWrap/>
            <w:vAlign w:val="center"/>
            <w:hideMark/>
          </w:tcPr>
          <w:p w14:paraId="2B63F46F" w14:textId="77777777" w:rsidR="00614DC4" w:rsidRPr="00F0287A" w:rsidRDefault="00614DC4" w:rsidP="006F296B">
            <w:pPr>
              <w:pStyle w:val="cuatexto"/>
              <w:jc w:val="right"/>
              <w:rPr>
                <w:szCs w:val="20"/>
              </w:rPr>
            </w:pPr>
            <w:r w:rsidRPr="00F0287A">
              <w:rPr>
                <w:szCs w:val="20"/>
              </w:rPr>
              <w:t>50.992</w:t>
            </w:r>
          </w:p>
        </w:tc>
        <w:tc>
          <w:tcPr>
            <w:tcW w:w="1559" w:type="dxa"/>
            <w:tcBorders>
              <w:top w:val="single" w:sz="2" w:space="0" w:color="auto"/>
              <w:left w:val="nil"/>
              <w:bottom w:val="single" w:sz="2" w:space="0" w:color="auto"/>
              <w:right w:val="nil"/>
            </w:tcBorders>
            <w:noWrap/>
            <w:vAlign w:val="center"/>
            <w:hideMark/>
          </w:tcPr>
          <w:p w14:paraId="34A50EEE" w14:textId="77777777" w:rsidR="00614DC4" w:rsidRPr="00F0287A" w:rsidRDefault="00614DC4" w:rsidP="006F296B">
            <w:pPr>
              <w:pStyle w:val="cuatexto"/>
              <w:jc w:val="right"/>
              <w:rPr>
                <w:szCs w:val="20"/>
              </w:rPr>
            </w:pPr>
            <w:r w:rsidRPr="00F0287A">
              <w:rPr>
                <w:szCs w:val="20"/>
              </w:rPr>
              <w:t>45.610</w:t>
            </w:r>
          </w:p>
        </w:tc>
        <w:tc>
          <w:tcPr>
            <w:tcW w:w="2125" w:type="dxa"/>
            <w:tcBorders>
              <w:top w:val="single" w:sz="2" w:space="0" w:color="auto"/>
              <w:left w:val="nil"/>
              <w:bottom w:val="single" w:sz="2" w:space="0" w:color="auto"/>
              <w:right w:val="nil"/>
            </w:tcBorders>
            <w:vAlign w:val="center"/>
            <w:hideMark/>
          </w:tcPr>
          <w:p w14:paraId="3B3A9AAD" w14:textId="77777777" w:rsidR="00614DC4" w:rsidRPr="00F0287A" w:rsidRDefault="00614DC4" w:rsidP="006F296B">
            <w:pPr>
              <w:pStyle w:val="cuatexto"/>
              <w:jc w:val="right"/>
              <w:rPr>
                <w:rFonts w:cs="Arial"/>
                <w:szCs w:val="20"/>
              </w:rPr>
            </w:pPr>
            <w:r w:rsidRPr="00F0287A">
              <w:rPr>
                <w:rFonts w:cs="Arial"/>
                <w:szCs w:val="20"/>
              </w:rPr>
              <w:t>8.129</w:t>
            </w:r>
          </w:p>
        </w:tc>
        <w:tc>
          <w:tcPr>
            <w:tcW w:w="1419" w:type="dxa"/>
            <w:tcBorders>
              <w:top w:val="single" w:sz="2" w:space="0" w:color="auto"/>
              <w:left w:val="nil"/>
              <w:bottom w:val="single" w:sz="2" w:space="0" w:color="auto"/>
              <w:right w:val="nil"/>
            </w:tcBorders>
            <w:noWrap/>
            <w:vAlign w:val="center"/>
            <w:hideMark/>
          </w:tcPr>
          <w:p w14:paraId="524CACFF" w14:textId="77777777" w:rsidR="00614DC4" w:rsidRPr="00F0287A" w:rsidRDefault="00614DC4" w:rsidP="006F296B">
            <w:pPr>
              <w:pStyle w:val="cuatexto"/>
              <w:jc w:val="right"/>
              <w:rPr>
                <w:rFonts w:cs="Arial"/>
                <w:szCs w:val="20"/>
              </w:rPr>
            </w:pPr>
            <w:r w:rsidRPr="00F0287A">
              <w:rPr>
                <w:rFonts w:cs="Arial"/>
                <w:szCs w:val="20"/>
              </w:rPr>
              <w:t>104.731</w:t>
            </w:r>
          </w:p>
        </w:tc>
        <w:tc>
          <w:tcPr>
            <w:tcW w:w="991" w:type="dxa"/>
            <w:tcBorders>
              <w:top w:val="single" w:sz="2" w:space="0" w:color="auto"/>
              <w:left w:val="nil"/>
              <w:bottom w:val="single" w:sz="2" w:space="0" w:color="auto"/>
              <w:right w:val="nil"/>
            </w:tcBorders>
            <w:vAlign w:val="center"/>
            <w:hideMark/>
          </w:tcPr>
          <w:p w14:paraId="62959DC8" w14:textId="77777777" w:rsidR="00614DC4" w:rsidRPr="00F0287A" w:rsidRDefault="00614DC4" w:rsidP="006F296B">
            <w:pPr>
              <w:pStyle w:val="cuatexto"/>
              <w:jc w:val="right"/>
              <w:rPr>
                <w:rFonts w:cs="Arial"/>
                <w:szCs w:val="20"/>
              </w:rPr>
            </w:pPr>
            <w:r w:rsidRPr="00F0287A">
              <w:rPr>
                <w:rFonts w:cs="Arial"/>
                <w:szCs w:val="20"/>
              </w:rPr>
              <w:t>115</w:t>
            </w:r>
          </w:p>
        </w:tc>
      </w:tr>
      <w:tr w:rsidR="006F296B" w:rsidRPr="009B37A0" w14:paraId="2322D258" w14:textId="77777777" w:rsidTr="006F296B">
        <w:trPr>
          <w:trHeight w:val="198"/>
        </w:trPr>
        <w:tc>
          <w:tcPr>
            <w:tcW w:w="993" w:type="dxa"/>
            <w:tcBorders>
              <w:top w:val="single" w:sz="2" w:space="0" w:color="auto"/>
              <w:left w:val="nil"/>
              <w:bottom w:val="single" w:sz="2" w:space="0" w:color="auto"/>
              <w:right w:val="nil"/>
            </w:tcBorders>
            <w:noWrap/>
            <w:vAlign w:val="center"/>
            <w:hideMark/>
          </w:tcPr>
          <w:p w14:paraId="58857768" w14:textId="77777777" w:rsidR="00614DC4" w:rsidRPr="00F0287A" w:rsidRDefault="00614DC4" w:rsidP="007D37B5">
            <w:pPr>
              <w:pStyle w:val="cuatexto"/>
              <w:ind w:right="35"/>
              <w:rPr>
                <w:szCs w:val="20"/>
              </w:rPr>
            </w:pPr>
            <w:r w:rsidRPr="00F0287A">
              <w:rPr>
                <w:szCs w:val="20"/>
              </w:rPr>
              <w:t>2016</w:t>
            </w:r>
          </w:p>
        </w:tc>
        <w:tc>
          <w:tcPr>
            <w:tcW w:w="1702" w:type="dxa"/>
            <w:tcBorders>
              <w:top w:val="single" w:sz="2" w:space="0" w:color="auto"/>
              <w:left w:val="nil"/>
              <w:bottom w:val="single" w:sz="2" w:space="0" w:color="auto"/>
              <w:right w:val="nil"/>
            </w:tcBorders>
            <w:noWrap/>
            <w:vAlign w:val="center"/>
            <w:hideMark/>
          </w:tcPr>
          <w:p w14:paraId="1342A8D3" w14:textId="77777777" w:rsidR="00614DC4" w:rsidRPr="00F0287A" w:rsidRDefault="00614DC4" w:rsidP="006F296B">
            <w:pPr>
              <w:pStyle w:val="cuatexto"/>
              <w:jc w:val="right"/>
              <w:rPr>
                <w:szCs w:val="20"/>
              </w:rPr>
            </w:pPr>
            <w:r w:rsidRPr="00F0287A">
              <w:rPr>
                <w:szCs w:val="20"/>
              </w:rPr>
              <w:t>58.774</w:t>
            </w:r>
          </w:p>
        </w:tc>
        <w:tc>
          <w:tcPr>
            <w:tcW w:w="1559" w:type="dxa"/>
            <w:tcBorders>
              <w:top w:val="single" w:sz="2" w:space="0" w:color="auto"/>
              <w:left w:val="nil"/>
              <w:bottom w:val="single" w:sz="2" w:space="0" w:color="auto"/>
              <w:right w:val="nil"/>
            </w:tcBorders>
            <w:noWrap/>
            <w:vAlign w:val="center"/>
            <w:hideMark/>
          </w:tcPr>
          <w:p w14:paraId="7F536A89" w14:textId="77777777" w:rsidR="00614DC4" w:rsidRPr="00F0287A" w:rsidRDefault="00614DC4" w:rsidP="006F296B">
            <w:pPr>
              <w:pStyle w:val="cuatexto"/>
              <w:jc w:val="right"/>
              <w:rPr>
                <w:szCs w:val="20"/>
              </w:rPr>
            </w:pPr>
            <w:r w:rsidRPr="00F0287A">
              <w:rPr>
                <w:szCs w:val="20"/>
              </w:rPr>
              <w:t>46.142</w:t>
            </w:r>
          </w:p>
        </w:tc>
        <w:tc>
          <w:tcPr>
            <w:tcW w:w="2125" w:type="dxa"/>
            <w:tcBorders>
              <w:top w:val="single" w:sz="2" w:space="0" w:color="auto"/>
              <w:left w:val="nil"/>
              <w:bottom w:val="single" w:sz="2" w:space="0" w:color="auto"/>
              <w:right w:val="nil"/>
            </w:tcBorders>
            <w:vAlign w:val="center"/>
            <w:hideMark/>
          </w:tcPr>
          <w:p w14:paraId="3E2AF957" w14:textId="77777777" w:rsidR="00614DC4" w:rsidRPr="00F0287A" w:rsidRDefault="00614DC4" w:rsidP="006F296B">
            <w:pPr>
              <w:pStyle w:val="cuatexto"/>
              <w:jc w:val="right"/>
              <w:rPr>
                <w:rFonts w:cs="Arial"/>
                <w:szCs w:val="20"/>
              </w:rPr>
            </w:pPr>
            <w:r w:rsidRPr="00F0287A">
              <w:rPr>
                <w:rFonts w:cs="Arial"/>
                <w:szCs w:val="20"/>
              </w:rPr>
              <w:t>19.363</w:t>
            </w:r>
          </w:p>
        </w:tc>
        <w:tc>
          <w:tcPr>
            <w:tcW w:w="1419" w:type="dxa"/>
            <w:tcBorders>
              <w:top w:val="single" w:sz="2" w:space="0" w:color="auto"/>
              <w:left w:val="nil"/>
              <w:bottom w:val="single" w:sz="2" w:space="0" w:color="auto"/>
              <w:right w:val="nil"/>
            </w:tcBorders>
            <w:noWrap/>
            <w:vAlign w:val="center"/>
            <w:hideMark/>
          </w:tcPr>
          <w:p w14:paraId="11AC43EB" w14:textId="77777777" w:rsidR="00614DC4" w:rsidRPr="00F0287A" w:rsidRDefault="00614DC4" w:rsidP="006F296B">
            <w:pPr>
              <w:pStyle w:val="cuatexto"/>
              <w:jc w:val="right"/>
              <w:rPr>
                <w:rFonts w:cs="Arial"/>
                <w:szCs w:val="20"/>
              </w:rPr>
            </w:pPr>
            <w:r w:rsidRPr="00F0287A">
              <w:rPr>
                <w:rFonts w:cs="Arial"/>
                <w:szCs w:val="20"/>
              </w:rPr>
              <w:t>124.279</w:t>
            </w:r>
          </w:p>
        </w:tc>
        <w:tc>
          <w:tcPr>
            <w:tcW w:w="991" w:type="dxa"/>
            <w:tcBorders>
              <w:top w:val="single" w:sz="2" w:space="0" w:color="auto"/>
              <w:left w:val="nil"/>
              <w:bottom w:val="single" w:sz="2" w:space="0" w:color="auto"/>
              <w:right w:val="nil"/>
            </w:tcBorders>
            <w:vAlign w:val="center"/>
            <w:hideMark/>
          </w:tcPr>
          <w:p w14:paraId="18B64286" w14:textId="77777777" w:rsidR="00614DC4" w:rsidRPr="00F0287A" w:rsidRDefault="00614DC4" w:rsidP="006F296B">
            <w:pPr>
              <w:pStyle w:val="cuatexto"/>
              <w:jc w:val="right"/>
              <w:rPr>
                <w:rFonts w:cs="Arial"/>
                <w:szCs w:val="20"/>
              </w:rPr>
            </w:pPr>
            <w:r w:rsidRPr="00F0287A">
              <w:rPr>
                <w:rFonts w:cs="Arial"/>
                <w:szCs w:val="20"/>
              </w:rPr>
              <w:t>137</w:t>
            </w:r>
          </w:p>
        </w:tc>
      </w:tr>
      <w:tr w:rsidR="006F296B" w:rsidRPr="009B37A0" w14:paraId="46F419D2" w14:textId="77777777" w:rsidTr="006F296B">
        <w:trPr>
          <w:trHeight w:val="198"/>
        </w:trPr>
        <w:tc>
          <w:tcPr>
            <w:tcW w:w="993" w:type="dxa"/>
            <w:tcBorders>
              <w:top w:val="single" w:sz="2" w:space="0" w:color="auto"/>
              <w:left w:val="nil"/>
              <w:bottom w:val="single" w:sz="2" w:space="0" w:color="auto"/>
              <w:right w:val="nil"/>
            </w:tcBorders>
            <w:noWrap/>
            <w:vAlign w:val="center"/>
            <w:hideMark/>
          </w:tcPr>
          <w:p w14:paraId="09EC2E46" w14:textId="77777777" w:rsidR="00614DC4" w:rsidRPr="00F0287A" w:rsidRDefault="00614DC4" w:rsidP="007D37B5">
            <w:pPr>
              <w:pStyle w:val="cuatexto"/>
              <w:ind w:right="35"/>
              <w:rPr>
                <w:szCs w:val="20"/>
              </w:rPr>
            </w:pPr>
            <w:r w:rsidRPr="00F0287A">
              <w:rPr>
                <w:szCs w:val="20"/>
              </w:rPr>
              <w:t>2017</w:t>
            </w:r>
          </w:p>
        </w:tc>
        <w:tc>
          <w:tcPr>
            <w:tcW w:w="1702" w:type="dxa"/>
            <w:tcBorders>
              <w:top w:val="single" w:sz="2" w:space="0" w:color="auto"/>
              <w:left w:val="nil"/>
              <w:bottom w:val="single" w:sz="2" w:space="0" w:color="auto"/>
              <w:right w:val="nil"/>
            </w:tcBorders>
            <w:noWrap/>
            <w:vAlign w:val="center"/>
            <w:hideMark/>
          </w:tcPr>
          <w:p w14:paraId="44B7DEAA" w14:textId="77777777" w:rsidR="00614DC4" w:rsidRPr="00F0287A" w:rsidRDefault="00614DC4" w:rsidP="006F296B">
            <w:pPr>
              <w:pStyle w:val="cuatexto"/>
              <w:jc w:val="right"/>
              <w:rPr>
                <w:szCs w:val="20"/>
              </w:rPr>
            </w:pPr>
            <w:r w:rsidRPr="00F0287A">
              <w:rPr>
                <w:szCs w:val="20"/>
              </w:rPr>
              <w:t>94.408</w:t>
            </w:r>
          </w:p>
        </w:tc>
        <w:tc>
          <w:tcPr>
            <w:tcW w:w="1559" w:type="dxa"/>
            <w:tcBorders>
              <w:top w:val="single" w:sz="2" w:space="0" w:color="auto"/>
              <w:left w:val="nil"/>
              <w:bottom w:val="single" w:sz="2" w:space="0" w:color="auto"/>
              <w:right w:val="nil"/>
            </w:tcBorders>
            <w:noWrap/>
            <w:vAlign w:val="center"/>
            <w:hideMark/>
          </w:tcPr>
          <w:p w14:paraId="5CE5F22D" w14:textId="77777777" w:rsidR="00614DC4" w:rsidRPr="00F0287A" w:rsidRDefault="00614DC4" w:rsidP="006F296B">
            <w:pPr>
              <w:pStyle w:val="cuatexto"/>
              <w:jc w:val="right"/>
              <w:rPr>
                <w:szCs w:val="20"/>
              </w:rPr>
            </w:pPr>
            <w:r w:rsidRPr="00F0287A">
              <w:rPr>
                <w:szCs w:val="20"/>
              </w:rPr>
              <w:t>33.586</w:t>
            </w:r>
          </w:p>
        </w:tc>
        <w:tc>
          <w:tcPr>
            <w:tcW w:w="2125" w:type="dxa"/>
            <w:tcBorders>
              <w:top w:val="single" w:sz="2" w:space="0" w:color="auto"/>
              <w:left w:val="nil"/>
              <w:bottom w:val="single" w:sz="2" w:space="0" w:color="auto"/>
              <w:right w:val="nil"/>
            </w:tcBorders>
            <w:vAlign w:val="center"/>
            <w:hideMark/>
          </w:tcPr>
          <w:p w14:paraId="7C88A10E" w14:textId="77777777" w:rsidR="00614DC4" w:rsidRPr="00F0287A" w:rsidRDefault="00614DC4" w:rsidP="006F296B">
            <w:pPr>
              <w:pStyle w:val="cuatexto"/>
              <w:jc w:val="right"/>
              <w:rPr>
                <w:rFonts w:cs="Arial"/>
                <w:szCs w:val="20"/>
              </w:rPr>
            </w:pPr>
            <w:r w:rsidRPr="00F0287A">
              <w:rPr>
                <w:rFonts w:cs="Arial"/>
                <w:szCs w:val="20"/>
              </w:rPr>
              <w:t>20.984</w:t>
            </w:r>
          </w:p>
        </w:tc>
        <w:tc>
          <w:tcPr>
            <w:tcW w:w="1419" w:type="dxa"/>
            <w:tcBorders>
              <w:top w:val="single" w:sz="2" w:space="0" w:color="auto"/>
              <w:left w:val="nil"/>
              <w:bottom w:val="single" w:sz="2" w:space="0" w:color="auto"/>
              <w:right w:val="nil"/>
            </w:tcBorders>
            <w:noWrap/>
            <w:vAlign w:val="center"/>
            <w:hideMark/>
          </w:tcPr>
          <w:p w14:paraId="209787D4" w14:textId="77777777" w:rsidR="00614DC4" w:rsidRPr="00F0287A" w:rsidRDefault="00614DC4" w:rsidP="006F296B">
            <w:pPr>
              <w:pStyle w:val="cuatexto"/>
              <w:jc w:val="right"/>
              <w:rPr>
                <w:rFonts w:cs="Arial"/>
                <w:szCs w:val="20"/>
              </w:rPr>
            </w:pPr>
            <w:r w:rsidRPr="00F0287A">
              <w:rPr>
                <w:rFonts w:cs="Arial"/>
                <w:szCs w:val="20"/>
              </w:rPr>
              <w:t>148.978</w:t>
            </w:r>
          </w:p>
        </w:tc>
        <w:tc>
          <w:tcPr>
            <w:tcW w:w="991" w:type="dxa"/>
            <w:tcBorders>
              <w:top w:val="single" w:sz="2" w:space="0" w:color="auto"/>
              <w:left w:val="nil"/>
              <w:bottom w:val="single" w:sz="2" w:space="0" w:color="auto"/>
              <w:right w:val="nil"/>
            </w:tcBorders>
            <w:vAlign w:val="center"/>
            <w:hideMark/>
          </w:tcPr>
          <w:p w14:paraId="70429FA9" w14:textId="77777777" w:rsidR="00614DC4" w:rsidRPr="00F0287A" w:rsidRDefault="00614DC4" w:rsidP="006F296B">
            <w:pPr>
              <w:pStyle w:val="cuatexto"/>
              <w:jc w:val="right"/>
              <w:rPr>
                <w:rFonts w:cs="Arial"/>
                <w:szCs w:val="20"/>
              </w:rPr>
            </w:pPr>
            <w:r w:rsidRPr="00F0287A">
              <w:rPr>
                <w:rFonts w:cs="Arial"/>
                <w:szCs w:val="20"/>
              </w:rPr>
              <w:t>164</w:t>
            </w:r>
          </w:p>
        </w:tc>
      </w:tr>
      <w:tr w:rsidR="006F296B" w:rsidRPr="009B37A0" w14:paraId="5E3ACAF5" w14:textId="77777777" w:rsidTr="006F296B">
        <w:trPr>
          <w:trHeight w:val="198"/>
        </w:trPr>
        <w:tc>
          <w:tcPr>
            <w:tcW w:w="993" w:type="dxa"/>
            <w:tcBorders>
              <w:top w:val="single" w:sz="2" w:space="0" w:color="auto"/>
              <w:left w:val="nil"/>
              <w:bottom w:val="single" w:sz="2" w:space="0" w:color="auto"/>
              <w:right w:val="nil"/>
            </w:tcBorders>
            <w:noWrap/>
            <w:vAlign w:val="center"/>
            <w:hideMark/>
          </w:tcPr>
          <w:p w14:paraId="1D8F57D8" w14:textId="77777777" w:rsidR="00614DC4" w:rsidRPr="00F0287A" w:rsidRDefault="00614DC4" w:rsidP="007D37B5">
            <w:pPr>
              <w:pStyle w:val="cuatexto"/>
              <w:ind w:right="35"/>
              <w:rPr>
                <w:szCs w:val="20"/>
              </w:rPr>
            </w:pPr>
            <w:r w:rsidRPr="00F0287A">
              <w:rPr>
                <w:szCs w:val="20"/>
              </w:rPr>
              <w:t>2018</w:t>
            </w:r>
          </w:p>
        </w:tc>
        <w:tc>
          <w:tcPr>
            <w:tcW w:w="1702" w:type="dxa"/>
            <w:tcBorders>
              <w:top w:val="single" w:sz="2" w:space="0" w:color="auto"/>
              <w:left w:val="nil"/>
              <w:bottom w:val="single" w:sz="2" w:space="0" w:color="auto"/>
              <w:right w:val="nil"/>
            </w:tcBorders>
            <w:noWrap/>
            <w:vAlign w:val="center"/>
            <w:hideMark/>
          </w:tcPr>
          <w:p w14:paraId="1F29C90C" w14:textId="77777777" w:rsidR="00614DC4" w:rsidRPr="00F0287A" w:rsidRDefault="00614DC4" w:rsidP="006F296B">
            <w:pPr>
              <w:pStyle w:val="cuatexto"/>
              <w:jc w:val="right"/>
              <w:rPr>
                <w:szCs w:val="20"/>
              </w:rPr>
            </w:pPr>
            <w:r w:rsidRPr="00F0287A">
              <w:rPr>
                <w:szCs w:val="20"/>
              </w:rPr>
              <w:t>88.961</w:t>
            </w:r>
          </w:p>
        </w:tc>
        <w:tc>
          <w:tcPr>
            <w:tcW w:w="1559" w:type="dxa"/>
            <w:tcBorders>
              <w:top w:val="single" w:sz="2" w:space="0" w:color="auto"/>
              <w:left w:val="nil"/>
              <w:bottom w:val="single" w:sz="2" w:space="0" w:color="auto"/>
              <w:right w:val="nil"/>
            </w:tcBorders>
            <w:noWrap/>
            <w:vAlign w:val="center"/>
            <w:hideMark/>
          </w:tcPr>
          <w:p w14:paraId="21128117" w14:textId="77777777" w:rsidR="00614DC4" w:rsidRPr="00F0287A" w:rsidRDefault="00614DC4" w:rsidP="006F296B">
            <w:pPr>
              <w:pStyle w:val="cuatexto"/>
              <w:jc w:val="right"/>
              <w:rPr>
                <w:szCs w:val="20"/>
              </w:rPr>
            </w:pPr>
            <w:r w:rsidRPr="00F0287A">
              <w:rPr>
                <w:szCs w:val="20"/>
              </w:rPr>
              <w:t>53.993</w:t>
            </w:r>
          </w:p>
        </w:tc>
        <w:tc>
          <w:tcPr>
            <w:tcW w:w="2125" w:type="dxa"/>
            <w:tcBorders>
              <w:top w:val="single" w:sz="2" w:space="0" w:color="auto"/>
              <w:left w:val="nil"/>
              <w:bottom w:val="single" w:sz="2" w:space="0" w:color="auto"/>
              <w:right w:val="nil"/>
            </w:tcBorders>
            <w:vAlign w:val="center"/>
            <w:hideMark/>
          </w:tcPr>
          <w:p w14:paraId="5DEF1DE1" w14:textId="77777777" w:rsidR="00614DC4" w:rsidRPr="00F0287A" w:rsidRDefault="00614DC4" w:rsidP="006F296B">
            <w:pPr>
              <w:pStyle w:val="cuatexto"/>
              <w:jc w:val="right"/>
              <w:rPr>
                <w:rFonts w:cs="Arial"/>
                <w:szCs w:val="20"/>
              </w:rPr>
            </w:pPr>
            <w:r w:rsidRPr="00F0287A">
              <w:rPr>
                <w:rFonts w:cs="Arial"/>
                <w:szCs w:val="20"/>
              </w:rPr>
              <w:t>27.154</w:t>
            </w:r>
          </w:p>
        </w:tc>
        <w:tc>
          <w:tcPr>
            <w:tcW w:w="1419" w:type="dxa"/>
            <w:tcBorders>
              <w:top w:val="single" w:sz="2" w:space="0" w:color="auto"/>
              <w:left w:val="nil"/>
              <w:bottom w:val="single" w:sz="2" w:space="0" w:color="auto"/>
              <w:right w:val="nil"/>
            </w:tcBorders>
            <w:noWrap/>
            <w:vAlign w:val="center"/>
            <w:hideMark/>
          </w:tcPr>
          <w:p w14:paraId="395A285D" w14:textId="77777777" w:rsidR="00614DC4" w:rsidRPr="00F0287A" w:rsidRDefault="00614DC4" w:rsidP="006F296B">
            <w:pPr>
              <w:pStyle w:val="cuatexto"/>
              <w:jc w:val="right"/>
              <w:rPr>
                <w:rFonts w:cs="Arial"/>
                <w:szCs w:val="20"/>
              </w:rPr>
            </w:pPr>
            <w:r w:rsidRPr="00F0287A">
              <w:rPr>
                <w:rFonts w:cs="Arial"/>
                <w:szCs w:val="20"/>
              </w:rPr>
              <w:t>170.108</w:t>
            </w:r>
          </w:p>
        </w:tc>
        <w:tc>
          <w:tcPr>
            <w:tcW w:w="991" w:type="dxa"/>
            <w:tcBorders>
              <w:top w:val="single" w:sz="2" w:space="0" w:color="auto"/>
              <w:left w:val="nil"/>
              <w:bottom w:val="single" w:sz="2" w:space="0" w:color="auto"/>
              <w:right w:val="nil"/>
            </w:tcBorders>
            <w:vAlign w:val="center"/>
            <w:hideMark/>
          </w:tcPr>
          <w:p w14:paraId="52CB59A4" w14:textId="77777777" w:rsidR="00614DC4" w:rsidRPr="00F0287A" w:rsidRDefault="00614DC4" w:rsidP="006F296B">
            <w:pPr>
              <w:pStyle w:val="cuatexto"/>
              <w:jc w:val="right"/>
              <w:rPr>
                <w:rFonts w:cs="Arial"/>
                <w:szCs w:val="20"/>
              </w:rPr>
            </w:pPr>
            <w:r w:rsidRPr="00F0287A">
              <w:rPr>
                <w:rFonts w:cs="Arial"/>
                <w:szCs w:val="20"/>
              </w:rPr>
              <w:t>187</w:t>
            </w:r>
          </w:p>
        </w:tc>
      </w:tr>
      <w:tr w:rsidR="006F296B" w:rsidRPr="009B37A0" w14:paraId="02D4C6D4" w14:textId="77777777" w:rsidTr="006F296B">
        <w:trPr>
          <w:trHeight w:val="198"/>
        </w:trPr>
        <w:tc>
          <w:tcPr>
            <w:tcW w:w="993" w:type="dxa"/>
            <w:tcBorders>
              <w:top w:val="single" w:sz="2" w:space="0" w:color="auto"/>
              <w:left w:val="nil"/>
              <w:bottom w:val="single" w:sz="2" w:space="0" w:color="auto"/>
              <w:right w:val="nil"/>
            </w:tcBorders>
            <w:noWrap/>
            <w:vAlign w:val="center"/>
            <w:hideMark/>
          </w:tcPr>
          <w:p w14:paraId="108905CE" w14:textId="77777777" w:rsidR="00614DC4" w:rsidRPr="00F0287A" w:rsidRDefault="00614DC4" w:rsidP="007D37B5">
            <w:pPr>
              <w:pStyle w:val="cuatexto"/>
              <w:ind w:right="35"/>
              <w:rPr>
                <w:szCs w:val="20"/>
              </w:rPr>
            </w:pPr>
            <w:r w:rsidRPr="00F0287A">
              <w:rPr>
                <w:szCs w:val="20"/>
              </w:rPr>
              <w:t>2019</w:t>
            </w:r>
          </w:p>
        </w:tc>
        <w:tc>
          <w:tcPr>
            <w:tcW w:w="1702" w:type="dxa"/>
            <w:tcBorders>
              <w:top w:val="single" w:sz="2" w:space="0" w:color="auto"/>
              <w:left w:val="nil"/>
              <w:bottom w:val="single" w:sz="2" w:space="0" w:color="auto"/>
              <w:right w:val="nil"/>
            </w:tcBorders>
            <w:noWrap/>
            <w:vAlign w:val="center"/>
            <w:hideMark/>
          </w:tcPr>
          <w:p w14:paraId="73B0596B" w14:textId="77777777" w:rsidR="00614DC4" w:rsidRPr="00F0287A" w:rsidRDefault="00614DC4" w:rsidP="006F296B">
            <w:pPr>
              <w:pStyle w:val="cuatexto"/>
              <w:jc w:val="right"/>
              <w:rPr>
                <w:szCs w:val="20"/>
              </w:rPr>
            </w:pPr>
            <w:r w:rsidRPr="00F0287A">
              <w:rPr>
                <w:szCs w:val="20"/>
              </w:rPr>
              <w:t>93.514</w:t>
            </w:r>
          </w:p>
        </w:tc>
        <w:tc>
          <w:tcPr>
            <w:tcW w:w="1559" w:type="dxa"/>
            <w:tcBorders>
              <w:top w:val="single" w:sz="2" w:space="0" w:color="auto"/>
              <w:left w:val="nil"/>
              <w:bottom w:val="single" w:sz="2" w:space="0" w:color="auto"/>
              <w:right w:val="nil"/>
            </w:tcBorders>
            <w:noWrap/>
            <w:vAlign w:val="center"/>
            <w:hideMark/>
          </w:tcPr>
          <w:p w14:paraId="4F6356CE" w14:textId="77777777" w:rsidR="00614DC4" w:rsidRPr="00F0287A" w:rsidRDefault="00614DC4" w:rsidP="006F296B">
            <w:pPr>
              <w:pStyle w:val="cuatexto"/>
              <w:jc w:val="right"/>
              <w:rPr>
                <w:szCs w:val="20"/>
              </w:rPr>
            </w:pPr>
            <w:r w:rsidRPr="00F0287A">
              <w:rPr>
                <w:szCs w:val="20"/>
              </w:rPr>
              <w:t>38.536</w:t>
            </w:r>
          </w:p>
        </w:tc>
        <w:tc>
          <w:tcPr>
            <w:tcW w:w="2125" w:type="dxa"/>
            <w:tcBorders>
              <w:top w:val="single" w:sz="2" w:space="0" w:color="auto"/>
              <w:left w:val="nil"/>
              <w:bottom w:val="single" w:sz="2" w:space="0" w:color="auto"/>
              <w:right w:val="nil"/>
            </w:tcBorders>
            <w:vAlign w:val="center"/>
            <w:hideMark/>
          </w:tcPr>
          <w:p w14:paraId="3105FD45" w14:textId="77777777" w:rsidR="00614DC4" w:rsidRPr="00F0287A" w:rsidRDefault="00614DC4" w:rsidP="006F296B">
            <w:pPr>
              <w:pStyle w:val="cuatexto"/>
              <w:jc w:val="right"/>
              <w:rPr>
                <w:rFonts w:cs="Arial"/>
                <w:szCs w:val="20"/>
              </w:rPr>
            </w:pPr>
            <w:r w:rsidRPr="00F0287A">
              <w:rPr>
                <w:rFonts w:cs="Arial"/>
                <w:szCs w:val="20"/>
              </w:rPr>
              <w:t>23.487</w:t>
            </w:r>
          </w:p>
        </w:tc>
        <w:tc>
          <w:tcPr>
            <w:tcW w:w="1419" w:type="dxa"/>
            <w:tcBorders>
              <w:top w:val="single" w:sz="2" w:space="0" w:color="auto"/>
              <w:left w:val="nil"/>
              <w:bottom w:val="single" w:sz="2" w:space="0" w:color="auto"/>
              <w:right w:val="nil"/>
            </w:tcBorders>
            <w:noWrap/>
            <w:vAlign w:val="center"/>
            <w:hideMark/>
          </w:tcPr>
          <w:p w14:paraId="4DD21123" w14:textId="77777777" w:rsidR="00614DC4" w:rsidRPr="00F0287A" w:rsidRDefault="00614DC4" w:rsidP="006F296B">
            <w:pPr>
              <w:pStyle w:val="cuatexto"/>
              <w:jc w:val="right"/>
              <w:rPr>
                <w:rFonts w:cs="Arial"/>
                <w:szCs w:val="20"/>
              </w:rPr>
            </w:pPr>
            <w:r w:rsidRPr="00F0287A">
              <w:rPr>
                <w:rFonts w:cs="Arial"/>
                <w:szCs w:val="20"/>
              </w:rPr>
              <w:t>155.537</w:t>
            </w:r>
          </w:p>
        </w:tc>
        <w:tc>
          <w:tcPr>
            <w:tcW w:w="991" w:type="dxa"/>
            <w:tcBorders>
              <w:top w:val="single" w:sz="2" w:space="0" w:color="auto"/>
              <w:left w:val="nil"/>
              <w:bottom w:val="single" w:sz="2" w:space="0" w:color="auto"/>
              <w:right w:val="nil"/>
            </w:tcBorders>
            <w:vAlign w:val="center"/>
            <w:hideMark/>
          </w:tcPr>
          <w:p w14:paraId="0EE85A16" w14:textId="77777777" w:rsidR="00614DC4" w:rsidRPr="00F0287A" w:rsidRDefault="00614DC4" w:rsidP="006F296B">
            <w:pPr>
              <w:pStyle w:val="cuatexto"/>
              <w:jc w:val="right"/>
              <w:rPr>
                <w:rFonts w:cs="Arial"/>
                <w:szCs w:val="20"/>
              </w:rPr>
            </w:pPr>
            <w:r w:rsidRPr="00F0287A">
              <w:rPr>
                <w:rFonts w:cs="Arial"/>
                <w:szCs w:val="20"/>
              </w:rPr>
              <w:t>171</w:t>
            </w:r>
          </w:p>
        </w:tc>
      </w:tr>
      <w:tr w:rsidR="006F296B" w:rsidRPr="009B37A0" w14:paraId="2F7C8D9E" w14:textId="77777777" w:rsidTr="006F296B">
        <w:trPr>
          <w:trHeight w:val="198"/>
        </w:trPr>
        <w:tc>
          <w:tcPr>
            <w:tcW w:w="993" w:type="dxa"/>
            <w:tcBorders>
              <w:top w:val="single" w:sz="2" w:space="0" w:color="auto"/>
              <w:left w:val="nil"/>
              <w:bottom w:val="single" w:sz="2" w:space="0" w:color="auto"/>
              <w:right w:val="nil"/>
            </w:tcBorders>
            <w:noWrap/>
            <w:vAlign w:val="center"/>
            <w:hideMark/>
          </w:tcPr>
          <w:p w14:paraId="37DC5569" w14:textId="77777777" w:rsidR="00614DC4" w:rsidRPr="00F0287A" w:rsidRDefault="00614DC4" w:rsidP="007D37B5">
            <w:pPr>
              <w:pStyle w:val="cuatexto"/>
              <w:ind w:right="35"/>
              <w:rPr>
                <w:szCs w:val="20"/>
              </w:rPr>
            </w:pPr>
            <w:r w:rsidRPr="00F0287A">
              <w:rPr>
                <w:szCs w:val="20"/>
              </w:rPr>
              <w:t>2020</w:t>
            </w:r>
          </w:p>
        </w:tc>
        <w:tc>
          <w:tcPr>
            <w:tcW w:w="1702" w:type="dxa"/>
            <w:tcBorders>
              <w:top w:val="single" w:sz="2" w:space="0" w:color="auto"/>
              <w:left w:val="nil"/>
              <w:bottom w:val="single" w:sz="2" w:space="0" w:color="auto"/>
              <w:right w:val="nil"/>
            </w:tcBorders>
            <w:noWrap/>
            <w:vAlign w:val="center"/>
            <w:hideMark/>
          </w:tcPr>
          <w:p w14:paraId="1AC55EF0" w14:textId="77777777" w:rsidR="00614DC4" w:rsidRPr="00F0287A" w:rsidRDefault="00614DC4" w:rsidP="006F296B">
            <w:pPr>
              <w:pStyle w:val="cuatexto"/>
              <w:jc w:val="right"/>
              <w:rPr>
                <w:szCs w:val="20"/>
              </w:rPr>
            </w:pPr>
            <w:r w:rsidRPr="00F0287A">
              <w:rPr>
                <w:szCs w:val="20"/>
              </w:rPr>
              <w:t>56.782</w:t>
            </w:r>
          </w:p>
        </w:tc>
        <w:tc>
          <w:tcPr>
            <w:tcW w:w="1559" w:type="dxa"/>
            <w:tcBorders>
              <w:top w:val="single" w:sz="2" w:space="0" w:color="auto"/>
              <w:left w:val="nil"/>
              <w:bottom w:val="single" w:sz="2" w:space="0" w:color="auto"/>
              <w:right w:val="nil"/>
            </w:tcBorders>
            <w:noWrap/>
            <w:vAlign w:val="center"/>
            <w:hideMark/>
          </w:tcPr>
          <w:p w14:paraId="20D7D3BD" w14:textId="77777777" w:rsidR="00614DC4" w:rsidRPr="00F0287A" w:rsidRDefault="00614DC4" w:rsidP="006F296B">
            <w:pPr>
              <w:pStyle w:val="cuatexto"/>
              <w:jc w:val="right"/>
              <w:rPr>
                <w:szCs w:val="20"/>
              </w:rPr>
            </w:pPr>
            <w:r w:rsidRPr="00F0287A">
              <w:rPr>
                <w:szCs w:val="20"/>
              </w:rPr>
              <w:t>27.154</w:t>
            </w:r>
          </w:p>
        </w:tc>
        <w:tc>
          <w:tcPr>
            <w:tcW w:w="2125" w:type="dxa"/>
            <w:tcBorders>
              <w:top w:val="single" w:sz="2" w:space="0" w:color="auto"/>
              <w:left w:val="nil"/>
              <w:bottom w:val="single" w:sz="2" w:space="0" w:color="auto"/>
              <w:right w:val="nil"/>
            </w:tcBorders>
            <w:vAlign w:val="center"/>
            <w:hideMark/>
          </w:tcPr>
          <w:p w14:paraId="12E2B621" w14:textId="77777777" w:rsidR="00614DC4" w:rsidRPr="00F0287A" w:rsidRDefault="00614DC4" w:rsidP="006F296B">
            <w:pPr>
              <w:pStyle w:val="cuatexto"/>
              <w:jc w:val="right"/>
              <w:rPr>
                <w:rFonts w:cs="Arial"/>
                <w:szCs w:val="20"/>
              </w:rPr>
            </w:pPr>
            <w:r w:rsidRPr="00F0287A">
              <w:rPr>
                <w:rFonts w:cs="Arial"/>
                <w:szCs w:val="20"/>
              </w:rPr>
              <w:t>74.380</w:t>
            </w:r>
          </w:p>
        </w:tc>
        <w:tc>
          <w:tcPr>
            <w:tcW w:w="1419" w:type="dxa"/>
            <w:tcBorders>
              <w:top w:val="single" w:sz="2" w:space="0" w:color="auto"/>
              <w:left w:val="nil"/>
              <w:bottom w:val="single" w:sz="2" w:space="0" w:color="auto"/>
              <w:right w:val="nil"/>
            </w:tcBorders>
            <w:noWrap/>
            <w:vAlign w:val="center"/>
            <w:hideMark/>
          </w:tcPr>
          <w:p w14:paraId="1E71D9DF" w14:textId="77777777" w:rsidR="00614DC4" w:rsidRPr="00F0287A" w:rsidRDefault="00614DC4" w:rsidP="006F296B">
            <w:pPr>
              <w:pStyle w:val="cuatexto"/>
              <w:jc w:val="right"/>
              <w:rPr>
                <w:rFonts w:cs="Arial"/>
                <w:szCs w:val="20"/>
              </w:rPr>
            </w:pPr>
            <w:r w:rsidRPr="00F0287A">
              <w:rPr>
                <w:rFonts w:cs="Arial"/>
                <w:szCs w:val="20"/>
              </w:rPr>
              <w:t>158.316</w:t>
            </w:r>
          </w:p>
        </w:tc>
        <w:tc>
          <w:tcPr>
            <w:tcW w:w="991" w:type="dxa"/>
            <w:tcBorders>
              <w:top w:val="single" w:sz="2" w:space="0" w:color="auto"/>
              <w:left w:val="nil"/>
              <w:bottom w:val="single" w:sz="2" w:space="0" w:color="auto"/>
              <w:right w:val="nil"/>
            </w:tcBorders>
            <w:vAlign w:val="center"/>
            <w:hideMark/>
          </w:tcPr>
          <w:p w14:paraId="10BFF73D" w14:textId="77777777" w:rsidR="00614DC4" w:rsidRPr="00F0287A" w:rsidRDefault="00614DC4" w:rsidP="006F296B">
            <w:pPr>
              <w:pStyle w:val="cuatexto"/>
              <w:jc w:val="right"/>
              <w:rPr>
                <w:rFonts w:cs="Arial"/>
                <w:szCs w:val="20"/>
              </w:rPr>
            </w:pPr>
            <w:r w:rsidRPr="00F0287A">
              <w:rPr>
                <w:rFonts w:cs="Arial"/>
                <w:szCs w:val="20"/>
              </w:rPr>
              <w:t>174</w:t>
            </w:r>
          </w:p>
        </w:tc>
      </w:tr>
      <w:tr w:rsidR="006F296B" w:rsidRPr="009B37A0" w14:paraId="77CE3FED" w14:textId="77777777" w:rsidTr="006F296B">
        <w:trPr>
          <w:trHeight w:val="198"/>
        </w:trPr>
        <w:tc>
          <w:tcPr>
            <w:tcW w:w="993" w:type="dxa"/>
            <w:tcBorders>
              <w:top w:val="single" w:sz="2" w:space="0" w:color="auto"/>
              <w:left w:val="nil"/>
              <w:bottom w:val="single" w:sz="2" w:space="0" w:color="auto"/>
              <w:right w:val="nil"/>
            </w:tcBorders>
            <w:noWrap/>
            <w:vAlign w:val="center"/>
            <w:hideMark/>
          </w:tcPr>
          <w:p w14:paraId="5851B18D" w14:textId="77777777" w:rsidR="00614DC4" w:rsidRPr="00F0287A" w:rsidRDefault="00614DC4" w:rsidP="007D37B5">
            <w:pPr>
              <w:pStyle w:val="cuatexto"/>
              <w:ind w:right="35"/>
              <w:rPr>
                <w:rFonts w:cs="Arial"/>
                <w:szCs w:val="20"/>
              </w:rPr>
            </w:pPr>
            <w:r w:rsidRPr="00F0287A">
              <w:rPr>
                <w:rFonts w:cs="Arial"/>
                <w:szCs w:val="20"/>
              </w:rPr>
              <w:t>2021</w:t>
            </w:r>
          </w:p>
        </w:tc>
        <w:tc>
          <w:tcPr>
            <w:tcW w:w="1702" w:type="dxa"/>
            <w:tcBorders>
              <w:top w:val="single" w:sz="2" w:space="0" w:color="auto"/>
              <w:left w:val="nil"/>
              <w:bottom w:val="single" w:sz="2" w:space="0" w:color="auto"/>
              <w:right w:val="nil"/>
            </w:tcBorders>
            <w:noWrap/>
            <w:vAlign w:val="center"/>
            <w:hideMark/>
          </w:tcPr>
          <w:p w14:paraId="51154F2E" w14:textId="77777777" w:rsidR="00614DC4" w:rsidRPr="00F0287A" w:rsidRDefault="00614DC4" w:rsidP="006F296B">
            <w:pPr>
              <w:pStyle w:val="cuatexto"/>
              <w:jc w:val="right"/>
              <w:rPr>
                <w:rFonts w:cs="Arial"/>
                <w:szCs w:val="20"/>
              </w:rPr>
            </w:pPr>
            <w:r w:rsidRPr="00F0287A">
              <w:rPr>
                <w:rFonts w:cs="Arial"/>
                <w:szCs w:val="20"/>
              </w:rPr>
              <w:t>55.447</w:t>
            </w:r>
          </w:p>
        </w:tc>
        <w:tc>
          <w:tcPr>
            <w:tcW w:w="1559" w:type="dxa"/>
            <w:tcBorders>
              <w:top w:val="single" w:sz="2" w:space="0" w:color="auto"/>
              <w:left w:val="nil"/>
              <w:bottom w:val="single" w:sz="2" w:space="0" w:color="auto"/>
              <w:right w:val="nil"/>
            </w:tcBorders>
            <w:noWrap/>
            <w:vAlign w:val="center"/>
            <w:hideMark/>
          </w:tcPr>
          <w:p w14:paraId="398B7333" w14:textId="77777777" w:rsidR="00614DC4" w:rsidRPr="00F0287A" w:rsidRDefault="00614DC4" w:rsidP="006F296B">
            <w:pPr>
              <w:pStyle w:val="cuatexto"/>
              <w:jc w:val="right"/>
              <w:rPr>
                <w:rFonts w:cs="Arial"/>
                <w:szCs w:val="20"/>
              </w:rPr>
            </w:pPr>
            <w:r w:rsidRPr="00F0287A">
              <w:rPr>
                <w:rFonts w:cs="Arial"/>
                <w:szCs w:val="20"/>
              </w:rPr>
              <w:t>53.375</w:t>
            </w:r>
          </w:p>
        </w:tc>
        <w:tc>
          <w:tcPr>
            <w:tcW w:w="2125" w:type="dxa"/>
            <w:tcBorders>
              <w:top w:val="single" w:sz="2" w:space="0" w:color="auto"/>
              <w:left w:val="nil"/>
              <w:bottom w:val="single" w:sz="2" w:space="0" w:color="auto"/>
              <w:right w:val="nil"/>
            </w:tcBorders>
            <w:vAlign w:val="center"/>
            <w:hideMark/>
          </w:tcPr>
          <w:p w14:paraId="35CF3D0D" w14:textId="77777777" w:rsidR="00614DC4" w:rsidRPr="00F0287A" w:rsidRDefault="00614DC4" w:rsidP="006F296B">
            <w:pPr>
              <w:pStyle w:val="cuatexto"/>
              <w:jc w:val="right"/>
              <w:rPr>
                <w:rFonts w:cs="Arial"/>
                <w:szCs w:val="20"/>
              </w:rPr>
            </w:pPr>
            <w:r w:rsidRPr="00F0287A">
              <w:rPr>
                <w:rFonts w:cs="Arial"/>
                <w:szCs w:val="20"/>
              </w:rPr>
              <w:t>11.480</w:t>
            </w:r>
          </w:p>
        </w:tc>
        <w:tc>
          <w:tcPr>
            <w:tcW w:w="1419" w:type="dxa"/>
            <w:tcBorders>
              <w:top w:val="single" w:sz="2" w:space="0" w:color="auto"/>
              <w:left w:val="nil"/>
              <w:bottom w:val="single" w:sz="2" w:space="0" w:color="auto"/>
              <w:right w:val="nil"/>
            </w:tcBorders>
            <w:noWrap/>
            <w:vAlign w:val="center"/>
            <w:hideMark/>
          </w:tcPr>
          <w:p w14:paraId="6A65E72C" w14:textId="77777777" w:rsidR="00614DC4" w:rsidRPr="00F0287A" w:rsidRDefault="00614DC4" w:rsidP="006F296B">
            <w:pPr>
              <w:pStyle w:val="cuatexto"/>
              <w:jc w:val="right"/>
              <w:rPr>
                <w:rFonts w:cs="Arial"/>
                <w:szCs w:val="20"/>
              </w:rPr>
            </w:pPr>
            <w:r w:rsidRPr="00F0287A">
              <w:rPr>
                <w:rFonts w:cs="Arial"/>
                <w:szCs w:val="20"/>
              </w:rPr>
              <w:t>120.302</w:t>
            </w:r>
          </w:p>
        </w:tc>
        <w:tc>
          <w:tcPr>
            <w:tcW w:w="991" w:type="dxa"/>
            <w:tcBorders>
              <w:top w:val="single" w:sz="2" w:space="0" w:color="auto"/>
              <w:left w:val="nil"/>
              <w:bottom w:val="single" w:sz="2" w:space="0" w:color="auto"/>
              <w:right w:val="nil"/>
            </w:tcBorders>
            <w:vAlign w:val="center"/>
            <w:hideMark/>
          </w:tcPr>
          <w:p w14:paraId="62627FD0" w14:textId="77777777" w:rsidR="00614DC4" w:rsidRPr="00F0287A" w:rsidRDefault="00614DC4" w:rsidP="006F296B">
            <w:pPr>
              <w:pStyle w:val="cuatexto"/>
              <w:jc w:val="right"/>
              <w:rPr>
                <w:rFonts w:cs="Arial"/>
                <w:szCs w:val="20"/>
              </w:rPr>
            </w:pPr>
            <w:r w:rsidRPr="00F0287A">
              <w:rPr>
                <w:rFonts w:cs="Arial"/>
                <w:szCs w:val="20"/>
              </w:rPr>
              <w:t>132</w:t>
            </w:r>
          </w:p>
        </w:tc>
      </w:tr>
      <w:tr w:rsidR="009B37A0" w:rsidRPr="009B37A0" w14:paraId="100B60B6" w14:textId="77777777" w:rsidTr="001F6B50">
        <w:trPr>
          <w:trHeight w:val="198"/>
        </w:trPr>
        <w:tc>
          <w:tcPr>
            <w:tcW w:w="993" w:type="dxa"/>
            <w:tcBorders>
              <w:top w:val="single" w:sz="2" w:space="0" w:color="auto"/>
              <w:left w:val="nil"/>
              <w:bottom w:val="single" w:sz="4" w:space="0" w:color="auto"/>
              <w:right w:val="nil"/>
            </w:tcBorders>
            <w:noWrap/>
            <w:vAlign w:val="center"/>
            <w:hideMark/>
          </w:tcPr>
          <w:p w14:paraId="3E77607B" w14:textId="77777777" w:rsidR="00614DC4" w:rsidRPr="00F0287A" w:rsidRDefault="00614DC4" w:rsidP="007D37B5">
            <w:pPr>
              <w:pStyle w:val="cuatexto"/>
              <w:ind w:right="35"/>
              <w:rPr>
                <w:rFonts w:cs="Arial"/>
                <w:szCs w:val="20"/>
              </w:rPr>
            </w:pPr>
            <w:r w:rsidRPr="00F0287A">
              <w:rPr>
                <w:rFonts w:cs="Arial"/>
                <w:szCs w:val="20"/>
              </w:rPr>
              <w:t>2022</w:t>
            </w:r>
          </w:p>
        </w:tc>
        <w:tc>
          <w:tcPr>
            <w:tcW w:w="1702" w:type="dxa"/>
            <w:tcBorders>
              <w:top w:val="single" w:sz="2" w:space="0" w:color="auto"/>
              <w:left w:val="nil"/>
              <w:bottom w:val="single" w:sz="4" w:space="0" w:color="auto"/>
              <w:right w:val="nil"/>
            </w:tcBorders>
            <w:noWrap/>
            <w:vAlign w:val="center"/>
            <w:hideMark/>
          </w:tcPr>
          <w:p w14:paraId="04BD326B" w14:textId="77777777" w:rsidR="00614DC4" w:rsidRPr="00F0287A" w:rsidRDefault="00614DC4" w:rsidP="006F296B">
            <w:pPr>
              <w:pStyle w:val="cuatexto"/>
              <w:jc w:val="right"/>
              <w:rPr>
                <w:rFonts w:cs="Arial"/>
                <w:szCs w:val="20"/>
              </w:rPr>
            </w:pPr>
            <w:r w:rsidRPr="00F0287A">
              <w:rPr>
                <w:szCs w:val="20"/>
              </w:rPr>
              <w:t>69.864</w:t>
            </w:r>
          </w:p>
        </w:tc>
        <w:tc>
          <w:tcPr>
            <w:tcW w:w="1559" w:type="dxa"/>
            <w:tcBorders>
              <w:top w:val="single" w:sz="2" w:space="0" w:color="auto"/>
              <w:left w:val="nil"/>
              <w:bottom w:val="single" w:sz="4" w:space="0" w:color="auto"/>
              <w:right w:val="nil"/>
            </w:tcBorders>
            <w:noWrap/>
            <w:vAlign w:val="center"/>
            <w:hideMark/>
          </w:tcPr>
          <w:p w14:paraId="6943DD47" w14:textId="77777777" w:rsidR="00614DC4" w:rsidRPr="00F0287A" w:rsidRDefault="00614DC4" w:rsidP="006F296B">
            <w:pPr>
              <w:pStyle w:val="cuatexto"/>
              <w:jc w:val="right"/>
              <w:rPr>
                <w:rFonts w:cs="Arial"/>
                <w:szCs w:val="20"/>
              </w:rPr>
            </w:pPr>
            <w:r w:rsidRPr="00F0287A">
              <w:rPr>
                <w:rFonts w:cs="Arial"/>
                <w:szCs w:val="20"/>
              </w:rPr>
              <w:t>33.098</w:t>
            </w:r>
          </w:p>
        </w:tc>
        <w:tc>
          <w:tcPr>
            <w:tcW w:w="2125" w:type="dxa"/>
            <w:tcBorders>
              <w:top w:val="single" w:sz="2" w:space="0" w:color="auto"/>
              <w:left w:val="nil"/>
              <w:bottom w:val="single" w:sz="4" w:space="0" w:color="auto"/>
              <w:right w:val="nil"/>
            </w:tcBorders>
            <w:vAlign w:val="center"/>
            <w:hideMark/>
          </w:tcPr>
          <w:p w14:paraId="6B8CE5A6" w14:textId="77777777" w:rsidR="00614DC4" w:rsidRPr="00F0287A" w:rsidRDefault="00614DC4" w:rsidP="006F296B">
            <w:pPr>
              <w:pStyle w:val="cuatexto"/>
              <w:jc w:val="right"/>
              <w:rPr>
                <w:rFonts w:cs="Arial"/>
                <w:szCs w:val="20"/>
              </w:rPr>
            </w:pPr>
            <w:r w:rsidRPr="00F0287A">
              <w:rPr>
                <w:rFonts w:cs="Arial"/>
                <w:szCs w:val="20"/>
              </w:rPr>
              <w:t>74.394</w:t>
            </w:r>
          </w:p>
        </w:tc>
        <w:tc>
          <w:tcPr>
            <w:tcW w:w="1419" w:type="dxa"/>
            <w:tcBorders>
              <w:top w:val="single" w:sz="2" w:space="0" w:color="auto"/>
              <w:left w:val="nil"/>
              <w:bottom w:val="single" w:sz="4" w:space="0" w:color="auto"/>
              <w:right w:val="nil"/>
            </w:tcBorders>
            <w:noWrap/>
            <w:vAlign w:val="center"/>
            <w:hideMark/>
          </w:tcPr>
          <w:p w14:paraId="175310FC" w14:textId="77777777" w:rsidR="00614DC4" w:rsidRPr="00F0287A" w:rsidRDefault="00614DC4" w:rsidP="006F296B">
            <w:pPr>
              <w:pStyle w:val="cuatexto"/>
              <w:jc w:val="right"/>
              <w:rPr>
                <w:rFonts w:cs="Arial"/>
                <w:szCs w:val="20"/>
              </w:rPr>
            </w:pPr>
            <w:r w:rsidRPr="00F0287A">
              <w:rPr>
                <w:rFonts w:cs="Arial"/>
                <w:szCs w:val="20"/>
              </w:rPr>
              <w:t>177.356</w:t>
            </w:r>
          </w:p>
        </w:tc>
        <w:tc>
          <w:tcPr>
            <w:tcW w:w="991" w:type="dxa"/>
            <w:tcBorders>
              <w:top w:val="single" w:sz="2" w:space="0" w:color="auto"/>
              <w:left w:val="nil"/>
              <w:bottom w:val="single" w:sz="4" w:space="0" w:color="auto"/>
              <w:right w:val="nil"/>
            </w:tcBorders>
            <w:vAlign w:val="center"/>
            <w:hideMark/>
          </w:tcPr>
          <w:p w14:paraId="68BF5ACD" w14:textId="77777777" w:rsidR="00614DC4" w:rsidRPr="00F0287A" w:rsidRDefault="00614DC4" w:rsidP="006F296B">
            <w:pPr>
              <w:pStyle w:val="cuatexto"/>
              <w:jc w:val="right"/>
              <w:rPr>
                <w:rFonts w:cs="Arial"/>
                <w:szCs w:val="20"/>
              </w:rPr>
            </w:pPr>
            <w:r w:rsidRPr="00F0287A">
              <w:rPr>
                <w:rFonts w:cs="Arial"/>
                <w:szCs w:val="20"/>
              </w:rPr>
              <w:t>195</w:t>
            </w:r>
          </w:p>
        </w:tc>
      </w:tr>
      <w:tr w:rsidR="00D517FE" w:rsidRPr="009B37A0" w14:paraId="3D2679D3" w14:textId="77777777" w:rsidTr="001F6B50">
        <w:trPr>
          <w:trHeight w:val="198"/>
        </w:trPr>
        <w:tc>
          <w:tcPr>
            <w:tcW w:w="993" w:type="dxa"/>
            <w:tcBorders>
              <w:top w:val="single" w:sz="4" w:space="0" w:color="auto"/>
              <w:left w:val="nil"/>
              <w:bottom w:val="single" w:sz="4" w:space="0" w:color="auto"/>
              <w:right w:val="nil"/>
            </w:tcBorders>
            <w:noWrap/>
            <w:vAlign w:val="center"/>
          </w:tcPr>
          <w:p w14:paraId="1F89F1B9" w14:textId="77777777" w:rsidR="00D517FE" w:rsidRPr="00F0287A" w:rsidRDefault="00D517FE" w:rsidP="007D37B5">
            <w:pPr>
              <w:pStyle w:val="cuatexto"/>
              <w:ind w:right="35"/>
              <w:rPr>
                <w:rFonts w:cs="Arial"/>
                <w:szCs w:val="20"/>
              </w:rPr>
            </w:pPr>
            <w:r w:rsidRPr="00F0287A">
              <w:rPr>
                <w:rFonts w:cs="Arial"/>
                <w:szCs w:val="20"/>
              </w:rPr>
              <w:t>2023</w:t>
            </w:r>
          </w:p>
        </w:tc>
        <w:tc>
          <w:tcPr>
            <w:tcW w:w="1702" w:type="dxa"/>
            <w:tcBorders>
              <w:top w:val="single" w:sz="4" w:space="0" w:color="auto"/>
              <w:left w:val="nil"/>
              <w:bottom w:val="single" w:sz="4" w:space="0" w:color="auto"/>
              <w:right w:val="nil"/>
            </w:tcBorders>
            <w:noWrap/>
            <w:vAlign w:val="center"/>
          </w:tcPr>
          <w:p w14:paraId="0A0B0440" w14:textId="77777777" w:rsidR="00D517FE" w:rsidRPr="00F0287A" w:rsidRDefault="00D517FE" w:rsidP="006F296B">
            <w:pPr>
              <w:pStyle w:val="cuatexto"/>
              <w:jc w:val="right"/>
              <w:rPr>
                <w:szCs w:val="20"/>
              </w:rPr>
            </w:pPr>
            <w:r w:rsidRPr="00F0287A">
              <w:rPr>
                <w:szCs w:val="20"/>
              </w:rPr>
              <w:t>157.898</w:t>
            </w:r>
          </w:p>
        </w:tc>
        <w:tc>
          <w:tcPr>
            <w:tcW w:w="1559" w:type="dxa"/>
            <w:tcBorders>
              <w:top w:val="single" w:sz="4" w:space="0" w:color="auto"/>
              <w:left w:val="nil"/>
              <w:bottom w:val="single" w:sz="4" w:space="0" w:color="auto"/>
              <w:right w:val="nil"/>
            </w:tcBorders>
            <w:noWrap/>
            <w:vAlign w:val="center"/>
          </w:tcPr>
          <w:p w14:paraId="63AECE02" w14:textId="77777777" w:rsidR="00D517FE" w:rsidRPr="00F0287A" w:rsidRDefault="00D517FE" w:rsidP="006F296B">
            <w:pPr>
              <w:pStyle w:val="cuatexto"/>
              <w:jc w:val="right"/>
              <w:rPr>
                <w:rFonts w:cs="Arial"/>
                <w:szCs w:val="20"/>
              </w:rPr>
            </w:pPr>
            <w:r w:rsidRPr="00F0287A">
              <w:rPr>
                <w:rFonts w:cs="Arial"/>
                <w:szCs w:val="20"/>
              </w:rPr>
              <w:t>78.407</w:t>
            </w:r>
          </w:p>
        </w:tc>
        <w:tc>
          <w:tcPr>
            <w:tcW w:w="2125" w:type="dxa"/>
            <w:tcBorders>
              <w:top w:val="single" w:sz="4" w:space="0" w:color="auto"/>
              <w:left w:val="nil"/>
              <w:bottom w:val="single" w:sz="4" w:space="0" w:color="auto"/>
              <w:right w:val="nil"/>
            </w:tcBorders>
            <w:vAlign w:val="center"/>
          </w:tcPr>
          <w:p w14:paraId="44221CDC" w14:textId="77777777" w:rsidR="00D517FE" w:rsidRPr="00F0287A" w:rsidRDefault="00D517FE" w:rsidP="006F296B">
            <w:pPr>
              <w:pStyle w:val="cuatexto"/>
              <w:jc w:val="right"/>
              <w:rPr>
                <w:rFonts w:cs="Arial"/>
                <w:szCs w:val="20"/>
              </w:rPr>
            </w:pPr>
            <w:r w:rsidRPr="00F0287A">
              <w:rPr>
                <w:rFonts w:cs="Arial"/>
                <w:szCs w:val="20"/>
              </w:rPr>
              <w:t>23.175</w:t>
            </w:r>
          </w:p>
        </w:tc>
        <w:tc>
          <w:tcPr>
            <w:tcW w:w="1419" w:type="dxa"/>
            <w:tcBorders>
              <w:top w:val="single" w:sz="4" w:space="0" w:color="auto"/>
              <w:left w:val="nil"/>
              <w:bottom w:val="single" w:sz="4" w:space="0" w:color="auto"/>
              <w:right w:val="nil"/>
            </w:tcBorders>
            <w:noWrap/>
            <w:vAlign w:val="center"/>
          </w:tcPr>
          <w:p w14:paraId="6BBA009B" w14:textId="77777777" w:rsidR="00D517FE" w:rsidRPr="00F0287A" w:rsidRDefault="009B37A0" w:rsidP="006F296B">
            <w:pPr>
              <w:pStyle w:val="cuatexto"/>
              <w:jc w:val="right"/>
              <w:rPr>
                <w:rFonts w:cs="Arial"/>
                <w:szCs w:val="20"/>
              </w:rPr>
            </w:pPr>
            <w:r w:rsidRPr="00F0287A">
              <w:rPr>
                <w:rFonts w:cs="Arial"/>
                <w:szCs w:val="20"/>
              </w:rPr>
              <w:t>259.480</w:t>
            </w:r>
          </w:p>
        </w:tc>
        <w:tc>
          <w:tcPr>
            <w:tcW w:w="991" w:type="dxa"/>
            <w:tcBorders>
              <w:top w:val="single" w:sz="4" w:space="0" w:color="auto"/>
              <w:left w:val="nil"/>
              <w:bottom w:val="single" w:sz="4" w:space="0" w:color="auto"/>
              <w:right w:val="nil"/>
            </w:tcBorders>
            <w:vAlign w:val="center"/>
          </w:tcPr>
          <w:p w14:paraId="59B62E99" w14:textId="77777777" w:rsidR="00D517FE" w:rsidRPr="00F0287A" w:rsidRDefault="009B37A0" w:rsidP="006F296B">
            <w:pPr>
              <w:pStyle w:val="cuatexto"/>
              <w:jc w:val="right"/>
              <w:rPr>
                <w:rFonts w:cs="Arial"/>
                <w:szCs w:val="20"/>
              </w:rPr>
            </w:pPr>
            <w:r w:rsidRPr="00F0287A">
              <w:rPr>
                <w:rFonts w:cs="Arial"/>
                <w:szCs w:val="20"/>
              </w:rPr>
              <w:t>286</w:t>
            </w:r>
          </w:p>
        </w:tc>
      </w:tr>
    </w:tbl>
    <w:p w14:paraId="081C701E" w14:textId="77777777" w:rsidR="00614DC4" w:rsidRPr="009B37A0" w:rsidRDefault="00614DC4" w:rsidP="00614DC4">
      <w:pPr>
        <w:keepLines/>
        <w:spacing w:before="60"/>
        <w:rPr>
          <w:rFonts w:ascii="Arial" w:hAnsi="Arial" w:cs="Arial"/>
          <w:spacing w:val="6"/>
          <w:sz w:val="16"/>
          <w:szCs w:val="16"/>
        </w:rPr>
      </w:pPr>
      <w:r w:rsidRPr="009B37A0">
        <w:rPr>
          <w:rFonts w:ascii="Arial" w:hAnsi="Arial" w:cs="Arial"/>
          <w:spacing w:val="6"/>
          <w:sz w:val="16"/>
          <w:szCs w:val="16"/>
        </w:rPr>
        <w:t xml:space="preserve">* En 2015 comienza el recuento de otras actuaciones tributarias. </w:t>
      </w:r>
    </w:p>
    <w:p w14:paraId="4605E7EB" w14:textId="77777777" w:rsidR="00614DC4" w:rsidRDefault="00614DC4" w:rsidP="00A963CA">
      <w:pPr>
        <w:pStyle w:val="texto"/>
        <w:spacing w:before="240" w:after="120"/>
        <w:jc w:val="both"/>
      </w:pPr>
      <w:r w:rsidRPr="009B37A0">
        <w:lastRenderedPageBreak/>
        <w:t>Los ingresos devengados por la lucha contra el fraude fiscal han oscilado significativamente alcanzando su menor valor en 2014. Sin embargo, desde esa fecha se han incrementado, y en 202</w:t>
      </w:r>
      <w:r w:rsidR="009B37A0" w:rsidRPr="009B37A0">
        <w:t>3</w:t>
      </w:r>
      <w:r w:rsidRPr="009B37A0">
        <w:t xml:space="preserve"> ascienden a </w:t>
      </w:r>
      <w:r w:rsidR="009B37A0" w:rsidRPr="009B37A0">
        <w:t>259,48</w:t>
      </w:r>
      <w:r w:rsidRPr="009B37A0">
        <w:t xml:space="preserve"> millones, cantidad que es superior a la de 202</w:t>
      </w:r>
      <w:r w:rsidR="009B37A0" w:rsidRPr="009B37A0">
        <w:t>2</w:t>
      </w:r>
      <w:r w:rsidRPr="009B37A0">
        <w:t xml:space="preserve"> en un 4</w:t>
      </w:r>
      <w:r w:rsidR="009B37A0" w:rsidRPr="009B37A0">
        <w:t>6</w:t>
      </w:r>
      <w:r w:rsidRPr="009B37A0">
        <w:t xml:space="preserve"> por ciento.</w:t>
      </w:r>
    </w:p>
    <w:p w14:paraId="6B9F04F9" w14:textId="77777777" w:rsidR="003A4E9E" w:rsidRDefault="00614DC4" w:rsidP="009A38AE">
      <w:pPr>
        <w:pStyle w:val="texto"/>
        <w:spacing w:after="240"/>
        <w:jc w:val="both"/>
      </w:pPr>
      <w:r w:rsidRPr="001C5656">
        <w:t>En el siguiente cuadro comparamos, con un mayor detalle, las actuaciones contra el fraude de los ejercicios 202</w:t>
      </w:r>
      <w:r w:rsidR="009B37A0" w:rsidRPr="001C5656">
        <w:t>2</w:t>
      </w:r>
      <w:r w:rsidRPr="001C5656">
        <w:t xml:space="preserve"> y 202</w:t>
      </w:r>
      <w:r w:rsidR="009B37A0" w:rsidRPr="001C5656">
        <w:t>3</w:t>
      </w:r>
      <w:r w:rsidRPr="001C5656">
        <w:t xml:space="preserve">, según la información </w:t>
      </w:r>
      <w:r w:rsidR="003753B5">
        <w:t xml:space="preserve">de la HFN presentada en la Comisión </w:t>
      </w:r>
      <w:r w:rsidR="00485495">
        <w:t>de lucha contra el fraude fiscal</w:t>
      </w:r>
      <w:r w:rsidRPr="001C5656">
        <w:t>:</w:t>
      </w:r>
    </w:p>
    <w:tbl>
      <w:tblPr>
        <w:tblW w:w="8838" w:type="dxa"/>
        <w:jc w:val="center"/>
        <w:tblLayout w:type="fixed"/>
        <w:tblCellMar>
          <w:left w:w="70" w:type="dxa"/>
          <w:right w:w="70" w:type="dxa"/>
        </w:tblCellMar>
        <w:tblLook w:val="04A0" w:firstRow="1" w:lastRow="0" w:firstColumn="1" w:lastColumn="0" w:noHBand="0" w:noVBand="1"/>
      </w:tblPr>
      <w:tblGrid>
        <w:gridCol w:w="3277"/>
        <w:gridCol w:w="18"/>
        <w:gridCol w:w="1546"/>
        <w:gridCol w:w="27"/>
        <w:gridCol w:w="1228"/>
        <w:gridCol w:w="1559"/>
        <w:gridCol w:w="230"/>
        <w:gridCol w:w="904"/>
        <w:gridCol w:w="49"/>
      </w:tblGrid>
      <w:tr w:rsidR="001C5656" w:rsidRPr="001C5656" w14:paraId="5654D68E" w14:textId="77777777" w:rsidTr="000511C1">
        <w:trPr>
          <w:gridAfter w:val="1"/>
          <w:wAfter w:w="49" w:type="dxa"/>
          <w:trHeight w:val="255"/>
          <w:jc w:val="center"/>
        </w:trPr>
        <w:tc>
          <w:tcPr>
            <w:tcW w:w="8789" w:type="dxa"/>
            <w:gridSpan w:val="8"/>
            <w:tcBorders>
              <w:top w:val="nil"/>
              <w:left w:val="nil"/>
              <w:bottom w:val="single" w:sz="4" w:space="0" w:color="auto"/>
              <w:right w:val="nil"/>
            </w:tcBorders>
            <w:noWrap/>
            <w:vAlign w:val="center"/>
            <w:hideMark/>
          </w:tcPr>
          <w:p w14:paraId="4E8EC628" w14:textId="77777777" w:rsidR="00614DC4" w:rsidRPr="00F0287A" w:rsidRDefault="00614DC4">
            <w:pPr>
              <w:jc w:val="right"/>
              <w:rPr>
                <w:rFonts w:ascii="Arial" w:hAnsi="Arial" w:cs="Arial"/>
                <w:sz w:val="17"/>
                <w:szCs w:val="17"/>
              </w:rPr>
            </w:pPr>
            <w:r w:rsidRPr="00F0287A">
              <w:rPr>
                <w:rFonts w:ascii="Arial" w:hAnsi="Arial" w:cs="Arial"/>
                <w:sz w:val="17"/>
                <w:szCs w:val="17"/>
              </w:rPr>
              <w:t>(en miles)</w:t>
            </w:r>
          </w:p>
        </w:tc>
      </w:tr>
      <w:tr w:rsidR="001C5656" w:rsidRPr="001C5656" w14:paraId="327032F6" w14:textId="77777777" w:rsidTr="00B81AF3">
        <w:trPr>
          <w:trHeight w:val="255"/>
          <w:jc w:val="center"/>
        </w:trPr>
        <w:tc>
          <w:tcPr>
            <w:tcW w:w="3295" w:type="dxa"/>
            <w:gridSpan w:val="2"/>
            <w:tcBorders>
              <w:top w:val="single" w:sz="4" w:space="0" w:color="auto"/>
              <w:left w:val="nil"/>
              <w:bottom w:val="single" w:sz="4" w:space="0" w:color="auto"/>
              <w:right w:val="nil"/>
            </w:tcBorders>
            <w:shd w:val="clear" w:color="auto" w:fill="8DB3E2"/>
            <w:noWrap/>
            <w:vAlign w:val="center"/>
            <w:hideMark/>
          </w:tcPr>
          <w:p w14:paraId="0FB7E041" w14:textId="77777777" w:rsidR="00614DC4" w:rsidRPr="001C5656" w:rsidRDefault="00614DC4" w:rsidP="00694F88">
            <w:pPr>
              <w:pStyle w:val="cuadroCabe"/>
            </w:pPr>
            <w:r w:rsidRPr="001C5656">
              <w:t>Lucha contra el fraude fiscal</w:t>
            </w:r>
          </w:p>
        </w:tc>
        <w:tc>
          <w:tcPr>
            <w:tcW w:w="2801" w:type="dxa"/>
            <w:gridSpan w:val="3"/>
            <w:tcBorders>
              <w:top w:val="single" w:sz="4" w:space="0" w:color="auto"/>
              <w:left w:val="nil"/>
              <w:bottom w:val="single" w:sz="4" w:space="0" w:color="auto"/>
              <w:right w:val="single" w:sz="2" w:space="0" w:color="auto"/>
            </w:tcBorders>
            <w:shd w:val="clear" w:color="auto" w:fill="8DB3E2"/>
            <w:vAlign w:val="center"/>
            <w:hideMark/>
          </w:tcPr>
          <w:p w14:paraId="1C22C8D9" w14:textId="77777777" w:rsidR="00614DC4" w:rsidRPr="001C5656" w:rsidRDefault="00614DC4" w:rsidP="009B37A0">
            <w:pPr>
              <w:pStyle w:val="cuadroCabe"/>
              <w:jc w:val="center"/>
            </w:pPr>
            <w:r w:rsidRPr="001C5656">
              <w:t>202</w:t>
            </w:r>
            <w:r w:rsidR="009B37A0" w:rsidRPr="001C5656">
              <w:t>2</w:t>
            </w:r>
          </w:p>
        </w:tc>
        <w:tc>
          <w:tcPr>
            <w:tcW w:w="2742" w:type="dxa"/>
            <w:gridSpan w:val="4"/>
            <w:tcBorders>
              <w:top w:val="single" w:sz="4" w:space="0" w:color="auto"/>
              <w:left w:val="single" w:sz="2" w:space="0" w:color="auto"/>
              <w:bottom w:val="single" w:sz="4" w:space="0" w:color="auto"/>
              <w:right w:val="nil"/>
            </w:tcBorders>
            <w:shd w:val="clear" w:color="auto" w:fill="8DB3E2"/>
            <w:vAlign w:val="center"/>
            <w:hideMark/>
          </w:tcPr>
          <w:p w14:paraId="7D7FFF40" w14:textId="77777777" w:rsidR="00614DC4" w:rsidRPr="001C5656" w:rsidRDefault="00614DC4" w:rsidP="009B37A0">
            <w:pPr>
              <w:pStyle w:val="cuadroCabe"/>
              <w:jc w:val="center"/>
            </w:pPr>
            <w:r w:rsidRPr="001C5656">
              <w:t>202</w:t>
            </w:r>
            <w:r w:rsidR="009B37A0" w:rsidRPr="001C5656">
              <w:t>3</w:t>
            </w:r>
          </w:p>
        </w:tc>
      </w:tr>
      <w:tr w:rsidR="001C5656" w:rsidRPr="001C5656" w14:paraId="4AD63109" w14:textId="77777777" w:rsidTr="00B81AF3">
        <w:trPr>
          <w:trHeight w:val="255"/>
          <w:jc w:val="center"/>
        </w:trPr>
        <w:tc>
          <w:tcPr>
            <w:tcW w:w="3295" w:type="dxa"/>
            <w:gridSpan w:val="2"/>
            <w:tcBorders>
              <w:top w:val="single" w:sz="4" w:space="0" w:color="auto"/>
              <w:left w:val="nil"/>
              <w:bottom w:val="single" w:sz="4" w:space="0" w:color="auto"/>
              <w:right w:val="nil"/>
            </w:tcBorders>
            <w:shd w:val="clear" w:color="auto" w:fill="8DB3E2"/>
            <w:vAlign w:val="center"/>
            <w:hideMark/>
          </w:tcPr>
          <w:p w14:paraId="155FD2D3" w14:textId="77777777" w:rsidR="00614DC4" w:rsidRPr="001C5656" w:rsidRDefault="00614DC4" w:rsidP="00694F88">
            <w:pPr>
              <w:pStyle w:val="cuadroCabe"/>
            </w:pPr>
            <w:r w:rsidRPr="001C5656">
              <w:t>Inspección</w:t>
            </w:r>
          </w:p>
        </w:tc>
        <w:tc>
          <w:tcPr>
            <w:tcW w:w="1573" w:type="dxa"/>
            <w:gridSpan w:val="2"/>
            <w:tcBorders>
              <w:top w:val="single" w:sz="4" w:space="0" w:color="auto"/>
              <w:left w:val="nil"/>
              <w:bottom w:val="single" w:sz="4" w:space="0" w:color="auto"/>
              <w:right w:val="nil"/>
            </w:tcBorders>
            <w:shd w:val="clear" w:color="auto" w:fill="8DB3E2"/>
            <w:vAlign w:val="center"/>
            <w:hideMark/>
          </w:tcPr>
          <w:p w14:paraId="182798C2" w14:textId="77777777" w:rsidR="00614DC4" w:rsidRPr="001C5656" w:rsidRDefault="00614DC4" w:rsidP="00D12353">
            <w:pPr>
              <w:pStyle w:val="cuadroCabe"/>
              <w:jc w:val="right"/>
            </w:pPr>
            <w:r w:rsidRPr="001C5656">
              <w:t>Nº actuaciones</w:t>
            </w:r>
          </w:p>
        </w:tc>
        <w:tc>
          <w:tcPr>
            <w:tcW w:w="1228" w:type="dxa"/>
            <w:tcBorders>
              <w:top w:val="single" w:sz="4" w:space="0" w:color="auto"/>
              <w:left w:val="nil"/>
              <w:bottom w:val="single" w:sz="4" w:space="0" w:color="auto"/>
              <w:right w:val="single" w:sz="2" w:space="0" w:color="auto"/>
            </w:tcBorders>
            <w:shd w:val="clear" w:color="auto" w:fill="8DB3E2"/>
            <w:vAlign w:val="center"/>
            <w:hideMark/>
          </w:tcPr>
          <w:p w14:paraId="421C157B" w14:textId="77777777" w:rsidR="00614DC4" w:rsidRPr="001C5656" w:rsidRDefault="00614DC4" w:rsidP="00D12353">
            <w:pPr>
              <w:pStyle w:val="cuadroCabe"/>
              <w:jc w:val="right"/>
            </w:pPr>
            <w:r w:rsidRPr="001C5656">
              <w:t>Importe</w:t>
            </w:r>
          </w:p>
        </w:tc>
        <w:tc>
          <w:tcPr>
            <w:tcW w:w="1559" w:type="dxa"/>
            <w:tcBorders>
              <w:top w:val="single" w:sz="4" w:space="0" w:color="auto"/>
              <w:left w:val="single" w:sz="2" w:space="0" w:color="auto"/>
              <w:bottom w:val="single" w:sz="4" w:space="0" w:color="auto"/>
              <w:right w:val="nil"/>
            </w:tcBorders>
            <w:shd w:val="clear" w:color="auto" w:fill="8DB3E2"/>
            <w:vAlign w:val="center"/>
            <w:hideMark/>
          </w:tcPr>
          <w:p w14:paraId="4A70E2B4" w14:textId="77777777" w:rsidR="00614DC4" w:rsidRPr="001C5656" w:rsidRDefault="00614DC4" w:rsidP="00D12353">
            <w:pPr>
              <w:pStyle w:val="cuadroCabe"/>
              <w:jc w:val="right"/>
            </w:pPr>
            <w:r w:rsidRPr="001C5656">
              <w:t>Nº actuaciones</w:t>
            </w:r>
          </w:p>
        </w:tc>
        <w:tc>
          <w:tcPr>
            <w:tcW w:w="1183" w:type="dxa"/>
            <w:gridSpan w:val="3"/>
            <w:tcBorders>
              <w:top w:val="single" w:sz="4" w:space="0" w:color="auto"/>
              <w:left w:val="nil"/>
              <w:bottom w:val="single" w:sz="4" w:space="0" w:color="auto"/>
              <w:right w:val="nil"/>
            </w:tcBorders>
            <w:shd w:val="clear" w:color="auto" w:fill="8DB3E2"/>
            <w:vAlign w:val="center"/>
            <w:hideMark/>
          </w:tcPr>
          <w:p w14:paraId="67B5F71E" w14:textId="77777777" w:rsidR="00614DC4" w:rsidRPr="001C5656" w:rsidRDefault="00614DC4" w:rsidP="00D12353">
            <w:pPr>
              <w:pStyle w:val="cuadroCabe"/>
              <w:jc w:val="right"/>
            </w:pPr>
            <w:r w:rsidRPr="001C5656">
              <w:t>Importe</w:t>
            </w:r>
          </w:p>
        </w:tc>
      </w:tr>
      <w:tr w:rsidR="001C5656" w:rsidRPr="001C5656" w14:paraId="32ED6BFD" w14:textId="77777777" w:rsidTr="00B81AF3">
        <w:trPr>
          <w:gridAfter w:val="1"/>
          <w:wAfter w:w="49" w:type="dxa"/>
          <w:trHeight w:val="198"/>
          <w:jc w:val="center"/>
        </w:trPr>
        <w:tc>
          <w:tcPr>
            <w:tcW w:w="3277" w:type="dxa"/>
            <w:tcBorders>
              <w:top w:val="single" w:sz="2" w:space="0" w:color="auto"/>
              <w:left w:val="nil"/>
              <w:bottom w:val="single" w:sz="2" w:space="0" w:color="auto"/>
              <w:right w:val="nil"/>
            </w:tcBorders>
            <w:noWrap/>
            <w:vAlign w:val="center"/>
            <w:hideMark/>
          </w:tcPr>
          <w:p w14:paraId="1623F8C5" w14:textId="77777777" w:rsidR="009B37A0" w:rsidRPr="001C5656" w:rsidRDefault="009B37A0" w:rsidP="009B37A0">
            <w:pPr>
              <w:pStyle w:val="cuatexto"/>
            </w:pPr>
            <w:r w:rsidRPr="001C5656">
              <w:t>Actas inspección</w:t>
            </w:r>
          </w:p>
        </w:tc>
        <w:tc>
          <w:tcPr>
            <w:tcW w:w="1564" w:type="dxa"/>
            <w:gridSpan w:val="2"/>
            <w:tcBorders>
              <w:top w:val="single" w:sz="2" w:space="0" w:color="auto"/>
              <w:left w:val="nil"/>
              <w:bottom w:val="single" w:sz="2" w:space="0" w:color="auto"/>
              <w:right w:val="nil"/>
            </w:tcBorders>
            <w:noWrap/>
            <w:vAlign w:val="center"/>
          </w:tcPr>
          <w:p w14:paraId="7D0B5084" w14:textId="77777777" w:rsidR="009B37A0" w:rsidRPr="001C5656" w:rsidRDefault="009B37A0" w:rsidP="009B37A0">
            <w:pPr>
              <w:pStyle w:val="cuatexto"/>
              <w:jc w:val="right"/>
            </w:pPr>
            <w:r w:rsidRPr="001C5656">
              <w:t>3.675</w:t>
            </w:r>
          </w:p>
        </w:tc>
        <w:tc>
          <w:tcPr>
            <w:tcW w:w="1255" w:type="dxa"/>
            <w:gridSpan w:val="2"/>
            <w:tcBorders>
              <w:top w:val="single" w:sz="2" w:space="0" w:color="auto"/>
              <w:left w:val="nil"/>
              <w:bottom w:val="single" w:sz="2" w:space="0" w:color="auto"/>
              <w:right w:val="single" w:sz="2" w:space="0" w:color="auto"/>
            </w:tcBorders>
            <w:noWrap/>
            <w:vAlign w:val="center"/>
          </w:tcPr>
          <w:p w14:paraId="361CC593" w14:textId="77777777" w:rsidR="009B37A0" w:rsidRPr="001C5656" w:rsidRDefault="009B37A0" w:rsidP="009B37A0">
            <w:pPr>
              <w:pStyle w:val="cuatexto"/>
              <w:jc w:val="right"/>
            </w:pPr>
            <w:r w:rsidRPr="001C5656">
              <w:t>12.598</w:t>
            </w:r>
          </w:p>
        </w:tc>
        <w:tc>
          <w:tcPr>
            <w:tcW w:w="1789" w:type="dxa"/>
            <w:gridSpan w:val="2"/>
            <w:tcBorders>
              <w:top w:val="single" w:sz="2" w:space="0" w:color="auto"/>
              <w:left w:val="single" w:sz="2" w:space="0" w:color="auto"/>
              <w:bottom w:val="single" w:sz="2" w:space="0" w:color="auto"/>
              <w:right w:val="nil"/>
            </w:tcBorders>
            <w:noWrap/>
            <w:vAlign w:val="center"/>
          </w:tcPr>
          <w:p w14:paraId="08D4685B" w14:textId="77777777" w:rsidR="009B37A0" w:rsidRPr="001C5656" w:rsidRDefault="009B37A0" w:rsidP="009B37A0">
            <w:pPr>
              <w:pStyle w:val="cuatexto"/>
              <w:jc w:val="right"/>
            </w:pPr>
            <w:r w:rsidRPr="001C5656">
              <w:t>3.709</w:t>
            </w:r>
          </w:p>
        </w:tc>
        <w:tc>
          <w:tcPr>
            <w:tcW w:w="904" w:type="dxa"/>
            <w:tcBorders>
              <w:top w:val="single" w:sz="2" w:space="0" w:color="auto"/>
              <w:left w:val="nil"/>
              <w:bottom w:val="single" w:sz="2" w:space="0" w:color="auto"/>
              <w:right w:val="nil"/>
            </w:tcBorders>
            <w:noWrap/>
            <w:vAlign w:val="center"/>
          </w:tcPr>
          <w:p w14:paraId="57B41744" w14:textId="77777777" w:rsidR="009B37A0" w:rsidRPr="001C5656" w:rsidRDefault="009B37A0" w:rsidP="009B37A0">
            <w:pPr>
              <w:pStyle w:val="cuatexto"/>
              <w:jc w:val="right"/>
            </w:pPr>
            <w:r w:rsidRPr="001C5656">
              <w:t>13.747</w:t>
            </w:r>
          </w:p>
        </w:tc>
      </w:tr>
      <w:tr w:rsidR="001C5656" w:rsidRPr="001C5656" w14:paraId="65B2701A" w14:textId="77777777" w:rsidTr="00B81AF3">
        <w:trPr>
          <w:gridAfter w:val="1"/>
          <w:wAfter w:w="49" w:type="dxa"/>
          <w:trHeight w:val="198"/>
          <w:jc w:val="center"/>
        </w:trPr>
        <w:tc>
          <w:tcPr>
            <w:tcW w:w="3277" w:type="dxa"/>
            <w:tcBorders>
              <w:top w:val="single" w:sz="2" w:space="0" w:color="auto"/>
              <w:left w:val="nil"/>
              <w:bottom w:val="single" w:sz="2" w:space="0" w:color="auto"/>
              <w:right w:val="nil"/>
            </w:tcBorders>
            <w:noWrap/>
            <w:vAlign w:val="center"/>
            <w:hideMark/>
          </w:tcPr>
          <w:p w14:paraId="59548C0B" w14:textId="77777777" w:rsidR="009B37A0" w:rsidRPr="001C5656" w:rsidRDefault="009B37A0" w:rsidP="009B37A0">
            <w:pPr>
              <w:pStyle w:val="cuatexto"/>
            </w:pPr>
            <w:r w:rsidRPr="001C5656">
              <w:t>Expedientes sancionadores</w:t>
            </w:r>
          </w:p>
        </w:tc>
        <w:tc>
          <w:tcPr>
            <w:tcW w:w="1564" w:type="dxa"/>
            <w:gridSpan w:val="2"/>
            <w:tcBorders>
              <w:top w:val="single" w:sz="2" w:space="0" w:color="auto"/>
              <w:left w:val="nil"/>
              <w:bottom w:val="single" w:sz="2" w:space="0" w:color="auto"/>
              <w:right w:val="nil"/>
            </w:tcBorders>
            <w:noWrap/>
            <w:vAlign w:val="center"/>
          </w:tcPr>
          <w:p w14:paraId="1B8D789C" w14:textId="77777777" w:rsidR="009B37A0" w:rsidRPr="001C5656" w:rsidRDefault="009B37A0" w:rsidP="009B37A0">
            <w:pPr>
              <w:pStyle w:val="cuatexto"/>
              <w:jc w:val="right"/>
            </w:pPr>
            <w:r w:rsidRPr="001C5656">
              <w:t>1.327</w:t>
            </w:r>
          </w:p>
        </w:tc>
        <w:tc>
          <w:tcPr>
            <w:tcW w:w="1255" w:type="dxa"/>
            <w:gridSpan w:val="2"/>
            <w:tcBorders>
              <w:top w:val="single" w:sz="2" w:space="0" w:color="auto"/>
              <w:left w:val="nil"/>
              <w:bottom w:val="single" w:sz="2" w:space="0" w:color="auto"/>
              <w:right w:val="single" w:sz="2" w:space="0" w:color="auto"/>
            </w:tcBorders>
            <w:noWrap/>
            <w:vAlign w:val="center"/>
          </w:tcPr>
          <w:p w14:paraId="1D58C0C1" w14:textId="77777777" w:rsidR="009B37A0" w:rsidRPr="001C5656" w:rsidRDefault="009B37A0" w:rsidP="009B37A0">
            <w:pPr>
              <w:pStyle w:val="cuatexto"/>
              <w:jc w:val="right"/>
            </w:pPr>
            <w:r w:rsidRPr="001C5656">
              <w:t>10.751</w:t>
            </w:r>
          </w:p>
        </w:tc>
        <w:tc>
          <w:tcPr>
            <w:tcW w:w="1789" w:type="dxa"/>
            <w:gridSpan w:val="2"/>
            <w:tcBorders>
              <w:top w:val="single" w:sz="2" w:space="0" w:color="auto"/>
              <w:left w:val="single" w:sz="2" w:space="0" w:color="auto"/>
              <w:bottom w:val="single" w:sz="2" w:space="0" w:color="auto"/>
              <w:right w:val="nil"/>
            </w:tcBorders>
            <w:noWrap/>
            <w:vAlign w:val="center"/>
          </w:tcPr>
          <w:p w14:paraId="70E77BE9" w14:textId="77777777" w:rsidR="009B37A0" w:rsidRPr="001C5656" w:rsidRDefault="009B37A0" w:rsidP="009B37A0">
            <w:pPr>
              <w:pStyle w:val="cuatexto"/>
              <w:jc w:val="right"/>
            </w:pPr>
            <w:r w:rsidRPr="001C5656">
              <w:t>1.255</w:t>
            </w:r>
          </w:p>
        </w:tc>
        <w:tc>
          <w:tcPr>
            <w:tcW w:w="904" w:type="dxa"/>
            <w:tcBorders>
              <w:top w:val="single" w:sz="2" w:space="0" w:color="auto"/>
              <w:left w:val="nil"/>
              <w:bottom w:val="single" w:sz="2" w:space="0" w:color="auto"/>
              <w:right w:val="nil"/>
            </w:tcBorders>
            <w:noWrap/>
            <w:vAlign w:val="center"/>
          </w:tcPr>
          <w:p w14:paraId="7B8984A4" w14:textId="77777777" w:rsidR="009B37A0" w:rsidRPr="001C5656" w:rsidRDefault="009B37A0" w:rsidP="009B37A0">
            <w:pPr>
              <w:pStyle w:val="cuatexto"/>
              <w:jc w:val="right"/>
            </w:pPr>
            <w:r w:rsidRPr="001C5656">
              <w:t>6.207</w:t>
            </w:r>
          </w:p>
        </w:tc>
      </w:tr>
      <w:tr w:rsidR="001C5656" w:rsidRPr="001C5656" w14:paraId="6E45DCF2" w14:textId="77777777" w:rsidTr="00B81AF3">
        <w:trPr>
          <w:gridAfter w:val="1"/>
          <w:wAfter w:w="49" w:type="dxa"/>
          <w:trHeight w:val="198"/>
          <w:jc w:val="center"/>
        </w:trPr>
        <w:tc>
          <w:tcPr>
            <w:tcW w:w="3277" w:type="dxa"/>
            <w:tcBorders>
              <w:top w:val="single" w:sz="2" w:space="0" w:color="auto"/>
              <w:left w:val="nil"/>
              <w:bottom w:val="single" w:sz="2" w:space="0" w:color="auto"/>
              <w:right w:val="nil"/>
            </w:tcBorders>
            <w:noWrap/>
            <w:vAlign w:val="center"/>
            <w:hideMark/>
          </w:tcPr>
          <w:p w14:paraId="09837E46" w14:textId="77777777" w:rsidR="009B37A0" w:rsidRPr="001C5656" w:rsidRDefault="009B37A0" w:rsidP="009B37A0">
            <w:pPr>
              <w:pStyle w:val="cuatexto"/>
            </w:pPr>
            <w:r w:rsidRPr="001C5656">
              <w:t>Responsabilidad civil delito</w:t>
            </w:r>
            <w:r w:rsidR="00AC2914">
              <w:t>(1)</w:t>
            </w:r>
          </w:p>
        </w:tc>
        <w:tc>
          <w:tcPr>
            <w:tcW w:w="1564" w:type="dxa"/>
            <w:gridSpan w:val="2"/>
            <w:tcBorders>
              <w:top w:val="single" w:sz="2" w:space="0" w:color="auto"/>
              <w:left w:val="nil"/>
              <w:bottom w:val="single" w:sz="2" w:space="0" w:color="auto"/>
              <w:right w:val="nil"/>
            </w:tcBorders>
            <w:noWrap/>
            <w:vAlign w:val="center"/>
          </w:tcPr>
          <w:p w14:paraId="148FFB54" w14:textId="77777777" w:rsidR="009B37A0" w:rsidRPr="001C5656" w:rsidRDefault="009B37A0" w:rsidP="009B37A0">
            <w:pPr>
              <w:pStyle w:val="cuatexto"/>
              <w:jc w:val="right"/>
            </w:pPr>
            <w:r w:rsidRPr="001C5656">
              <w:t>3</w:t>
            </w:r>
          </w:p>
        </w:tc>
        <w:tc>
          <w:tcPr>
            <w:tcW w:w="1255" w:type="dxa"/>
            <w:gridSpan w:val="2"/>
            <w:tcBorders>
              <w:top w:val="single" w:sz="2" w:space="0" w:color="auto"/>
              <w:left w:val="nil"/>
              <w:bottom w:val="single" w:sz="2" w:space="0" w:color="auto"/>
              <w:right w:val="single" w:sz="2" w:space="0" w:color="auto"/>
            </w:tcBorders>
            <w:noWrap/>
            <w:vAlign w:val="center"/>
          </w:tcPr>
          <w:p w14:paraId="72A98C52" w14:textId="77777777" w:rsidR="009B37A0" w:rsidRPr="001C5656" w:rsidRDefault="009B37A0" w:rsidP="009B37A0">
            <w:pPr>
              <w:pStyle w:val="cuatexto"/>
              <w:jc w:val="right"/>
            </w:pPr>
            <w:r w:rsidRPr="001C5656">
              <w:t>4.195</w:t>
            </w:r>
          </w:p>
        </w:tc>
        <w:tc>
          <w:tcPr>
            <w:tcW w:w="1789" w:type="dxa"/>
            <w:gridSpan w:val="2"/>
            <w:tcBorders>
              <w:top w:val="single" w:sz="2" w:space="0" w:color="auto"/>
              <w:left w:val="single" w:sz="2" w:space="0" w:color="auto"/>
              <w:bottom w:val="single" w:sz="2" w:space="0" w:color="auto"/>
              <w:right w:val="nil"/>
            </w:tcBorders>
            <w:noWrap/>
            <w:vAlign w:val="center"/>
          </w:tcPr>
          <w:p w14:paraId="6D791894" w14:textId="77777777" w:rsidR="009B37A0" w:rsidRPr="001C5656" w:rsidRDefault="009B37A0" w:rsidP="009B37A0">
            <w:pPr>
              <w:pStyle w:val="cuatexto"/>
              <w:jc w:val="right"/>
            </w:pPr>
            <w:r w:rsidRPr="001C5656">
              <w:t>3</w:t>
            </w:r>
          </w:p>
        </w:tc>
        <w:tc>
          <w:tcPr>
            <w:tcW w:w="904" w:type="dxa"/>
            <w:tcBorders>
              <w:top w:val="single" w:sz="2" w:space="0" w:color="auto"/>
              <w:left w:val="nil"/>
              <w:bottom w:val="single" w:sz="2" w:space="0" w:color="auto"/>
              <w:right w:val="nil"/>
            </w:tcBorders>
            <w:noWrap/>
            <w:vAlign w:val="center"/>
          </w:tcPr>
          <w:p w14:paraId="59B0CA18" w14:textId="77777777" w:rsidR="009B37A0" w:rsidRPr="001C5656" w:rsidRDefault="009B37A0" w:rsidP="009B37A0">
            <w:pPr>
              <w:pStyle w:val="cuatexto"/>
              <w:jc w:val="right"/>
            </w:pPr>
            <w:r w:rsidRPr="001C5656">
              <w:t>54.324</w:t>
            </w:r>
          </w:p>
        </w:tc>
      </w:tr>
      <w:tr w:rsidR="001C5656" w:rsidRPr="001C5656" w14:paraId="75F9BA3F" w14:textId="77777777" w:rsidTr="00B81AF3">
        <w:trPr>
          <w:gridAfter w:val="1"/>
          <w:wAfter w:w="49" w:type="dxa"/>
          <w:trHeight w:val="198"/>
          <w:jc w:val="center"/>
        </w:trPr>
        <w:tc>
          <w:tcPr>
            <w:tcW w:w="3277" w:type="dxa"/>
            <w:tcBorders>
              <w:top w:val="single" w:sz="2" w:space="0" w:color="auto"/>
              <w:left w:val="nil"/>
              <w:bottom w:val="single" w:sz="2" w:space="0" w:color="auto"/>
              <w:right w:val="nil"/>
            </w:tcBorders>
            <w:noWrap/>
            <w:vAlign w:val="center"/>
            <w:hideMark/>
          </w:tcPr>
          <w:p w14:paraId="093A3524" w14:textId="77777777" w:rsidR="009B37A0" w:rsidRPr="001C5656" w:rsidRDefault="009B37A0" w:rsidP="009B37A0">
            <w:pPr>
              <w:pStyle w:val="cuatexto"/>
            </w:pPr>
            <w:r w:rsidRPr="001C5656">
              <w:t>Regularizaciones inducidas inspección</w:t>
            </w:r>
          </w:p>
        </w:tc>
        <w:tc>
          <w:tcPr>
            <w:tcW w:w="1564" w:type="dxa"/>
            <w:gridSpan w:val="2"/>
            <w:tcBorders>
              <w:top w:val="single" w:sz="2" w:space="0" w:color="auto"/>
              <w:left w:val="nil"/>
              <w:bottom w:val="single" w:sz="2" w:space="0" w:color="auto"/>
              <w:right w:val="nil"/>
            </w:tcBorders>
            <w:noWrap/>
            <w:vAlign w:val="center"/>
          </w:tcPr>
          <w:p w14:paraId="1915580F" w14:textId="77777777" w:rsidR="009B37A0" w:rsidRPr="001C5656" w:rsidRDefault="009B37A0" w:rsidP="009B37A0">
            <w:pPr>
              <w:pStyle w:val="cuatexto"/>
              <w:jc w:val="right"/>
            </w:pPr>
            <w:r w:rsidRPr="001C5656">
              <w:t>55</w:t>
            </w:r>
          </w:p>
        </w:tc>
        <w:tc>
          <w:tcPr>
            <w:tcW w:w="1255" w:type="dxa"/>
            <w:gridSpan w:val="2"/>
            <w:tcBorders>
              <w:top w:val="single" w:sz="2" w:space="0" w:color="auto"/>
              <w:left w:val="nil"/>
              <w:bottom w:val="single" w:sz="2" w:space="0" w:color="auto"/>
              <w:right w:val="single" w:sz="2" w:space="0" w:color="auto"/>
            </w:tcBorders>
            <w:noWrap/>
            <w:vAlign w:val="center"/>
          </w:tcPr>
          <w:p w14:paraId="62DFF0D8" w14:textId="77777777" w:rsidR="009B37A0" w:rsidRPr="001C5656" w:rsidRDefault="009B37A0" w:rsidP="009B37A0">
            <w:pPr>
              <w:pStyle w:val="cuatexto"/>
              <w:jc w:val="right"/>
            </w:pPr>
            <w:r w:rsidRPr="001C5656">
              <w:t>3.071</w:t>
            </w:r>
          </w:p>
        </w:tc>
        <w:tc>
          <w:tcPr>
            <w:tcW w:w="1789" w:type="dxa"/>
            <w:gridSpan w:val="2"/>
            <w:tcBorders>
              <w:top w:val="single" w:sz="2" w:space="0" w:color="auto"/>
              <w:left w:val="single" w:sz="2" w:space="0" w:color="auto"/>
              <w:bottom w:val="single" w:sz="2" w:space="0" w:color="auto"/>
              <w:right w:val="nil"/>
            </w:tcBorders>
            <w:noWrap/>
            <w:vAlign w:val="center"/>
          </w:tcPr>
          <w:p w14:paraId="44276D8E" w14:textId="77777777" w:rsidR="009B37A0" w:rsidRPr="001C5656" w:rsidRDefault="009B37A0" w:rsidP="009B37A0">
            <w:pPr>
              <w:pStyle w:val="cuatexto"/>
              <w:jc w:val="right"/>
            </w:pPr>
            <w:r w:rsidRPr="001C5656">
              <w:t>21</w:t>
            </w:r>
          </w:p>
        </w:tc>
        <w:tc>
          <w:tcPr>
            <w:tcW w:w="904" w:type="dxa"/>
            <w:tcBorders>
              <w:top w:val="single" w:sz="2" w:space="0" w:color="auto"/>
              <w:left w:val="nil"/>
              <w:bottom w:val="single" w:sz="2" w:space="0" w:color="auto"/>
              <w:right w:val="nil"/>
            </w:tcBorders>
            <w:noWrap/>
            <w:vAlign w:val="center"/>
          </w:tcPr>
          <w:p w14:paraId="37A2A752" w14:textId="77777777" w:rsidR="009B37A0" w:rsidRPr="001C5656" w:rsidRDefault="009B37A0" w:rsidP="009B37A0">
            <w:pPr>
              <w:pStyle w:val="cuatexto"/>
              <w:jc w:val="right"/>
            </w:pPr>
            <w:r w:rsidRPr="001C5656">
              <w:t>2.585</w:t>
            </w:r>
          </w:p>
        </w:tc>
      </w:tr>
      <w:tr w:rsidR="001C5656" w:rsidRPr="001C5656" w14:paraId="15F58AB3" w14:textId="77777777" w:rsidTr="00B81AF3">
        <w:trPr>
          <w:gridAfter w:val="1"/>
          <w:wAfter w:w="49" w:type="dxa"/>
          <w:trHeight w:val="198"/>
          <w:jc w:val="center"/>
        </w:trPr>
        <w:tc>
          <w:tcPr>
            <w:tcW w:w="3277" w:type="dxa"/>
            <w:tcBorders>
              <w:top w:val="single" w:sz="2" w:space="0" w:color="auto"/>
              <w:left w:val="nil"/>
              <w:bottom w:val="single" w:sz="4" w:space="0" w:color="auto"/>
              <w:right w:val="nil"/>
            </w:tcBorders>
            <w:noWrap/>
            <w:vAlign w:val="center"/>
            <w:hideMark/>
          </w:tcPr>
          <w:p w14:paraId="086AEB57" w14:textId="77777777" w:rsidR="009B37A0" w:rsidRPr="001C5656" w:rsidRDefault="009B37A0" w:rsidP="009B37A0">
            <w:pPr>
              <w:pStyle w:val="cuatexto"/>
            </w:pPr>
            <w:r w:rsidRPr="001C5656">
              <w:t>Eliminación créditos fiscales</w:t>
            </w:r>
          </w:p>
        </w:tc>
        <w:tc>
          <w:tcPr>
            <w:tcW w:w="1564" w:type="dxa"/>
            <w:gridSpan w:val="2"/>
            <w:tcBorders>
              <w:top w:val="single" w:sz="2" w:space="0" w:color="auto"/>
              <w:left w:val="nil"/>
              <w:bottom w:val="single" w:sz="4" w:space="0" w:color="auto"/>
              <w:right w:val="nil"/>
            </w:tcBorders>
            <w:noWrap/>
            <w:vAlign w:val="center"/>
          </w:tcPr>
          <w:p w14:paraId="08D3242D" w14:textId="77777777" w:rsidR="009B37A0" w:rsidRPr="001C5656" w:rsidRDefault="009B37A0" w:rsidP="009B37A0">
            <w:pPr>
              <w:pStyle w:val="cuatexto"/>
              <w:jc w:val="right"/>
            </w:pPr>
            <w:r w:rsidRPr="001C5656">
              <w:t>57</w:t>
            </w:r>
          </w:p>
        </w:tc>
        <w:tc>
          <w:tcPr>
            <w:tcW w:w="1255" w:type="dxa"/>
            <w:gridSpan w:val="2"/>
            <w:tcBorders>
              <w:top w:val="single" w:sz="2" w:space="0" w:color="auto"/>
              <w:left w:val="nil"/>
              <w:bottom w:val="single" w:sz="4" w:space="0" w:color="auto"/>
              <w:right w:val="single" w:sz="2" w:space="0" w:color="auto"/>
            </w:tcBorders>
            <w:noWrap/>
            <w:vAlign w:val="center"/>
          </w:tcPr>
          <w:p w14:paraId="271F9556" w14:textId="77777777" w:rsidR="009B37A0" w:rsidRPr="001C5656" w:rsidRDefault="009B37A0" w:rsidP="009B37A0">
            <w:pPr>
              <w:pStyle w:val="cuatexto"/>
              <w:jc w:val="right"/>
            </w:pPr>
            <w:r w:rsidRPr="001C5656">
              <w:t>2.483</w:t>
            </w:r>
          </w:p>
        </w:tc>
        <w:tc>
          <w:tcPr>
            <w:tcW w:w="1789" w:type="dxa"/>
            <w:gridSpan w:val="2"/>
            <w:tcBorders>
              <w:top w:val="single" w:sz="2" w:space="0" w:color="auto"/>
              <w:left w:val="single" w:sz="2" w:space="0" w:color="auto"/>
              <w:bottom w:val="single" w:sz="4" w:space="0" w:color="auto"/>
              <w:right w:val="nil"/>
            </w:tcBorders>
            <w:noWrap/>
            <w:vAlign w:val="center"/>
          </w:tcPr>
          <w:p w14:paraId="01B0C68F" w14:textId="77777777" w:rsidR="009B37A0" w:rsidRPr="001C5656" w:rsidRDefault="009B37A0" w:rsidP="009B37A0">
            <w:pPr>
              <w:pStyle w:val="cuatexto"/>
              <w:jc w:val="right"/>
            </w:pPr>
            <w:r w:rsidRPr="001C5656">
              <w:t>57</w:t>
            </w:r>
          </w:p>
        </w:tc>
        <w:tc>
          <w:tcPr>
            <w:tcW w:w="904" w:type="dxa"/>
            <w:tcBorders>
              <w:top w:val="single" w:sz="2" w:space="0" w:color="auto"/>
              <w:left w:val="nil"/>
              <w:bottom w:val="single" w:sz="4" w:space="0" w:color="auto"/>
              <w:right w:val="nil"/>
            </w:tcBorders>
            <w:noWrap/>
            <w:vAlign w:val="center"/>
          </w:tcPr>
          <w:p w14:paraId="75BE05E8" w14:textId="77777777" w:rsidR="009B37A0" w:rsidRPr="001C5656" w:rsidRDefault="009B37A0" w:rsidP="009B37A0">
            <w:pPr>
              <w:pStyle w:val="cuatexto"/>
              <w:jc w:val="right"/>
            </w:pPr>
            <w:r w:rsidRPr="001C5656">
              <w:t>1.544</w:t>
            </w:r>
          </w:p>
        </w:tc>
      </w:tr>
      <w:tr w:rsidR="001C5656" w:rsidRPr="001C5656" w14:paraId="6AA58763" w14:textId="77777777" w:rsidTr="00B81AF3">
        <w:trPr>
          <w:gridAfter w:val="1"/>
          <w:wAfter w:w="49" w:type="dxa"/>
          <w:trHeight w:val="198"/>
          <w:jc w:val="center"/>
        </w:trPr>
        <w:tc>
          <w:tcPr>
            <w:tcW w:w="3277" w:type="dxa"/>
            <w:tcBorders>
              <w:top w:val="single" w:sz="4" w:space="0" w:color="auto"/>
              <w:left w:val="nil"/>
              <w:bottom w:val="single" w:sz="4" w:space="0" w:color="auto"/>
              <w:right w:val="nil"/>
            </w:tcBorders>
            <w:noWrap/>
            <w:vAlign w:val="center"/>
            <w:hideMark/>
          </w:tcPr>
          <w:p w14:paraId="07D6B159" w14:textId="77777777" w:rsidR="009B37A0" w:rsidRPr="001C5656" w:rsidRDefault="009B37A0" w:rsidP="009B37A0">
            <w:pPr>
              <w:pStyle w:val="cuatexto"/>
              <w:rPr>
                <w:rFonts w:cs="Arial"/>
                <w:b/>
              </w:rPr>
            </w:pPr>
            <w:r w:rsidRPr="001C5656">
              <w:rPr>
                <w:rFonts w:cs="Arial"/>
                <w:b/>
              </w:rPr>
              <w:t xml:space="preserve">Total Inspección </w:t>
            </w:r>
          </w:p>
        </w:tc>
        <w:tc>
          <w:tcPr>
            <w:tcW w:w="1564" w:type="dxa"/>
            <w:gridSpan w:val="2"/>
            <w:tcBorders>
              <w:top w:val="single" w:sz="4" w:space="0" w:color="auto"/>
              <w:left w:val="nil"/>
              <w:bottom w:val="single" w:sz="4" w:space="0" w:color="auto"/>
              <w:right w:val="nil"/>
            </w:tcBorders>
            <w:noWrap/>
            <w:vAlign w:val="center"/>
          </w:tcPr>
          <w:p w14:paraId="525E5F46" w14:textId="77777777" w:rsidR="009B37A0" w:rsidRPr="001C5656" w:rsidRDefault="009B37A0" w:rsidP="009B37A0">
            <w:pPr>
              <w:pStyle w:val="cuatexto"/>
              <w:jc w:val="right"/>
              <w:rPr>
                <w:rFonts w:cs="Arial"/>
                <w:b/>
              </w:rPr>
            </w:pPr>
            <w:r w:rsidRPr="001C5656">
              <w:rPr>
                <w:rFonts w:cs="Arial"/>
                <w:b/>
              </w:rPr>
              <w:t>5.117</w:t>
            </w:r>
          </w:p>
        </w:tc>
        <w:tc>
          <w:tcPr>
            <w:tcW w:w="1255" w:type="dxa"/>
            <w:gridSpan w:val="2"/>
            <w:tcBorders>
              <w:top w:val="single" w:sz="4" w:space="0" w:color="auto"/>
              <w:left w:val="nil"/>
              <w:bottom w:val="single" w:sz="4" w:space="0" w:color="auto"/>
              <w:right w:val="single" w:sz="2" w:space="0" w:color="auto"/>
            </w:tcBorders>
            <w:noWrap/>
            <w:vAlign w:val="center"/>
          </w:tcPr>
          <w:p w14:paraId="0979E643" w14:textId="77777777" w:rsidR="009B37A0" w:rsidRPr="001C5656" w:rsidRDefault="009B37A0" w:rsidP="009B37A0">
            <w:pPr>
              <w:pStyle w:val="cuatexto"/>
              <w:jc w:val="right"/>
              <w:rPr>
                <w:rFonts w:cs="Arial"/>
                <w:b/>
              </w:rPr>
            </w:pPr>
            <w:r w:rsidRPr="001C5656">
              <w:rPr>
                <w:rFonts w:cs="Arial"/>
                <w:b/>
              </w:rPr>
              <w:t>33.098</w:t>
            </w:r>
          </w:p>
        </w:tc>
        <w:tc>
          <w:tcPr>
            <w:tcW w:w="1789" w:type="dxa"/>
            <w:gridSpan w:val="2"/>
            <w:tcBorders>
              <w:top w:val="single" w:sz="4" w:space="0" w:color="auto"/>
              <w:left w:val="single" w:sz="2" w:space="0" w:color="auto"/>
              <w:bottom w:val="single" w:sz="4" w:space="0" w:color="auto"/>
              <w:right w:val="nil"/>
            </w:tcBorders>
            <w:noWrap/>
            <w:vAlign w:val="center"/>
          </w:tcPr>
          <w:p w14:paraId="2483460C" w14:textId="77777777" w:rsidR="009B37A0" w:rsidRPr="001C5656" w:rsidRDefault="009B37A0" w:rsidP="009B37A0">
            <w:pPr>
              <w:pStyle w:val="cuatexto"/>
              <w:jc w:val="right"/>
              <w:rPr>
                <w:rFonts w:cs="Arial"/>
                <w:b/>
              </w:rPr>
            </w:pPr>
            <w:r w:rsidRPr="001C5656">
              <w:rPr>
                <w:rFonts w:cs="Arial"/>
                <w:b/>
              </w:rPr>
              <w:t>5.045</w:t>
            </w:r>
          </w:p>
        </w:tc>
        <w:tc>
          <w:tcPr>
            <w:tcW w:w="904" w:type="dxa"/>
            <w:tcBorders>
              <w:top w:val="single" w:sz="4" w:space="0" w:color="auto"/>
              <w:left w:val="nil"/>
              <w:bottom w:val="single" w:sz="4" w:space="0" w:color="auto"/>
              <w:right w:val="nil"/>
            </w:tcBorders>
            <w:noWrap/>
            <w:vAlign w:val="center"/>
          </w:tcPr>
          <w:p w14:paraId="5B230C8E" w14:textId="77777777" w:rsidR="009B37A0" w:rsidRPr="001C5656" w:rsidRDefault="009B37A0" w:rsidP="009B37A0">
            <w:pPr>
              <w:pStyle w:val="cuatexto"/>
              <w:jc w:val="right"/>
              <w:rPr>
                <w:rFonts w:cs="Arial"/>
                <w:b/>
              </w:rPr>
            </w:pPr>
            <w:r w:rsidRPr="001C5656">
              <w:rPr>
                <w:rFonts w:cs="Arial"/>
                <w:b/>
              </w:rPr>
              <w:t>78.407</w:t>
            </w:r>
          </w:p>
        </w:tc>
      </w:tr>
      <w:tr w:rsidR="001C5656" w:rsidRPr="001C5656" w14:paraId="09E64CD8" w14:textId="77777777" w:rsidTr="00B81AF3">
        <w:trPr>
          <w:gridAfter w:val="1"/>
          <w:wAfter w:w="49" w:type="dxa"/>
          <w:trHeight w:val="255"/>
          <w:jc w:val="center"/>
        </w:trPr>
        <w:tc>
          <w:tcPr>
            <w:tcW w:w="3277" w:type="dxa"/>
            <w:tcBorders>
              <w:top w:val="single" w:sz="4" w:space="0" w:color="auto"/>
              <w:left w:val="nil"/>
              <w:bottom w:val="single" w:sz="4" w:space="0" w:color="auto"/>
              <w:right w:val="nil"/>
            </w:tcBorders>
            <w:shd w:val="clear" w:color="auto" w:fill="95B3D7" w:themeFill="accent1" w:themeFillTint="99"/>
            <w:vAlign w:val="center"/>
            <w:hideMark/>
          </w:tcPr>
          <w:p w14:paraId="6B47DF11" w14:textId="77777777" w:rsidR="00614DC4" w:rsidRPr="001C5656" w:rsidRDefault="00614DC4" w:rsidP="00694F88">
            <w:pPr>
              <w:pStyle w:val="cuadroCabe"/>
            </w:pPr>
            <w:r w:rsidRPr="001C5656">
              <w:t>Gestión Tributaria</w:t>
            </w:r>
          </w:p>
        </w:tc>
        <w:tc>
          <w:tcPr>
            <w:tcW w:w="1564" w:type="dxa"/>
            <w:gridSpan w:val="2"/>
            <w:tcBorders>
              <w:top w:val="single" w:sz="4" w:space="0" w:color="auto"/>
              <w:left w:val="nil"/>
              <w:bottom w:val="single" w:sz="4" w:space="0" w:color="auto"/>
              <w:right w:val="nil"/>
            </w:tcBorders>
            <w:shd w:val="clear" w:color="auto" w:fill="95B3D7" w:themeFill="accent1" w:themeFillTint="99"/>
            <w:vAlign w:val="center"/>
            <w:hideMark/>
          </w:tcPr>
          <w:p w14:paraId="3F4583EA" w14:textId="77777777" w:rsidR="00614DC4" w:rsidRPr="001C5656" w:rsidRDefault="00614DC4" w:rsidP="00694F88">
            <w:pPr>
              <w:pStyle w:val="cuadroCabe"/>
            </w:pPr>
            <w:r w:rsidRPr="001C5656">
              <w:t>Nº liquidaciones</w:t>
            </w:r>
          </w:p>
        </w:tc>
        <w:tc>
          <w:tcPr>
            <w:tcW w:w="1255" w:type="dxa"/>
            <w:gridSpan w:val="2"/>
            <w:tcBorders>
              <w:top w:val="single" w:sz="4" w:space="0" w:color="auto"/>
              <w:left w:val="nil"/>
              <w:bottom w:val="single" w:sz="4" w:space="0" w:color="auto"/>
              <w:right w:val="single" w:sz="2" w:space="0" w:color="auto"/>
            </w:tcBorders>
            <w:shd w:val="clear" w:color="auto" w:fill="95B3D7" w:themeFill="accent1" w:themeFillTint="99"/>
            <w:vAlign w:val="center"/>
            <w:hideMark/>
          </w:tcPr>
          <w:p w14:paraId="68E281D8" w14:textId="77777777" w:rsidR="00614DC4" w:rsidRPr="001C5656" w:rsidRDefault="00614DC4" w:rsidP="00694F88">
            <w:pPr>
              <w:pStyle w:val="cuadroCabe"/>
            </w:pPr>
            <w:r w:rsidRPr="001C5656">
              <w:t>Importe</w:t>
            </w:r>
          </w:p>
        </w:tc>
        <w:tc>
          <w:tcPr>
            <w:tcW w:w="1789" w:type="dxa"/>
            <w:gridSpan w:val="2"/>
            <w:tcBorders>
              <w:top w:val="single" w:sz="4" w:space="0" w:color="auto"/>
              <w:left w:val="single" w:sz="2" w:space="0" w:color="auto"/>
              <w:bottom w:val="single" w:sz="4" w:space="0" w:color="auto"/>
              <w:right w:val="nil"/>
            </w:tcBorders>
            <w:shd w:val="clear" w:color="auto" w:fill="95B3D7" w:themeFill="accent1" w:themeFillTint="99"/>
            <w:vAlign w:val="center"/>
            <w:hideMark/>
          </w:tcPr>
          <w:p w14:paraId="549C3381" w14:textId="77777777" w:rsidR="00614DC4" w:rsidRPr="001C5656" w:rsidRDefault="00614DC4" w:rsidP="00694F88">
            <w:pPr>
              <w:pStyle w:val="cuadroCabe"/>
            </w:pPr>
            <w:r w:rsidRPr="001C5656">
              <w:t>Nº liquidaciones</w:t>
            </w:r>
          </w:p>
        </w:tc>
        <w:tc>
          <w:tcPr>
            <w:tcW w:w="904" w:type="dxa"/>
            <w:tcBorders>
              <w:top w:val="single" w:sz="4" w:space="0" w:color="auto"/>
              <w:left w:val="nil"/>
              <w:bottom w:val="single" w:sz="4" w:space="0" w:color="auto"/>
              <w:right w:val="nil"/>
            </w:tcBorders>
            <w:shd w:val="clear" w:color="auto" w:fill="95B3D7" w:themeFill="accent1" w:themeFillTint="99"/>
            <w:vAlign w:val="center"/>
            <w:hideMark/>
          </w:tcPr>
          <w:p w14:paraId="0770B542" w14:textId="77777777" w:rsidR="00614DC4" w:rsidRPr="001C5656" w:rsidRDefault="00614DC4" w:rsidP="00694F88">
            <w:pPr>
              <w:pStyle w:val="cuadroCabe"/>
            </w:pPr>
            <w:r w:rsidRPr="001C5656">
              <w:t>Importe</w:t>
            </w:r>
          </w:p>
        </w:tc>
      </w:tr>
      <w:tr w:rsidR="00C45E32" w:rsidRPr="00C45E32" w14:paraId="29E393A2" w14:textId="77777777" w:rsidTr="00B81AF3">
        <w:trPr>
          <w:gridAfter w:val="1"/>
          <w:wAfter w:w="49" w:type="dxa"/>
          <w:trHeight w:val="198"/>
          <w:jc w:val="center"/>
        </w:trPr>
        <w:tc>
          <w:tcPr>
            <w:tcW w:w="3277" w:type="dxa"/>
            <w:tcBorders>
              <w:top w:val="single" w:sz="4" w:space="0" w:color="auto"/>
              <w:left w:val="nil"/>
              <w:bottom w:val="single" w:sz="2" w:space="0" w:color="auto"/>
              <w:right w:val="nil"/>
            </w:tcBorders>
            <w:noWrap/>
            <w:vAlign w:val="center"/>
            <w:hideMark/>
          </w:tcPr>
          <w:p w14:paraId="631E9FDB" w14:textId="77777777" w:rsidR="00C45E32" w:rsidRPr="00F0287A" w:rsidRDefault="00C45E32" w:rsidP="00C45E32">
            <w:pPr>
              <w:pStyle w:val="cuatexto"/>
              <w:rPr>
                <w:szCs w:val="20"/>
              </w:rPr>
            </w:pPr>
            <w:r w:rsidRPr="00F0287A">
              <w:rPr>
                <w:szCs w:val="20"/>
              </w:rPr>
              <w:t>IVA</w:t>
            </w:r>
          </w:p>
        </w:tc>
        <w:tc>
          <w:tcPr>
            <w:tcW w:w="1564" w:type="dxa"/>
            <w:gridSpan w:val="2"/>
            <w:tcBorders>
              <w:top w:val="single" w:sz="4" w:space="0" w:color="auto"/>
              <w:left w:val="nil"/>
              <w:bottom w:val="single" w:sz="2" w:space="0" w:color="auto"/>
              <w:right w:val="nil"/>
            </w:tcBorders>
            <w:noWrap/>
            <w:vAlign w:val="center"/>
          </w:tcPr>
          <w:p w14:paraId="28E786E7" w14:textId="77777777" w:rsidR="00C45E32" w:rsidRPr="00F0287A" w:rsidRDefault="00C45E32" w:rsidP="00C45E32">
            <w:pPr>
              <w:keepLines/>
              <w:tabs>
                <w:tab w:val="right" w:pos="2835"/>
                <w:tab w:val="right" w:pos="3969"/>
                <w:tab w:val="right" w:pos="5103"/>
                <w:tab w:val="right" w:pos="6237"/>
                <w:tab w:val="right" w:pos="7371"/>
              </w:tabs>
              <w:jc w:val="right"/>
              <w:rPr>
                <w:rFonts w:ascii="Arial Narrow" w:hAnsi="Arial Narrow"/>
                <w:spacing w:val="6"/>
                <w:sz w:val="20"/>
                <w:szCs w:val="20"/>
                <w:lang w:val="es-ES_tradnl" w:eastAsia="en-US"/>
              </w:rPr>
            </w:pPr>
            <w:r w:rsidRPr="00F0287A">
              <w:rPr>
                <w:rFonts w:ascii="Arial Narrow" w:hAnsi="Arial Narrow"/>
                <w:spacing w:val="6"/>
                <w:sz w:val="20"/>
                <w:szCs w:val="20"/>
                <w:lang w:val="es-ES_tradnl" w:eastAsia="en-US"/>
              </w:rPr>
              <w:t>5.196</w:t>
            </w:r>
          </w:p>
        </w:tc>
        <w:tc>
          <w:tcPr>
            <w:tcW w:w="1255" w:type="dxa"/>
            <w:gridSpan w:val="2"/>
            <w:tcBorders>
              <w:top w:val="single" w:sz="4" w:space="0" w:color="auto"/>
              <w:left w:val="nil"/>
              <w:bottom w:val="single" w:sz="2" w:space="0" w:color="auto"/>
              <w:right w:val="single" w:sz="2" w:space="0" w:color="auto"/>
            </w:tcBorders>
            <w:noWrap/>
            <w:vAlign w:val="center"/>
          </w:tcPr>
          <w:p w14:paraId="552F0670" w14:textId="77777777" w:rsidR="00C45E32" w:rsidRPr="00F0287A" w:rsidRDefault="00C45E32" w:rsidP="00C45E32">
            <w:pPr>
              <w:keepLines/>
              <w:tabs>
                <w:tab w:val="right" w:pos="2835"/>
                <w:tab w:val="right" w:pos="3969"/>
                <w:tab w:val="right" w:pos="5103"/>
                <w:tab w:val="right" w:pos="6237"/>
                <w:tab w:val="right" w:pos="7371"/>
              </w:tabs>
              <w:jc w:val="right"/>
              <w:rPr>
                <w:rFonts w:ascii="Arial Narrow" w:hAnsi="Arial Narrow"/>
                <w:spacing w:val="6"/>
                <w:sz w:val="20"/>
                <w:szCs w:val="20"/>
                <w:lang w:val="es-ES_tradnl" w:eastAsia="en-US"/>
              </w:rPr>
            </w:pPr>
            <w:r w:rsidRPr="00F0287A">
              <w:rPr>
                <w:rFonts w:ascii="Arial Narrow" w:hAnsi="Arial Narrow"/>
                <w:spacing w:val="6"/>
                <w:sz w:val="20"/>
                <w:szCs w:val="20"/>
                <w:lang w:val="es-ES_tradnl" w:eastAsia="en-US"/>
              </w:rPr>
              <w:t>8.174</w:t>
            </w:r>
          </w:p>
        </w:tc>
        <w:tc>
          <w:tcPr>
            <w:tcW w:w="1789" w:type="dxa"/>
            <w:gridSpan w:val="2"/>
            <w:tcBorders>
              <w:top w:val="single" w:sz="4" w:space="0" w:color="auto"/>
              <w:left w:val="single" w:sz="2" w:space="0" w:color="auto"/>
              <w:bottom w:val="single" w:sz="2" w:space="0" w:color="auto"/>
              <w:right w:val="nil"/>
            </w:tcBorders>
            <w:noWrap/>
            <w:vAlign w:val="center"/>
          </w:tcPr>
          <w:p w14:paraId="0816CB36" w14:textId="77777777" w:rsidR="00C45E32" w:rsidRPr="00F0287A" w:rsidRDefault="00C45E32" w:rsidP="00C45E32">
            <w:pPr>
              <w:pStyle w:val="cuatexto"/>
              <w:jc w:val="right"/>
              <w:rPr>
                <w:szCs w:val="20"/>
              </w:rPr>
            </w:pPr>
            <w:r w:rsidRPr="00F0287A">
              <w:rPr>
                <w:szCs w:val="20"/>
              </w:rPr>
              <w:t>4.485</w:t>
            </w:r>
          </w:p>
        </w:tc>
        <w:tc>
          <w:tcPr>
            <w:tcW w:w="904" w:type="dxa"/>
            <w:tcBorders>
              <w:top w:val="single" w:sz="4" w:space="0" w:color="auto"/>
              <w:left w:val="nil"/>
              <w:bottom w:val="single" w:sz="2" w:space="0" w:color="auto"/>
              <w:right w:val="nil"/>
            </w:tcBorders>
            <w:noWrap/>
            <w:vAlign w:val="center"/>
          </w:tcPr>
          <w:p w14:paraId="6D7E85E5" w14:textId="77777777" w:rsidR="00C45E32" w:rsidRPr="00F0287A" w:rsidRDefault="00C45E32" w:rsidP="00C45E32">
            <w:pPr>
              <w:pStyle w:val="cuatexto"/>
              <w:jc w:val="right"/>
              <w:rPr>
                <w:szCs w:val="20"/>
              </w:rPr>
            </w:pPr>
            <w:r w:rsidRPr="00F0287A">
              <w:rPr>
                <w:szCs w:val="20"/>
              </w:rPr>
              <w:t>110.438</w:t>
            </w:r>
          </w:p>
        </w:tc>
      </w:tr>
      <w:tr w:rsidR="00C45E32" w:rsidRPr="00C45E32" w14:paraId="6B4D9B7E" w14:textId="77777777" w:rsidTr="00B81AF3">
        <w:trPr>
          <w:gridAfter w:val="1"/>
          <w:wAfter w:w="49" w:type="dxa"/>
          <w:trHeight w:val="198"/>
          <w:jc w:val="center"/>
        </w:trPr>
        <w:tc>
          <w:tcPr>
            <w:tcW w:w="3277" w:type="dxa"/>
            <w:tcBorders>
              <w:top w:val="single" w:sz="2" w:space="0" w:color="auto"/>
              <w:left w:val="nil"/>
              <w:bottom w:val="single" w:sz="2" w:space="0" w:color="auto"/>
              <w:right w:val="nil"/>
            </w:tcBorders>
            <w:noWrap/>
            <w:vAlign w:val="center"/>
            <w:hideMark/>
          </w:tcPr>
          <w:p w14:paraId="1AA387FE" w14:textId="77777777" w:rsidR="00C45E32" w:rsidRPr="00F0287A" w:rsidRDefault="00C45E32" w:rsidP="00C45E32">
            <w:pPr>
              <w:pStyle w:val="cuatexto"/>
              <w:rPr>
                <w:szCs w:val="20"/>
              </w:rPr>
            </w:pPr>
            <w:r w:rsidRPr="00F0287A">
              <w:rPr>
                <w:szCs w:val="20"/>
              </w:rPr>
              <w:t>IRPF</w:t>
            </w:r>
          </w:p>
        </w:tc>
        <w:tc>
          <w:tcPr>
            <w:tcW w:w="1564" w:type="dxa"/>
            <w:gridSpan w:val="2"/>
            <w:tcBorders>
              <w:top w:val="single" w:sz="2" w:space="0" w:color="auto"/>
              <w:left w:val="nil"/>
              <w:bottom w:val="single" w:sz="2" w:space="0" w:color="auto"/>
              <w:right w:val="nil"/>
            </w:tcBorders>
            <w:noWrap/>
            <w:vAlign w:val="center"/>
          </w:tcPr>
          <w:p w14:paraId="0EA4E275" w14:textId="77777777" w:rsidR="00C45E32" w:rsidRPr="00F0287A" w:rsidRDefault="00C45E32" w:rsidP="00C45E32">
            <w:pPr>
              <w:keepLines/>
              <w:tabs>
                <w:tab w:val="right" w:pos="2835"/>
                <w:tab w:val="right" w:pos="3969"/>
                <w:tab w:val="right" w:pos="5103"/>
                <w:tab w:val="right" w:pos="6237"/>
                <w:tab w:val="right" w:pos="7371"/>
              </w:tabs>
              <w:jc w:val="right"/>
              <w:rPr>
                <w:rFonts w:ascii="Arial Narrow" w:hAnsi="Arial Narrow"/>
                <w:spacing w:val="6"/>
                <w:sz w:val="20"/>
                <w:szCs w:val="20"/>
                <w:lang w:val="es-ES_tradnl" w:eastAsia="en-US"/>
              </w:rPr>
            </w:pPr>
            <w:r w:rsidRPr="00F0287A">
              <w:rPr>
                <w:rFonts w:ascii="Arial Narrow" w:hAnsi="Arial Narrow"/>
                <w:spacing w:val="6"/>
                <w:sz w:val="20"/>
                <w:szCs w:val="20"/>
                <w:lang w:val="es-ES_tradnl" w:eastAsia="en-US"/>
              </w:rPr>
              <w:t>3.904</w:t>
            </w:r>
          </w:p>
        </w:tc>
        <w:tc>
          <w:tcPr>
            <w:tcW w:w="1255" w:type="dxa"/>
            <w:gridSpan w:val="2"/>
            <w:tcBorders>
              <w:top w:val="single" w:sz="2" w:space="0" w:color="auto"/>
              <w:left w:val="nil"/>
              <w:bottom w:val="single" w:sz="2" w:space="0" w:color="auto"/>
              <w:right w:val="single" w:sz="2" w:space="0" w:color="auto"/>
            </w:tcBorders>
            <w:noWrap/>
            <w:vAlign w:val="center"/>
          </w:tcPr>
          <w:p w14:paraId="66906B68" w14:textId="77777777" w:rsidR="00C45E32" w:rsidRPr="00F0287A" w:rsidRDefault="00C45E32" w:rsidP="00C45E32">
            <w:pPr>
              <w:keepLines/>
              <w:tabs>
                <w:tab w:val="right" w:pos="2835"/>
                <w:tab w:val="right" w:pos="3969"/>
                <w:tab w:val="right" w:pos="5103"/>
                <w:tab w:val="right" w:pos="6237"/>
                <w:tab w:val="right" w:pos="7371"/>
              </w:tabs>
              <w:jc w:val="right"/>
              <w:rPr>
                <w:rFonts w:ascii="Arial Narrow" w:hAnsi="Arial Narrow"/>
                <w:spacing w:val="6"/>
                <w:sz w:val="20"/>
                <w:szCs w:val="20"/>
                <w:lang w:val="es-ES_tradnl" w:eastAsia="en-US"/>
              </w:rPr>
            </w:pPr>
            <w:r w:rsidRPr="00F0287A">
              <w:rPr>
                <w:rFonts w:ascii="Arial Narrow" w:hAnsi="Arial Narrow"/>
                <w:spacing w:val="6"/>
                <w:sz w:val="20"/>
                <w:szCs w:val="20"/>
                <w:lang w:val="es-ES_tradnl" w:eastAsia="en-US"/>
              </w:rPr>
              <w:t>4.674</w:t>
            </w:r>
          </w:p>
        </w:tc>
        <w:tc>
          <w:tcPr>
            <w:tcW w:w="1789" w:type="dxa"/>
            <w:gridSpan w:val="2"/>
            <w:tcBorders>
              <w:top w:val="single" w:sz="2" w:space="0" w:color="auto"/>
              <w:left w:val="single" w:sz="2" w:space="0" w:color="auto"/>
              <w:bottom w:val="single" w:sz="2" w:space="0" w:color="auto"/>
              <w:right w:val="nil"/>
            </w:tcBorders>
            <w:noWrap/>
            <w:vAlign w:val="center"/>
          </w:tcPr>
          <w:p w14:paraId="4D756ADE" w14:textId="77777777" w:rsidR="00C45E32" w:rsidRPr="00F0287A" w:rsidRDefault="00C45E32" w:rsidP="00C45E32">
            <w:pPr>
              <w:pStyle w:val="cuatexto"/>
              <w:jc w:val="right"/>
              <w:rPr>
                <w:szCs w:val="20"/>
              </w:rPr>
            </w:pPr>
            <w:r w:rsidRPr="00F0287A">
              <w:rPr>
                <w:szCs w:val="20"/>
              </w:rPr>
              <w:t>4.037</w:t>
            </w:r>
          </w:p>
        </w:tc>
        <w:tc>
          <w:tcPr>
            <w:tcW w:w="904" w:type="dxa"/>
            <w:tcBorders>
              <w:top w:val="single" w:sz="2" w:space="0" w:color="auto"/>
              <w:left w:val="nil"/>
              <w:bottom w:val="single" w:sz="2" w:space="0" w:color="auto"/>
              <w:right w:val="nil"/>
            </w:tcBorders>
            <w:noWrap/>
            <w:vAlign w:val="center"/>
          </w:tcPr>
          <w:p w14:paraId="2C91AAAE" w14:textId="77777777" w:rsidR="00C45E32" w:rsidRPr="00F0287A" w:rsidRDefault="00C45E32" w:rsidP="00C45E32">
            <w:pPr>
              <w:pStyle w:val="cuatexto"/>
              <w:jc w:val="right"/>
              <w:rPr>
                <w:szCs w:val="20"/>
              </w:rPr>
            </w:pPr>
            <w:r w:rsidRPr="00F0287A">
              <w:rPr>
                <w:szCs w:val="20"/>
              </w:rPr>
              <w:t>4.500</w:t>
            </w:r>
          </w:p>
        </w:tc>
      </w:tr>
      <w:tr w:rsidR="00C45E32" w:rsidRPr="00C45E32" w14:paraId="1CDD9F93" w14:textId="77777777" w:rsidTr="00B81AF3">
        <w:trPr>
          <w:gridAfter w:val="1"/>
          <w:wAfter w:w="49" w:type="dxa"/>
          <w:trHeight w:val="198"/>
          <w:jc w:val="center"/>
        </w:trPr>
        <w:tc>
          <w:tcPr>
            <w:tcW w:w="3277" w:type="dxa"/>
            <w:tcBorders>
              <w:top w:val="single" w:sz="2" w:space="0" w:color="auto"/>
              <w:left w:val="nil"/>
              <w:bottom w:val="single" w:sz="2" w:space="0" w:color="auto"/>
              <w:right w:val="nil"/>
            </w:tcBorders>
            <w:noWrap/>
            <w:vAlign w:val="center"/>
            <w:hideMark/>
          </w:tcPr>
          <w:p w14:paraId="1B531927" w14:textId="77777777" w:rsidR="00C45E32" w:rsidRPr="00F0287A" w:rsidRDefault="00C45E32" w:rsidP="00C45E32">
            <w:pPr>
              <w:pStyle w:val="cuatexto"/>
              <w:rPr>
                <w:szCs w:val="20"/>
              </w:rPr>
            </w:pPr>
            <w:r w:rsidRPr="00F0287A">
              <w:rPr>
                <w:szCs w:val="20"/>
              </w:rPr>
              <w:t>Sociedades</w:t>
            </w:r>
          </w:p>
        </w:tc>
        <w:tc>
          <w:tcPr>
            <w:tcW w:w="1564" w:type="dxa"/>
            <w:gridSpan w:val="2"/>
            <w:tcBorders>
              <w:top w:val="single" w:sz="2" w:space="0" w:color="auto"/>
              <w:left w:val="nil"/>
              <w:bottom w:val="single" w:sz="2" w:space="0" w:color="auto"/>
              <w:right w:val="nil"/>
            </w:tcBorders>
            <w:noWrap/>
            <w:vAlign w:val="center"/>
          </w:tcPr>
          <w:p w14:paraId="5DF8A1B1" w14:textId="77777777" w:rsidR="00C45E32" w:rsidRPr="00F0287A" w:rsidRDefault="00C45E32" w:rsidP="00C45E32">
            <w:pPr>
              <w:keepLines/>
              <w:tabs>
                <w:tab w:val="right" w:pos="2835"/>
                <w:tab w:val="right" w:pos="3969"/>
                <w:tab w:val="right" w:pos="5103"/>
                <w:tab w:val="right" w:pos="6237"/>
                <w:tab w:val="right" w:pos="7371"/>
              </w:tabs>
              <w:jc w:val="right"/>
              <w:rPr>
                <w:rFonts w:ascii="Arial Narrow" w:hAnsi="Arial Narrow"/>
                <w:spacing w:val="6"/>
                <w:sz w:val="20"/>
                <w:szCs w:val="20"/>
                <w:lang w:val="es-ES_tradnl" w:eastAsia="en-US"/>
              </w:rPr>
            </w:pPr>
            <w:r w:rsidRPr="00F0287A">
              <w:rPr>
                <w:rFonts w:ascii="Arial Narrow" w:hAnsi="Arial Narrow"/>
                <w:spacing w:val="6"/>
                <w:sz w:val="20"/>
                <w:szCs w:val="20"/>
                <w:lang w:val="es-ES_tradnl" w:eastAsia="en-US"/>
              </w:rPr>
              <w:t>936</w:t>
            </w:r>
          </w:p>
        </w:tc>
        <w:tc>
          <w:tcPr>
            <w:tcW w:w="1255" w:type="dxa"/>
            <w:gridSpan w:val="2"/>
            <w:tcBorders>
              <w:top w:val="single" w:sz="2" w:space="0" w:color="auto"/>
              <w:left w:val="nil"/>
              <w:bottom w:val="single" w:sz="2" w:space="0" w:color="auto"/>
              <w:right w:val="single" w:sz="2" w:space="0" w:color="auto"/>
            </w:tcBorders>
            <w:noWrap/>
            <w:vAlign w:val="center"/>
          </w:tcPr>
          <w:p w14:paraId="265FE9CE" w14:textId="77777777" w:rsidR="00C45E32" w:rsidRPr="00F0287A" w:rsidRDefault="00C45E32" w:rsidP="00C45E32">
            <w:pPr>
              <w:keepLines/>
              <w:tabs>
                <w:tab w:val="right" w:pos="2835"/>
                <w:tab w:val="right" w:pos="3969"/>
                <w:tab w:val="right" w:pos="5103"/>
                <w:tab w:val="right" w:pos="6237"/>
                <w:tab w:val="right" w:pos="7371"/>
              </w:tabs>
              <w:jc w:val="right"/>
              <w:rPr>
                <w:rFonts w:ascii="Arial Narrow" w:hAnsi="Arial Narrow"/>
                <w:spacing w:val="6"/>
                <w:sz w:val="20"/>
                <w:szCs w:val="20"/>
                <w:lang w:val="es-ES_tradnl" w:eastAsia="en-US"/>
              </w:rPr>
            </w:pPr>
            <w:r w:rsidRPr="00F0287A">
              <w:rPr>
                <w:rFonts w:ascii="Arial Narrow" w:hAnsi="Arial Narrow"/>
                <w:spacing w:val="6"/>
                <w:sz w:val="20"/>
                <w:szCs w:val="20"/>
                <w:lang w:val="es-ES_tradnl" w:eastAsia="en-US"/>
              </w:rPr>
              <w:t>4.163</w:t>
            </w:r>
          </w:p>
        </w:tc>
        <w:tc>
          <w:tcPr>
            <w:tcW w:w="1789" w:type="dxa"/>
            <w:gridSpan w:val="2"/>
            <w:tcBorders>
              <w:top w:val="single" w:sz="2" w:space="0" w:color="auto"/>
              <w:left w:val="single" w:sz="2" w:space="0" w:color="auto"/>
              <w:bottom w:val="single" w:sz="2" w:space="0" w:color="auto"/>
              <w:right w:val="nil"/>
            </w:tcBorders>
            <w:noWrap/>
            <w:vAlign w:val="center"/>
          </w:tcPr>
          <w:p w14:paraId="489949E5" w14:textId="77777777" w:rsidR="00C45E32" w:rsidRPr="00F0287A" w:rsidRDefault="00C45E32" w:rsidP="00C45E32">
            <w:pPr>
              <w:pStyle w:val="cuatexto"/>
              <w:jc w:val="right"/>
              <w:rPr>
                <w:szCs w:val="20"/>
              </w:rPr>
            </w:pPr>
            <w:r w:rsidRPr="00F0287A">
              <w:rPr>
                <w:szCs w:val="20"/>
              </w:rPr>
              <w:t>1.286</w:t>
            </w:r>
          </w:p>
        </w:tc>
        <w:tc>
          <w:tcPr>
            <w:tcW w:w="904" w:type="dxa"/>
            <w:tcBorders>
              <w:top w:val="single" w:sz="2" w:space="0" w:color="auto"/>
              <w:left w:val="nil"/>
              <w:bottom w:val="single" w:sz="2" w:space="0" w:color="auto"/>
              <w:right w:val="nil"/>
            </w:tcBorders>
            <w:noWrap/>
            <w:vAlign w:val="center"/>
          </w:tcPr>
          <w:p w14:paraId="3BB4A9AA" w14:textId="77777777" w:rsidR="00C45E32" w:rsidRPr="00F0287A" w:rsidRDefault="00C45E32" w:rsidP="00C45E32">
            <w:pPr>
              <w:pStyle w:val="cuatexto"/>
              <w:jc w:val="right"/>
              <w:rPr>
                <w:szCs w:val="20"/>
              </w:rPr>
            </w:pPr>
            <w:r w:rsidRPr="00F0287A">
              <w:rPr>
                <w:szCs w:val="20"/>
              </w:rPr>
              <w:t>7.224</w:t>
            </w:r>
          </w:p>
        </w:tc>
      </w:tr>
      <w:tr w:rsidR="00C45E32" w:rsidRPr="00C45E32" w14:paraId="652CFBE0" w14:textId="77777777" w:rsidTr="00B81AF3">
        <w:trPr>
          <w:gridAfter w:val="1"/>
          <w:wAfter w:w="49" w:type="dxa"/>
          <w:trHeight w:val="198"/>
          <w:jc w:val="center"/>
        </w:trPr>
        <w:tc>
          <w:tcPr>
            <w:tcW w:w="3277" w:type="dxa"/>
            <w:tcBorders>
              <w:top w:val="single" w:sz="2" w:space="0" w:color="auto"/>
              <w:left w:val="nil"/>
              <w:bottom w:val="single" w:sz="2" w:space="0" w:color="auto"/>
              <w:right w:val="nil"/>
            </w:tcBorders>
            <w:noWrap/>
            <w:vAlign w:val="center"/>
            <w:hideMark/>
          </w:tcPr>
          <w:p w14:paraId="7D3F8272" w14:textId="77777777" w:rsidR="00C45E32" w:rsidRPr="00F0287A" w:rsidRDefault="00C45E32" w:rsidP="00C45E32">
            <w:pPr>
              <w:pStyle w:val="cuatexto"/>
              <w:rPr>
                <w:szCs w:val="20"/>
              </w:rPr>
            </w:pPr>
            <w:r w:rsidRPr="00F0287A">
              <w:rPr>
                <w:szCs w:val="20"/>
              </w:rPr>
              <w:t>Resto impuestos</w:t>
            </w:r>
          </w:p>
        </w:tc>
        <w:tc>
          <w:tcPr>
            <w:tcW w:w="1564" w:type="dxa"/>
            <w:gridSpan w:val="2"/>
            <w:tcBorders>
              <w:top w:val="single" w:sz="2" w:space="0" w:color="auto"/>
              <w:left w:val="nil"/>
              <w:bottom w:val="single" w:sz="2" w:space="0" w:color="auto"/>
              <w:right w:val="nil"/>
            </w:tcBorders>
            <w:noWrap/>
            <w:vAlign w:val="center"/>
          </w:tcPr>
          <w:p w14:paraId="087C4A86" w14:textId="77777777" w:rsidR="00C45E32" w:rsidRPr="00F0287A" w:rsidRDefault="00C45E32" w:rsidP="00C45E32">
            <w:pPr>
              <w:keepLines/>
              <w:tabs>
                <w:tab w:val="right" w:pos="2835"/>
                <w:tab w:val="right" w:pos="3969"/>
                <w:tab w:val="right" w:pos="5103"/>
                <w:tab w:val="right" w:pos="6237"/>
                <w:tab w:val="right" w:pos="7371"/>
              </w:tabs>
              <w:jc w:val="right"/>
              <w:rPr>
                <w:rFonts w:ascii="Arial Narrow" w:hAnsi="Arial Narrow"/>
                <w:spacing w:val="6"/>
                <w:sz w:val="20"/>
                <w:szCs w:val="20"/>
                <w:lang w:val="es-ES_tradnl" w:eastAsia="en-US"/>
              </w:rPr>
            </w:pPr>
            <w:r w:rsidRPr="00F0287A">
              <w:rPr>
                <w:rFonts w:ascii="Arial Narrow" w:hAnsi="Arial Narrow"/>
                <w:spacing w:val="6"/>
                <w:sz w:val="20"/>
                <w:szCs w:val="20"/>
                <w:lang w:val="es-ES_tradnl" w:eastAsia="en-US"/>
              </w:rPr>
              <w:t>1.818</w:t>
            </w:r>
          </w:p>
        </w:tc>
        <w:tc>
          <w:tcPr>
            <w:tcW w:w="1255" w:type="dxa"/>
            <w:gridSpan w:val="2"/>
            <w:tcBorders>
              <w:top w:val="single" w:sz="2" w:space="0" w:color="auto"/>
              <w:left w:val="nil"/>
              <w:bottom w:val="single" w:sz="2" w:space="0" w:color="auto"/>
              <w:right w:val="single" w:sz="2" w:space="0" w:color="auto"/>
            </w:tcBorders>
            <w:noWrap/>
            <w:vAlign w:val="center"/>
          </w:tcPr>
          <w:p w14:paraId="2343BAF1" w14:textId="77777777" w:rsidR="00C45E32" w:rsidRPr="00F0287A" w:rsidRDefault="00C45E32" w:rsidP="00C45E32">
            <w:pPr>
              <w:keepLines/>
              <w:tabs>
                <w:tab w:val="right" w:pos="2835"/>
                <w:tab w:val="right" w:pos="3969"/>
                <w:tab w:val="right" w:pos="5103"/>
                <w:tab w:val="right" w:pos="6237"/>
                <w:tab w:val="right" w:pos="7371"/>
              </w:tabs>
              <w:jc w:val="right"/>
              <w:rPr>
                <w:rFonts w:ascii="Arial Narrow" w:hAnsi="Arial Narrow"/>
                <w:spacing w:val="6"/>
                <w:sz w:val="20"/>
                <w:szCs w:val="20"/>
                <w:lang w:val="es-ES_tradnl" w:eastAsia="en-US"/>
              </w:rPr>
            </w:pPr>
            <w:r w:rsidRPr="00F0287A">
              <w:rPr>
                <w:rFonts w:ascii="Arial Narrow" w:hAnsi="Arial Narrow"/>
                <w:spacing w:val="6"/>
                <w:sz w:val="20"/>
                <w:szCs w:val="20"/>
                <w:lang w:val="es-ES_tradnl" w:eastAsia="en-US"/>
              </w:rPr>
              <w:t>13.523</w:t>
            </w:r>
          </w:p>
        </w:tc>
        <w:tc>
          <w:tcPr>
            <w:tcW w:w="1789" w:type="dxa"/>
            <w:gridSpan w:val="2"/>
            <w:tcBorders>
              <w:top w:val="single" w:sz="2" w:space="0" w:color="auto"/>
              <w:left w:val="single" w:sz="2" w:space="0" w:color="auto"/>
              <w:bottom w:val="single" w:sz="2" w:space="0" w:color="auto"/>
              <w:right w:val="nil"/>
            </w:tcBorders>
            <w:noWrap/>
            <w:vAlign w:val="center"/>
          </w:tcPr>
          <w:p w14:paraId="7867753B" w14:textId="77777777" w:rsidR="00C45E32" w:rsidRPr="00F0287A" w:rsidRDefault="00C45E32" w:rsidP="00C45E32">
            <w:pPr>
              <w:pStyle w:val="cuatexto"/>
              <w:jc w:val="right"/>
              <w:rPr>
                <w:szCs w:val="20"/>
              </w:rPr>
            </w:pPr>
            <w:r w:rsidRPr="00F0287A">
              <w:rPr>
                <w:szCs w:val="20"/>
              </w:rPr>
              <w:t>1.868</w:t>
            </w:r>
          </w:p>
        </w:tc>
        <w:tc>
          <w:tcPr>
            <w:tcW w:w="904" w:type="dxa"/>
            <w:tcBorders>
              <w:top w:val="single" w:sz="2" w:space="0" w:color="auto"/>
              <w:left w:val="nil"/>
              <w:bottom w:val="single" w:sz="2" w:space="0" w:color="auto"/>
              <w:right w:val="nil"/>
            </w:tcBorders>
            <w:noWrap/>
            <w:vAlign w:val="center"/>
          </w:tcPr>
          <w:p w14:paraId="340955CA" w14:textId="77777777" w:rsidR="00C45E32" w:rsidRPr="00F0287A" w:rsidRDefault="00C45E32" w:rsidP="00C45E32">
            <w:pPr>
              <w:pStyle w:val="cuatexto"/>
              <w:jc w:val="right"/>
              <w:rPr>
                <w:szCs w:val="20"/>
              </w:rPr>
            </w:pPr>
            <w:r w:rsidRPr="00F0287A">
              <w:rPr>
                <w:szCs w:val="20"/>
              </w:rPr>
              <w:t>5.727</w:t>
            </w:r>
          </w:p>
        </w:tc>
      </w:tr>
      <w:tr w:rsidR="00C45E32" w:rsidRPr="00C45E32" w14:paraId="444FD4DB" w14:textId="77777777" w:rsidTr="00B81AF3">
        <w:trPr>
          <w:gridAfter w:val="1"/>
          <w:wAfter w:w="49" w:type="dxa"/>
          <w:trHeight w:val="198"/>
          <w:jc w:val="center"/>
        </w:trPr>
        <w:tc>
          <w:tcPr>
            <w:tcW w:w="3277" w:type="dxa"/>
            <w:tcBorders>
              <w:top w:val="single" w:sz="2" w:space="0" w:color="auto"/>
              <w:left w:val="nil"/>
              <w:bottom w:val="single" w:sz="2" w:space="0" w:color="auto"/>
              <w:right w:val="nil"/>
            </w:tcBorders>
            <w:noWrap/>
            <w:vAlign w:val="center"/>
            <w:hideMark/>
          </w:tcPr>
          <w:p w14:paraId="09C7A3E2" w14:textId="77777777" w:rsidR="00C45E32" w:rsidRPr="00F0287A" w:rsidRDefault="00C45E32" w:rsidP="00C45E32">
            <w:pPr>
              <w:pStyle w:val="cuatexto"/>
              <w:rPr>
                <w:szCs w:val="20"/>
              </w:rPr>
            </w:pPr>
            <w:r w:rsidRPr="00F0287A">
              <w:rPr>
                <w:szCs w:val="20"/>
              </w:rPr>
              <w:t>Sanciones</w:t>
            </w:r>
          </w:p>
        </w:tc>
        <w:tc>
          <w:tcPr>
            <w:tcW w:w="1564" w:type="dxa"/>
            <w:gridSpan w:val="2"/>
            <w:tcBorders>
              <w:top w:val="single" w:sz="2" w:space="0" w:color="auto"/>
              <w:left w:val="nil"/>
              <w:bottom w:val="single" w:sz="2" w:space="0" w:color="auto"/>
              <w:right w:val="nil"/>
            </w:tcBorders>
            <w:noWrap/>
            <w:vAlign w:val="center"/>
          </w:tcPr>
          <w:p w14:paraId="4AE6D0F8" w14:textId="77777777" w:rsidR="00C45E32" w:rsidRPr="00F0287A" w:rsidRDefault="00C45E32" w:rsidP="00C45E32">
            <w:pPr>
              <w:keepLines/>
              <w:tabs>
                <w:tab w:val="right" w:pos="2835"/>
                <w:tab w:val="right" w:pos="3969"/>
                <w:tab w:val="right" w:pos="5103"/>
                <w:tab w:val="right" w:pos="6237"/>
                <w:tab w:val="right" w:pos="7371"/>
              </w:tabs>
              <w:jc w:val="right"/>
              <w:rPr>
                <w:rFonts w:ascii="Arial Narrow" w:hAnsi="Arial Narrow"/>
                <w:spacing w:val="6"/>
                <w:sz w:val="20"/>
                <w:szCs w:val="20"/>
                <w:lang w:val="es-ES_tradnl" w:eastAsia="en-US"/>
              </w:rPr>
            </w:pPr>
            <w:r w:rsidRPr="00F0287A">
              <w:rPr>
                <w:rFonts w:ascii="Arial Narrow" w:hAnsi="Arial Narrow"/>
                <w:spacing w:val="6"/>
                <w:sz w:val="20"/>
                <w:szCs w:val="20"/>
                <w:lang w:val="es-ES_tradnl" w:eastAsia="en-US"/>
              </w:rPr>
              <w:t>15.216</w:t>
            </w:r>
          </w:p>
        </w:tc>
        <w:tc>
          <w:tcPr>
            <w:tcW w:w="1255" w:type="dxa"/>
            <w:gridSpan w:val="2"/>
            <w:tcBorders>
              <w:top w:val="single" w:sz="2" w:space="0" w:color="auto"/>
              <w:left w:val="nil"/>
              <w:bottom w:val="single" w:sz="2" w:space="0" w:color="auto"/>
              <w:right w:val="single" w:sz="2" w:space="0" w:color="auto"/>
            </w:tcBorders>
            <w:noWrap/>
            <w:vAlign w:val="center"/>
          </w:tcPr>
          <w:p w14:paraId="13EB98F5" w14:textId="77777777" w:rsidR="00C45E32" w:rsidRPr="00F0287A" w:rsidRDefault="00C45E32" w:rsidP="00C45E32">
            <w:pPr>
              <w:keepLines/>
              <w:tabs>
                <w:tab w:val="right" w:pos="2835"/>
                <w:tab w:val="right" w:pos="3969"/>
                <w:tab w:val="right" w:pos="5103"/>
                <w:tab w:val="right" w:pos="6237"/>
                <w:tab w:val="right" w:pos="7371"/>
              </w:tabs>
              <w:jc w:val="right"/>
              <w:rPr>
                <w:rFonts w:ascii="Arial Narrow" w:hAnsi="Arial Narrow"/>
                <w:spacing w:val="6"/>
                <w:sz w:val="20"/>
                <w:szCs w:val="20"/>
                <w:lang w:val="es-ES_tradnl" w:eastAsia="en-US"/>
              </w:rPr>
            </w:pPr>
            <w:r w:rsidRPr="00F0287A">
              <w:rPr>
                <w:rFonts w:ascii="Arial Narrow" w:hAnsi="Arial Narrow"/>
                <w:spacing w:val="6"/>
                <w:sz w:val="20"/>
                <w:szCs w:val="20"/>
                <w:lang w:val="es-ES_tradnl" w:eastAsia="en-US"/>
              </w:rPr>
              <w:t>7.286</w:t>
            </w:r>
          </w:p>
        </w:tc>
        <w:tc>
          <w:tcPr>
            <w:tcW w:w="1789" w:type="dxa"/>
            <w:gridSpan w:val="2"/>
            <w:tcBorders>
              <w:top w:val="single" w:sz="2" w:space="0" w:color="auto"/>
              <w:left w:val="single" w:sz="2" w:space="0" w:color="auto"/>
              <w:bottom w:val="single" w:sz="2" w:space="0" w:color="auto"/>
              <w:right w:val="nil"/>
            </w:tcBorders>
            <w:noWrap/>
            <w:vAlign w:val="center"/>
          </w:tcPr>
          <w:p w14:paraId="5057A0D5" w14:textId="77777777" w:rsidR="00C45E32" w:rsidRPr="00F0287A" w:rsidRDefault="00C45E32" w:rsidP="00C45E32">
            <w:pPr>
              <w:pStyle w:val="cuatexto"/>
              <w:jc w:val="right"/>
              <w:rPr>
                <w:szCs w:val="20"/>
              </w:rPr>
            </w:pPr>
            <w:r w:rsidRPr="00F0287A">
              <w:rPr>
                <w:szCs w:val="20"/>
              </w:rPr>
              <w:t>3.962</w:t>
            </w:r>
          </w:p>
        </w:tc>
        <w:tc>
          <w:tcPr>
            <w:tcW w:w="904" w:type="dxa"/>
            <w:tcBorders>
              <w:top w:val="single" w:sz="2" w:space="0" w:color="auto"/>
              <w:left w:val="nil"/>
              <w:bottom w:val="single" w:sz="2" w:space="0" w:color="auto"/>
              <w:right w:val="nil"/>
            </w:tcBorders>
            <w:noWrap/>
            <w:vAlign w:val="center"/>
          </w:tcPr>
          <w:p w14:paraId="4CC1DD33" w14:textId="77777777" w:rsidR="00C45E32" w:rsidRPr="00F0287A" w:rsidRDefault="00C45E32" w:rsidP="00C45E32">
            <w:pPr>
              <w:pStyle w:val="cuatexto"/>
              <w:jc w:val="right"/>
              <w:rPr>
                <w:szCs w:val="20"/>
              </w:rPr>
            </w:pPr>
            <w:r w:rsidRPr="00F0287A">
              <w:rPr>
                <w:szCs w:val="20"/>
              </w:rPr>
              <w:t>3.904</w:t>
            </w:r>
          </w:p>
        </w:tc>
      </w:tr>
      <w:tr w:rsidR="00C45E32" w:rsidRPr="00C45E32" w14:paraId="3006FC3B" w14:textId="77777777" w:rsidTr="00B81AF3">
        <w:trPr>
          <w:gridAfter w:val="1"/>
          <w:wAfter w:w="49" w:type="dxa"/>
          <w:trHeight w:val="198"/>
          <w:jc w:val="center"/>
        </w:trPr>
        <w:tc>
          <w:tcPr>
            <w:tcW w:w="3277" w:type="dxa"/>
            <w:tcBorders>
              <w:top w:val="single" w:sz="2" w:space="0" w:color="auto"/>
              <w:left w:val="nil"/>
              <w:bottom w:val="single" w:sz="2" w:space="0" w:color="auto"/>
              <w:right w:val="nil"/>
            </w:tcBorders>
            <w:noWrap/>
            <w:vAlign w:val="center"/>
            <w:hideMark/>
          </w:tcPr>
          <w:p w14:paraId="45A59B8B" w14:textId="77777777" w:rsidR="00C45E32" w:rsidRPr="00F0287A" w:rsidRDefault="00C45E32" w:rsidP="00C45E32">
            <w:pPr>
              <w:pStyle w:val="cuatexto"/>
              <w:rPr>
                <w:szCs w:val="20"/>
              </w:rPr>
            </w:pPr>
            <w:r w:rsidRPr="00F0287A">
              <w:rPr>
                <w:szCs w:val="20"/>
              </w:rPr>
              <w:t>Recargos extemporáneos</w:t>
            </w:r>
          </w:p>
        </w:tc>
        <w:tc>
          <w:tcPr>
            <w:tcW w:w="1564" w:type="dxa"/>
            <w:gridSpan w:val="2"/>
            <w:tcBorders>
              <w:top w:val="single" w:sz="2" w:space="0" w:color="auto"/>
              <w:left w:val="nil"/>
              <w:bottom w:val="single" w:sz="2" w:space="0" w:color="auto"/>
              <w:right w:val="nil"/>
            </w:tcBorders>
            <w:noWrap/>
            <w:vAlign w:val="center"/>
          </w:tcPr>
          <w:p w14:paraId="7D4CEFFF" w14:textId="77777777" w:rsidR="00C45E32" w:rsidRPr="00F0287A" w:rsidRDefault="00C45E32" w:rsidP="00C45E32">
            <w:pPr>
              <w:keepLines/>
              <w:tabs>
                <w:tab w:val="right" w:pos="2835"/>
                <w:tab w:val="right" w:pos="3969"/>
                <w:tab w:val="right" w:pos="5103"/>
                <w:tab w:val="right" w:pos="6237"/>
                <w:tab w:val="right" w:pos="7371"/>
              </w:tabs>
              <w:jc w:val="right"/>
              <w:rPr>
                <w:rFonts w:ascii="Arial Narrow" w:hAnsi="Arial Narrow"/>
                <w:spacing w:val="6"/>
                <w:sz w:val="20"/>
                <w:szCs w:val="20"/>
                <w:lang w:val="es-ES_tradnl" w:eastAsia="en-US"/>
              </w:rPr>
            </w:pPr>
            <w:r w:rsidRPr="00F0287A">
              <w:rPr>
                <w:rFonts w:ascii="Arial Narrow" w:hAnsi="Arial Narrow"/>
                <w:spacing w:val="6"/>
                <w:sz w:val="20"/>
                <w:szCs w:val="20"/>
                <w:lang w:val="es-ES_tradnl" w:eastAsia="en-US"/>
              </w:rPr>
              <w:t>3.345</w:t>
            </w:r>
          </w:p>
        </w:tc>
        <w:tc>
          <w:tcPr>
            <w:tcW w:w="1255" w:type="dxa"/>
            <w:gridSpan w:val="2"/>
            <w:tcBorders>
              <w:top w:val="single" w:sz="2" w:space="0" w:color="auto"/>
              <w:left w:val="nil"/>
              <w:bottom w:val="single" w:sz="2" w:space="0" w:color="auto"/>
              <w:right w:val="single" w:sz="2" w:space="0" w:color="auto"/>
            </w:tcBorders>
            <w:noWrap/>
            <w:vAlign w:val="center"/>
          </w:tcPr>
          <w:p w14:paraId="0B9FF4F0" w14:textId="77777777" w:rsidR="00C45E32" w:rsidRPr="00F0287A" w:rsidRDefault="00C45E32" w:rsidP="00C45E32">
            <w:pPr>
              <w:keepLines/>
              <w:tabs>
                <w:tab w:val="right" w:pos="2835"/>
                <w:tab w:val="right" w:pos="3969"/>
                <w:tab w:val="right" w:pos="5103"/>
                <w:tab w:val="right" w:pos="6237"/>
                <w:tab w:val="right" w:pos="7371"/>
              </w:tabs>
              <w:jc w:val="right"/>
              <w:rPr>
                <w:rFonts w:ascii="Arial Narrow" w:hAnsi="Arial Narrow"/>
                <w:spacing w:val="6"/>
                <w:sz w:val="20"/>
                <w:szCs w:val="20"/>
                <w:lang w:val="es-ES_tradnl" w:eastAsia="en-US"/>
              </w:rPr>
            </w:pPr>
            <w:r w:rsidRPr="00F0287A">
              <w:rPr>
                <w:rFonts w:ascii="Arial Narrow" w:hAnsi="Arial Narrow"/>
                <w:spacing w:val="6"/>
                <w:sz w:val="20"/>
                <w:szCs w:val="20"/>
                <w:lang w:val="es-ES_tradnl" w:eastAsia="en-US"/>
              </w:rPr>
              <w:t>880</w:t>
            </w:r>
          </w:p>
        </w:tc>
        <w:tc>
          <w:tcPr>
            <w:tcW w:w="1789" w:type="dxa"/>
            <w:gridSpan w:val="2"/>
            <w:tcBorders>
              <w:top w:val="single" w:sz="2" w:space="0" w:color="auto"/>
              <w:left w:val="single" w:sz="2" w:space="0" w:color="auto"/>
              <w:bottom w:val="single" w:sz="2" w:space="0" w:color="auto"/>
              <w:right w:val="nil"/>
            </w:tcBorders>
            <w:noWrap/>
            <w:vAlign w:val="center"/>
          </w:tcPr>
          <w:p w14:paraId="128452DD" w14:textId="77777777" w:rsidR="00C45E32" w:rsidRPr="00F0287A" w:rsidRDefault="00C45E32" w:rsidP="00C45E32">
            <w:pPr>
              <w:pStyle w:val="cuatexto"/>
              <w:jc w:val="right"/>
              <w:rPr>
                <w:szCs w:val="20"/>
              </w:rPr>
            </w:pPr>
            <w:r w:rsidRPr="00F0287A">
              <w:rPr>
                <w:szCs w:val="20"/>
              </w:rPr>
              <w:t>6.164</w:t>
            </w:r>
          </w:p>
        </w:tc>
        <w:tc>
          <w:tcPr>
            <w:tcW w:w="904" w:type="dxa"/>
            <w:tcBorders>
              <w:top w:val="single" w:sz="2" w:space="0" w:color="auto"/>
              <w:left w:val="nil"/>
              <w:bottom w:val="single" w:sz="2" w:space="0" w:color="auto"/>
              <w:right w:val="nil"/>
            </w:tcBorders>
            <w:noWrap/>
            <w:vAlign w:val="center"/>
          </w:tcPr>
          <w:p w14:paraId="796B9A2F" w14:textId="77777777" w:rsidR="00C45E32" w:rsidRPr="00F0287A" w:rsidRDefault="00C45E32" w:rsidP="00C45E32">
            <w:pPr>
              <w:pStyle w:val="cuatexto"/>
              <w:jc w:val="right"/>
              <w:rPr>
                <w:szCs w:val="20"/>
              </w:rPr>
            </w:pPr>
            <w:r w:rsidRPr="00F0287A">
              <w:rPr>
                <w:szCs w:val="20"/>
              </w:rPr>
              <w:t>2.406</w:t>
            </w:r>
          </w:p>
        </w:tc>
      </w:tr>
      <w:tr w:rsidR="00C45E32" w:rsidRPr="00C45E32" w14:paraId="417234EC" w14:textId="77777777" w:rsidTr="00B81AF3">
        <w:trPr>
          <w:gridAfter w:val="1"/>
          <w:wAfter w:w="49" w:type="dxa"/>
          <w:trHeight w:val="198"/>
          <w:jc w:val="center"/>
        </w:trPr>
        <w:tc>
          <w:tcPr>
            <w:tcW w:w="3277" w:type="dxa"/>
            <w:tcBorders>
              <w:top w:val="single" w:sz="2" w:space="0" w:color="auto"/>
              <w:left w:val="nil"/>
              <w:bottom w:val="single" w:sz="2" w:space="0" w:color="auto"/>
              <w:right w:val="nil"/>
            </w:tcBorders>
            <w:noWrap/>
            <w:vAlign w:val="center"/>
            <w:hideMark/>
          </w:tcPr>
          <w:p w14:paraId="1707205A" w14:textId="77777777" w:rsidR="00C45E32" w:rsidRPr="00F0287A" w:rsidRDefault="00C45E32" w:rsidP="00C45E32">
            <w:pPr>
              <w:pStyle w:val="cuatexto"/>
              <w:rPr>
                <w:szCs w:val="20"/>
              </w:rPr>
            </w:pPr>
            <w:r w:rsidRPr="00F0287A">
              <w:rPr>
                <w:szCs w:val="20"/>
              </w:rPr>
              <w:t>Requerimientos</w:t>
            </w:r>
          </w:p>
        </w:tc>
        <w:tc>
          <w:tcPr>
            <w:tcW w:w="1564" w:type="dxa"/>
            <w:gridSpan w:val="2"/>
            <w:tcBorders>
              <w:top w:val="single" w:sz="2" w:space="0" w:color="auto"/>
              <w:left w:val="nil"/>
              <w:bottom w:val="single" w:sz="2" w:space="0" w:color="auto"/>
              <w:right w:val="nil"/>
            </w:tcBorders>
            <w:noWrap/>
            <w:vAlign w:val="center"/>
          </w:tcPr>
          <w:p w14:paraId="0770EA06" w14:textId="77777777" w:rsidR="00C45E32" w:rsidRPr="00F0287A" w:rsidRDefault="00C45E32" w:rsidP="00C45E32">
            <w:pPr>
              <w:keepLines/>
              <w:tabs>
                <w:tab w:val="right" w:pos="2835"/>
                <w:tab w:val="right" w:pos="3969"/>
                <w:tab w:val="right" w:pos="5103"/>
                <w:tab w:val="right" w:pos="6237"/>
                <w:tab w:val="right" w:pos="7371"/>
              </w:tabs>
              <w:jc w:val="right"/>
              <w:rPr>
                <w:rFonts w:ascii="Arial Narrow" w:hAnsi="Arial Narrow"/>
                <w:spacing w:val="6"/>
                <w:sz w:val="20"/>
                <w:szCs w:val="20"/>
                <w:lang w:val="es-ES_tradnl" w:eastAsia="en-US"/>
              </w:rPr>
            </w:pPr>
            <w:r w:rsidRPr="00F0287A">
              <w:rPr>
                <w:rFonts w:ascii="Arial Narrow" w:hAnsi="Arial Narrow"/>
                <w:spacing w:val="6"/>
                <w:sz w:val="20"/>
                <w:szCs w:val="20"/>
                <w:lang w:val="es-ES_tradnl" w:eastAsia="en-US"/>
              </w:rPr>
              <w:t>9.387</w:t>
            </w:r>
          </w:p>
        </w:tc>
        <w:tc>
          <w:tcPr>
            <w:tcW w:w="1255" w:type="dxa"/>
            <w:gridSpan w:val="2"/>
            <w:tcBorders>
              <w:top w:val="single" w:sz="2" w:space="0" w:color="auto"/>
              <w:left w:val="nil"/>
              <w:bottom w:val="single" w:sz="2" w:space="0" w:color="auto"/>
              <w:right w:val="single" w:sz="2" w:space="0" w:color="auto"/>
            </w:tcBorders>
            <w:noWrap/>
            <w:vAlign w:val="center"/>
          </w:tcPr>
          <w:p w14:paraId="11CEAD0B" w14:textId="77777777" w:rsidR="00C45E32" w:rsidRPr="00F0287A" w:rsidRDefault="00C45E32" w:rsidP="00C45E32">
            <w:pPr>
              <w:keepLines/>
              <w:tabs>
                <w:tab w:val="right" w:pos="2835"/>
                <w:tab w:val="right" w:pos="3969"/>
                <w:tab w:val="right" w:pos="5103"/>
                <w:tab w:val="right" w:pos="6237"/>
                <w:tab w:val="right" w:pos="7371"/>
              </w:tabs>
              <w:jc w:val="right"/>
              <w:rPr>
                <w:rFonts w:ascii="Arial Narrow" w:hAnsi="Arial Narrow"/>
                <w:spacing w:val="6"/>
                <w:sz w:val="20"/>
                <w:szCs w:val="20"/>
                <w:lang w:val="es-ES_tradnl" w:eastAsia="en-US"/>
              </w:rPr>
            </w:pPr>
            <w:r w:rsidRPr="00F0287A">
              <w:rPr>
                <w:rFonts w:ascii="Arial Narrow" w:hAnsi="Arial Narrow"/>
                <w:spacing w:val="6"/>
                <w:sz w:val="20"/>
                <w:szCs w:val="20"/>
                <w:lang w:val="es-ES_tradnl" w:eastAsia="en-US"/>
              </w:rPr>
              <w:t>2.778</w:t>
            </w:r>
          </w:p>
        </w:tc>
        <w:tc>
          <w:tcPr>
            <w:tcW w:w="1789" w:type="dxa"/>
            <w:gridSpan w:val="2"/>
            <w:tcBorders>
              <w:top w:val="single" w:sz="2" w:space="0" w:color="auto"/>
              <w:left w:val="single" w:sz="2" w:space="0" w:color="auto"/>
              <w:bottom w:val="single" w:sz="2" w:space="0" w:color="auto"/>
              <w:right w:val="nil"/>
            </w:tcBorders>
            <w:noWrap/>
            <w:vAlign w:val="center"/>
          </w:tcPr>
          <w:p w14:paraId="40D12FB3" w14:textId="77777777" w:rsidR="00C45E32" w:rsidRPr="00F0287A" w:rsidRDefault="00C45E32" w:rsidP="00C45E32">
            <w:pPr>
              <w:pStyle w:val="cuatexto"/>
              <w:jc w:val="right"/>
              <w:rPr>
                <w:szCs w:val="20"/>
              </w:rPr>
            </w:pPr>
            <w:r w:rsidRPr="00F0287A">
              <w:rPr>
                <w:szCs w:val="20"/>
              </w:rPr>
              <w:t>7.475</w:t>
            </w:r>
          </w:p>
        </w:tc>
        <w:tc>
          <w:tcPr>
            <w:tcW w:w="904" w:type="dxa"/>
            <w:tcBorders>
              <w:top w:val="single" w:sz="2" w:space="0" w:color="auto"/>
              <w:left w:val="nil"/>
              <w:bottom w:val="single" w:sz="2" w:space="0" w:color="auto"/>
              <w:right w:val="nil"/>
            </w:tcBorders>
            <w:noWrap/>
            <w:vAlign w:val="center"/>
          </w:tcPr>
          <w:p w14:paraId="341FC26A" w14:textId="77777777" w:rsidR="00C45E32" w:rsidRPr="00F0287A" w:rsidRDefault="00C45E32" w:rsidP="00C45E32">
            <w:pPr>
              <w:pStyle w:val="cuatexto"/>
              <w:jc w:val="right"/>
              <w:rPr>
                <w:szCs w:val="20"/>
              </w:rPr>
            </w:pPr>
            <w:r w:rsidRPr="00F0287A">
              <w:rPr>
                <w:szCs w:val="20"/>
              </w:rPr>
              <w:t>2.321</w:t>
            </w:r>
          </w:p>
        </w:tc>
      </w:tr>
      <w:tr w:rsidR="00C45E32" w:rsidRPr="00C45E32" w14:paraId="61D56400" w14:textId="77777777" w:rsidTr="00B81AF3">
        <w:trPr>
          <w:gridAfter w:val="1"/>
          <w:wAfter w:w="49" w:type="dxa"/>
          <w:trHeight w:val="198"/>
          <w:jc w:val="center"/>
        </w:trPr>
        <w:tc>
          <w:tcPr>
            <w:tcW w:w="3277" w:type="dxa"/>
            <w:tcBorders>
              <w:top w:val="single" w:sz="2" w:space="0" w:color="auto"/>
              <w:left w:val="nil"/>
              <w:bottom w:val="single" w:sz="4" w:space="0" w:color="auto"/>
              <w:right w:val="nil"/>
            </w:tcBorders>
            <w:noWrap/>
            <w:vAlign w:val="center"/>
            <w:hideMark/>
          </w:tcPr>
          <w:p w14:paraId="55652876" w14:textId="77777777" w:rsidR="00C45E32" w:rsidRPr="00F0287A" w:rsidRDefault="00C45E32" w:rsidP="00C45E32">
            <w:pPr>
              <w:pStyle w:val="cuatexto"/>
              <w:rPr>
                <w:szCs w:val="20"/>
              </w:rPr>
            </w:pPr>
            <w:r w:rsidRPr="00F0287A">
              <w:rPr>
                <w:szCs w:val="20"/>
              </w:rPr>
              <w:t>Ingresos inducidos gestión</w:t>
            </w:r>
          </w:p>
        </w:tc>
        <w:tc>
          <w:tcPr>
            <w:tcW w:w="1564" w:type="dxa"/>
            <w:gridSpan w:val="2"/>
            <w:tcBorders>
              <w:top w:val="single" w:sz="2" w:space="0" w:color="auto"/>
              <w:left w:val="nil"/>
              <w:bottom w:val="single" w:sz="4" w:space="0" w:color="auto"/>
              <w:right w:val="nil"/>
            </w:tcBorders>
            <w:noWrap/>
            <w:vAlign w:val="center"/>
          </w:tcPr>
          <w:p w14:paraId="24CE11D5" w14:textId="77777777" w:rsidR="00C45E32" w:rsidRPr="00F0287A" w:rsidRDefault="00C45E32" w:rsidP="00C45E32">
            <w:pPr>
              <w:keepLines/>
              <w:tabs>
                <w:tab w:val="right" w:pos="2835"/>
                <w:tab w:val="right" w:pos="3969"/>
                <w:tab w:val="right" w:pos="5103"/>
                <w:tab w:val="right" w:pos="6237"/>
                <w:tab w:val="right" w:pos="7371"/>
              </w:tabs>
              <w:jc w:val="right"/>
              <w:rPr>
                <w:rFonts w:ascii="Arial Narrow" w:hAnsi="Arial Narrow"/>
                <w:spacing w:val="6"/>
                <w:sz w:val="20"/>
                <w:szCs w:val="20"/>
                <w:lang w:val="es-ES_tradnl" w:eastAsia="en-US"/>
              </w:rPr>
            </w:pPr>
            <w:r w:rsidRPr="00F0287A">
              <w:rPr>
                <w:rFonts w:ascii="Arial Narrow" w:hAnsi="Arial Narrow"/>
                <w:spacing w:val="6"/>
                <w:sz w:val="20"/>
                <w:szCs w:val="20"/>
                <w:lang w:val="es-ES_tradnl" w:eastAsia="en-US"/>
              </w:rPr>
              <w:t>5.822</w:t>
            </w:r>
          </w:p>
        </w:tc>
        <w:tc>
          <w:tcPr>
            <w:tcW w:w="1255" w:type="dxa"/>
            <w:gridSpan w:val="2"/>
            <w:tcBorders>
              <w:top w:val="single" w:sz="2" w:space="0" w:color="auto"/>
              <w:left w:val="nil"/>
              <w:bottom w:val="single" w:sz="4" w:space="0" w:color="auto"/>
              <w:right w:val="single" w:sz="2" w:space="0" w:color="auto"/>
            </w:tcBorders>
            <w:noWrap/>
            <w:vAlign w:val="center"/>
          </w:tcPr>
          <w:p w14:paraId="108EDF7D" w14:textId="77777777" w:rsidR="00C45E32" w:rsidRPr="00F0287A" w:rsidRDefault="00C45E32" w:rsidP="00C45E32">
            <w:pPr>
              <w:keepLines/>
              <w:tabs>
                <w:tab w:val="right" w:pos="2835"/>
                <w:tab w:val="right" w:pos="3969"/>
                <w:tab w:val="right" w:pos="5103"/>
                <w:tab w:val="right" w:pos="6237"/>
                <w:tab w:val="right" w:pos="7371"/>
              </w:tabs>
              <w:jc w:val="right"/>
              <w:rPr>
                <w:rFonts w:ascii="Arial Narrow" w:hAnsi="Arial Narrow"/>
                <w:spacing w:val="6"/>
                <w:sz w:val="20"/>
                <w:szCs w:val="20"/>
                <w:lang w:val="es-ES_tradnl" w:eastAsia="en-US"/>
              </w:rPr>
            </w:pPr>
            <w:r w:rsidRPr="00F0287A">
              <w:rPr>
                <w:rFonts w:ascii="Arial Narrow" w:hAnsi="Arial Narrow"/>
                <w:spacing w:val="6"/>
                <w:sz w:val="20"/>
                <w:szCs w:val="20"/>
                <w:lang w:val="es-ES_tradnl" w:eastAsia="en-US"/>
              </w:rPr>
              <w:t>28.387</w:t>
            </w:r>
          </w:p>
        </w:tc>
        <w:tc>
          <w:tcPr>
            <w:tcW w:w="1789" w:type="dxa"/>
            <w:gridSpan w:val="2"/>
            <w:tcBorders>
              <w:top w:val="single" w:sz="2" w:space="0" w:color="auto"/>
              <w:left w:val="single" w:sz="2" w:space="0" w:color="auto"/>
              <w:bottom w:val="single" w:sz="4" w:space="0" w:color="auto"/>
              <w:right w:val="nil"/>
            </w:tcBorders>
            <w:noWrap/>
            <w:vAlign w:val="center"/>
          </w:tcPr>
          <w:p w14:paraId="54208059" w14:textId="77777777" w:rsidR="00C45E32" w:rsidRPr="00F0287A" w:rsidRDefault="00C45E32" w:rsidP="00C45E32">
            <w:pPr>
              <w:pStyle w:val="cuatexto"/>
              <w:jc w:val="right"/>
              <w:rPr>
                <w:szCs w:val="20"/>
              </w:rPr>
            </w:pPr>
            <w:r w:rsidRPr="00F0287A">
              <w:rPr>
                <w:szCs w:val="20"/>
              </w:rPr>
              <w:t>10.361</w:t>
            </w:r>
          </w:p>
        </w:tc>
        <w:tc>
          <w:tcPr>
            <w:tcW w:w="904" w:type="dxa"/>
            <w:tcBorders>
              <w:top w:val="single" w:sz="2" w:space="0" w:color="auto"/>
              <w:left w:val="nil"/>
              <w:bottom w:val="single" w:sz="4" w:space="0" w:color="auto"/>
              <w:right w:val="nil"/>
            </w:tcBorders>
            <w:noWrap/>
            <w:vAlign w:val="center"/>
          </w:tcPr>
          <w:p w14:paraId="7DE8AA2C" w14:textId="77777777" w:rsidR="00C45E32" w:rsidRPr="00F0287A" w:rsidRDefault="00C45E32" w:rsidP="00C45E32">
            <w:pPr>
              <w:pStyle w:val="cuatexto"/>
              <w:jc w:val="right"/>
              <w:rPr>
                <w:szCs w:val="20"/>
              </w:rPr>
            </w:pPr>
            <w:r w:rsidRPr="00F0287A">
              <w:rPr>
                <w:szCs w:val="20"/>
              </w:rPr>
              <w:t>21.378</w:t>
            </w:r>
          </w:p>
        </w:tc>
      </w:tr>
      <w:tr w:rsidR="009B37A0" w:rsidRPr="00C45E32" w14:paraId="3A4AB0FB" w14:textId="77777777" w:rsidTr="00B81AF3">
        <w:trPr>
          <w:gridAfter w:val="1"/>
          <w:wAfter w:w="49" w:type="dxa"/>
          <w:trHeight w:val="198"/>
          <w:jc w:val="center"/>
        </w:trPr>
        <w:tc>
          <w:tcPr>
            <w:tcW w:w="3277" w:type="dxa"/>
            <w:tcBorders>
              <w:top w:val="single" w:sz="4" w:space="0" w:color="auto"/>
              <w:left w:val="nil"/>
              <w:bottom w:val="single" w:sz="4" w:space="0" w:color="auto"/>
              <w:right w:val="nil"/>
            </w:tcBorders>
            <w:noWrap/>
            <w:vAlign w:val="center"/>
            <w:hideMark/>
          </w:tcPr>
          <w:p w14:paraId="526A4451" w14:textId="77777777" w:rsidR="009B37A0" w:rsidRPr="00F0287A" w:rsidRDefault="009B37A0" w:rsidP="009B37A0">
            <w:pPr>
              <w:pStyle w:val="cuatexto"/>
              <w:rPr>
                <w:rFonts w:cs="Arial"/>
                <w:b/>
                <w:szCs w:val="20"/>
              </w:rPr>
            </w:pPr>
            <w:r w:rsidRPr="00F0287A">
              <w:rPr>
                <w:rFonts w:cs="Arial"/>
                <w:b/>
                <w:szCs w:val="20"/>
              </w:rPr>
              <w:t>Total Gestión</w:t>
            </w:r>
          </w:p>
        </w:tc>
        <w:tc>
          <w:tcPr>
            <w:tcW w:w="1564" w:type="dxa"/>
            <w:gridSpan w:val="2"/>
            <w:tcBorders>
              <w:top w:val="single" w:sz="4" w:space="0" w:color="auto"/>
              <w:left w:val="nil"/>
              <w:bottom w:val="single" w:sz="4" w:space="0" w:color="auto"/>
              <w:right w:val="nil"/>
            </w:tcBorders>
            <w:noWrap/>
            <w:vAlign w:val="center"/>
          </w:tcPr>
          <w:p w14:paraId="51CBBBFB" w14:textId="77777777" w:rsidR="009B37A0" w:rsidRPr="00F0287A" w:rsidRDefault="00C45E32" w:rsidP="009B37A0">
            <w:pPr>
              <w:pStyle w:val="cuatexto"/>
              <w:jc w:val="right"/>
              <w:rPr>
                <w:rFonts w:cs="Arial"/>
                <w:b/>
                <w:szCs w:val="20"/>
              </w:rPr>
            </w:pPr>
            <w:r w:rsidRPr="00F0287A">
              <w:rPr>
                <w:rFonts w:cs="Arial"/>
                <w:b/>
                <w:szCs w:val="20"/>
                <w:lang w:val="es-ES_tradnl" w:eastAsia="en-US"/>
              </w:rPr>
              <w:t>45.624</w:t>
            </w:r>
          </w:p>
        </w:tc>
        <w:tc>
          <w:tcPr>
            <w:tcW w:w="1255" w:type="dxa"/>
            <w:gridSpan w:val="2"/>
            <w:tcBorders>
              <w:top w:val="single" w:sz="4" w:space="0" w:color="auto"/>
              <w:left w:val="nil"/>
              <w:bottom w:val="single" w:sz="4" w:space="0" w:color="auto"/>
              <w:right w:val="single" w:sz="2" w:space="0" w:color="auto"/>
            </w:tcBorders>
            <w:noWrap/>
            <w:vAlign w:val="center"/>
          </w:tcPr>
          <w:p w14:paraId="0FF75CE2" w14:textId="77777777" w:rsidR="009B37A0" w:rsidRPr="00F0287A" w:rsidRDefault="00C45E32" w:rsidP="009B37A0">
            <w:pPr>
              <w:pStyle w:val="cuatexto"/>
              <w:jc w:val="right"/>
              <w:rPr>
                <w:rFonts w:cs="Arial"/>
                <w:b/>
                <w:szCs w:val="20"/>
              </w:rPr>
            </w:pPr>
            <w:r w:rsidRPr="00F0287A">
              <w:rPr>
                <w:rFonts w:cs="Arial"/>
                <w:b/>
                <w:szCs w:val="20"/>
                <w:lang w:val="es-ES_tradnl" w:eastAsia="en-US"/>
              </w:rPr>
              <w:t>69.864</w:t>
            </w:r>
          </w:p>
        </w:tc>
        <w:tc>
          <w:tcPr>
            <w:tcW w:w="1789" w:type="dxa"/>
            <w:gridSpan w:val="2"/>
            <w:tcBorders>
              <w:top w:val="single" w:sz="4" w:space="0" w:color="auto"/>
              <w:left w:val="single" w:sz="2" w:space="0" w:color="auto"/>
              <w:bottom w:val="single" w:sz="4" w:space="0" w:color="auto"/>
              <w:right w:val="nil"/>
            </w:tcBorders>
            <w:noWrap/>
            <w:vAlign w:val="center"/>
          </w:tcPr>
          <w:p w14:paraId="1FB315A2" w14:textId="77777777" w:rsidR="009B37A0" w:rsidRPr="00F0287A" w:rsidRDefault="009B37A0" w:rsidP="009B37A0">
            <w:pPr>
              <w:pStyle w:val="cuatexto"/>
              <w:jc w:val="right"/>
              <w:rPr>
                <w:rFonts w:cs="Arial"/>
                <w:b/>
                <w:szCs w:val="20"/>
              </w:rPr>
            </w:pPr>
            <w:r w:rsidRPr="00F0287A">
              <w:rPr>
                <w:rFonts w:cs="Arial"/>
                <w:b/>
                <w:szCs w:val="20"/>
              </w:rPr>
              <w:t>39.648</w:t>
            </w:r>
          </w:p>
        </w:tc>
        <w:tc>
          <w:tcPr>
            <w:tcW w:w="904" w:type="dxa"/>
            <w:tcBorders>
              <w:top w:val="single" w:sz="4" w:space="0" w:color="auto"/>
              <w:left w:val="nil"/>
              <w:bottom w:val="single" w:sz="4" w:space="0" w:color="auto"/>
              <w:right w:val="nil"/>
            </w:tcBorders>
            <w:noWrap/>
            <w:vAlign w:val="center"/>
          </w:tcPr>
          <w:p w14:paraId="34519EED" w14:textId="77777777" w:rsidR="009B37A0" w:rsidRPr="00F0287A" w:rsidRDefault="001C5656" w:rsidP="009B37A0">
            <w:pPr>
              <w:pStyle w:val="cuatexto"/>
              <w:jc w:val="right"/>
              <w:rPr>
                <w:rFonts w:cs="Arial"/>
                <w:b/>
                <w:szCs w:val="20"/>
              </w:rPr>
            </w:pPr>
            <w:r w:rsidRPr="00F0287A">
              <w:rPr>
                <w:rFonts w:cs="Arial"/>
                <w:b/>
                <w:szCs w:val="20"/>
              </w:rPr>
              <w:t>157.898</w:t>
            </w:r>
          </w:p>
        </w:tc>
      </w:tr>
      <w:tr w:rsidR="00C45E32" w:rsidRPr="00C45E32" w14:paraId="0481439C" w14:textId="77777777" w:rsidTr="00B81AF3">
        <w:trPr>
          <w:gridAfter w:val="1"/>
          <w:wAfter w:w="49" w:type="dxa"/>
          <w:trHeight w:val="255"/>
          <w:jc w:val="center"/>
        </w:trPr>
        <w:tc>
          <w:tcPr>
            <w:tcW w:w="3277" w:type="dxa"/>
            <w:tcBorders>
              <w:top w:val="single" w:sz="4" w:space="0" w:color="auto"/>
              <w:left w:val="nil"/>
              <w:bottom w:val="single" w:sz="4" w:space="0" w:color="auto"/>
              <w:right w:val="nil"/>
            </w:tcBorders>
            <w:shd w:val="clear" w:color="auto" w:fill="95B3D7" w:themeFill="accent1" w:themeFillTint="99"/>
            <w:vAlign w:val="center"/>
            <w:hideMark/>
          </w:tcPr>
          <w:p w14:paraId="5E746094" w14:textId="77777777" w:rsidR="00C45E32" w:rsidRPr="00C45E32" w:rsidRDefault="00C45E32" w:rsidP="005A4EE7">
            <w:pPr>
              <w:keepLines/>
              <w:tabs>
                <w:tab w:val="right" w:pos="2835"/>
                <w:tab w:val="right" w:pos="3969"/>
                <w:tab w:val="right" w:pos="5103"/>
                <w:tab w:val="right" w:pos="6237"/>
                <w:tab w:val="right" w:pos="7371"/>
              </w:tabs>
              <w:rPr>
                <w:rFonts w:ascii="Arial" w:hAnsi="Arial" w:cs="Arial"/>
                <w:spacing w:val="6"/>
                <w:sz w:val="18"/>
                <w:szCs w:val="18"/>
                <w:lang w:val="es-ES_tradnl" w:eastAsia="en-US"/>
              </w:rPr>
            </w:pPr>
            <w:r w:rsidRPr="00C45E32">
              <w:rPr>
                <w:rFonts w:ascii="Arial" w:hAnsi="Arial" w:cs="Arial"/>
                <w:spacing w:val="6"/>
                <w:sz w:val="18"/>
                <w:szCs w:val="18"/>
                <w:lang w:val="es-ES_tradnl" w:eastAsia="en-US"/>
              </w:rPr>
              <w:t>Otras actuaciones tributarias</w:t>
            </w:r>
          </w:p>
        </w:tc>
        <w:tc>
          <w:tcPr>
            <w:tcW w:w="1564" w:type="dxa"/>
            <w:gridSpan w:val="2"/>
            <w:tcBorders>
              <w:top w:val="single" w:sz="4" w:space="0" w:color="auto"/>
              <w:left w:val="nil"/>
              <w:bottom w:val="single" w:sz="4" w:space="0" w:color="auto"/>
              <w:right w:val="nil"/>
            </w:tcBorders>
            <w:shd w:val="clear" w:color="auto" w:fill="95B3D7" w:themeFill="accent1" w:themeFillTint="99"/>
            <w:vAlign w:val="center"/>
            <w:hideMark/>
          </w:tcPr>
          <w:p w14:paraId="31A9EDFA" w14:textId="77777777" w:rsidR="00C45E32" w:rsidRPr="00C45E32" w:rsidRDefault="00C45E32" w:rsidP="005A4EE7">
            <w:pPr>
              <w:keepLines/>
              <w:tabs>
                <w:tab w:val="right" w:pos="2835"/>
                <w:tab w:val="right" w:pos="3969"/>
                <w:tab w:val="right" w:pos="5103"/>
                <w:tab w:val="right" w:pos="6237"/>
                <w:tab w:val="right" w:pos="7371"/>
              </w:tabs>
              <w:rPr>
                <w:rFonts w:ascii="Arial" w:hAnsi="Arial" w:cs="Arial"/>
                <w:spacing w:val="6"/>
                <w:sz w:val="18"/>
                <w:szCs w:val="18"/>
                <w:lang w:val="es-ES_tradnl" w:eastAsia="en-US"/>
              </w:rPr>
            </w:pPr>
            <w:r w:rsidRPr="00C45E32">
              <w:rPr>
                <w:rFonts w:ascii="Arial" w:hAnsi="Arial" w:cs="Arial"/>
                <w:spacing w:val="6"/>
                <w:sz w:val="18"/>
                <w:szCs w:val="18"/>
                <w:lang w:val="es-ES_tradnl" w:eastAsia="en-US"/>
              </w:rPr>
              <w:t>Nº actuaciones</w:t>
            </w:r>
          </w:p>
        </w:tc>
        <w:tc>
          <w:tcPr>
            <w:tcW w:w="1255" w:type="dxa"/>
            <w:gridSpan w:val="2"/>
            <w:tcBorders>
              <w:top w:val="single" w:sz="4" w:space="0" w:color="auto"/>
              <w:left w:val="nil"/>
              <w:bottom w:val="single" w:sz="4" w:space="0" w:color="auto"/>
              <w:right w:val="single" w:sz="2" w:space="0" w:color="auto"/>
            </w:tcBorders>
            <w:shd w:val="clear" w:color="auto" w:fill="95B3D7" w:themeFill="accent1" w:themeFillTint="99"/>
            <w:vAlign w:val="center"/>
            <w:hideMark/>
          </w:tcPr>
          <w:p w14:paraId="5F1B4BFC" w14:textId="77777777" w:rsidR="00C45E32" w:rsidRPr="00C45E32" w:rsidRDefault="00C45E32" w:rsidP="005A4EE7">
            <w:pPr>
              <w:keepLines/>
              <w:tabs>
                <w:tab w:val="right" w:pos="2835"/>
                <w:tab w:val="right" w:pos="3969"/>
                <w:tab w:val="right" w:pos="5103"/>
                <w:tab w:val="right" w:pos="6237"/>
                <w:tab w:val="right" w:pos="7371"/>
              </w:tabs>
              <w:jc w:val="right"/>
              <w:rPr>
                <w:rFonts w:ascii="Arial" w:hAnsi="Arial" w:cs="Arial"/>
                <w:spacing w:val="6"/>
                <w:sz w:val="18"/>
                <w:szCs w:val="18"/>
                <w:lang w:val="es-ES_tradnl" w:eastAsia="en-US"/>
              </w:rPr>
            </w:pPr>
            <w:r w:rsidRPr="00C45E32">
              <w:rPr>
                <w:rFonts w:ascii="Arial" w:hAnsi="Arial" w:cs="Arial"/>
                <w:spacing w:val="6"/>
                <w:sz w:val="18"/>
                <w:szCs w:val="18"/>
                <w:lang w:val="es-ES_tradnl" w:eastAsia="en-US"/>
              </w:rPr>
              <w:t>Importe</w:t>
            </w:r>
          </w:p>
        </w:tc>
        <w:tc>
          <w:tcPr>
            <w:tcW w:w="1559" w:type="dxa"/>
            <w:tcBorders>
              <w:top w:val="single" w:sz="4" w:space="0" w:color="auto"/>
              <w:left w:val="single" w:sz="2" w:space="0" w:color="auto"/>
              <w:bottom w:val="single" w:sz="4" w:space="0" w:color="auto"/>
              <w:right w:val="nil"/>
            </w:tcBorders>
            <w:shd w:val="clear" w:color="auto" w:fill="95B3D7" w:themeFill="accent1" w:themeFillTint="99"/>
            <w:vAlign w:val="center"/>
            <w:hideMark/>
          </w:tcPr>
          <w:p w14:paraId="353EFD48" w14:textId="77777777" w:rsidR="00C45E32" w:rsidRPr="00C45E32" w:rsidRDefault="00C45E32" w:rsidP="005A4EE7">
            <w:pPr>
              <w:keepLines/>
              <w:tabs>
                <w:tab w:val="right" w:pos="2835"/>
                <w:tab w:val="right" w:pos="3969"/>
                <w:tab w:val="right" w:pos="5103"/>
                <w:tab w:val="right" w:pos="6237"/>
                <w:tab w:val="right" w:pos="7371"/>
              </w:tabs>
              <w:jc w:val="right"/>
              <w:rPr>
                <w:rFonts w:ascii="Arial" w:hAnsi="Arial" w:cs="Arial"/>
                <w:spacing w:val="6"/>
                <w:sz w:val="18"/>
                <w:szCs w:val="18"/>
                <w:lang w:val="es-ES_tradnl" w:eastAsia="en-US"/>
              </w:rPr>
            </w:pPr>
            <w:r w:rsidRPr="00C45E32">
              <w:rPr>
                <w:rFonts w:ascii="Arial" w:hAnsi="Arial" w:cs="Arial"/>
                <w:spacing w:val="6"/>
                <w:sz w:val="18"/>
                <w:szCs w:val="18"/>
                <w:lang w:val="es-ES_tradnl" w:eastAsia="en-US"/>
              </w:rPr>
              <w:t>Nº actuaciones</w:t>
            </w:r>
          </w:p>
        </w:tc>
        <w:tc>
          <w:tcPr>
            <w:tcW w:w="1134" w:type="dxa"/>
            <w:gridSpan w:val="2"/>
            <w:tcBorders>
              <w:top w:val="single" w:sz="4" w:space="0" w:color="auto"/>
              <w:left w:val="nil"/>
              <w:bottom w:val="single" w:sz="4" w:space="0" w:color="auto"/>
              <w:right w:val="nil"/>
            </w:tcBorders>
            <w:shd w:val="clear" w:color="auto" w:fill="95B3D7" w:themeFill="accent1" w:themeFillTint="99"/>
            <w:vAlign w:val="center"/>
            <w:hideMark/>
          </w:tcPr>
          <w:p w14:paraId="4C877ADD" w14:textId="77777777" w:rsidR="00C45E32" w:rsidRPr="00C45E32" w:rsidRDefault="00C45E32" w:rsidP="005A4EE7">
            <w:pPr>
              <w:keepLines/>
              <w:tabs>
                <w:tab w:val="right" w:pos="2835"/>
                <w:tab w:val="right" w:pos="3969"/>
                <w:tab w:val="right" w:pos="5103"/>
                <w:tab w:val="right" w:pos="6237"/>
                <w:tab w:val="right" w:pos="7371"/>
              </w:tabs>
              <w:jc w:val="right"/>
              <w:rPr>
                <w:rFonts w:ascii="Arial" w:hAnsi="Arial" w:cs="Arial"/>
                <w:spacing w:val="6"/>
                <w:sz w:val="18"/>
                <w:szCs w:val="18"/>
                <w:lang w:val="es-ES_tradnl" w:eastAsia="en-US"/>
              </w:rPr>
            </w:pPr>
            <w:r w:rsidRPr="00C45E32">
              <w:rPr>
                <w:rFonts w:ascii="Arial" w:hAnsi="Arial" w:cs="Arial"/>
                <w:spacing w:val="6"/>
                <w:sz w:val="18"/>
                <w:szCs w:val="18"/>
                <w:lang w:val="es-ES_tradnl" w:eastAsia="en-US"/>
              </w:rPr>
              <w:t>Importe</w:t>
            </w:r>
          </w:p>
        </w:tc>
      </w:tr>
      <w:tr w:rsidR="00C45E32" w:rsidRPr="00A963CA" w14:paraId="5DD89856" w14:textId="77777777" w:rsidTr="00B81AF3">
        <w:trPr>
          <w:gridAfter w:val="1"/>
          <w:wAfter w:w="49" w:type="dxa"/>
          <w:trHeight w:val="255"/>
          <w:jc w:val="center"/>
        </w:trPr>
        <w:tc>
          <w:tcPr>
            <w:tcW w:w="3277" w:type="dxa"/>
            <w:tcBorders>
              <w:top w:val="single" w:sz="4" w:space="0" w:color="auto"/>
              <w:left w:val="nil"/>
              <w:bottom w:val="single" w:sz="4" w:space="0" w:color="auto"/>
              <w:right w:val="nil"/>
            </w:tcBorders>
            <w:noWrap/>
            <w:vAlign w:val="center"/>
          </w:tcPr>
          <w:p w14:paraId="6E0B6A8C" w14:textId="77777777" w:rsidR="00C45E32" w:rsidRPr="00A963CA" w:rsidRDefault="00C45E32" w:rsidP="00C45E32">
            <w:pPr>
              <w:keepLines/>
              <w:tabs>
                <w:tab w:val="right" w:pos="2835"/>
                <w:tab w:val="right" w:pos="3969"/>
                <w:tab w:val="right" w:pos="5103"/>
                <w:tab w:val="right" w:pos="6237"/>
                <w:tab w:val="right" w:pos="7371"/>
              </w:tabs>
              <w:rPr>
                <w:rFonts w:ascii="Arial" w:hAnsi="Arial" w:cs="Arial"/>
                <w:b/>
                <w:spacing w:val="6"/>
                <w:sz w:val="18"/>
                <w:szCs w:val="18"/>
                <w:lang w:val="es-ES_tradnl" w:eastAsia="en-US"/>
              </w:rPr>
            </w:pPr>
            <w:r w:rsidRPr="00A963CA">
              <w:rPr>
                <w:rFonts w:ascii="Arial" w:hAnsi="Arial" w:cs="Arial"/>
                <w:b/>
                <w:spacing w:val="6"/>
                <w:sz w:val="18"/>
                <w:szCs w:val="18"/>
                <w:lang w:val="es-ES_tradnl" w:eastAsia="en-US"/>
              </w:rPr>
              <w:t>Total</w:t>
            </w:r>
          </w:p>
        </w:tc>
        <w:tc>
          <w:tcPr>
            <w:tcW w:w="1564" w:type="dxa"/>
            <w:gridSpan w:val="2"/>
            <w:tcBorders>
              <w:top w:val="single" w:sz="4" w:space="0" w:color="auto"/>
              <w:left w:val="nil"/>
              <w:bottom w:val="single" w:sz="4" w:space="0" w:color="auto"/>
              <w:right w:val="nil"/>
            </w:tcBorders>
            <w:noWrap/>
            <w:vAlign w:val="center"/>
          </w:tcPr>
          <w:p w14:paraId="47036383" w14:textId="77777777" w:rsidR="00C45E32" w:rsidRPr="00A963CA" w:rsidRDefault="00C45E32" w:rsidP="00C45E32">
            <w:pPr>
              <w:keepLines/>
              <w:tabs>
                <w:tab w:val="right" w:pos="2835"/>
                <w:tab w:val="right" w:pos="3969"/>
                <w:tab w:val="right" w:pos="5103"/>
                <w:tab w:val="right" w:pos="6237"/>
                <w:tab w:val="right" w:pos="7371"/>
              </w:tabs>
              <w:jc w:val="right"/>
              <w:rPr>
                <w:rFonts w:ascii="Arial" w:hAnsi="Arial" w:cs="Arial"/>
                <w:b/>
                <w:spacing w:val="6"/>
                <w:sz w:val="18"/>
                <w:szCs w:val="18"/>
                <w:lang w:val="es-ES_tradnl" w:eastAsia="en-US"/>
              </w:rPr>
            </w:pPr>
            <w:r w:rsidRPr="00A963CA">
              <w:rPr>
                <w:rFonts w:ascii="Arial" w:hAnsi="Arial" w:cs="Arial"/>
                <w:b/>
                <w:spacing w:val="6"/>
                <w:sz w:val="18"/>
                <w:szCs w:val="18"/>
                <w:lang w:val="es-ES_tradnl" w:eastAsia="en-US"/>
              </w:rPr>
              <w:t>60</w:t>
            </w:r>
          </w:p>
        </w:tc>
        <w:tc>
          <w:tcPr>
            <w:tcW w:w="1255" w:type="dxa"/>
            <w:gridSpan w:val="2"/>
            <w:tcBorders>
              <w:top w:val="single" w:sz="4" w:space="0" w:color="auto"/>
              <w:left w:val="nil"/>
              <w:bottom w:val="single" w:sz="4" w:space="0" w:color="auto"/>
              <w:right w:val="single" w:sz="2" w:space="0" w:color="auto"/>
            </w:tcBorders>
            <w:noWrap/>
            <w:vAlign w:val="center"/>
          </w:tcPr>
          <w:p w14:paraId="680D6CBB" w14:textId="77777777" w:rsidR="00C45E32" w:rsidRPr="00A963CA" w:rsidRDefault="00C45E32" w:rsidP="00C45E32">
            <w:pPr>
              <w:keepLines/>
              <w:tabs>
                <w:tab w:val="right" w:pos="2835"/>
                <w:tab w:val="right" w:pos="3969"/>
                <w:tab w:val="right" w:pos="5103"/>
                <w:tab w:val="right" w:pos="6237"/>
                <w:tab w:val="right" w:pos="7371"/>
              </w:tabs>
              <w:jc w:val="right"/>
              <w:rPr>
                <w:rFonts w:ascii="Arial" w:hAnsi="Arial" w:cs="Arial"/>
                <w:b/>
                <w:spacing w:val="6"/>
                <w:sz w:val="18"/>
                <w:szCs w:val="18"/>
                <w:lang w:val="es-ES_tradnl" w:eastAsia="en-US"/>
              </w:rPr>
            </w:pPr>
            <w:r w:rsidRPr="00A963CA">
              <w:rPr>
                <w:rFonts w:ascii="Arial" w:hAnsi="Arial" w:cs="Arial"/>
                <w:b/>
                <w:spacing w:val="6"/>
                <w:sz w:val="18"/>
                <w:szCs w:val="18"/>
                <w:lang w:val="es-ES_tradnl" w:eastAsia="en-US"/>
              </w:rPr>
              <w:t>74.394</w:t>
            </w:r>
          </w:p>
        </w:tc>
        <w:tc>
          <w:tcPr>
            <w:tcW w:w="1559" w:type="dxa"/>
            <w:tcBorders>
              <w:top w:val="single" w:sz="4" w:space="0" w:color="auto"/>
              <w:left w:val="single" w:sz="2" w:space="0" w:color="auto"/>
              <w:bottom w:val="single" w:sz="4" w:space="0" w:color="auto"/>
              <w:right w:val="nil"/>
            </w:tcBorders>
            <w:noWrap/>
            <w:vAlign w:val="center"/>
          </w:tcPr>
          <w:p w14:paraId="66114176" w14:textId="77777777" w:rsidR="00C45E32" w:rsidRPr="00A963CA" w:rsidRDefault="00C45E32" w:rsidP="00C45E32">
            <w:pPr>
              <w:keepLines/>
              <w:tabs>
                <w:tab w:val="right" w:pos="2835"/>
                <w:tab w:val="right" w:pos="3969"/>
                <w:tab w:val="right" w:pos="5103"/>
                <w:tab w:val="right" w:pos="6237"/>
                <w:tab w:val="right" w:pos="7371"/>
              </w:tabs>
              <w:jc w:val="right"/>
              <w:rPr>
                <w:rFonts w:ascii="Arial" w:hAnsi="Arial" w:cs="Arial"/>
                <w:b/>
                <w:spacing w:val="6"/>
                <w:sz w:val="18"/>
                <w:szCs w:val="18"/>
                <w:lang w:val="es-ES_tradnl" w:eastAsia="en-US"/>
              </w:rPr>
            </w:pPr>
            <w:r w:rsidRPr="00A963CA">
              <w:rPr>
                <w:rFonts w:ascii="Arial" w:hAnsi="Arial" w:cs="Arial"/>
                <w:b/>
                <w:spacing w:val="6"/>
                <w:sz w:val="18"/>
                <w:szCs w:val="18"/>
                <w:lang w:val="es-ES_tradnl" w:eastAsia="en-US"/>
              </w:rPr>
              <w:t>32</w:t>
            </w:r>
          </w:p>
        </w:tc>
        <w:tc>
          <w:tcPr>
            <w:tcW w:w="1134" w:type="dxa"/>
            <w:gridSpan w:val="2"/>
            <w:tcBorders>
              <w:top w:val="single" w:sz="4" w:space="0" w:color="auto"/>
              <w:left w:val="nil"/>
              <w:bottom w:val="single" w:sz="4" w:space="0" w:color="auto"/>
              <w:right w:val="nil"/>
            </w:tcBorders>
            <w:noWrap/>
            <w:vAlign w:val="center"/>
          </w:tcPr>
          <w:p w14:paraId="3F092B8D" w14:textId="77777777" w:rsidR="00C45E32" w:rsidRPr="00A963CA" w:rsidRDefault="00C45E32" w:rsidP="00C45E32">
            <w:pPr>
              <w:keepLines/>
              <w:tabs>
                <w:tab w:val="right" w:pos="2835"/>
                <w:tab w:val="right" w:pos="3969"/>
                <w:tab w:val="right" w:pos="5103"/>
                <w:tab w:val="right" w:pos="6237"/>
                <w:tab w:val="right" w:pos="7371"/>
              </w:tabs>
              <w:jc w:val="right"/>
              <w:rPr>
                <w:rFonts w:ascii="Arial" w:hAnsi="Arial" w:cs="Arial"/>
                <w:b/>
                <w:spacing w:val="6"/>
                <w:sz w:val="18"/>
                <w:szCs w:val="18"/>
                <w:lang w:val="es-ES_tradnl" w:eastAsia="en-US"/>
              </w:rPr>
            </w:pPr>
            <w:r w:rsidRPr="00A963CA">
              <w:rPr>
                <w:rFonts w:ascii="Arial" w:hAnsi="Arial" w:cs="Arial"/>
                <w:b/>
                <w:spacing w:val="6"/>
                <w:sz w:val="18"/>
                <w:szCs w:val="18"/>
                <w:lang w:val="es-ES_tradnl" w:eastAsia="en-US"/>
              </w:rPr>
              <w:t>23.175</w:t>
            </w:r>
          </w:p>
        </w:tc>
      </w:tr>
    </w:tbl>
    <w:p w14:paraId="59590C75" w14:textId="77777777" w:rsidR="00AC2914" w:rsidRPr="000511C1" w:rsidRDefault="00AC2914" w:rsidP="000511C1">
      <w:pPr>
        <w:pStyle w:val="texto"/>
        <w:numPr>
          <w:ilvl w:val="0"/>
          <w:numId w:val="15"/>
        </w:numPr>
        <w:spacing w:before="120"/>
        <w:ind w:left="284" w:hanging="284"/>
        <w:jc w:val="both"/>
        <w:rPr>
          <w:rFonts w:ascii="Arial" w:hAnsi="Arial" w:cs="Arial"/>
          <w:sz w:val="16"/>
          <w:szCs w:val="16"/>
        </w:rPr>
      </w:pPr>
      <w:r w:rsidRPr="000511C1">
        <w:rPr>
          <w:rFonts w:ascii="Arial" w:hAnsi="Arial" w:cs="Arial"/>
          <w:sz w:val="16"/>
          <w:szCs w:val="16"/>
        </w:rPr>
        <w:t>Importes derivados del delito fiscal</w:t>
      </w:r>
    </w:p>
    <w:p w14:paraId="483FCFF3" w14:textId="77777777" w:rsidR="00614DC4" w:rsidRPr="001C5656" w:rsidRDefault="00614DC4" w:rsidP="009A38AE">
      <w:pPr>
        <w:pStyle w:val="texto"/>
        <w:spacing w:before="240"/>
        <w:jc w:val="both"/>
      </w:pPr>
      <w:r w:rsidRPr="001C5656">
        <w:t>En 202</w:t>
      </w:r>
      <w:r w:rsidR="001C5656" w:rsidRPr="001C5656">
        <w:t>3</w:t>
      </w:r>
      <w:r w:rsidRPr="001C5656">
        <w:t xml:space="preserve">, las actuaciones en el área de inspección han </w:t>
      </w:r>
      <w:r w:rsidR="00F142AB">
        <w:t xml:space="preserve">aumentado </w:t>
      </w:r>
      <w:r w:rsidRPr="001C5656">
        <w:t xml:space="preserve">un </w:t>
      </w:r>
      <w:r w:rsidR="00F142AB">
        <w:t>137 p</w:t>
      </w:r>
      <w:r w:rsidR="001C5656" w:rsidRPr="001C5656">
        <w:t xml:space="preserve">or ciento </w:t>
      </w:r>
      <w:r w:rsidRPr="001C5656">
        <w:t>por ciento respecto a 202</w:t>
      </w:r>
      <w:r w:rsidR="001C5656" w:rsidRPr="001C5656">
        <w:t>2 (</w:t>
      </w:r>
      <w:r w:rsidR="00F142AB">
        <w:t>45,31 millones</w:t>
      </w:r>
      <w:r w:rsidRPr="001C5656">
        <w:t>) debido principalmente a</w:t>
      </w:r>
      <w:r w:rsidR="00F142AB">
        <w:t xml:space="preserve">l incremento por “Responsabilidad civil delito”. </w:t>
      </w:r>
      <w:r w:rsidRPr="001C5656">
        <w:t xml:space="preserve">Al respecto indicamos que cada año existe un plan de actuación distinto y los devengos obtenidos no tienen que seguir necesariamente una tendencia. </w:t>
      </w:r>
    </w:p>
    <w:p w14:paraId="53198940" w14:textId="77777777" w:rsidR="00F142AB" w:rsidRPr="006C2712" w:rsidRDefault="00614DC4" w:rsidP="009A38AE">
      <w:pPr>
        <w:pStyle w:val="texto"/>
        <w:spacing w:before="240"/>
        <w:jc w:val="both"/>
      </w:pPr>
      <w:r w:rsidRPr="001C5656">
        <w:t>E</w:t>
      </w:r>
      <w:r w:rsidR="00F142AB">
        <w:t xml:space="preserve">s especialmente significativo el incremento en el área de gestión tributaria, de 88,03 millones (un 126 por ciento), motivado principalmente por el aumento en 102,26 millones (un 1.251 por ciento) en el IVA. </w:t>
      </w:r>
      <w:r w:rsidR="006C2712" w:rsidRPr="006C2712">
        <w:t xml:space="preserve">Este incremento deriva fundamentalmente de un expediente de regularización de la cifra relativa de tributación en la HFN. La regularización </w:t>
      </w:r>
      <w:r w:rsidR="006C2712">
        <w:t xml:space="preserve">ha </w:t>
      </w:r>
      <w:r w:rsidR="006C2712" w:rsidRPr="006C2712">
        <w:t>implica</w:t>
      </w:r>
      <w:r w:rsidR="006C2712">
        <w:t>do</w:t>
      </w:r>
      <w:r w:rsidR="006C2712" w:rsidRPr="006C2712">
        <w:t xml:space="preserve"> la reclamación de los fondos indebidamente ingresado</w:t>
      </w:r>
      <w:r w:rsidR="006C2712">
        <w:t>s</w:t>
      </w:r>
      <w:r w:rsidR="006C2712" w:rsidRPr="006C2712">
        <w:t xml:space="preserve"> en otra</w:t>
      </w:r>
      <w:r w:rsidR="006C2712">
        <w:t>s administraciones tributarias</w:t>
      </w:r>
    </w:p>
    <w:p w14:paraId="15B32C47" w14:textId="77777777" w:rsidR="00614DC4" w:rsidRPr="00576D79" w:rsidRDefault="00614DC4" w:rsidP="009A38AE">
      <w:pPr>
        <w:pStyle w:val="texto"/>
        <w:spacing w:before="120" w:after="120"/>
        <w:jc w:val="both"/>
        <w:rPr>
          <w:rFonts w:cs="Arial"/>
        </w:rPr>
      </w:pPr>
      <w:r w:rsidRPr="00576D79">
        <w:t xml:space="preserve">El devengo de ingresos mostrado no implica que estas cantidades se hayan cobrado. </w:t>
      </w:r>
      <w:r w:rsidRPr="00576D79">
        <w:rPr>
          <w:rFonts w:cs="Arial"/>
        </w:rPr>
        <w:t xml:space="preserve">Como ya hemos reiterado, debido a los problemas existentes en el propio diseño del CAT y entre las aplicaciones informáticas que participan en la </w:t>
      </w:r>
      <w:r w:rsidRPr="00576D79">
        <w:rPr>
          <w:rFonts w:cs="Arial"/>
        </w:rPr>
        <w:lastRenderedPageBreak/>
        <w:t>gestión tributaria y la contabilidad, no podemos identificar qué importe de la cantidad detectada en la lucha contra el fraude fiscal ha sido recaudada efectivamente.</w:t>
      </w:r>
      <w:r w:rsidR="00B70DFC" w:rsidRPr="00576D79">
        <w:rPr>
          <w:rFonts w:cs="Arial"/>
        </w:rPr>
        <w:t xml:space="preserve">  </w:t>
      </w:r>
    </w:p>
    <w:p w14:paraId="15B652F9" w14:textId="77777777" w:rsidR="00614DC4" w:rsidRDefault="00614DC4" w:rsidP="0017053D">
      <w:pPr>
        <w:pStyle w:val="atitulo3"/>
        <w:spacing w:before="240"/>
      </w:pPr>
      <w:r>
        <w:t>Tasas, precios públicos y otros ingresos</w:t>
      </w:r>
      <w:bookmarkEnd w:id="145"/>
    </w:p>
    <w:p w14:paraId="0E99D042" w14:textId="77777777" w:rsidR="00614DC4" w:rsidRDefault="00614DC4" w:rsidP="009A38AE">
      <w:pPr>
        <w:pStyle w:val="texto"/>
        <w:jc w:val="both"/>
      </w:pPr>
      <w:r>
        <w:t>Las tasas, precios públicos y otros ingresos reconocidos netos en el año 202</w:t>
      </w:r>
      <w:r w:rsidR="00645EAC">
        <w:t>3</w:t>
      </w:r>
      <w:r>
        <w:t xml:space="preserve"> ascendieron a 15</w:t>
      </w:r>
      <w:r w:rsidR="00645EAC">
        <w:t xml:space="preserve">5,27 </w:t>
      </w:r>
      <w:r>
        <w:t>millones. Representan el tres por ciento del total de derechos del ejercicio y corresponden a los siguientes conceptos:</w:t>
      </w:r>
    </w:p>
    <w:p w14:paraId="3DD7377D" w14:textId="77777777" w:rsidR="00614DC4" w:rsidRDefault="00614DC4" w:rsidP="00614DC4">
      <w:pPr>
        <w:tabs>
          <w:tab w:val="center" w:pos="2835"/>
          <w:tab w:val="center" w:pos="3969"/>
          <w:tab w:val="center" w:pos="5103"/>
          <w:tab w:val="center" w:pos="6237"/>
          <w:tab w:val="center" w:pos="7371"/>
        </w:tabs>
        <w:spacing w:after="80"/>
        <w:ind w:right="11" w:firstLine="284"/>
        <w:jc w:val="right"/>
        <w:rPr>
          <w:rFonts w:ascii="Arial" w:hAnsi="Arial"/>
          <w:spacing w:val="6"/>
          <w:sz w:val="17"/>
          <w:szCs w:val="17"/>
        </w:rPr>
      </w:pPr>
      <w:r>
        <w:rPr>
          <w:rFonts w:ascii="Arial" w:hAnsi="Arial"/>
          <w:spacing w:val="6"/>
          <w:sz w:val="17"/>
          <w:szCs w:val="17"/>
        </w:rPr>
        <w:t>(en miles)</w:t>
      </w:r>
    </w:p>
    <w:tbl>
      <w:tblPr>
        <w:tblW w:w="4981" w:type="pct"/>
        <w:jc w:val="center"/>
        <w:tblCellMar>
          <w:left w:w="70" w:type="dxa"/>
          <w:right w:w="70" w:type="dxa"/>
        </w:tblCellMar>
        <w:tblLook w:val="04A0" w:firstRow="1" w:lastRow="0" w:firstColumn="1" w:lastColumn="0" w:noHBand="0" w:noVBand="1"/>
      </w:tblPr>
      <w:tblGrid>
        <w:gridCol w:w="2987"/>
        <w:gridCol w:w="1923"/>
        <w:gridCol w:w="1923"/>
        <w:gridCol w:w="1923"/>
      </w:tblGrid>
      <w:tr w:rsidR="00614DC4" w14:paraId="7CA08D1C" w14:textId="77777777" w:rsidTr="008F0074">
        <w:trPr>
          <w:trHeight w:val="255"/>
          <w:jc w:val="center"/>
        </w:trPr>
        <w:tc>
          <w:tcPr>
            <w:tcW w:w="1706" w:type="pct"/>
            <w:tcBorders>
              <w:top w:val="single" w:sz="4" w:space="0" w:color="auto"/>
              <w:left w:val="nil"/>
              <w:bottom w:val="single" w:sz="4" w:space="0" w:color="auto"/>
              <w:right w:val="nil"/>
            </w:tcBorders>
            <w:shd w:val="clear" w:color="auto" w:fill="8DB3E2"/>
            <w:vAlign w:val="center"/>
            <w:hideMark/>
          </w:tcPr>
          <w:p w14:paraId="04788324" w14:textId="77777777" w:rsidR="00614DC4" w:rsidRDefault="00614DC4" w:rsidP="00694F88">
            <w:pPr>
              <w:pStyle w:val="cuadroCabe"/>
            </w:pPr>
            <w:r>
              <w:t>Tasas, precios públicos y otros ingresos</w:t>
            </w:r>
          </w:p>
        </w:tc>
        <w:tc>
          <w:tcPr>
            <w:tcW w:w="1098" w:type="pct"/>
            <w:tcBorders>
              <w:top w:val="single" w:sz="4" w:space="0" w:color="auto"/>
              <w:left w:val="nil"/>
              <w:bottom w:val="single" w:sz="4" w:space="0" w:color="auto"/>
              <w:right w:val="nil"/>
            </w:tcBorders>
            <w:shd w:val="clear" w:color="auto" w:fill="8DB3E2"/>
            <w:vAlign w:val="center"/>
            <w:hideMark/>
          </w:tcPr>
          <w:p w14:paraId="1E4BAF8E" w14:textId="77777777" w:rsidR="00614DC4" w:rsidRDefault="00614DC4" w:rsidP="00694F88">
            <w:pPr>
              <w:pStyle w:val="cuadroCabe"/>
              <w:jc w:val="right"/>
            </w:pPr>
            <w:r>
              <w:t xml:space="preserve">Derechos </w:t>
            </w:r>
            <w:proofErr w:type="spellStart"/>
            <w:r>
              <w:t>reconoc</w:t>
            </w:r>
            <w:proofErr w:type="spellEnd"/>
            <w:r>
              <w:t>.</w:t>
            </w:r>
          </w:p>
          <w:p w14:paraId="589AAC42" w14:textId="77777777" w:rsidR="00614DC4" w:rsidRDefault="00614DC4" w:rsidP="00694F88">
            <w:pPr>
              <w:pStyle w:val="cuadroCabe"/>
              <w:jc w:val="right"/>
            </w:pPr>
            <w:r>
              <w:t>netos 202</w:t>
            </w:r>
            <w:r w:rsidR="00FA5CB9">
              <w:t>2</w:t>
            </w:r>
          </w:p>
        </w:tc>
        <w:tc>
          <w:tcPr>
            <w:tcW w:w="1098" w:type="pct"/>
            <w:tcBorders>
              <w:top w:val="single" w:sz="4" w:space="0" w:color="auto"/>
              <w:left w:val="nil"/>
              <w:bottom w:val="single" w:sz="4" w:space="0" w:color="auto"/>
              <w:right w:val="nil"/>
            </w:tcBorders>
            <w:shd w:val="clear" w:color="auto" w:fill="8DB3E2"/>
            <w:vAlign w:val="center"/>
            <w:hideMark/>
          </w:tcPr>
          <w:p w14:paraId="40CF395E" w14:textId="77777777" w:rsidR="00614DC4" w:rsidRDefault="00614DC4" w:rsidP="00694F88">
            <w:pPr>
              <w:pStyle w:val="cuadroCabe"/>
              <w:jc w:val="right"/>
            </w:pPr>
            <w:r>
              <w:t xml:space="preserve">Derechos </w:t>
            </w:r>
            <w:proofErr w:type="spellStart"/>
            <w:r>
              <w:t>reconoc</w:t>
            </w:r>
            <w:proofErr w:type="spellEnd"/>
            <w:r>
              <w:t>.</w:t>
            </w:r>
          </w:p>
          <w:p w14:paraId="68D8995F" w14:textId="77777777" w:rsidR="00614DC4" w:rsidRDefault="00614DC4" w:rsidP="00694F88">
            <w:pPr>
              <w:pStyle w:val="cuadroCabe"/>
              <w:jc w:val="right"/>
            </w:pPr>
            <w:r>
              <w:t>netos 202</w:t>
            </w:r>
            <w:r w:rsidR="00FA5CB9">
              <w:t>3</w:t>
            </w:r>
          </w:p>
        </w:tc>
        <w:tc>
          <w:tcPr>
            <w:tcW w:w="1098" w:type="pct"/>
            <w:tcBorders>
              <w:top w:val="single" w:sz="4" w:space="0" w:color="auto"/>
              <w:left w:val="nil"/>
              <w:bottom w:val="single" w:sz="4" w:space="0" w:color="auto"/>
              <w:right w:val="nil"/>
            </w:tcBorders>
            <w:shd w:val="clear" w:color="auto" w:fill="8DB3E2"/>
            <w:vAlign w:val="center"/>
            <w:hideMark/>
          </w:tcPr>
          <w:p w14:paraId="5880C3A0" w14:textId="77777777" w:rsidR="00614DC4" w:rsidRDefault="00614DC4" w:rsidP="00694F88">
            <w:pPr>
              <w:pStyle w:val="cuadroCabe"/>
              <w:jc w:val="right"/>
            </w:pPr>
            <w:r>
              <w:t xml:space="preserve">% Variación </w:t>
            </w:r>
          </w:p>
          <w:p w14:paraId="5EDDC377" w14:textId="77777777" w:rsidR="00614DC4" w:rsidRDefault="00614DC4" w:rsidP="00694F88">
            <w:pPr>
              <w:pStyle w:val="cuadroCabe"/>
              <w:jc w:val="right"/>
            </w:pPr>
            <w:r>
              <w:t>202</w:t>
            </w:r>
            <w:r w:rsidR="00FA5CB9">
              <w:t>3</w:t>
            </w:r>
            <w:r>
              <w:t>/202</w:t>
            </w:r>
            <w:r w:rsidR="00FA5CB9">
              <w:t>2</w:t>
            </w:r>
          </w:p>
        </w:tc>
      </w:tr>
      <w:tr w:rsidR="00645EAC" w:rsidRPr="0069768F" w14:paraId="6835DCDF" w14:textId="77777777" w:rsidTr="00F0287A">
        <w:trPr>
          <w:trHeight w:val="198"/>
          <w:jc w:val="center"/>
        </w:trPr>
        <w:tc>
          <w:tcPr>
            <w:tcW w:w="1706" w:type="pct"/>
            <w:tcBorders>
              <w:top w:val="single" w:sz="4" w:space="0" w:color="auto"/>
              <w:left w:val="nil"/>
              <w:bottom w:val="single" w:sz="2" w:space="0" w:color="auto"/>
              <w:right w:val="nil"/>
            </w:tcBorders>
            <w:noWrap/>
            <w:vAlign w:val="center"/>
            <w:hideMark/>
          </w:tcPr>
          <w:p w14:paraId="3652660E" w14:textId="77777777" w:rsidR="00645EAC" w:rsidRPr="0069768F" w:rsidRDefault="00645EAC" w:rsidP="00694F88">
            <w:pPr>
              <w:pStyle w:val="cuatexto"/>
            </w:pPr>
            <w:r w:rsidRPr="0069768F">
              <w:t xml:space="preserve">Tasas </w:t>
            </w:r>
          </w:p>
        </w:tc>
        <w:tc>
          <w:tcPr>
            <w:tcW w:w="1098" w:type="pct"/>
            <w:tcBorders>
              <w:top w:val="single" w:sz="4" w:space="0" w:color="auto"/>
              <w:left w:val="nil"/>
              <w:bottom w:val="single" w:sz="2" w:space="0" w:color="auto"/>
              <w:right w:val="nil"/>
            </w:tcBorders>
            <w:vAlign w:val="center"/>
          </w:tcPr>
          <w:p w14:paraId="1221FCBB" w14:textId="77777777" w:rsidR="00645EAC" w:rsidRPr="0069768F" w:rsidRDefault="00645EAC" w:rsidP="00694F88">
            <w:pPr>
              <w:pStyle w:val="cuatexto"/>
              <w:jc w:val="right"/>
            </w:pPr>
            <w:r w:rsidRPr="0069768F">
              <w:t>16.191</w:t>
            </w:r>
          </w:p>
        </w:tc>
        <w:tc>
          <w:tcPr>
            <w:tcW w:w="1098" w:type="pct"/>
            <w:tcBorders>
              <w:top w:val="single" w:sz="4" w:space="0" w:color="auto"/>
              <w:left w:val="nil"/>
              <w:bottom w:val="single" w:sz="2" w:space="0" w:color="auto"/>
              <w:right w:val="nil"/>
            </w:tcBorders>
            <w:shd w:val="clear" w:color="auto" w:fill="auto"/>
            <w:vAlign w:val="center"/>
          </w:tcPr>
          <w:p w14:paraId="3CE95D03" w14:textId="77777777" w:rsidR="00645EAC" w:rsidRPr="0069768F" w:rsidRDefault="00645EAC" w:rsidP="00694F88">
            <w:pPr>
              <w:pStyle w:val="cuatexto"/>
              <w:jc w:val="right"/>
              <w:rPr>
                <w:rFonts w:cs="Calibri"/>
                <w:color w:val="000000"/>
              </w:rPr>
            </w:pPr>
            <w:r w:rsidRPr="0069768F">
              <w:rPr>
                <w:rFonts w:cs="Calibri"/>
                <w:color w:val="000000"/>
              </w:rPr>
              <w:t>16.160</w:t>
            </w:r>
          </w:p>
        </w:tc>
        <w:tc>
          <w:tcPr>
            <w:tcW w:w="1098" w:type="pct"/>
            <w:tcBorders>
              <w:top w:val="single" w:sz="4" w:space="0" w:color="auto"/>
              <w:left w:val="nil"/>
              <w:bottom w:val="single" w:sz="2" w:space="0" w:color="auto"/>
              <w:right w:val="nil"/>
            </w:tcBorders>
            <w:shd w:val="clear" w:color="auto" w:fill="auto"/>
            <w:vAlign w:val="center"/>
          </w:tcPr>
          <w:p w14:paraId="5FA21614" w14:textId="77777777" w:rsidR="00645EAC" w:rsidRPr="0069768F" w:rsidRDefault="00645EAC" w:rsidP="00694F88">
            <w:pPr>
              <w:pStyle w:val="cuatexto"/>
              <w:jc w:val="right"/>
              <w:rPr>
                <w:rFonts w:cs="Calibri"/>
                <w:color w:val="000000"/>
              </w:rPr>
            </w:pPr>
            <w:r w:rsidRPr="0069768F">
              <w:rPr>
                <w:rFonts w:cs="Calibri"/>
                <w:color w:val="000000"/>
              </w:rPr>
              <w:t>-</w:t>
            </w:r>
          </w:p>
        </w:tc>
      </w:tr>
      <w:tr w:rsidR="00645EAC" w:rsidRPr="0069768F" w14:paraId="13D4E0BB" w14:textId="77777777" w:rsidTr="00F0287A">
        <w:trPr>
          <w:trHeight w:val="198"/>
          <w:jc w:val="center"/>
        </w:trPr>
        <w:tc>
          <w:tcPr>
            <w:tcW w:w="1706" w:type="pct"/>
            <w:tcBorders>
              <w:top w:val="single" w:sz="2" w:space="0" w:color="auto"/>
              <w:left w:val="nil"/>
              <w:bottom w:val="single" w:sz="2" w:space="0" w:color="auto"/>
              <w:right w:val="nil"/>
            </w:tcBorders>
            <w:noWrap/>
            <w:vAlign w:val="center"/>
            <w:hideMark/>
          </w:tcPr>
          <w:p w14:paraId="75674E85" w14:textId="77777777" w:rsidR="00645EAC" w:rsidRPr="0069768F" w:rsidRDefault="00645EAC" w:rsidP="00694F88">
            <w:pPr>
              <w:pStyle w:val="cuatexto"/>
            </w:pPr>
            <w:r w:rsidRPr="0069768F">
              <w:t>Precios públicos</w:t>
            </w:r>
          </w:p>
        </w:tc>
        <w:tc>
          <w:tcPr>
            <w:tcW w:w="1098" w:type="pct"/>
            <w:tcBorders>
              <w:top w:val="single" w:sz="2" w:space="0" w:color="auto"/>
              <w:left w:val="nil"/>
              <w:bottom w:val="single" w:sz="2" w:space="0" w:color="auto"/>
              <w:right w:val="nil"/>
            </w:tcBorders>
            <w:vAlign w:val="center"/>
          </w:tcPr>
          <w:p w14:paraId="173C39A8" w14:textId="77777777" w:rsidR="00645EAC" w:rsidRPr="0069768F" w:rsidRDefault="00645EAC" w:rsidP="00694F88">
            <w:pPr>
              <w:pStyle w:val="cuatexto"/>
              <w:jc w:val="right"/>
            </w:pPr>
            <w:r w:rsidRPr="0069768F">
              <w:t>66.940</w:t>
            </w:r>
          </w:p>
        </w:tc>
        <w:tc>
          <w:tcPr>
            <w:tcW w:w="1098" w:type="pct"/>
            <w:tcBorders>
              <w:top w:val="single" w:sz="2" w:space="0" w:color="auto"/>
              <w:left w:val="nil"/>
              <w:bottom w:val="single" w:sz="2" w:space="0" w:color="auto"/>
              <w:right w:val="nil"/>
            </w:tcBorders>
            <w:shd w:val="clear" w:color="auto" w:fill="auto"/>
            <w:vAlign w:val="center"/>
          </w:tcPr>
          <w:p w14:paraId="7C7CA6E3" w14:textId="77777777" w:rsidR="00645EAC" w:rsidRPr="0069768F" w:rsidRDefault="00645EAC" w:rsidP="00694F88">
            <w:pPr>
              <w:pStyle w:val="cuatexto"/>
              <w:jc w:val="right"/>
              <w:rPr>
                <w:rFonts w:cs="Calibri"/>
                <w:color w:val="000000"/>
              </w:rPr>
            </w:pPr>
            <w:r w:rsidRPr="0069768F">
              <w:rPr>
                <w:rFonts w:cs="Calibri"/>
                <w:color w:val="000000"/>
              </w:rPr>
              <w:t>70.695</w:t>
            </w:r>
          </w:p>
        </w:tc>
        <w:tc>
          <w:tcPr>
            <w:tcW w:w="1098" w:type="pct"/>
            <w:tcBorders>
              <w:top w:val="single" w:sz="2" w:space="0" w:color="auto"/>
              <w:left w:val="nil"/>
              <w:bottom w:val="single" w:sz="2" w:space="0" w:color="auto"/>
              <w:right w:val="nil"/>
            </w:tcBorders>
            <w:shd w:val="clear" w:color="auto" w:fill="auto"/>
            <w:vAlign w:val="center"/>
          </w:tcPr>
          <w:p w14:paraId="551B4FE5" w14:textId="77777777" w:rsidR="00645EAC" w:rsidRPr="0069768F" w:rsidRDefault="00645EAC" w:rsidP="00694F88">
            <w:pPr>
              <w:pStyle w:val="cuatexto"/>
              <w:jc w:val="right"/>
              <w:rPr>
                <w:rFonts w:cs="Calibri"/>
                <w:color w:val="000000"/>
              </w:rPr>
            </w:pPr>
            <w:r w:rsidRPr="0069768F">
              <w:rPr>
                <w:rFonts w:cs="Calibri"/>
                <w:color w:val="000000"/>
              </w:rPr>
              <w:t>6</w:t>
            </w:r>
          </w:p>
        </w:tc>
      </w:tr>
      <w:tr w:rsidR="00645EAC" w:rsidRPr="0069768F" w14:paraId="2C4CCB0B" w14:textId="77777777" w:rsidTr="00F0287A">
        <w:trPr>
          <w:trHeight w:val="198"/>
          <w:jc w:val="center"/>
        </w:trPr>
        <w:tc>
          <w:tcPr>
            <w:tcW w:w="1706" w:type="pct"/>
            <w:tcBorders>
              <w:top w:val="single" w:sz="2" w:space="0" w:color="auto"/>
              <w:left w:val="nil"/>
              <w:bottom w:val="single" w:sz="2" w:space="0" w:color="auto"/>
              <w:right w:val="nil"/>
            </w:tcBorders>
            <w:noWrap/>
            <w:vAlign w:val="center"/>
            <w:hideMark/>
          </w:tcPr>
          <w:p w14:paraId="68BE25EC" w14:textId="77777777" w:rsidR="00645EAC" w:rsidRPr="0069768F" w:rsidRDefault="00645EAC" w:rsidP="00694F88">
            <w:pPr>
              <w:pStyle w:val="cuatexto"/>
            </w:pPr>
            <w:r w:rsidRPr="0069768F">
              <w:t>Venta de bienes</w:t>
            </w:r>
          </w:p>
        </w:tc>
        <w:tc>
          <w:tcPr>
            <w:tcW w:w="1098" w:type="pct"/>
            <w:tcBorders>
              <w:top w:val="single" w:sz="2" w:space="0" w:color="auto"/>
              <w:left w:val="nil"/>
              <w:bottom w:val="single" w:sz="2" w:space="0" w:color="auto"/>
              <w:right w:val="nil"/>
            </w:tcBorders>
            <w:vAlign w:val="center"/>
          </w:tcPr>
          <w:p w14:paraId="61C1AD38" w14:textId="77777777" w:rsidR="00645EAC" w:rsidRPr="0069768F" w:rsidRDefault="00645EAC" w:rsidP="00694F88">
            <w:pPr>
              <w:pStyle w:val="cuatexto"/>
              <w:jc w:val="right"/>
            </w:pPr>
            <w:r w:rsidRPr="0069768F">
              <w:t>2.488</w:t>
            </w:r>
          </w:p>
        </w:tc>
        <w:tc>
          <w:tcPr>
            <w:tcW w:w="1098" w:type="pct"/>
            <w:tcBorders>
              <w:top w:val="single" w:sz="2" w:space="0" w:color="auto"/>
              <w:left w:val="nil"/>
              <w:bottom w:val="single" w:sz="2" w:space="0" w:color="auto"/>
              <w:right w:val="nil"/>
            </w:tcBorders>
            <w:shd w:val="clear" w:color="auto" w:fill="auto"/>
            <w:vAlign w:val="center"/>
          </w:tcPr>
          <w:p w14:paraId="5E1F190E" w14:textId="77777777" w:rsidR="00645EAC" w:rsidRPr="0069768F" w:rsidRDefault="00645EAC" w:rsidP="00694F88">
            <w:pPr>
              <w:pStyle w:val="cuatexto"/>
              <w:jc w:val="right"/>
              <w:rPr>
                <w:rFonts w:cs="Calibri"/>
                <w:color w:val="000000"/>
              </w:rPr>
            </w:pPr>
            <w:r w:rsidRPr="0069768F">
              <w:rPr>
                <w:rFonts w:cs="Calibri"/>
                <w:color w:val="000000"/>
              </w:rPr>
              <w:t>2.798</w:t>
            </w:r>
          </w:p>
        </w:tc>
        <w:tc>
          <w:tcPr>
            <w:tcW w:w="1098" w:type="pct"/>
            <w:tcBorders>
              <w:top w:val="single" w:sz="2" w:space="0" w:color="auto"/>
              <w:left w:val="nil"/>
              <w:bottom w:val="single" w:sz="2" w:space="0" w:color="auto"/>
              <w:right w:val="nil"/>
            </w:tcBorders>
            <w:shd w:val="clear" w:color="auto" w:fill="auto"/>
            <w:vAlign w:val="center"/>
          </w:tcPr>
          <w:p w14:paraId="6A111483" w14:textId="77777777" w:rsidR="00645EAC" w:rsidRPr="0069768F" w:rsidRDefault="00645EAC" w:rsidP="00694F88">
            <w:pPr>
              <w:pStyle w:val="cuatexto"/>
              <w:jc w:val="right"/>
              <w:rPr>
                <w:rFonts w:cs="Calibri"/>
                <w:color w:val="000000"/>
              </w:rPr>
            </w:pPr>
            <w:r w:rsidRPr="0069768F">
              <w:rPr>
                <w:rFonts w:cs="Calibri"/>
                <w:color w:val="000000"/>
              </w:rPr>
              <w:t>12</w:t>
            </w:r>
          </w:p>
        </w:tc>
      </w:tr>
      <w:tr w:rsidR="00645EAC" w:rsidRPr="0069768F" w14:paraId="1DAC7857" w14:textId="77777777" w:rsidTr="00F0287A">
        <w:trPr>
          <w:trHeight w:val="198"/>
          <w:jc w:val="center"/>
        </w:trPr>
        <w:tc>
          <w:tcPr>
            <w:tcW w:w="1706" w:type="pct"/>
            <w:tcBorders>
              <w:top w:val="single" w:sz="2" w:space="0" w:color="auto"/>
              <w:left w:val="nil"/>
              <w:bottom w:val="single" w:sz="2" w:space="0" w:color="auto"/>
              <w:right w:val="nil"/>
            </w:tcBorders>
            <w:noWrap/>
            <w:vAlign w:val="center"/>
            <w:hideMark/>
          </w:tcPr>
          <w:p w14:paraId="19163C97" w14:textId="77777777" w:rsidR="00645EAC" w:rsidRPr="0069768F" w:rsidRDefault="00645EAC" w:rsidP="00694F88">
            <w:pPr>
              <w:pStyle w:val="cuatexto"/>
            </w:pPr>
            <w:r w:rsidRPr="0069768F">
              <w:t>Reintegro de operaciones</w:t>
            </w:r>
          </w:p>
        </w:tc>
        <w:tc>
          <w:tcPr>
            <w:tcW w:w="1098" w:type="pct"/>
            <w:tcBorders>
              <w:top w:val="single" w:sz="2" w:space="0" w:color="auto"/>
              <w:left w:val="nil"/>
              <w:bottom w:val="single" w:sz="2" w:space="0" w:color="auto"/>
              <w:right w:val="nil"/>
            </w:tcBorders>
            <w:vAlign w:val="center"/>
          </w:tcPr>
          <w:p w14:paraId="051F2D4C" w14:textId="77777777" w:rsidR="00645EAC" w:rsidRPr="0069768F" w:rsidRDefault="00645EAC" w:rsidP="00694F88">
            <w:pPr>
              <w:pStyle w:val="cuatexto"/>
              <w:jc w:val="right"/>
            </w:pPr>
            <w:r w:rsidRPr="0069768F">
              <w:t>14.615</w:t>
            </w:r>
          </w:p>
        </w:tc>
        <w:tc>
          <w:tcPr>
            <w:tcW w:w="1098" w:type="pct"/>
            <w:tcBorders>
              <w:top w:val="single" w:sz="2" w:space="0" w:color="auto"/>
              <w:left w:val="nil"/>
              <w:bottom w:val="single" w:sz="2" w:space="0" w:color="auto"/>
              <w:right w:val="nil"/>
            </w:tcBorders>
            <w:shd w:val="clear" w:color="auto" w:fill="auto"/>
            <w:vAlign w:val="center"/>
          </w:tcPr>
          <w:p w14:paraId="1819782E" w14:textId="77777777" w:rsidR="00645EAC" w:rsidRPr="0069768F" w:rsidRDefault="00645EAC" w:rsidP="00694F88">
            <w:pPr>
              <w:pStyle w:val="cuatexto"/>
              <w:jc w:val="right"/>
              <w:rPr>
                <w:rFonts w:cs="Calibri"/>
                <w:color w:val="000000"/>
              </w:rPr>
            </w:pPr>
            <w:r w:rsidRPr="0069768F">
              <w:rPr>
                <w:rFonts w:cs="Calibri"/>
                <w:color w:val="000000"/>
              </w:rPr>
              <w:t>21.448</w:t>
            </w:r>
          </w:p>
        </w:tc>
        <w:tc>
          <w:tcPr>
            <w:tcW w:w="1098" w:type="pct"/>
            <w:tcBorders>
              <w:top w:val="single" w:sz="2" w:space="0" w:color="auto"/>
              <w:left w:val="nil"/>
              <w:bottom w:val="single" w:sz="2" w:space="0" w:color="auto"/>
              <w:right w:val="nil"/>
            </w:tcBorders>
            <w:shd w:val="clear" w:color="auto" w:fill="auto"/>
            <w:vAlign w:val="center"/>
          </w:tcPr>
          <w:p w14:paraId="24243FB3" w14:textId="77777777" w:rsidR="00645EAC" w:rsidRPr="0069768F" w:rsidRDefault="00645EAC" w:rsidP="00694F88">
            <w:pPr>
              <w:pStyle w:val="cuatexto"/>
              <w:jc w:val="right"/>
              <w:rPr>
                <w:rFonts w:cs="Calibri"/>
                <w:color w:val="000000"/>
              </w:rPr>
            </w:pPr>
            <w:r w:rsidRPr="0069768F">
              <w:rPr>
                <w:rFonts w:cs="Calibri"/>
                <w:color w:val="000000"/>
              </w:rPr>
              <w:t>47</w:t>
            </w:r>
          </w:p>
        </w:tc>
      </w:tr>
      <w:tr w:rsidR="00645EAC" w:rsidRPr="0069768F" w14:paraId="578366AA" w14:textId="77777777" w:rsidTr="00F0287A">
        <w:trPr>
          <w:trHeight w:val="198"/>
          <w:jc w:val="center"/>
        </w:trPr>
        <w:tc>
          <w:tcPr>
            <w:tcW w:w="1706" w:type="pct"/>
            <w:tcBorders>
              <w:top w:val="single" w:sz="2" w:space="0" w:color="auto"/>
              <w:left w:val="nil"/>
              <w:bottom w:val="single" w:sz="4" w:space="0" w:color="auto"/>
              <w:right w:val="nil"/>
            </w:tcBorders>
            <w:noWrap/>
            <w:vAlign w:val="center"/>
            <w:hideMark/>
          </w:tcPr>
          <w:p w14:paraId="7C9171ED" w14:textId="77777777" w:rsidR="00645EAC" w:rsidRPr="0069768F" w:rsidRDefault="00645EAC" w:rsidP="00694F88">
            <w:pPr>
              <w:pStyle w:val="cuatexto"/>
            </w:pPr>
            <w:r w:rsidRPr="0069768F">
              <w:t>Otros ingresos</w:t>
            </w:r>
          </w:p>
        </w:tc>
        <w:tc>
          <w:tcPr>
            <w:tcW w:w="1098" w:type="pct"/>
            <w:tcBorders>
              <w:top w:val="single" w:sz="2" w:space="0" w:color="auto"/>
              <w:left w:val="nil"/>
              <w:bottom w:val="single" w:sz="4" w:space="0" w:color="auto"/>
              <w:right w:val="nil"/>
            </w:tcBorders>
            <w:vAlign w:val="center"/>
          </w:tcPr>
          <w:p w14:paraId="72CC8682" w14:textId="77777777" w:rsidR="00645EAC" w:rsidRPr="0069768F" w:rsidRDefault="00645EAC" w:rsidP="00694F88">
            <w:pPr>
              <w:pStyle w:val="cuatexto"/>
              <w:jc w:val="right"/>
            </w:pPr>
            <w:r w:rsidRPr="0069768F">
              <w:t>56.510</w:t>
            </w:r>
          </w:p>
        </w:tc>
        <w:tc>
          <w:tcPr>
            <w:tcW w:w="1098" w:type="pct"/>
            <w:tcBorders>
              <w:top w:val="single" w:sz="2" w:space="0" w:color="auto"/>
              <w:left w:val="nil"/>
              <w:bottom w:val="single" w:sz="4" w:space="0" w:color="auto"/>
              <w:right w:val="nil"/>
            </w:tcBorders>
            <w:shd w:val="clear" w:color="auto" w:fill="auto"/>
            <w:vAlign w:val="center"/>
          </w:tcPr>
          <w:p w14:paraId="2B511B58" w14:textId="77777777" w:rsidR="00645EAC" w:rsidRPr="0069768F" w:rsidRDefault="00645EAC" w:rsidP="00694F88">
            <w:pPr>
              <w:pStyle w:val="cuatexto"/>
              <w:jc w:val="right"/>
              <w:rPr>
                <w:rFonts w:cs="Calibri"/>
                <w:color w:val="000000"/>
              </w:rPr>
            </w:pPr>
            <w:r w:rsidRPr="0069768F">
              <w:rPr>
                <w:rFonts w:cs="Calibri"/>
                <w:color w:val="000000"/>
              </w:rPr>
              <w:t>44.173</w:t>
            </w:r>
          </w:p>
        </w:tc>
        <w:tc>
          <w:tcPr>
            <w:tcW w:w="1098" w:type="pct"/>
            <w:tcBorders>
              <w:top w:val="single" w:sz="2" w:space="0" w:color="auto"/>
              <w:left w:val="nil"/>
              <w:bottom w:val="single" w:sz="4" w:space="0" w:color="auto"/>
              <w:right w:val="nil"/>
            </w:tcBorders>
            <w:shd w:val="clear" w:color="auto" w:fill="auto"/>
            <w:vAlign w:val="center"/>
          </w:tcPr>
          <w:p w14:paraId="6192CB05" w14:textId="77777777" w:rsidR="00645EAC" w:rsidRPr="0069768F" w:rsidRDefault="00645EAC" w:rsidP="00694F88">
            <w:pPr>
              <w:pStyle w:val="cuatexto"/>
              <w:jc w:val="right"/>
              <w:rPr>
                <w:rFonts w:cs="Calibri"/>
                <w:color w:val="000000"/>
              </w:rPr>
            </w:pPr>
            <w:r w:rsidRPr="0069768F">
              <w:rPr>
                <w:rFonts w:cs="Calibri"/>
                <w:color w:val="000000"/>
              </w:rPr>
              <w:t>-22</w:t>
            </w:r>
          </w:p>
        </w:tc>
      </w:tr>
      <w:tr w:rsidR="00645EAC" w:rsidRPr="0069768F" w14:paraId="23F627EA" w14:textId="77777777" w:rsidTr="008F0074">
        <w:trPr>
          <w:trHeight w:val="255"/>
          <w:jc w:val="center"/>
        </w:trPr>
        <w:tc>
          <w:tcPr>
            <w:tcW w:w="1706" w:type="pct"/>
            <w:tcBorders>
              <w:top w:val="single" w:sz="4" w:space="0" w:color="auto"/>
              <w:left w:val="nil"/>
              <w:bottom w:val="single" w:sz="4" w:space="0" w:color="auto"/>
              <w:right w:val="nil"/>
            </w:tcBorders>
            <w:shd w:val="clear" w:color="auto" w:fill="8DB3E2"/>
            <w:noWrap/>
            <w:vAlign w:val="center"/>
            <w:hideMark/>
          </w:tcPr>
          <w:p w14:paraId="67067E84" w14:textId="77777777" w:rsidR="00645EAC" w:rsidRPr="0069768F" w:rsidRDefault="00645EAC" w:rsidP="00694F88">
            <w:pPr>
              <w:pStyle w:val="cuadroCabe"/>
            </w:pPr>
            <w:r w:rsidRPr="0069768F">
              <w:t xml:space="preserve">Total </w:t>
            </w:r>
          </w:p>
        </w:tc>
        <w:tc>
          <w:tcPr>
            <w:tcW w:w="1098" w:type="pct"/>
            <w:tcBorders>
              <w:top w:val="single" w:sz="4" w:space="0" w:color="auto"/>
              <w:left w:val="nil"/>
              <w:bottom w:val="single" w:sz="4" w:space="0" w:color="auto"/>
              <w:right w:val="nil"/>
            </w:tcBorders>
            <w:shd w:val="clear" w:color="auto" w:fill="8DB3E2"/>
            <w:vAlign w:val="center"/>
          </w:tcPr>
          <w:p w14:paraId="7F308A55" w14:textId="77777777" w:rsidR="00645EAC" w:rsidRPr="0069768F" w:rsidRDefault="00645EAC" w:rsidP="00694F88">
            <w:pPr>
              <w:pStyle w:val="cuadroCabe"/>
              <w:jc w:val="right"/>
            </w:pPr>
            <w:r w:rsidRPr="0069768F">
              <w:t>156.745</w:t>
            </w:r>
          </w:p>
        </w:tc>
        <w:tc>
          <w:tcPr>
            <w:tcW w:w="1098" w:type="pct"/>
            <w:tcBorders>
              <w:top w:val="single" w:sz="4" w:space="0" w:color="auto"/>
              <w:left w:val="nil"/>
              <w:bottom w:val="single" w:sz="4" w:space="0" w:color="auto"/>
              <w:right w:val="nil"/>
            </w:tcBorders>
            <w:shd w:val="clear" w:color="000000" w:fill="8DB3E2"/>
            <w:vAlign w:val="center"/>
          </w:tcPr>
          <w:p w14:paraId="0437CCCD" w14:textId="77777777" w:rsidR="00645EAC" w:rsidRPr="0069768F" w:rsidRDefault="00645EAC" w:rsidP="00694F88">
            <w:pPr>
              <w:pStyle w:val="cuadroCabe"/>
              <w:jc w:val="right"/>
              <w:rPr>
                <w:color w:val="000000"/>
              </w:rPr>
            </w:pPr>
            <w:r w:rsidRPr="0069768F">
              <w:rPr>
                <w:color w:val="000000"/>
              </w:rPr>
              <w:t>155.275</w:t>
            </w:r>
          </w:p>
        </w:tc>
        <w:tc>
          <w:tcPr>
            <w:tcW w:w="1098" w:type="pct"/>
            <w:tcBorders>
              <w:top w:val="single" w:sz="4" w:space="0" w:color="auto"/>
              <w:left w:val="nil"/>
              <w:bottom w:val="single" w:sz="4" w:space="0" w:color="auto"/>
              <w:right w:val="nil"/>
            </w:tcBorders>
            <w:shd w:val="clear" w:color="000000" w:fill="8DB3E2"/>
            <w:vAlign w:val="center"/>
          </w:tcPr>
          <w:p w14:paraId="6BB899EE" w14:textId="77777777" w:rsidR="00645EAC" w:rsidRPr="0069768F" w:rsidRDefault="00645EAC" w:rsidP="00694F88">
            <w:pPr>
              <w:pStyle w:val="cuadroCabe"/>
              <w:jc w:val="right"/>
              <w:rPr>
                <w:color w:val="000000"/>
              </w:rPr>
            </w:pPr>
            <w:r w:rsidRPr="0069768F">
              <w:rPr>
                <w:color w:val="000000"/>
              </w:rPr>
              <w:t>-1</w:t>
            </w:r>
          </w:p>
        </w:tc>
      </w:tr>
    </w:tbl>
    <w:p w14:paraId="3565F794" w14:textId="77777777" w:rsidR="00614DC4" w:rsidRDefault="00614DC4" w:rsidP="00F0287A">
      <w:pPr>
        <w:pStyle w:val="texto"/>
        <w:spacing w:before="240" w:after="120"/>
        <w:jc w:val="both"/>
      </w:pPr>
      <w:r>
        <w:t xml:space="preserve">El componente más significativo de este capítulo corresponde a ingresos por precios públicos que ascendieron a </w:t>
      </w:r>
      <w:r w:rsidR="00645EAC">
        <w:t xml:space="preserve">70,69 </w:t>
      </w:r>
      <w:r>
        <w:t xml:space="preserve">millones, entre los que destacan los ingresos por prestación de servicios </w:t>
      </w:r>
      <w:r w:rsidR="00645EAC">
        <w:t>sociales con 57,17</w:t>
      </w:r>
      <w:r>
        <w:t xml:space="preserve"> m</w:t>
      </w:r>
      <w:r w:rsidR="00645EAC">
        <w:t xml:space="preserve">illones y los conciertos con otras entidades por asistencia médica por 9,78 millones. </w:t>
      </w:r>
    </w:p>
    <w:p w14:paraId="23D7ABC1" w14:textId="77777777" w:rsidR="00614DC4" w:rsidRPr="000C4F65" w:rsidRDefault="00614DC4" w:rsidP="000C4F65">
      <w:pPr>
        <w:pStyle w:val="texto"/>
        <w:spacing w:before="120" w:after="120"/>
        <w:jc w:val="both"/>
      </w:pPr>
      <w:r>
        <w:t>Por otro lado, los ingresos por tasas alcanzaron los 16,1</w:t>
      </w:r>
      <w:r w:rsidR="00645EAC">
        <w:t>6 millones, de los cuales, 11,57</w:t>
      </w:r>
      <w:r>
        <w:t xml:space="preserve"> millones, corresponden a las tasas deriv</w:t>
      </w:r>
      <w:r w:rsidR="000C4F65">
        <w:t xml:space="preserve">adas de la actividad del juego. </w:t>
      </w:r>
      <w:r>
        <w:t xml:space="preserve">Los principales conceptos incluidos en la denominación de otros ingresos son los siguientes: </w:t>
      </w:r>
      <w:r>
        <w:rPr>
          <w:rFonts w:cs="Arial"/>
        </w:rPr>
        <w:t xml:space="preserve">multas y sanciones con </w:t>
      </w:r>
      <w:r w:rsidR="00645EAC">
        <w:rPr>
          <w:rFonts w:cs="Arial"/>
        </w:rPr>
        <w:t xml:space="preserve">16,87 </w:t>
      </w:r>
      <w:r>
        <w:rPr>
          <w:rFonts w:cs="Arial"/>
        </w:rPr>
        <w:t>millones, recargos con 1</w:t>
      </w:r>
      <w:r w:rsidR="00645EAC">
        <w:rPr>
          <w:rFonts w:cs="Arial"/>
        </w:rPr>
        <w:t>2,71</w:t>
      </w:r>
      <w:r>
        <w:rPr>
          <w:rFonts w:cs="Arial"/>
        </w:rPr>
        <w:t xml:space="preserve"> millones e intereses de demora con </w:t>
      </w:r>
      <w:r w:rsidR="00645EAC">
        <w:rPr>
          <w:rFonts w:cs="Arial"/>
        </w:rPr>
        <w:t>2,75</w:t>
      </w:r>
      <w:r>
        <w:rPr>
          <w:rFonts w:cs="Arial"/>
        </w:rPr>
        <w:t xml:space="preserve"> millones. </w:t>
      </w:r>
    </w:p>
    <w:p w14:paraId="23E4CD6D" w14:textId="77777777" w:rsidR="00614DC4" w:rsidRDefault="00614DC4" w:rsidP="009A38AE">
      <w:pPr>
        <w:pStyle w:val="atitulo2"/>
        <w:spacing w:before="240"/>
        <w:jc w:val="both"/>
      </w:pPr>
      <w:bookmarkStart w:id="146" w:name="_Toc494270391"/>
      <w:bookmarkStart w:id="147" w:name="_Toc146471251"/>
      <w:bookmarkStart w:id="148" w:name="_Toc52267376"/>
      <w:bookmarkStart w:id="149" w:name="_Toc525907447"/>
      <w:bookmarkStart w:id="150" w:name="_Toc182464286"/>
      <w:r>
        <w:t>5.</w:t>
      </w:r>
      <w:r w:rsidR="00A35015">
        <w:t>8</w:t>
      </w:r>
      <w:r>
        <w:t xml:space="preserve">. </w:t>
      </w:r>
      <w:bookmarkEnd w:id="146"/>
      <w:r>
        <w:t>Otros ingresos</w:t>
      </w:r>
      <w:bookmarkEnd w:id="147"/>
      <w:bookmarkEnd w:id="148"/>
      <w:bookmarkEnd w:id="149"/>
      <w:bookmarkEnd w:id="150"/>
      <w:r>
        <w:t xml:space="preserve"> </w:t>
      </w:r>
    </w:p>
    <w:p w14:paraId="1BA99EEC" w14:textId="77777777" w:rsidR="00EA07F9" w:rsidRPr="0017053D" w:rsidRDefault="00EA07F9" w:rsidP="00710F7E">
      <w:pPr>
        <w:pStyle w:val="atitulo3"/>
        <w:spacing w:before="240" w:after="120"/>
      </w:pPr>
      <w:r w:rsidRPr="0017053D">
        <w:t xml:space="preserve">Ingresos patrimoniales </w:t>
      </w:r>
    </w:p>
    <w:p w14:paraId="554292C8" w14:textId="77777777" w:rsidR="002F783F" w:rsidRDefault="002F783F" w:rsidP="002F783F">
      <w:pPr>
        <w:tabs>
          <w:tab w:val="center" w:pos="2835"/>
          <w:tab w:val="center" w:pos="3969"/>
          <w:tab w:val="center" w:pos="5103"/>
          <w:tab w:val="center" w:pos="6237"/>
          <w:tab w:val="center" w:pos="7371"/>
        </w:tabs>
        <w:spacing w:after="80"/>
        <w:ind w:right="11" w:firstLine="284"/>
        <w:jc w:val="right"/>
        <w:rPr>
          <w:rFonts w:ascii="Arial" w:hAnsi="Arial"/>
          <w:spacing w:val="6"/>
          <w:sz w:val="17"/>
          <w:szCs w:val="17"/>
        </w:rPr>
      </w:pPr>
      <w:r>
        <w:rPr>
          <w:rFonts w:ascii="Arial" w:hAnsi="Arial"/>
          <w:spacing w:val="6"/>
          <w:sz w:val="17"/>
          <w:szCs w:val="17"/>
        </w:rPr>
        <w:t>(en miles)</w:t>
      </w:r>
    </w:p>
    <w:tbl>
      <w:tblPr>
        <w:tblW w:w="4981" w:type="pct"/>
        <w:tblCellMar>
          <w:left w:w="70" w:type="dxa"/>
          <w:right w:w="70" w:type="dxa"/>
        </w:tblCellMar>
        <w:tblLook w:val="04A0" w:firstRow="1" w:lastRow="0" w:firstColumn="1" w:lastColumn="0" w:noHBand="0" w:noVBand="1"/>
      </w:tblPr>
      <w:tblGrid>
        <w:gridCol w:w="3825"/>
        <w:gridCol w:w="1846"/>
        <w:gridCol w:w="1842"/>
        <w:gridCol w:w="1243"/>
      </w:tblGrid>
      <w:tr w:rsidR="002F783F" w14:paraId="6B23E5E4" w14:textId="77777777" w:rsidTr="00710F7E">
        <w:trPr>
          <w:trHeight w:val="255"/>
        </w:trPr>
        <w:tc>
          <w:tcPr>
            <w:tcW w:w="2184" w:type="pct"/>
            <w:tcBorders>
              <w:top w:val="single" w:sz="4" w:space="0" w:color="auto"/>
              <w:left w:val="nil"/>
              <w:bottom w:val="single" w:sz="4" w:space="0" w:color="auto"/>
              <w:right w:val="nil"/>
            </w:tcBorders>
            <w:shd w:val="clear" w:color="auto" w:fill="8DB3E2"/>
            <w:vAlign w:val="center"/>
            <w:hideMark/>
          </w:tcPr>
          <w:p w14:paraId="7605F4B2" w14:textId="77777777" w:rsidR="002F783F" w:rsidRDefault="002F783F" w:rsidP="00933342">
            <w:pPr>
              <w:pStyle w:val="cuadroCabe"/>
            </w:pPr>
            <w:r>
              <w:t>Ingresos patrimoniales</w:t>
            </w:r>
          </w:p>
        </w:tc>
        <w:tc>
          <w:tcPr>
            <w:tcW w:w="1054" w:type="pct"/>
            <w:tcBorders>
              <w:top w:val="single" w:sz="4" w:space="0" w:color="auto"/>
              <w:left w:val="nil"/>
              <w:bottom w:val="single" w:sz="4" w:space="0" w:color="auto"/>
              <w:right w:val="nil"/>
            </w:tcBorders>
            <w:shd w:val="clear" w:color="auto" w:fill="8DB3E2"/>
            <w:vAlign w:val="center"/>
            <w:hideMark/>
          </w:tcPr>
          <w:p w14:paraId="5D893C09" w14:textId="77777777" w:rsidR="002F783F" w:rsidRDefault="002F783F" w:rsidP="00933342">
            <w:pPr>
              <w:pStyle w:val="cuadroCabe"/>
              <w:jc w:val="right"/>
            </w:pPr>
            <w:r>
              <w:t xml:space="preserve">Derechos </w:t>
            </w:r>
            <w:proofErr w:type="spellStart"/>
            <w:r>
              <w:t>reconoc</w:t>
            </w:r>
            <w:proofErr w:type="spellEnd"/>
            <w:r>
              <w:t>.</w:t>
            </w:r>
          </w:p>
          <w:p w14:paraId="74D10A58" w14:textId="77777777" w:rsidR="002F783F" w:rsidRDefault="002F783F" w:rsidP="00933342">
            <w:pPr>
              <w:pStyle w:val="cuadroCabe"/>
              <w:jc w:val="right"/>
            </w:pPr>
            <w:r>
              <w:t>netos 2022</w:t>
            </w:r>
          </w:p>
        </w:tc>
        <w:tc>
          <w:tcPr>
            <w:tcW w:w="1052" w:type="pct"/>
            <w:tcBorders>
              <w:top w:val="single" w:sz="4" w:space="0" w:color="auto"/>
              <w:left w:val="nil"/>
              <w:bottom w:val="single" w:sz="4" w:space="0" w:color="auto"/>
              <w:right w:val="nil"/>
            </w:tcBorders>
            <w:shd w:val="clear" w:color="auto" w:fill="8DB3E2"/>
            <w:vAlign w:val="center"/>
            <w:hideMark/>
          </w:tcPr>
          <w:p w14:paraId="1286D373" w14:textId="77777777" w:rsidR="002F783F" w:rsidRDefault="002F783F" w:rsidP="00933342">
            <w:pPr>
              <w:pStyle w:val="cuadroCabe"/>
              <w:jc w:val="right"/>
            </w:pPr>
            <w:r>
              <w:t xml:space="preserve">Derechos </w:t>
            </w:r>
            <w:proofErr w:type="spellStart"/>
            <w:r>
              <w:t>reconoc</w:t>
            </w:r>
            <w:proofErr w:type="spellEnd"/>
            <w:r>
              <w:t>.</w:t>
            </w:r>
          </w:p>
          <w:p w14:paraId="596A9175" w14:textId="77777777" w:rsidR="002F783F" w:rsidRDefault="002F783F" w:rsidP="00933342">
            <w:pPr>
              <w:pStyle w:val="cuadroCabe"/>
              <w:jc w:val="right"/>
            </w:pPr>
            <w:r>
              <w:t>netos 2023</w:t>
            </w:r>
          </w:p>
        </w:tc>
        <w:tc>
          <w:tcPr>
            <w:tcW w:w="710" w:type="pct"/>
            <w:tcBorders>
              <w:top w:val="single" w:sz="4" w:space="0" w:color="auto"/>
              <w:left w:val="nil"/>
              <w:bottom w:val="single" w:sz="4" w:space="0" w:color="auto"/>
              <w:right w:val="nil"/>
            </w:tcBorders>
            <w:shd w:val="clear" w:color="auto" w:fill="8DB3E2"/>
            <w:vAlign w:val="center"/>
            <w:hideMark/>
          </w:tcPr>
          <w:p w14:paraId="685B158F" w14:textId="77777777" w:rsidR="002F783F" w:rsidRDefault="002F783F" w:rsidP="00933342">
            <w:pPr>
              <w:pStyle w:val="cuadroCabe"/>
              <w:jc w:val="right"/>
            </w:pPr>
            <w:r>
              <w:t xml:space="preserve">% Variación </w:t>
            </w:r>
          </w:p>
          <w:p w14:paraId="095709E9" w14:textId="77777777" w:rsidR="002F783F" w:rsidRDefault="002F783F" w:rsidP="00933342">
            <w:pPr>
              <w:pStyle w:val="cuadroCabe"/>
              <w:jc w:val="right"/>
            </w:pPr>
            <w:r>
              <w:t>2023/2022</w:t>
            </w:r>
          </w:p>
        </w:tc>
      </w:tr>
      <w:tr w:rsidR="002F783F" w:rsidRPr="0069768F" w14:paraId="208BB830" w14:textId="77777777" w:rsidTr="00710F7E">
        <w:trPr>
          <w:trHeight w:val="198"/>
        </w:trPr>
        <w:tc>
          <w:tcPr>
            <w:tcW w:w="2184" w:type="pct"/>
            <w:tcBorders>
              <w:top w:val="single" w:sz="4" w:space="0" w:color="auto"/>
              <w:left w:val="nil"/>
              <w:bottom w:val="single" w:sz="2" w:space="0" w:color="auto"/>
              <w:right w:val="nil"/>
            </w:tcBorders>
            <w:noWrap/>
            <w:vAlign w:val="center"/>
          </w:tcPr>
          <w:p w14:paraId="5B374926" w14:textId="77777777" w:rsidR="002F783F" w:rsidRPr="0069768F" w:rsidRDefault="002F783F" w:rsidP="00933342">
            <w:pPr>
              <w:pStyle w:val="cuatexto"/>
            </w:pPr>
            <w:r>
              <w:t>Intereses de anticipos y préstamos concedidos</w:t>
            </w:r>
          </w:p>
        </w:tc>
        <w:tc>
          <w:tcPr>
            <w:tcW w:w="1054" w:type="pct"/>
            <w:tcBorders>
              <w:top w:val="single" w:sz="4" w:space="0" w:color="auto"/>
              <w:left w:val="nil"/>
              <w:bottom w:val="single" w:sz="2" w:space="0" w:color="auto"/>
              <w:right w:val="nil"/>
            </w:tcBorders>
            <w:vAlign w:val="center"/>
          </w:tcPr>
          <w:p w14:paraId="72FE113E" w14:textId="77777777" w:rsidR="002F783F" w:rsidRPr="0069768F" w:rsidRDefault="002F783F" w:rsidP="002F783F">
            <w:pPr>
              <w:pStyle w:val="cuatexto"/>
              <w:jc w:val="right"/>
            </w:pPr>
            <w:r>
              <w:t>8</w:t>
            </w:r>
          </w:p>
        </w:tc>
        <w:tc>
          <w:tcPr>
            <w:tcW w:w="1052" w:type="pct"/>
            <w:tcBorders>
              <w:top w:val="single" w:sz="4" w:space="0" w:color="auto"/>
              <w:left w:val="nil"/>
              <w:bottom w:val="single" w:sz="2" w:space="0" w:color="auto"/>
              <w:right w:val="nil"/>
            </w:tcBorders>
            <w:shd w:val="clear" w:color="auto" w:fill="auto"/>
            <w:vAlign w:val="center"/>
          </w:tcPr>
          <w:p w14:paraId="17E85A95" w14:textId="77777777" w:rsidR="002F783F" w:rsidRPr="0069768F" w:rsidRDefault="002F783F" w:rsidP="00933342">
            <w:pPr>
              <w:pStyle w:val="cuatexto"/>
              <w:jc w:val="right"/>
              <w:rPr>
                <w:rFonts w:cs="Calibri"/>
                <w:color w:val="000000"/>
              </w:rPr>
            </w:pPr>
            <w:r>
              <w:rPr>
                <w:rFonts w:cs="Calibri"/>
                <w:color w:val="000000"/>
              </w:rPr>
              <w:t>5</w:t>
            </w:r>
          </w:p>
        </w:tc>
        <w:tc>
          <w:tcPr>
            <w:tcW w:w="710" w:type="pct"/>
            <w:tcBorders>
              <w:top w:val="single" w:sz="4" w:space="0" w:color="auto"/>
              <w:left w:val="nil"/>
              <w:bottom w:val="single" w:sz="2" w:space="0" w:color="auto"/>
              <w:right w:val="nil"/>
            </w:tcBorders>
            <w:shd w:val="clear" w:color="auto" w:fill="auto"/>
            <w:vAlign w:val="center"/>
          </w:tcPr>
          <w:p w14:paraId="47E7BEB3" w14:textId="77777777" w:rsidR="002F783F" w:rsidRPr="0069768F" w:rsidRDefault="002F783F" w:rsidP="00933342">
            <w:pPr>
              <w:pStyle w:val="cuatexto"/>
              <w:jc w:val="right"/>
              <w:rPr>
                <w:rFonts w:cs="Calibri"/>
                <w:color w:val="000000"/>
              </w:rPr>
            </w:pPr>
            <w:r>
              <w:rPr>
                <w:rFonts w:cs="Calibri"/>
                <w:color w:val="000000"/>
              </w:rPr>
              <w:t>-32</w:t>
            </w:r>
          </w:p>
        </w:tc>
      </w:tr>
      <w:tr w:rsidR="002F783F" w:rsidRPr="0069768F" w14:paraId="1B4C22E3" w14:textId="77777777" w:rsidTr="00710F7E">
        <w:trPr>
          <w:trHeight w:val="198"/>
        </w:trPr>
        <w:tc>
          <w:tcPr>
            <w:tcW w:w="2184" w:type="pct"/>
            <w:tcBorders>
              <w:top w:val="single" w:sz="2" w:space="0" w:color="auto"/>
              <w:left w:val="nil"/>
              <w:bottom w:val="single" w:sz="2" w:space="0" w:color="auto"/>
              <w:right w:val="nil"/>
            </w:tcBorders>
            <w:noWrap/>
            <w:vAlign w:val="center"/>
          </w:tcPr>
          <w:p w14:paraId="2B25D724" w14:textId="77777777" w:rsidR="002F783F" w:rsidRPr="0069768F" w:rsidRDefault="002F783F" w:rsidP="00933342">
            <w:pPr>
              <w:pStyle w:val="cuatexto"/>
            </w:pPr>
            <w:r>
              <w:t>Intereses de depósitos y aplazamientos</w:t>
            </w:r>
          </w:p>
        </w:tc>
        <w:tc>
          <w:tcPr>
            <w:tcW w:w="1054" w:type="pct"/>
            <w:tcBorders>
              <w:top w:val="single" w:sz="2" w:space="0" w:color="auto"/>
              <w:left w:val="nil"/>
              <w:bottom w:val="single" w:sz="2" w:space="0" w:color="auto"/>
              <w:right w:val="nil"/>
            </w:tcBorders>
            <w:vAlign w:val="center"/>
          </w:tcPr>
          <w:p w14:paraId="65BB416A" w14:textId="77777777" w:rsidR="002F783F" w:rsidRPr="0069768F" w:rsidRDefault="002F783F" w:rsidP="00933342">
            <w:pPr>
              <w:pStyle w:val="cuatexto"/>
              <w:jc w:val="right"/>
            </w:pPr>
            <w:r>
              <w:t>1.811</w:t>
            </w:r>
          </w:p>
        </w:tc>
        <w:tc>
          <w:tcPr>
            <w:tcW w:w="1052" w:type="pct"/>
            <w:tcBorders>
              <w:top w:val="single" w:sz="2" w:space="0" w:color="auto"/>
              <w:left w:val="nil"/>
              <w:bottom w:val="single" w:sz="2" w:space="0" w:color="auto"/>
              <w:right w:val="nil"/>
            </w:tcBorders>
            <w:shd w:val="clear" w:color="auto" w:fill="auto"/>
            <w:vAlign w:val="center"/>
          </w:tcPr>
          <w:p w14:paraId="5BC96855" w14:textId="77777777" w:rsidR="002F783F" w:rsidRPr="0069768F" w:rsidRDefault="002F783F" w:rsidP="00933342">
            <w:pPr>
              <w:pStyle w:val="cuatexto"/>
              <w:jc w:val="right"/>
              <w:rPr>
                <w:rFonts w:cs="Calibri"/>
                <w:color w:val="000000"/>
              </w:rPr>
            </w:pPr>
            <w:r>
              <w:rPr>
                <w:rFonts w:cs="Calibri"/>
                <w:color w:val="000000"/>
              </w:rPr>
              <w:t>23.776</w:t>
            </w:r>
          </w:p>
        </w:tc>
        <w:tc>
          <w:tcPr>
            <w:tcW w:w="710" w:type="pct"/>
            <w:tcBorders>
              <w:top w:val="single" w:sz="2" w:space="0" w:color="auto"/>
              <w:left w:val="nil"/>
              <w:bottom w:val="single" w:sz="2" w:space="0" w:color="auto"/>
              <w:right w:val="nil"/>
            </w:tcBorders>
            <w:shd w:val="clear" w:color="auto" w:fill="auto"/>
            <w:vAlign w:val="center"/>
          </w:tcPr>
          <w:p w14:paraId="58B46323" w14:textId="77777777" w:rsidR="002F783F" w:rsidRPr="0069768F" w:rsidRDefault="002F783F" w:rsidP="00933342">
            <w:pPr>
              <w:pStyle w:val="cuatexto"/>
              <w:jc w:val="right"/>
              <w:rPr>
                <w:rFonts w:cs="Calibri"/>
                <w:color w:val="000000"/>
              </w:rPr>
            </w:pPr>
            <w:r>
              <w:rPr>
                <w:rFonts w:cs="Calibri"/>
                <w:color w:val="000000"/>
              </w:rPr>
              <w:t>1.213</w:t>
            </w:r>
          </w:p>
        </w:tc>
      </w:tr>
      <w:tr w:rsidR="002F783F" w:rsidRPr="0069768F" w14:paraId="15CBD112" w14:textId="77777777" w:rsidTr="00710F7E">
        <w:trPr>
          <w:trHeight w:val="198"/>
        </w:trPr>
        <w:tc>
          <w:tcPr>
            <w:tcW w:w="2184" w:type="pct"/>
            <w:tcBorders>
              <w:top w:val="single" w:sz="2" w:space="0" w:color="auto"/>
              <w:left w:val="nil"/>
              <w:bottom w:val="single" w:sz="2" w:space="0" w:color="auto"/>
              <w:right w:val="nil"/>
            </w:tcBorders>
            <w:noWrap/>
            <w:vAlign w:val="center"/>
          </w:tcPr>
          <w:p w14:paraId="52E32AE4" w14:textId="77777777" w:rsidR="002F783F" w:rsidRPr="0069768F" w:rsidRDefault="002F783F" w:rsidP="00933342">
            <w:pPr>
              <w:pStyle w:val="cuatexto"/>
            </w:pPr>
            <w:r>
              <w:t>Rentas de bienes inmuebles</w:t>
            </w:r>
          </w:p>
        </w:tc>
        <w:tc>
          <w:tcPr>
            <w:tcW w:w="1054" w:type="pct"/>
            <w:tcBorders>
              <w:top w:val="single" w:sz="2" w:space="0" w:color="auto"/>
              <w:left w:val="nil"/>
              <w:bottom w:val="single" w:sz="2" w:space="0" w:color="auto"/>
              <w:right w:val="nil"/>
            </w:tcBorders>
            <w:vAlign w:val="center"/>
          </w:tcPr>
          <w:p w14:paraId="6FF15128" w14:textId="77777777" w:rsidR="002F783F" w:rsidRPr="0069768F" w:rsidRDefault="007E76AB" w:rsidP="007E76AB">
            <w:pPr>
              <w:pStyle w:val="cuatexto"/>
              <w:jc w:val="right"/>
            </w:pPr>
            <w:r>
              <w:t>861</w:t>
            </w:r>
          </w:p>
        </w:tc>
        <w:tc>
          <w:tcPr>
            <w:tcW w:w="1052" w:type="pct"/>
            <w:tcBorders>
              <w:top w:val="single" w:sz="2" w:space="0" w:color="auto"/>
              <w:left w:val="nil"/>
              <w:bottom w:val="single" w:sz="2" w:space="0" w:color="auto"/>
              <w:right w:val="nil"/>
            </w:tcBorders>
            <w:shd w:val="clear" w:color="auto" w:fill="auto"/>
            <w:vAlign w:val="center"/>
          </w:tcPr>
          <w:p w14:paraId="17C34DB1" w14:textId="77777777" w:rsidR="002F783F" w:rsidRPr="0069768F" w:rsidRDefault="007E76AB" w:rsidP="00933342">
            <w:pPr>
              <w:pStyle w:val="cuatexto"/>
              <w:jc w:val="right"/>
              <w:rPr>
                <w:rFonts w:cs="Calibri"/>
                <w:color w:val="000000"/>
              </w:rPr>
            </w:pPr>
            <w:r>
              <w:rPr>
                <w:rFonts w:cs="Calibri"/>
                <w:color w:val="000000"/>
              </w:rPr>
              <w:t>647</w:t>
            </w:r>
          </w:p>
        </w:tc>
        <w:tc>
          <w:tcPr>
            <w:tcW w:w="710" w:type="pct"/>
            <w:tcBorders>
              <w:top w:val="single" w:sz="2" w:space="0" w:color="auto"/>
              <w:left w:val="nil"/>
              <w:bottom w:val="single" w:sz="2" w:space="0" w:color="auto"/>
              <w:right w:val="nil"/>
            </w:tcBorders>
            <w:shd w:val="clear" w:color="auto" w:fill="auto"/>
            <w:vAlign w:val="center"/>
          </w:tcPr>
          <w:p w14:paraId="3A8830FB" w14:textId="77777777" w:rsidR="002F783F" w:rsidRPr="0069768F" w:rsidRDefault="002F783F" w:rsidP="00933342">
            <w:pPr>
              <w:pStyle w:val="cuatexto"/>
              <w:jc w:val="right"/>
              <w:rPr>
                <w:rFonts w:cs="Calibri"/>
                <w:color w:val="000000"/>
              </w:rPr>
            </w:pPr>
            <w:r>
              <w:rPr>
                <w:rFonts w:cs="Calibri"/>
                <w:color w:val="000000"/>
              </w:rPr>
              <w:t>-25</w:t>
            </w:r>
          </w:p>
        </w:tc>
      </w:tr>
      <w:tr w:rsidR="002F783F" w:rsidRPr="0069768F" w14:paraId="77D2AA1E" w14:textId="77777777" w:rsidTr="00710F7E">
        <w:trPr>
          <w:trHeight w:val="198"/>
        </w:trPr>
        <w:tc>
          <w:tcPr>
            <w:tcW w:w="2184" w:type="pct"/>
            <w:tcBorders>
              <w:top w:val="single" w:sz="2" w:space="0" w:color="auto"/>
              <w:left w:val="nil"/>
              <w:bottom w:val="single" w:sz="2" w:space="0" w:color="auto"/>
              <w:right w:val="nil"/>
            </w:tcBorders>
            <w:noWrap/>
            <w:vAlign w:val="center"/>
          </w:tcPr>
          <w:p w14:paraId="472068BE" w14:textId="77777777" w:rsidR="002F783F" w:rsidRPr="0069768F" w:rsidRDefault="002F783F" w:rsidP="00933342">
            <w:pPr>
              <w:pStyle w:val="cuatexto"/>
            </w:pPr>
            <w:r>
              <w:t xml:space="preserve">Productos de concesiones </w:t>
            </w:r>
          </w:p>
        </w:tc>
        <w:tc>
          <w:tcPr>
            <w:tcW w:w="1054" w:type="pct"/>
            <w:tcBorders>
              <w:top w:val="single" w:sz="2" w:space="0" w:color="auto"/>
              <w:left w:val="nil"/>
              <w:bottom w:val="single" w:sz="2" w:space="0" w:color="auto"/>
              <w:right w:val="nil"/>
            </w:tcBorders>
            <w:vAlign w:val="center"/>
          </w:tcPr>
          <w:p w14:paraId="415F2C9F" w14:textId="77777777" w:rsidR="002F783F" w:rsidRPr="0069768F" w:rsidRDefault="007E76AB" w:rsidP="00933342">
            <w:pPr>
              <w:pStyle w:val="cuatexto"/>
              <w:jc w:val="right"/>
            </w:pPr>
            <w:r>
              <w:t>607</w:t>
            </w:r>
          </w:p>
        </w:tc>
        <w:tc>
          <w:tcPr>
            <w:tcW w:w="1052" w:type="pct"/>
            <w:tcBorders>
              <w:top w:val="single" w:sz="2" w:space="0" w:color="auto"/>
              <w:left w:val="nil"/>
              <w:bottom w:val="single" w:sz="2" w:space="0" w:color="auto"/>
              <w:right w:val="nil"/>
            </w:tcBorders>
            <w:shd w:val="clear" w:color="auto" w:fill="auto"/>
            <w:vAlign w:val="center"/>
          </w:tcPr>
          <w:p w14:paraId="7B3FA34E" w14:textId="77777777" w:rsidR="002F783F" w:rsidRPr="0069768F" w:rsidRDefault="007E76AB" w:rsidP="00933342">
            <w:pPr>
              <w:pStyle w:val="cuatexto"/>
              <w:jc w:val="right"/>
              <w:rPr>
                <w:rFonts w:cs="Calibri"/>
                <w:color w:val="000000"/>
              </w:rPr>
            </w:pPr>
            <w:r>
              <w:rPr>
                <w:rFonts w:cs="Calibri"/>
                <w:color w:val="000000"/>
              </w:rPr>
              <w:t>648</w:t>
            </w:r>
          </w:p>
        </w:tc>
        <w:tc>
          <w:tcPr>
            <w:tcW w:w="710" w:type="pct"/>
            <w:tcBorders>
              <w:top w:val="single" w:sz="2" w:space="0" w:color="auto"/>
              <w:left w:val="nil"/>
              <w:bottom w:val="single" w:sz="2" w:space="0" w:color="auto"/>
              <w:right w:val="nil"/>
            </w:tcBorders>
            <w:shd w:val="clear" w:color="auto" w:fill="auto"/>
            <w:vAlign w:val="center"/>
          </w:tcPr>
          <w:p w14:paraId="5368D57B" w14:textId="77777777" w:rsidR="002F783F" w:rsidRPr="0069768F" w:rsidRDefault="002F783F" w:rsidP="00933342">
            <w:pPr>
              <w:pStyle w:val="cuatexto"/>
              <w:jc w:val="right"/>
              <w:rPr>
                <w:rFonts w:cs="Calibri"/>
                <w:color w:val="000000"/>
              </w:rPr>
            </w:pPr>
            <w:r>
              <w:rPr>
                <w:rFonts w:cs="Calibri"/>
                <w:color w:val="000000"/>
              </w:rPr>
              <w:t>7</w:t>
            </w:r>
          </w:p>
        </w:tc>
      </w:tr>
      <w:tr w:rsidR="002F783F" w:rsidRPr="0069768F" w14:paraId="08C5C576" w14:textId="77777777" w:rsidTr="00710F7E">
        <w:trPr>
          <w:trHeight w:val="198"/>
        </w:trPr>
        <w:tc>
          <w:tcPr>
            <w:tcW w:w="2184" w:type="pct"/>
            <w:tcBorders>
              <w:top w:val="single" w:sz="2" w:space="0" w:color="auto"/>
              <w:left w:val="nil"/>
              <w:bottom w:val="single" w:sz="4" w:space="0" w:color="auto"/>
              <w:right w:val="nil"/>
            </w:tcBorders>
            <w:noWrap/>
            <w:vAlign w:val="center"/>
          </w:tcPr>
          <w:p w14:paraId="67D54A51" w14:textId="77777777" w:rsidR="002F783F" w:rsidRPr="0069768F" w:rsidRDefault="002F783F" w:rsidP="00933342">
            <w:pPr>
              <w:pStyle w:val="cuatexto"/>
            </w:pPr>
            <w:r>
              <w:t>Otros ingresos patrimoniales</w:t>
            </w:r>
          </w:p>
        </w:tc>
        <w:tc>
          <w:tcPr>
            <w:tcW w:w="1054" w:type="pct"/>
            <w:tcBorders>
              <w:top w:val="single" w:sz="2" w:space="0" w:color="auto"/>
              <w:left w:val="nil"/>
              <w:bottom w:val="single" w:sz="4" w:space="0" w:color="auto"/>
              <w:right w:val="nil"/>
            </w:tcBorders>
            <w:vAlign w:val="center"/>
          </w:tcPr>
          <w:p w14:paraId="7C90E45B" w14:textId="77777777" w:rsidR="002F783F" w:rsidRPr="0069768F" w:rsidRDefault="002F783F" w:rsidP="00933342">
            <w:pPr>
              <w:pStyle w:val="cuatexto"/>
              <w:jc w:val="right"/>
            </w:pPr>
            <w:r>
              <w:t>1.973</w:t>
            </w:r>
          </w:p>
        </w:tc>
        <w:tc>
          <w:tcPr>
            <w:tcW w:w="1052" w:type="pct"/>
            <w:tcBorders>
              <w:top w:val="single" w:sz="2" w:space="0" w:color="auto"/>
              <w:left w:val="nil"/>
              <w:bottom w:val="single" w:sz="4" w:space="0" w:color="auto"/>
              <w:right w:val="nil"/>
            </w:tcBorders>
            <w:shd w:val="clear" w:color="auto" w:fill="auto"/>
            <w:vAlign w:val="center"/>
          </w:tcPr>
          <w:p w14:paraId="5D957C94" w14:textId="77777777" w:rsidR="002F783F" w:rsidRPr="0069768F" w:rsidRDefault="002F783F" w:rsidP="00933342">
            <w:pPr>
              <w:pStyle w:val="cuatexto"/>
              <w:jc w:val="right"/>
              <w:rPr>
                <w:rFonts w:cs="Calibri"/>
                <w:color w:val="000000"/>
              </w:rPr>
            </w:pPr>
            <w:r>
              <w:rPr>
                <w:rFonts w:cs="Calibri"/>
                <w:color w:val="000000"/>
              </w:rPr>
              <w:t>0</w:t>
            </w:r>
          </w:p>
        </w:tc>
        <w:tc>
          <w:tcPr>
            <w:tcW w:w="710" w:type="pct"/>
            <w:tcBorders>
              <w:top w:val="single" w:sz="2" w:space="0" w:color="auto"/>
              <w:left w:val="nil"/>
              <w:bottom w:val="single" w:sz="4" w:space="0" w:color="auto"/>
              <w:right w:val="nil"/>
            </w:tcBorders>
            <w:shd w:val="clear" w:color="auto" w:fill="auto"/>
            <w:vAlign w:val="center"/>
          </w:tcPr>
          <w:p w14:paraId="4AD92DFB" w14:textId="77777777" w:rsidR="002F783F" w:rsidRPr="0069768F" w:rsidRDefault="002F783F" w:rsidP="00933342">
            <w:pPr>
              <w:pStyle w:val="cuatexto"/>
              <w:jc w:val="right"/>
              <w:rPr>
                <w:rFonts w:cs="Calibri"/>
                <w:color w:val="000000"/>
              </w:rPr>
            </w:pPr>
            <w:r>
              <w:rPr>
                <w:rFonts w:cs="Calibri"/>
                <w:color w:val="000000"/>
              </w:rPr>
              <w:t>-100</w:t>
            </w:r>
          </w:p>
        </w:tc>
      </w:tr>
      <w:tr w:rsidR="002F783F" w:rsidRPr="0069768F" w14:paraId="4B0318E7" w14:textId="77777777" w:rsidTr="00710F7E">
        <w:trPr>
          <w:trHeight w:val="255"/>
        </w:trPr>
        <w:tc>
          <w:tcPr>
            <w:tcW w:w="2184" w:type="pct"/>
            <w:tcBorders>
              <w:top w:val="single" w:sz="4" w:space="0" w:color="auto"/>
              <w:left w:val="nil"/>
              <w:bottom w:val="single" w:sz="4" w:space="0" w:color="auto"/>
              <w:right w:val="nil"/>
            </w:tcBorders>
            <w:shd w:val="clear" w:color="auto" w:fill="8DB3E2"/>
            <w:noWrap/>
            <w:vAlign w:val="center"/>
            <w:hideMark/>
          </w:tcPr>
          <w:p w14:paraId="2634FA17" w14:textId="77777777" w:rsidR="002F783F" w:rsidRPr="0069768F" w:rsidRDefault="002F783F" w:rsidP="00933342">
            <w:pPr>
              <w:pStyle w:val="cuadroCabe"/>
            </w:pPr>
            <w:r w:rsidRPr="0069768F">
              <w:t xml:space="preserve">Total </w:t>
            </w:r>
          </w:p>
        </w:tc>
        <w:tc>
          <w:tcPr>
            <w:tcW w:w="1054" w:type="pct"/>
            <w:tcBorders>
              <w:top w:val="single" w:sz="4" w:space="0" w:color="auto"/>
              <w:left w:val="nil"/>
              <w:bottom w:val="single" w:sz="4" w:space="0" w:color="auto"/>
              <w:right w:val="nil"/>
            </w:tcBorders>
            <w:shd w:val="clear" w:color="auto" w:fill="8DB3E2"/>
            <w:vAlign w:val="center"/>
          </w:tcPr>
          <w:p w14:paraId="596AFD00" w14:textId="77777777" w:rsidR="002F783F" w:rsidRPr="0069768F" w:rsidRDefault="002F783F" w:rsidP="00933342">
            <w:pPr>
              <w:pStyle w:val="cuadroCabe"/>
              <w:jc w:val="right"/>
            </w:pPr>
            <w:r>
              <w:t>5.260</w:t>
            </w:r>
          </w:p>
        </w:tc>
        <w:tc>
          <w:tcPr>
            <w:tcW w:w="1052" w:type="pct"/>
            <w:tcBorders>
              <w:top w:val="single" w:sz="4" w:space="0" w:color="auto"/>
              <w:left w:val="nil"/>
              <w:bottom w:val="single" w:sz="4" w:space="0" w:color="auto"/>
              <w:right w:val="nil"/>
            </w:tcBorders>
            <w:shd w:val="clear" w:color="000000" w:fill="8DB3E2"/>
            <w:vAlign w:val="center"/>
          </w:tcPr>
          <w:p w14:paraId="7878CF20" w14:textId="77777777" w:rsidR="002F783F" w:rsidRPr="0069768F" w:rsidRDefault="007E76AB" w:rsidP="00933342">
            <w:pPr>
              <w:pStyle w:val="cuadroCabe"/>
              <w:jc w:val="right"/>
              <w:rPr>
                <w:color w:val="000000"/>
              </w:rPr>
            </w:pPr>
            <w:r>
              <w:rPr>
                <w:color w:val="000000"/>
              </w:rPr>
              <w:t>25.076</w:t>
            </w:r>
          </w:p>
        </w:tc>
        <w:tc>
          <w:tcPr>
            <w:tcW w:w="710" w:type="pct"/>
            <w:tcBorders>
              <w:top w:val="single" w:sz="4" w:space="0" w:color="auto"/>
              <w:left w:val="nil"/>
              <w:bottom w:val="single" w:sz="4" w:space="0" w:color="auto"/>
              <w:right w:val="nil"/>
            </w:tcBorders>
            <w:shd w:val="clear" w:color="000000" w:fill="8DB3E2"/>
            <w:vAlign w:val="center"/>
          </w:tcPr>
          <w:p w14:paraId="4DAEEE91" w14:textId="77777777" w:rsidR="002F783F" w:rsidRPr="0069768F" w:rsidRDefault="002F783F" w:rsidP="00933342">
            <w:pPr>
              <w:pStyle w:val="cuadroCabe"/>
              <w:jc w:val="right"/>
              <w:rPr>
                <w:color w:val="000000"/>
              </w:rPr>
            </w:pPr>
          </w:p>
        </w:tc>
      </w:tr>
    </w:tbl>
    <w:p w14:paraId="50DF22CB" w14:textId="77777777" w:rsidR="000C4F65" w:rsidRPr="00A72532" w:rsidRDefault="000C4F65" w:rsidP="007D37B5">
      <w:pPr>
        <w:pStyle w:val="texto"/>
        <w:jc w:val="both"/>
        <w:rPr>
          <w:rFonts w:cs="Arial"/>
        </w:rPr>
      </w:pPr>
    </w:p>
    <w:p w14:paraId="1B46AD86" w14:textId="77777777" w:rsidR="00C30EA6" w:rsidRPr="000C4F65" w:rsidRDefault="007E76AB" w:rsidP="007D37B5">
      <w:pPr>
        <w:pStyle w:val="texto"/>
        <w:jc w:val="both"/>
        <w:rPr>
          <w:rFonts w:cs="Arial"/>
        </w:rPr>
      </w:pPr>
      <w:r w:rsidRPr="000C4F65">
        <w:rPr>
          <w:rFonts w:cs="Arial"/>
        </w:rPr>
        <w:t xml:space="preserve">Hemos revisado los ingresos por intereses de depósitos, </w:t>
      </w:r>
      <w:r w:rsidR="0056112E">
        <w:rPr>
          <w:rFonts w:cs="Arial"/>
        </w:rPr>
        <w:t xml:space="preserve">por 21,49 millones, </w:t>
      </w:r>
      <w:r w:rsidRPr="000C4F65">
        <w:rPr>
          <w:rFonts w:cs="Arial"/>
        </w:rPr>
        <w:t xml:space="preserve">dado su significativo incremento. </w:t>
      </w:r>
      <w:r w:rsidR="00C30EA6" w:rsidRPr="000C4F65">
        <w:rPr>
          <w:rFonts w:cs="Arial"/>
        </w:rPr>
        <w:t xml:space="preserve">El motivo del aumento se debe a que en 2022 </w:t>
      </w:r>
      <w:r w:rsidR="00C30EA6" w:rsidRPr="000C4F65">
        <w:rPr>
          <w:rFonts w:cs="Arial"/>
        </w:rPr>
        <w:lastRenderedPageBreak/>
        <w:t>la facilidad de depósito</w:t>
      </w:r>
      <w:r w:rsidR="00C30EA6" w:rsidRPr="000C4F65">
        <w:rPr>
          <w:rStyle w:val="Refdenotaalpie"/>
          <w:rFonts w:cs="Arial"/>
        </w:rPr>
        <w:footnoteReference w:id="34"/>
      </w:r>
      <w:r w:rsidR="00C30EA6" w:rsidRPr="000C4F65">
        <w:rPr>
          <w:rFonts w:cs="Arial"/>
        </w:rPr>
        <w:t xml:space="preserve"> era negativa y cero principalmente y en 2023 ha variado del dos al cuatro por ciento. Además</w:t>
      </w:r>
      <w:r w:rsidR="000C4F65" w:rsidRPr="000C4F65">
        <w:rPr>
          <w:rFonts w:cs="Arial"/>
        </w:rPr>
        <w:t xml:space="preserve">, </w:t>
      </w:r>
      <w:r w:rsidR="00C30EA6" w:rsidRPr="000C4F65">
        <w:rPr>
          <w:rFonts w:cs="Arial"/>
        </w:rPr>
        <w:t xml:space="preserve">el saldo diario de </w:t>
      </w:r>
      <w:proofErr w:type="gramStart"/>
      <w:r w:rsidR="00C30EA6" w:rsidRPr="000C4F65">
        <w:rPr>
          <w:rFonts w:cs="Arial"/>
        </w:rPr>
        <w:t>2023,</w:t>
      </w:r>
      <w:proofErr w:type="gramEnd"/>
      <w:r w:rsidR="00C30EA6" w:rsidRPr="000C4F65">
        <w:rPr>
          <w:rFonts w:cs="Arial"/>
        </w:rPr>
        <w:t xml:space="preserve"> ha sido superior al de 2022.</w:t>
      </w:r>
    </w:p>
    <w:p w14:paraId="017BB71D" w14:textId="77777777" w:rsidR="00614DC4" w:rsidRPr="0017053D" w:rsidRDefault="00614DC4" w:rsidP="0017053D">
      <w:pPr>
        <w:pStyle w:val="atitulo3"/>
        <w:spacing w:before="240"/>
      </w:pPr>
      <w:r w:rsidRPr="0017053D">
        <w:t>Transferencias corrientes y de capital</w:t>
      </w:r>
    </w:p>
    <w:p w14:paraId="022C8751" w14:textId="77777777" w:rsidR="006B66C2" w:rsidRDefault="006B66C2" w:rsidP="009A38AE">
      <w:pPr>
        <w:pStyle w:val="texto"/>
        <w:spacing w:after="120"/>
        <w:jc w:val="both"/>
      </w:pPr>
      <w:r>
        <w:t xml:space="preserve">Los ingresos por transferencias corrientes y de capital ascendieron a </w:t>
      </w:r>
      <w:r w:rsidR="00576D79">
        <w:t>334,76</w:t>
      </w:r>
      <w:r>
        <w:t xml:space="preserve"> y 189,6 millones respectivamente, tal y como se muestra a continuación:</w:t>
      </w:r>
    </w:p>
    <w:p w14:paraId="014FCF40" w14:textId="77777777" w:rsidR="006B66C2" w:rsidRDefault="006B66C2" w:rsidP="006B66C2">
      <w:pPr>
        <w:tabs>
          <w:tab w:val="center" w:pos="2835"/>
          <w:tab w:val="center" w:pos="3969"/>
          <w:tab w:val="center" w:pos="5103"/>
          <w:tab w:val="center" w:pos="6237"/>
          <w:tab w:val="center" w:pos="7371"/>
        </w:tabs>
        <w:spacing w:after="80"/>
        <w:ind w:right="11" w:firstLine="284"/>
        <w:jc w:val="right"/>
        <w:rPr>
          <w:rFonts w:ascii="Arial" w:hAnsi="Arial"/>
          <w:spacing w:val="6"/>
          <w:sz w:val="17"/>
          <w:szCs w:val="17"/>
        </w:rPr>
      </w:pPr>
      <w:r>
        <w:rPr>
          <w:rFonts w:ascii="Arial" w:hAnsi="Arial"/>
          <w:spacing w:val="6"/>
          <w:sz w:val="17"/>
          <w:szCs w:val="17"/>
        </w:rPr>
        <w:t>(en miles)</w:t>
      </w:r>
    </w:p>
    <w:tbl>
      <w:tblPr>
        <w:tblW w:w="5081" w:type="pct"/>
        <w:jc w:val="center"/>
        <w:tblLayout w:type="fixed"/>
        <w:tblCellMar>
          <w:left w:w="70" w:type="dxa"/>
          <w:right w:w="70" w:type="dxa"/>
        </w:tblCellMar>
        <w:tblLook w:val="04A0" w:firstRow="1" w:lastRow="0" w:firstColumn="1" w:lastColumn="0" w:noHBand="0" w:noVBand="1"/>
      </w:tblPr>
      <w:tblGrid>
        <w:gridCol w:w="4073"/>
        <w:gridCol w:w="1742"/>
        <w:gridCol w:w="1700"/>
        <w:gridCol w:w="1416"/>
      </w:tblGrid>
      <w:tr w:rsidR="006B66C2" w14:paraId="1E3B78A8" w14:textId="77777777" w:rsidTr="001F6B50">
        <w:trPr>
          <w:trHeight w:val="255"/>
          <w:jc w:val="center"/>
        </w:trPr>
        <w:tc>
          <w:tcPr>
            <w:tcW w:w="2280" w:type="pct"/>
            <w:tcBorders>
              <w:top w:val="single" w:sz="4" w:space="0" w:color="auto"/>
              <w:left w:val="nil"/>
              <w:bottom w:val="single" w:sz="4" w:space="0" w:color="auto"/>
              <w:right w:val="nil"/>
            </w:tcBorders>
            <w:shd w:val="clear" w:color="auto" w:fill="8DB3E2"/>
            <w:noWrap/>
            <w:vAlign w:val="center"/>
            <w:hideMark/>
          </w:tcPr>
          <w:p w14:paraId="6DCE784A" w14:textId="77777777" w:rsidR="006B66C2" w:rsidRDefault="006B66C2" w:rsidP="00B8117E">
            <w:pPr>
              <w:pStyle w:val="cuadroCabe"/>
            </w:pPr>
            <w:r>
              <w:t>Artículo presupuestario</w:t>
            </w:r>
          </w:p>
        </w:tc>
        <w:tc>
          <w:tcPr>
            <w:tcW w:w="975" w:type="pct"/>
            <w:tcBorders>
              <w:top w:val="single" w:sz="4" w:space="0" w:color="auto"/>
              <w:left w:val="nil"/>
              <w:bottom w:val="single" w:sz="4" w:space="0" w:color="auto"/>
              <w:right w:val="nil"/>
            </w:tcBorders>
            <w:shd w:val="clear" w:color="auto" w:fill="8DB3E2"/>
            <w:noWrap/>
            <w:vAlign w:val="center"/>
            <w:hideMark/>
          </w:tcPr>
          <w:p w14:paraId="24E99CA0" w14:textId="77777777" w:rsidR="00576D79" w:rsidRDefault="006B66C2" w:rsidP="00576D79">
            <w:pPr>
              <w:pStyle w:val="cuadroCabe"/>
              <w:jc w:val="right"/>
            </w:pPr>
            <w:r>
              <w:t xml:space="preserve">Derechos </w:t>
            </w:r>
          </w:p>
          <w:p w14:paraId="312A7121" w14:textId="77777777" w:rsidR="006B66C2" w:rsidRDefault="006B66C2" w:rsidP="00576D79">
            <w:pPr>
              <w:pStyle w:val="cuadroCabe"/>
              <w:jc w:val="right"/>
            </w:pPr>
            <w:r>
              <w:t xml:space="preserve">reconocidos </w:t>
            </w:r>
          </w:p>
          <w:p w14:paraId="4442D202" w14:textId="77777777" w:rsidR="006B66C2" w:rsidRDefault="006B66C2" w:rsidP="00576D79">
            <w:pPr>
              <w:pStyle w:val="cuadroCabe"/>
              <w:jc w:val="right"/>
            </w:pPr>
            <w:r>
              <w:t>Netos 2022</w:t>
            </w:r>
          </w:p>
        </w:tc>
        <w:tc>
          <w:tcPr>
            <w:tcW w:w="952" w:type="pct"/>
            <w:tcBorders>
              <w:top w:val="single" w:sz="4" w:space="0" w:color="auto"/>
              <w:left w:val="nil"/>
              <w:bottom w:val="single" w:sz="4" w:space="0" w:color="auto"/>
              <w:right w:val="nil"/>
            </w:tcBorders>
            <w:shd w:val="clear" w:color="auto" w:fill="8DB3E2"/>
            <w:vAlign w:val="center"/>
            <w:hideMark/>
          </w:tcPr>
          <w:p w14:paraId="527F7A75" w14:textId="77777777" w:rsidR="00576D79" w:rsidRDefault="006B66C2" w:rsidP="00576D79">
            <w:pPr>
              <w:pStyle w:val="cuadroCabe"/>
              <w:jc w:val="right"/>
            </w:pPr>
            <w:r>
              <w:t xml:space="preserve">Derechos </w:t>
            </w:r>
          </w:p>
          <w:p w14:paraId="7F89AB46" w14:textId="77777777" w:rsidR="006B66C2" w:rsidRDefault="006B66C2" w:rsidP="00576D79">
            <w:pPr>
              <w:pStyle w:val="cuadroCabe"/>
              <w:jc w:val="right"/>
            </w:pPr>
            <w:r>
              <w:t xml:space="preserve">reconocidos </w:t>
            </w:r>
          </w:p>
          <w:p w14:paraId="5F7C954A" w14:textId="77777777" w:rsidR="006B66C2" w:rsidRDefault="006B66C2" w:rsidP="00576D79">
            <w:pPr>
              <w:pStyle w:val="cuadroCabe"/>
              <w:jc w:val="right"/>
            </w:pPr>
            <w:r>
              <w:t>Netos 2023</w:t>
            </w:r>
          </w:p>
        </w:tc>
        <w:tc>
          <w:tcPr>
            <w:tcW w:w="794" w:type="pct"/>
            <w:tcBorders>
              <w:top w:val="single" w:sz="4" w:space="0" w:color="auto"/>
              <w:left w:val="nil"/>
              <w:bottom w:val="single" w:sz="4" w:space="0" w:color="auto"/>
              <w:right w:val="nil"/>
            </w:tcBorders>
            <w:shd w:val="clear" w:color="auto" w:fill="8DB3E2"/>
            <w:vAlign w:val="center"/>
            <w:hideMark/>
          </w:tcPr>
          <w:p w14:paraId="49781146" w14:textId="77777777" w:rsidR="006B66C2" w:rsidRDefault="006B66C2" w:rsidP="00576D79">
            <w:pPr>
              <w:pStyle w:val="cuadroCabe"/>
              <w:jc w:val="right"/>
            </w:pPr>
            <w:r>
              <w:t>% Var. 2023/2022</w:t>
            </w:r>
          </w:p>
        </w:tc>
      </w:tr>
      <w:tr w:rsidR="006B66C2" w:rsidRPr="0069768F" w14:paraId="25939263" w14:textId="77777777" w:rsidTr="001F6B50">
        <w:trPr>
          <w:trHeight w:val="198"/>
          <w:jc w:val="center"/>
        </w:trPr>
        <w:tc>
          <w:tcPr>
            <w:tcW w:w="2280" w:type="pct"/>
            <w:tcBorders>
              <w:top w:val="single" w:sz="4" w:space="0" w:color="auto"/>
              <w:left w:val="nil"/>
              <w:bottom w:val="single" w:sz="2" w:space="0" w:color="auto"/>
              <w:right w:val="nil"/>
            </w:tcBorders>
            <w:noWrap/>
            <w:vAlign w:val="center"/>
            <w:hideMark/>
          </w:tcPr>
          <w:p w14:paraId="6A9090C8" w14:textId="77777777" w:rsidR="006B66C2" w:rsidRPr="0069768F" w:rsidRDefault="006B66C2" w:rsidP="00B8117E">
            <w:pPr>
              <w:pStyle w:val="cuatexto"/>
            </w:pPr>
            <w:proofErr w:type="spellStart"/>
            <w:r w:rsidRPr="0069768F">
              <w:t>Transf</w:t>
            </w:r>
            <w:proofErr w:type="spellEnd"/>
            <w:r w:rsidRPr="0069768F">
              <w:t>. corrientes de la Administración del Estado</w:t>
            </w:r>
          </w:p>
        </w:tc>
        <w:tc>
          <w:tcPr>
            <w:tcW w:w="975" w:type="pct"/>
            <w:tcBorders>
              <w:top w:val="single" w:sz="4" w:space="0" w:color="auto"/>
              <w:left w:val="nil"/>
              <w:bottom w:val="single" w:sz="2" w:space="0" w:color="auto"/>
              <w:right w:val="nil"/>
            </w:tcBorders>
            <w:noWrap/>
            <w:vAlign w:val="center"/>
          </w:tcPr>
          <w:p w14:paraId="470F3AFF" w14:textId="77777777" w:rsidR="006B66C2" w:rsidRPr="0069768F" w:rsidRDefault="006B66C2" w:rsidP="00B8117E">
            <w:pPr>
              <w:pStyle w:val="cuatexto"/>
              <w:jc w:val="right"/>
            </w:pPr>
            <w:r w:rsidRPr="0069768F">
              <w:t>199.927</w:t>
            </w:r>
          </w:p>
        </w:tc>
        <w:tc>
          <w:tcPr>
            <w:tcW w:w="952" w:type="pct"/>
            <w:tcBorders>
              <w:top w:val="single" w:sz="4" w:space="0" w:color="auto"/>
              <w:left w:val="nil"/>
              <w:bottom w:val="single" w:sz="2" w:space="0" w:color="auto"/>
              <w:right w:val="nil"/>
            </w:tcBorders>
            <w:shd w:val="clear" w:color="auto" w:fill="auto"/>
            <w:noWrap/>
            <w:vAlign w:val="center"/>
          </w:tcPr>
          <w:p w14:paraId="2E572985" w14:textId="77777777" w:rsidR="006B66C2" w:rsidRPr="0069768F" w:rsidRDefault="006B66C2" w:rsidP="00B8117E">
            <w:pPr>
              <w:pStyle w:val="cuatexto"/>
              <w:jc w:val="right"/>
            </w:pPr>
            <w:r w:rsidRPr="0069768F">
              <w:t>312.836</w:t>
            </w:r>
          </w:p>
        </w:tc>
        <w:tc>
          <w:tcPr>
            <w:tcW w:w="794" w:type="pct"/>
            <w:tcBorders>
              <w:top w:val="single" w:sz="4" w:space="0" w:color="auto"/>
              <w:left w:val="nil"/>
              <w:bottom w:val="single" w:sz="2" w:space="0" w:color="auto"/>
              <w:right w:val="nil"/>
            </w:tcBorders>
            <w:noWrap/>
            <w:vAlign w:val="center"/>
          </w:tcPr>
          <w:p w14:paraId="60E0A7D5" w14:textId="77777777" w:rsidR="006B66C2" w:rsidRPr="0069768F" w:rsidRDefault="006B66C2" w:rsidP="00B8117E">
            <w:pPr>
              <w:pStyle w:val="cuatexto"/>
              <w:jc w:val="right"/>
            </w:pPr>
            <w:r w:rsidRPr="0069768F">
              <w:t>56</w:t>
            </w:r>
          </w:p>
        </w:tc>
      </w:tr>
      <w:tr w:rsidR="006B66C2" w:rsidRPr="0069768F" w14:paraId="617B262F" w14:textId="77777777" w:rsidTr="001F6B50">
        <w:trPr>
          <w:trHeight w:val="198"/>
          <w:jc w:val="center"/>
        </w:trPr>
        <w:tc>
          <w:tcPr>
            <w:tcW w:w="2280" w:type="pct"/>
            <w:tcBorders>
              <w:top w:val="single" w:sz="2" w:space="0" w:color="auto"/>
              <w:left w:val="nil"/>
              <w:bottom w:val="single" w:sz="2" w:space="0" w:color="auto"/>
              <w:right w:val="nil"/>
            </w:tcBorders>
            <w:noWrap/>
            <w:vAlign w:val="center"/>
            <w:hideMark/>
          </w:tcPr>
          <w:p w14:paraId="2963AB0B" w14:textId="77777777" w:rsidR="006B66C2" w:rsidRPr="0069768F" w:rsidRDefault="006B66C2" w:rsidP="00B8117E">
            <w:pPr>
              <w:pStyle w:val="cuatexto"/>
            </w:pPr>
            <w:r w:rsidRPr="0069768F">
              <w:t>Transferencias corrientes de fundaciones</w:t>
            </w:r>
          </w:p>
        </w:tc>
        <w:tc>
          <w:tcPr>
            <w:tcW w:w="975" w:type="pct"/>
            <w:tcBorders>
              <w:top w:val="single" w:sz="2" w:space="0" w:color="auto"/>
              <w:left w:val="nil"/>
              <w:bottom w:val="single" w:sz="2" w:space="0" w:color="auto"/>
              <w:right w:val="nil"/>
            </w:tcBorders>
            <w:noWrap/>
            <w:vAlign w:val="center"/>
          </w:tcPr>
          <w:p w14:paraId="6FA59EFB" w14:textId="77777777" w:rsidR="006B66C2" w:rsidRPr="0069768F" w:rsidRDefault="006B66C2" w:rsidP="00B8117E">
            <w:pPr>
              <w:pStyle w:val="cuatexto"/>
              <w:jc w:val="right"/>
            </w:pPr>
            <w:r w:rsidRPr="0069768F">
              <w:t>203</w:t>
            </w:r>
          </w:p>
        </w:tc>
        <w:tc>
          <w:tcPr>
            <w:tcW w:w="952" w:type="pct"/>
            <w:tcBorders>
              <w:top w:val="single" w:sz="2" w:space="0" w:color="auto"/>
              <w:left w:val="nil"/>
              <w:bottom w:val="single" w:sz="2" w:space="0" w:color="auto"/>
              <w:right w:val="nil"/>
            </w:tcBorders>
            <w:shd w:val="clear" w:color="auto" w:fill="auto"/>
            <w:noWrap/>
            <w:vAlign w:val="center"/>
          </w:tcPr>
          <w:p w14:paraId="3FD10928" w14:textId="77777777" w:rsidR="006B66C2" w:rsidRPr="0069768F" w:rsidRDefault="006B66C2" w:rsidP="00B8117E">
            <w:pPr>
              <w:pStyle w:val="cuatexto"/>
              <w:jc w:val="right"/>
            </w:pPr>
            <w:r w:rsidRPr="0069768F">
              <w:t>429</w:t>
            </w:r>
          </w:p>
        </w:tc>
        <w:tc>
          <w:tcPr>
            <w:tcW w:w="794" w:type="pct"/>
            <w:tcBorders>
              <w:top w:val="single" w:sz="2" w:space="0" w:color="auto"/>
              <w:left w:val="nil"/>
              <w:bottom w:val="single" w:sz="2" w:space="0" w:color="auto"/>
              <w:right w:val="nil"/>
            </w:tcBorders>
            <w:noWrap/>
            <w:vAlign w:val="center"/>
          </w:tcPr>
          <w:p w14:paraId="515914AE" w14:textId="77777777" w:rsidR="006B66C2" w:rsidRPr="0069768F" w:rsidRDefault="006B66C2" w:rsidP="00B8117E">
            <w:pPr>
              <w:pStyle w:val="cuatexto"/>
              <w:jc w:val="right"/>
            </w:pPr>
            <w:r w:rsidRPr="0069768F">
              <w:t>111</w:t>
            </w:r>
          </w:p>
        </w:tc>
      </w:tr>
      <w:tr w:rsidR="006B66C2" w:rsidRPr="0069768F" w14:paraId="3658049B" w14:textId="77777777" w:rsidTr="001F6B50">
        <w:trPr>
          <w:trHeight w:val="198"/>
          <w:jc w:val="center"/>
        </w:trPr>
        <w:tc>
          <w:tcPr>
            <w:tcW w:w="2280" w:type="pct"/>
            <w:tcBorders>
              <w:top w:val="single" w:sz="2" w:space="0" w:color="auto"/>
              <w:left w:val="nil"/>
              <w:bottom w:val="single" w:sz="2" w:space="0" w:color="auto"/>
              <w:right w:val="nil"/>
            </w:tcBorders>
            <w:noWrap/>
            <w:vAlign w:val="center"/>
            <w:hideMark/>
          </w:tcPr>
          <w:p w14:paraId="4C74C425" w14:textId="77777777" w:rsidR="006B66C2" w:rsidRPr="0069768F" w:rsidRDefault="006B66C2" w:rsidP="00B8117E">
            <w:pPr>
              <w:pStyle w:val="cuatexto"/>
            </w:pPr>
            <w:proofErr w:type="spellStart"/>
            <w:r w:rsidRPr="0069768F">
              <w:t>Transf</w:t>
            </w:r>
            <w:proofErr w:type="spellEnd"/>
            <w:r w:rsidRPr="0069768F">
              <w:t xml:space="preserve">. </w:t>
            </w:r>
            <w:proofErr w:type="spellStart"/>
            <w:r w:rsidRPr="0069768F">
              <w:t>ctes</w:t>
            </w:r>
            <w:proofErr w:type="spellEnd"/>
            <w:r w:rsidRPr="0069768F">
              <w:t xml:space="preserve">. de </w:t>
            </w:r>
            <w:proofErr w:type="spellStart"/>
            <w:r w:rsidRPr="0069768F">
              <w:t>empr</w:t>
            </w:r>
            <w:proofErr w:type="spellEnd"/>
            <w:r w:rsidRPr="0069768F">
              <w:t xml:space="preserve">. </w:t>
            </w:r>
            <w:proofErr w:type="spellStart"/>
            <w:r w:rsidRPr="0069768F">
              <w:t>públic</w:t>
            </w:r>
            <w:proofErr w:type="spellEnd"/>
            <w:r w:rsidRPr="0069768F">
              <w:t xml:space="preserve">. y otros entes </w:t>
            </w:r>
            <w:proofErr w:type="spellStart"/>
            <w:r w:rsidRPr="0069768F">
              <w:t>públic</w:t>
            </w:r>
            <w:proofErr w:type="spellEnd"/>
            <w:r w:rsidRPr="0069768F">
              <w:t>.</w:t>
            </w:r>
          </w:p>
        </w:tc>
        <w:tc>
          <w:tcPr>
            <w:tcW w:w="975" w:type="pct"/>
            <w:tcBorders>
              <w:top w:val="single" w:sz="2" w:space="0" w:color="auto"/>
              <w:left w:val="nil"/>
              <w:bottom w:val="single" w:sz="2" w:space="0" w:color="auto"/>
              <w:right w:val="nil"/>
            </w:tcBorders>
            <w:noWrap/>
            <w:vAlign w:val="center"/>
          </w:tcPr>
          <w:p w14:paraId="3695AEF0" w14:textId="77777777" w:rsidR="006B66C2" w:rsidRPr="0069768F" w:rsidRDefault="006B66C2" w:rsidP="00B8117E">
            <w:pPr>
              <w:pStyle w:val="cuatexto"/>
              <w:jc w:val="right"/>
            </w:pPr>
            <w:r w:rsidRPr="0069768F">
              <w:t>183</w:t>
            </w:r>
          </w:p>
        </w:tc>
        <w:tc>
          <w:tcPr>
            <w:tcW w:w="952" w:type="pct"/>
            <w:tcBorders>
              <w:top w:val="single" w:sz="2" w:space="0" w:color="auto"/>
              <w:left w:val="nil"/>
              <w:bottom w:val="single" w:sz="2" w:space="0" w:color="auto"/>
              <w:right w:val="nil"/>
            </w:tcBorders>
            <w:shd w:val="clear" w:color="auto" w:fill="auto"/>
            <w:noWrap/>
            <w:vAlign w:val="center"/>
          </w:tcPr>
          <w:p w14:paraId="2764EB74" w14:textId="77777777" w:rsidR="006B66C2" w:rsidRPr="0069768F" w:rsidRDefault="006B66C2" w:rsidP="00B8117E">
            <w:pPr>
              <w:pStyle w:val="cuatexto"/>
              <w:jc w:val="right"/>
            </w:pPr>
            <w:r w:rsidRPr="0069768F">
              <w:t>165</w:t>
            </w:r>
          </w:p>
        </w:tc>
        <w:tc>
          <w:tcPr>
            <w:tcW w:w="794" w:type="pct"/>
            <w:tcBorders>
              <w:top w:val="single" w:sz="2" w:space="0" w:color="auto"/>
              <w:left w:val="nil"/>
              <w:bottom w:val="single" w:sz="2" w:space="0" w:color="auto"/>
              <w:right w:val="nil"/>
            </w:tcBorders>
            <w:noWrap/>
            <w:vAlign w:val="center"/>
          </w:tcPr>
          <w:p w14:paraId="65A998CE" w14:textId="77777777" w:rsidR="006B66C2" w:rsidRPr="0069768F" w:rsidRDefault="006B66C2" w:rsidP="00B8117E">
            <w:pPr>
              <w:pStyle w:val="cuatexto"/>
              <w:jc w:val="right"/>
            </w:pPr>
            <w:r w:rsidRPr="0069768F">
              <w:t>-10</w:t>
            </w:r>
          </w:p>
        </w:tc>
      </w:tr>
      <w:tr w:rsidR="006B66C2" w:rsidRPr="0069768F" w14:paraId="7E621605" w14:textId="77777777" w:rsidTr="001F6B50">
        <w:trPr>
          <w:trHeight w:val="198"/>
          <w:jc w:val="center"/>
        </w:trPr>
        <w:tc>
          <w:tcPr>
            <w:tcW w:w="2280" w:type="pct"/>
            <w:tcBorders>
              <w:top w:val="single" w:sz="2" w:space="0" w:color="auto"/>
              <w:left w:val="nil"/>
              <w:bottom w:val="single" w:sz="2" w:space="0" w:color="auto"/>
              <w:right w:val="nil"/>
            </w:tcBorders>
            <w:noWrap/>
            <w:vAlign w:val="center"/>
            <w:hideMark/>
          </w:tcPr>
          <w:p w14:paraId="69B58C1E" w14:textId="77777777" w:rsidR="006B66C2" w:rsidRPr="0069768F" w:rsidRDefault="006B66C2" w:rsidP="00B8117E">
            <w:pPr>
              <w:pStyle w:val="cuatexto"/>
            </w:pPr>
            <w:r w:rsidRPr="0069768F">
              <w:t>Transferencias corrientes de entidades locales</w:t>
            </w:r>
          </w:p>
        </w:tc>
        <w:tc>
          <w:tcPr>
            <w:tcW w:w="975" w:type="pct"/>
            <w:tcBorders>
              <w:top w:val="single" w:sz="2" w:space="0" w:color="auto"/>
              <w:left w:val="nil"/>
              <w:bottom w:val="single" w:sz="2" w:space="0" w:color="auto"/>
              <w:right w:val="nil"/>
            </w:tcBorders>
            <w:noWrap/>
            <w:vAlign w:val="center"/>
          </w:tcPr>
          <w:p w14:paraId="74CD449F" w14:textId="77777777" w:rsidR="006B66C2" w:rsidRPr="0069768F" w:rsidRDefault="006B66C2" w:rsidP="00B8117E">
            <w:pPr>
              <w:pStyle w:val="cuatexto"/>
              <w:jc w:val="right"/>
            </w:pPr>
            <w:r w:rsidRPr="0069768F">
              <w:t>2.041</w:t>
            </w:r>
          </w:p>
        </w:tc>
        <w:tc>
          <w:tcPr>
            <w:tcW w:w="952" w:type="pct"/>
            <w:tcBorders>
              <w:top w:val="single" w:sz="2" w:space="0" w:color="auto"/>
              <w:left w:val="nil"/>
              <w:bottom w:val="single" w:sz="2" w:space="0" w:color="auto"/>
              <w:right w:val="nil"/>
            </w:tcBorders>
            <w:shd w:val="clear" w:color="auto" w:fill="auto"/>
            <w:noWrap/>
            <w:vAlign w:val="center"/>
          </w:tcPr>
          <w:p w14:paraId="01CE6CEB" w14:textId="77777777" w:rsidR="006B66C2" w:rsidRPr="0069768F" w:rsidRDefault="006B66C2" w:rsidP="00B8117E">
            <w:pPr>
              <w:pStyle w:val="cuatexto"/>
              <w:jc w:val="right"/>
            </w:pPr>
            <w:r w:rsidRPr="0069768F">
              <w:t>2.013</w:t>
            </w:r>
          </w:p>
        </w:tc>
        <w:tc>
          <w:tcPr>
            <w:tcW w:w="794" w:type="pct"/>
            <w:tcBorders>
              <w:top w:val="single" w:sz="2" w:space="0" w:color="auto"/>
              <w:left w:val="nil"/>
              <w:bottom w:val="single" w:sz="2" w:space="0" w:color="auto"/>
              <w:right w:val="nil"/>
            </w:tcBorders>
            <w:noWrap/>
            <w:vAlign w:val="center"/>
          </w:tcPr>
          <w:p w14:paraId="67352F3D" w14:textId="77777777" w:rsidR="006B66C2" w:rsidRPr="0069768F" w:rsidRDefault="006B66C2" w:rsidP="00B8117E">
            <w:pPr>
              <w:pStyle w:val="cuatexto"/>
              <w:jc w:val="right"/>
            </w:pPr>
            <w:r w:rsidRPr="0069768F">
              <w:t>-1</w:t>
            </w:r>
          </w:p>
        </w:tc>
      </w:tr>
      <w:tr w:rsidR="006B66C2" w:rsidRPr="0069768F" w14:paraId="56477B04" w14:textId="77777777" w:rsidTr="001F6B50">
        <w:trPr>
          <w:trHeight w:val="198"/>
          <w:jc w:val="center"/>
        </w:trPr>
        <w:tc>
          <w:tcPr>
            <w:tcW w:w="2280" w:type="pct"/>
            <w:tcBorders>
              <w:top w:val="single" w:sz="2" w:space="0" w:color="auto"/>
              <w:left w:val="nil"/>
              <w:bottom w:val="single" w:sz="2" w:space="0" w:color="auto"/>
              <w:right w:val="nil"/>
            </w:tcBorders>
            <w:noWrap/>
            <w:vAlign w:val="center"/>
            <w:hideMark/>
          </w:tcPr>
          <w:p w14:paraId="13F3AD03" w14:textId="77777777" w:rsidR="006B66C2" w:rsidRPr="0069768F" w:rsidRDefault="006B66C2" w:rsidP="00B8117E">
            <w:pPr>
              <w:pStyle w:val="cuatexto"/>
            </w:pPr>
            <w:r w:rsidRPr="0069768F">
              <w:t>Transferencias corrientes de empresas privadas</w:t>
            </w:r>
          </w:p>
        </w:tc>
        <w:tc>
          <w:tcPr>
            <w:tcW w:w="975" w:type="pct"/>
            <w:tcBorders>
              <w:top w:val="single" w:sz="2" w:space="0" w:color="auto"/>
              <w:left w:val="nil"/>
              <w:bottom w:val="single" w:sz="2" w:space="0" w:color="auto"/>
              <w:right w:val="nil"/>
            </w:tcBorders>
            <w:noWrap/>
            <w:vAlign w:val="center"/>
          </w:tcPr>
          <w:p w14:paraId="064114D9" w14:textId="77777777" w:rsidR="006B66C2" w:rsidRPr="0069768F" w:rsidRDefault="006B66C2" w:rsidP="00B8117E">
            <w:pPr>
              <w:pStyle w:val="cuatexto"/>
              <w:jc w:val="right"/>
            </w:pPr>
            <w:r w:rsidRPr="0069768F">
              <w:t>179</w:t>
            </w:r>
          </w:p>
        </w:tc>
        <w:tc>
          <w:tcPr>
            <w:tcW w:w="952" w:type="pct"/>
            <w:tcBorders>
              <w:top w:val="single" w:sz="2" w:space="0" w:color="auto"/>
              <w:left w:val="nil"/>
              <w:bottom w:val="single" w:sz="2" w:space="0" w:color="auto"/>
              <w:right w:val="nil"/>
            </w:tcBorders>
            <w:shd w:val="clear" w:color="auto" w:fill="auto"/>
            <w:noWrap/>
            <w:vAlign w:val="center"/>
          </w:tcPr>
          <w:p w14:paraId="09C98A9F" w14:textId="77777777" w:rsidR="006B66C2" w:rsidRPr="0069768F" w:rsidRDefault="006B66C2" w:rsidP="00B8117E">
            <w:pPr>
              <w:pStyle w:val="cuatexto"/>
              <w:jc w:val="right"/>
            </w:pPr>
            <w:r w:rsidRPr="0069768F">
              <w:t>170</w:t>
            </w:r>
          </w:p>
        </w:tc>
        <w:tc>
          <w:tcPr>
            <w:tcW w:w="794" w:type="pct"/>
            <w:tcBorders>
              <w:top w:val="single" w:sz="2" w:space="0" w:color="auto"/>
              <w:left w:val="nil"/>
              <w:bottom w:val="single" w:sz="2" w:space="0" w:color="auto"/>
              <w:right w:val="nil"/>
            </w:tcBorders>
            <w:noWrap/>
            <w:vAlign w:val="center"/>
          </w:tcPr>
          <w:p w14:paraId="13D7BBAC" w14:textId="77777777" w:rsidR="006B66C2" w:rsidRPr="0069768F" w:rsidRDefault="006B66C2" w:rsidP="00B8117E">
            <w:pPr>
              <w:pStyle w:val="cuatexto"/>
              <w:jc w:val="right"/>
            </w:pPr>
            <w:r w:rsidRPr="0069768F">
              <w:t>-5</w:t>
            </w:r>
          </w:p>
        </w:tc>
      </w:tr>
      <w:tr w:rsidR="006B66C2" w:rsidRPr="0069768F" w14:paraId="2405C533" w14:textId="77777777" w:rsidTr="001F6B50">
        <w:trPr>
          <w:trHeight w:val="198"/>
          <w:jc w:val="center"/>
        </w:trPr>
        <w:tc>
          <w:tcPr>
            <w:tcW w:w="2280" w:type="pct"/>
            <w:tcBorders>
              <w:top w:val="single" w:sz="2" w:space="0" w:color="auto"/>
              <w:left w:val="nil"/>
              <w:bottom w:val="single" w:sz="2" w:space="0" w:color="auto"/>
              <w:right w:val="nil"/>
            </w:tcBorders>
            <w:noWrap/>
            <w:vAlign w:val="center"/>
            <w:hideMark/>
          </w:tcPr>
          <w:p w14:paraId="0F4737E0" w14:textId="77777777" w:rsidR="006B66C2" w:rsidRPr="0069768F" w:rsidRDefault="006B66C2" w:rsidP="00B8117E">
            <w:pPr>
              <w:pStyle w:val="cuatexto"/>
            </w:pPr>
            <w:proofErr w:type="spellStart"/>
            <w:r w:rsidRPr="0069768F">
              <w:t>Transf</w:t>
            </w:r>
            <w:proofErr w:type="spellEnd"/>
            <w:r w:rsidRPr="0069768F">
              <w:t xml:space="preserve">. </w:t>
            </w:r>
            <w:proofErr w:type="spellStart"/>
            <w:r w:rsidRPr="0069768F">
              <w:t>ctes</w:t>
            </w:r>
            <w:proofErr w:type="spellEnd"/>
            <w:r w:rsidRPr="0069768F">
              <w:t xml:space="preserve">. de familias e </w:t>
            </w:r>
            <w:proofErr w:type="spellStart"/>
            <w:r w:rsidRPr="0069768F">
              <w:t>instit</w:t>
            </w:r>
            <w:proofErr w:type="spellEnd"/>
            <w:r w:rsidRPr="0069768F">
              <w:t>. sin fines de lucro</w:t>
            </w:r>
          </w:p>
        </w:tc>
        <w:tc>
          <w:tcPr>
            <w:tcW w:w="975" w:type="pct"/>
            <w:tcBorders>
              <w:top w:val="single" w:sz="2" w:space="0" w:color="auto"/>
              <w:left w:val="nil"/>
              <w:bottom w:val="single" w:sz="2" w:space="0" w:color="auto"/>
              <w:right w:val="nil"/>
            </w:tcBorders>
            <w:noWrap/>
            <w:vAlign w:val="center"/>
          </w:tcPr>
          <w:p w14:paraId="3A3743AC" w14:textId="77777777" w:rsidR="006B66C2" w:rsidRPr="0069768F" w:rsidRDefault="006B66C2" w:rsidP="00B8117E">
            <w:pPr>
              <w:pStyle w:val="cuatexto"/>
              <w:jc w:val="right"/>
            </w:pPr>
            <w:r w:rsidRPr="0069768F">
              <w:t>6</w:t>
            </w:r>
          </w:p>
        </w:tc>
        <w:tc>
          <w:tcPr>
            <w:tcW w:w="952" w:type="pct"/>
            <w:tcBorders>
              <w:top w:val="single" w:sz="2" w:space="0" w:color="auto"/>
              <w:left w:val="nil"/>
              <w:bottom w:val="single" w:sz="2" w:space="0" w:color="auto"/>
              <w:right w:val="nil"/>
            </w:tcBorders>
            <w:shd w:val="clear" w:color="auto" w:fill="auto"/>
            <w:noWrap/>
            <w:vAlign w:val="center"/>
          </w:tcPr>
          <w:p w14:paraId="752BF945" w14:textId="77777777" w:rsidR="006B66C2" w:rsidRPr="0069768F" w:rsidRDefault="006B66C2" w:rsidP="00B8117E">
            <w:pPr>
              <w:pStyle w:val="cuatexto"/>
              <w:jc w:val="right"/>
            </w:pPr>
            <w:r w:rsidRPr="0069768F">
              <w:t>6</w:t>
            </w:r>
          </w:p>
        </w:tc>
        <w:tc>
          <w:tcPr>
            <w:tcW w:w="794" w:type="pct"/>
            <w:tcBorders>
              <w:top w:val="single" w:sz="2" w:space="0" w:color="auto"/>
              <w:left w:val="nil"/>
              <w:bottom w:val="single" w:sz="2" w:space="0" w:color="auto"/>
              <w:right w:val="nil"/>
            </w:tcBorders>
            <w:noWrap/>
            <w:vAlign w:val="center"/>
          </w:tcPr>
          <w:p w14:paraId="3306B976" w14:textId="77777777" w:rsidR="006B66C2" w:rsidRPr="0069768F" w:rsidRDefault="006B66C2" w:rsidP="00B8117E">
            <w:pPr>
              <w:pStyle w:val="cuatexto"/>
              <w:jc w:val="right"/>
            </w:pPr>
            <w:r w:rsidRPr="0069768F">
              <w:t>-</w:t>
            </w:r>
          </w:p>
        </w:tc>
      </w:tr>
      <w:tr w:rsidR="006B66C2" w:rsidRPr="0069768F" w14:paraId="1BF5BB38" w14:textId="77777777" w:rsidTr="001F6B50">
        <w:trPr>
          <w:trHeight w:val="198"/>
          <w:jc w:val="center"/>
        </w:trPr>
        <w:tc>
          <w:tcPr>
            <w:tcW w:w="2280" w:type="pct"/>
            <w:tcBorders>
              <w:top w:val="single" w:sz="2" w:space="0" w:color="auto"/>
              <w:left w:val="nil"/>
              <w:bottom w:val="single" w:sz="4" w:space="0" w:color="auto"/>
              <w:right w:val="nil"/>
            </w:tcBorders>
            <w:noWrap/>
            <w:vAlign w:val="center"/>
            <w:hideMark/>
          </w:tcPr>
          <w:p w14:paraId="0C6B0D7F" w14:textId="77777777" w:rsidR="006B66C2" w:rsidRPr="0069768F" w:rsidRDefault="006B66C2" w:rsidP="00B8117E">
            <w:pPr>
              <w:pStyle w:val="cuatexto"/>
            </w:pPr>
            <w:r w:rsidRPr="0069768F">
              <w:t>Transferencias corrientes del exterior</w:t>
            </w:r>
          </w:p>
        </w:tc>
        <w:tc>
          <w:tcPr>
            <w:tcW w:w="975" w:type="pct"/>
            <w:tcBorders>
              <w:top w:val="single" w:sz="2" w:space="0" w:color="auto"/>
              <w:left w:val="nil"/>
              <w:bottom w:val="single" w:sz="4" w:space="0" w:color="auto"/>
              <w:right w:val="nil"/>
            </w:tcBorders>
            <w:noWrap/>
            <w:vAlign w:val="center"/>
          </w:tcPr>
          <w:p w14:paraId="01F17E0F" w14:textId="77777777" w:rsidR="006B66C2" w:rsidRPr="0069768F" w:rsidRDefault="006B66C2" w:rsidP="00B8117E">
            <w:pPr>
              <w:pStyle w:val="cuatexto"/>
              <w:jc w:val="right"/>
            </w:pPr>
            <w:r w:rsidRPr="0069768F">
              <w:t>14.361</w:t>
            </w:r>
          </w:p>
        </w:tc>
        <w:tc>
          <w:tcPr>
            <w:tcW w:w="952" w:type="pct"/>
            <w:tcBorders>
              <w:top w:val="single" w:sz="2" w:space="0" w:color="auto"/>
              <w:left w:val="nil"/>
              <w:bottom w:val="single" w:sz="4" w:space="0" w:color="auto"/>
              <w:right w:val="nil"/>
            </w:tcBorders>
            <w:shd w:val="clear" w:color="auto" w:fill="auto"/>
            <w:noWrap/>
            <w:vAlign w:val="center"/>
          </w:tcPr>
          <w:p w14:paraId="287DAC6A" w14:textId="77777777" w:rsidR="006B66C2" w:rsidRPr="0069768F" w:rsidRDefault="006B66C2" w:rsidP="00B8117E">
            <w:pPr>
              <w:pStyle w:val="cuatexto"/>
              <w:jc w:val="right"/>
            </w:pPr>
            <w:r w:rsidRPr="0069768F">
              <w:t>19.139</w:t>
            </w:r>
          </w:p>
        </w:tc>
        <w:tc>
          <w:tcPr>
            <w:tcW w:w="794" w:type="pct"/>
            <w:tcBorders>
              <w:top w:val="single" w:sz="2" w:space="0" w:color="auto"/>
              <w:left w:val="nil"/>
              <w:bottom w:val="single" w:sz="4" w:space="0" w:color="auto"/>
              <w:right w:val="nil"/>
            </w:tcBorders>
            <w:noWrap/>
            <w:vAlign w:val="center"/>
          </w:tcPr>
          <w:p w14:paraId="784C235E" w14:textId="77777777" w:rsidR="006B66C2" w:rsidRPr="0069768F" w:rsidRDefault="006B66C2" w:rsidP="00B8117E">
            <w:pPr>
              <w:pStyle w:val="cuatexto"/>
              <w:jc w:val="right"/>
            </w:pPr>
            <w:r w:rsidRPr="0069768F">
              <w:t>33</w:t>
            </w:r>
          </w:p>
        </w:tc>
      </w:tr>
      <w:tr w:rsidR="006B66C2" w:rsidRPr="0069768F" w14:paraId="45DDA135" w14:textId="77777777" w:rsidTr="001F6B50">
        <w:trPr>
          <w:trHeight w:val="255"/>
          <w:jc w:val="center"/>
        </w:trPr>
        <w:tc>
          <w:tcPr>
            <w:tcW w:w="2280" w:type="pct"/>
            <w:tcBorders>
              <w:top w:val="single" w:sz="4" w:space="0" w:color="auto"/>
              <w:left w:val="nil"/>
              <w:bottom w:val="single" w:sz="4" w:space="0" w:color="auto"/>
              <w:right w:val="nil"/>
            </w:tcBorders>
            <w:shd w:val="clear" w:color="auto" w:fill="95B3D7" w:themeFill="accent1" w:themeFillTint="99"/>
            <w:noWrap/>
            <w:vAlign w:val="center"/>
            <w:hideMark/>
          </w:tcPr>
          <w:p w14:paraId="3D1C26BD" w14:textId="77777777" w:rsidR="006B66C2" w:rsidRPr="0069768F" w:rsidRDefault="006B66C2" w:rsidP="00B8117E">
            <w:pPr>
              <w:pStyle w:val="cuadroCabe"/>
            </w:pPr>
            <w:r w:rsidRPr="0069768F">
              <w:t>Total transferencias corrientes</w:t>
            </w:r>
          </w:p>
        </w:tc>
        <w:tc>
          <w:tcPr>
            <w:tcW w:w="975" w:type="pct"/>
            <w:tcBorders>
              <w:top w:val="single" w:sz="4" w:space="0" w:color="auto"/>
              <w:left w:val="nil"/>
              <w:bottom w:val="single" w:sz="4" w:space="0" w:color="auto"/>
              <w:right w:val="nil"/>
            </w:tcBorders>
            <w:shd w:val="clear" w:color="auto" w:fill="95B3D7" w:themeFill="accent1" w:themeFillTint="99"/>
            <w:noWrap/>
            <w:vAlign w:val="center"/>
          </w:tcPr>
          <w:p w14:paraId="7C0700DD" w14:textId="77777777" w:rsidR="006B66C2" w:rsidRPr="0069768F" w:rsidRDefault="006B66C2" w:rsidP="00B8117E">
            <w:pPr>
              <w:pStyle w:val="cuadroCabe"/>
              <w:jc w:val="right"/>
            </w:pPr>
            <w:r w:rsidRPr="0069768F">
              <w:t>216.900</w:t>
            </w:r>
          </w:p>
        </w:tc>
        <w:tc>
          <w:tcPr>
            <w:tcW w:w="952" w:type="pct"/>
            <w:tcBorders>
              <w:top w:val="single" w:sz="4" w:space="0" w:color="auto"/>
              <w:left w:val="nil"/>
              <w:bottom w:val="single" w:sz="4" w:space="0" w:color="auto"/>
              <w:right w:val="nil"/>
            </w:tcBorders>
            <w:shd w:val="clear" w:color="000000" w:fill="8DB3E2"/>
            <w:noWrap/>
            <w:vAlign w:val="center"/>
          </w:tcPr>
          <w:p w14:paraId="33B9272E" w14:textId="77777777" w:rsidR="006B66C2" w:rsidRPr="0069768F" w:rsidRDefault="006B66C2" w:rsidP="00B8117E">
            <w:pPr>
              <w:pStyle w:val="cuadroCabe"/>
              <w:jc w:val="right"/>
            </w:pPr>
            <w:r w:rsidRPr="0069768F">
              <w:t>334.759</w:t>
            </w:r>
          </w:p>
        </w:tc>
        <w:tc>
          <w:tcPr>
            <w:tcW w:w="794" w:type="pct"/>
            <w:tcBorders>
              <w:top w:val="single" w:sz="4" w:space="0" w:color="auto"/>
              <w:left w:val="nil"/>
              <w:bottom w:val="single" w:sz="4" w:space="0" w:color="auto"/>
              <w:right w:val="nil"/>
            </w:tcBorders>
            <w:shd w:val="clear" w:color="auto" w:fill="95B3D7" w:themeFill="accent1" w:themeFillTint="99"/>
            <w:noWrap/>
            <w:vAlign w:val="center"/>
          </w:tcPr>
          <w:p w14:paraId="6120E427" w14:textId="77777777" w:rsidR="006B66C2" w:rsidRPr="0069768F" w:rsidRDefault="006B66C2" w:rsidP="00B8117E">
            <w:pPr>
              <w:pStyle w:val="cuadroCabe"/>
              <w:jc w:val="right"/>
            </w:pPr>
            <w:r w:rsidRPr="0069768F">
              <w:t>54</w:t>
            </w:r>
          </w:p>
        </w:tc>
      </w:tr>
      <w:tr w:rsidR="006B66C2" w:rsidRPr="0069768F" w14:paraId="7A375C0A" w14:textId="77777777" w:rsidTr="001F6B50">
        <w:trPr>
          <w:trHeight w:val="198"/>
          <w:jc w:val="center"/>
        </w:trPr>
        <w:tc>
          <w:tcPr>
            <w:tcW w:w="2280" w:type="pct"/>
            <w:tcBorders>
              <w:top w:val="single" w:sz="4" w:space="0" w:color="auto"/>
              <w:left w:val="nil"/>
              <w:bottom w:val="single" w:sz="2" w:space="0" w:color="auto"/>
              <w:right w:val="nil"/>
            </w:tcBorders>
            <w:noWrap/>
            <w:vAlign w:val="center"/>
            <w:hideMark/>
          </w:tcPr>
          <w:p w14:paraId="627E3D74" w14:textId="77777777" w:rsidR="006B66C2" w:rsidRPr="0069768F" w:rsidRDefault="006B66C2" w:rsidP="00B8117E">
            <w:pPr>
              <w:pStyle w:val="cuatexto"/>
            </w:pPr>
            <w:proofErr w:type="spellStart"/>
            <w:r w:rsidRPr="0069768F">
              <w:t>Transf</w:t>
            </w:r>
            <w:proofErr w:type="spellEnd"/>
            <w:r w:rsidRPr="0069768F">
              <w:t>. de capital de la Administración del Estado</w:t>
            </w:r>
          </w:p>
        </w:tc>
        <w:tc>
          <w:tcPr>
            <w:tcW w:w="975" w:type="pct"/>
            <w:tcBorders>
              <w:top w:val="single" w:sz="4" w:space="0" w:color="auto"/>
              <w:left w:val="nil"/>
              <w:bottom w:val="single" w:sz="2" w:space="0" w:color="auto"/>
              <w:right w:val="nil"/>
            </w:tcBorders>
            <w:noWrap/>
            <w:vAlign w:val="center"/>
          </w:tcPr>
          <w:p w14:paraId="200864C2" w14:textId="77777777" w:rsidR="006B66C2" w:rsidRPr="0069768F" w:rsidRDefault="006B66C2" w:rsidP="00B8117E">
            <w:pPr>
              <w:pStyle w:val="cuatexto"/>
              <w:jc w:val="right"/>
              <w:rPr>
                <w:rFonts w:cs="Arial"/>
              </w:rPr>
            </w:pPr>
            <w:r w:rsidRPr="0069768F">
              <w:rPr>
                <w:rFonts w:cs="Arial"/>
              </w:rPr>
              <w:t>177.473</w:t>
            </w:r>
          </w:p>
        </w:tc>
        <w:tc>
          <w:tcPr>
            <w:tcW w:w="952" w:type="pct"/>
            <w:tcBorders>
              <w:top w:val="single" w:sz="4" w:space="0" w:color="auto"/>
              <w:left w:val="nil"/>
              <w:bottom w:val="single" w:sz="2" w:space="0" w:color="auto"/>
              <w:right w:val="nil"/>
            </w:tcBorders>
            <w:shd w:val="clear" w:color="auto" w:fill="auto"/>
            <w:noWrap/>
            <w:vAlign w:val="center"/>
          </w:tcPr>
          <w:p w14:paraId="7D0E233D" w14:textId="77777777" w:rsidR="006B66C2" w:rsidRPr="0069768F" w:rsidRDefault="006B66C2" w:rsidP="00B8117E">
            <w:pPr>
              <w:pStyle w:val="cuatexto"/>
              <w:jc w:val="right"/>
              <w:rPr>
                <w:rFonts w:cs="Calibri"/>
                <w:color w:val="000000"/>
              </w:rPr>
            </w:pPr>
            <w:r w:rsidRPr="0069768F">
              <w:rPr>
                <w:rFonts w:cs="Calibri"/>
                <w:color w:val="000000"/>
              </w:rPr>
              <w:t>158.537</w:t>
            </w:r>
          </w:p>
        </w:tc>
        <w:tc>
          <w:tcPr>
            <w:tcW w:w="794" w:type="pct"/>
            <w:tcBorders>
              <w:top w:val="single" w:sz="4" w:space="0" w:color="auto"/>
              <w:left w:val="nil"/>
              <w:bottom w:val="single" w:sz="2" w:space="0" w:color="auto"/>
              <w:right w:val="nil"/>
            </w:tcBorders>
            <w:noWrap/>
            <w:vAlign w:val="center"/>
          </w:tcPr>
          <w:p w14:paraId="226AE747" w14:textId="77777777" w:rsidR="006B66C2" w:rsidRPr="0069768F" w:rsidRDefault="006B66C2" w:rsidP="00B8117E">
            <w:pPr>
              <w:pStyle w:val="cuatexto"/>
              <w:jc w:val="right"/>
              <w:rPr>
                <w:rFonts w:cs="Arial"/>
              </w:rPr>
            </w:pPr>
            <w:r w:rsidRPr="0069768F">
              <w:rPr>
                <w:rFonts w:cs="Arial"/>
              </w:rPr>
              <w:t>-11</w:t>
            </w:r>
          </w:p>
        </w:tc>
      </w:tr>
      <w:tr w:rsidR="006B66C2" w:rsidRPr="0069768F" w14:paraId="7717831A" w14:textId="77777777" w:rsidTr="001F6B50">
        <w:trPr>
          <w:trHeight w:val="198"/>
          <w:jc w:val="center"/>
        </w:trPr>
        <w:tc>
          <w:tcPr>
            <w:tcW w:w="2280" w:type="pct"/>
            <w:tcBorders>
              <w:top w:val="single" w:sz="2" w:space="0" w:color="auto"/>
              <w:left w:val="nil"/>
              <w:bottom w:val="single" w:sz="2" w:space="0" w:color="auto"/>
              <w:right w:val="nil"/>
            </w:tcBorders>
            <w:noWrap/>
            <w:vAlign w:val="center"/>
            <w:hideMark/>
          </w:tcPr>
          <w:p w14:paraId="38D2F640" w14:textId="77777777" w:rsidR="006B66C2" w:rsidRPr="0069768F" w:rsidRDefault="006B66C2" w:rsidP="00B8117E">
            <w:pPr>
              <w:pStyle w:val="cuatexto"/>
            </w:pPr>
            <w:r w:rsidRPr="0069768F">
              <w:t>Transferencias de capital de entidades locales</w:t>
            </w:r>
          </w:p>
        </w:tc>
        <w:tc>
          <w:tcPr>
            <w:tcW w:w="975" w:type="pct"/>
            <w:tcBorders>
              <w:top w:val="single" w:sz="2" w:space="0" w:color="auto"/>
              <w:left w:val="nil"/>
              <w:bottom w:val="single" w:sz="2" w:space="0" w:color="auto"/>
              <w:right w:val="nil"/>
            </w:tcBorders>
            <w:noWrap/>
            <w:vAlign w:val="center"/>
          </w:tcPr>
          <w:p w14:paraId="103DD097" w14:textId="77777777" w:rsidR="006B66C2" w:rsidRPr="0069768F" w:rsidRDefault="006B66C2" w:rsidP="00B8117E">
            <w:pPr>
              <w:pStyle w:val="cuatexto"/>
              <w:jc w:val="right"/>
            </w:pPr>
            <w:r w:rsidRPr="0069768F">
              <w:t>136</w:t>
            </w:r>
          </w:p>
        </w:tc>
        <w:tc>
          <w:tcPr>
            <w:tcW w:w="952" w:type="pct"/>
            <w:tcBorders>
              <w:top w:val="single" w:sz="2" w:space="0" w:color="auto"/>
              <w:left w:val="nil"/>
              <w:bottom w:val="single" w:sz="2" w:space="0" w:color="auto"/>
              <w:right w:val="nil"/>
            </w:tcBorders>
            <w:shd w:val="clear" w:color="auto" w:fill="auto"/>
            <w:noWrap/>
            <w:vAlign w:val="center"/>
          </w:tcPr>
          <w:p w14:paraId="2E77F471" w14:textId="77777777" w:rsidR="006B66C2" w:rsidRPr="0069768F" w:rsidRDefault="006B66C2" w:rsidP="00B8117E">
            <w:pPr>
              <w:pStyle w:val="cuatexto"/>
              <w:jc w:val="right"/>
              <w:rPr>
                <w:rFonts w:cs="Calibri"/>
                <w:color w:val="000000"/>
              </w:rPr>
            </w:pPr>
            <w:r w:rsidRPr="0069768F">
              <w:rPr>
                <w:rFonts w:cs="Calibri"/>
                <w:color w:val="000000"/>
              </w:rPr>
              <w:t>3.250</w:t>
            </w:r>
          </w:p>
        </w:tc>
        <w:tc>
          <w:tcPr>
            <w:tcW w:w="794" w:type="pct"/>
            <w:tcBorders>
              <w:top w:val="single" w:sz="2" w:space="0" w:color="auto"/>
              <w:left w:val="nil"/>
              <w:bottom w:val="single" w:sz="2" w:space="0" w:color="auto"/>
              <w:right w:val="nil"/>
            </w:tcBorders>
            <w:noWrap/>
            <w:vAlign w:val="center"/>
          </w:tcPr>
          <w:p w14:paraId="4AE966BF" w14:textId="77777777" w:rsidR="006B66C2" w:rsidRPr="0069768F" w:rsidRDefault="006B66C2" w:rsidP="00B8117E">
            <w:pPr>
              <w:pStyle w:val="cuatexto"/>
              <w:jc w:val="right"/>
            </w:pPr>
            <w:r w:rsidRPr="0069768F">
              <w:t>2.293</w:t>
            </w:r>
          </w:p>
        </w:tc>
      </w:tr>
      <w:tr w:rsidR="006B66C2" w:rsidRPr="0069768F" w14:paraId="7E32AE0C" w14:textId="77777777" w:rsidTr="001F6B50">
        <w:trPr>
          <w:trHeight w:val="198"/>
          <w:jc w:val="center"/>
        </w:trPr>
        <w:tc>
          <w:tcPr>
            <w:tcW w:w="2280" w:type="pct"/>
            <w:tcBorders>
              <w:top w:val="single" w:sz="2" w:space="0" w:color="auto"/>
              <w:left w:val="nil"/>
              <w:bottom w:val="single" w:sz="4" w:space="0" w:color="auto"/>
              <w:right w:val="nil"/>
            </w:tcBorders>
            <w:noWrap/>
            <w:vAlign w:val="center"/>
            <w:hideMark/>
          </w:tcPr>
          <w:p w14:paraId="5C0D74DB" w14:textId="77777777" w:rsidR="006B66C2" w:rsidRPr="0069768F" w:rsidRDefault="006B66C2" w:rsidP="00B8117E">
            <w:pPr>
              <w:pStyle w:val="cuatexto"/>
            </w:pPr>
            <w:r w:rsidRPr="0069768F">
              <w:t>Transferencias de capital del exterior</w:t>
            </w:r>
          </w:p>
        </w:tc>
        <w:tc>
          <w:tcPr>
            <w:tcW w:w="975" w:type="pct"/>
            <w:tcBorders>
              <w:top w:val="single" w:sz="2" w:space="0" w:color="auto"/>
              <w:left w:val="nil"/>
              <w:bottom w:val="single" w:sz="4" w:space="0" w:color="auto"/>
              <w:right w:val="nil"/>
            </w:tcBorders>
            <w:noWrap/>
            <w:vAlign w:val="center"/>
          </w:tcPr>
          <w:p w14:paraId="0B48CB81" w14:textId="77777777" w:rsidR="006B66C2" w:rsidRPr="0069768F" w:rsidRDefault="006B66C2" w:rsidP="00B8117E">
            <w:pPr>
              <w:pStyle w:val="cuatexto"/>
              <w:jc w:val="right"/>
            </w:pPr>
            <w:r w:rsidRPr="0069768F">
              <w:t>19.305</w:t>
            </w:r>
          </w:p>
        </w:tc>
        <w:tc>
          <w:tcPr>
            <w:tcW w:w="952" w:type="pct"/>
            <w:tcBorders>
              <w:top w:val="single" w:sz="2" w:space="0" w:color="auto"/>
              <w:left w:val="nil"/>
              <w:bottom w:val="single" w:sz="4" w:space="0" w:color="auto"/>
              <w:right w:val="nil"/>
            </w:tcBorders>
            <w:shd w:val="clear" w:color="auto" w:fill="auto"/>
            <w:noWrap/>
            <w:vAlign w:val="center"/>
          </w:tcPr>
          <w:p w14:paraId="02B3D475" w14:textId="77777777" w:rsidR="006B66C2" w:rsidRPr="0069768F" w:rsidRDefault="006B66C2" w:rsidP="00B8117E">
            <w:pPr>
              <w:pStyle w:val="cuatexto"/>
              <w:jc w:val="right"/>
              <w:rPr>
                <w:rFonts w:cs="Calibri"/>
                <w:color w:val="000000"/>
              </w:rPr>
            </w:pPr>
            <w:r w:rsidRPr="0069768F">
              <w:rPr>
                <w:rFonts w:cs="Calibri"/>
                <w:color w:val="000000"/>
              </w:rPr>
              <w:t>27.813</w:t>
            </w:r>
          </w:p>
        </w:tc>
        <w:tc>
          <w:tcPr>
            <w:tcW w:w="794" w:type="pct"/>
            <w:tcBorders>
              <w:top w:val="single" w:sz="2" w:space="0" w:color="auto"/>
              <w:left w:val="nil"/>
              <w:bottom w:val="single" w:sz="4" w:space="0" w:color="auto"/>
              <w:right w:val="nil"/>
            </w:tcBorders>
            <w:noWrap/>
            <w:vAlign w:val="center"/>
          </w:tcPr>
          <w:p w14:paraId="47EA2FA5" w14:textId="77777777" w:rsidR="006B66C2" w:rsidRPr="0069768F" w:rsidRDefault="006B66C2" w:rsidP="00B8117E">
            <w:pPr>
              <w:pStyle w:val="cuatexto"/>
              <w:jc w:val="right"/>
            </w:pPr>
            <w:r w:rsidRPr="0069768F">
              <w:t>44</w:t>
            </w:r>
          </w:p>
        </w:tc>
      </w:tr>
      <w:tr w:rsidR="006B66C2" w:rsidRPr="0069768F" w14:paraId="5F2EC688" w14:textId="77777777" w:rsidTr="001F6B50">
        <w:trPr>
          <w:trHeight w:val="255"/>
          <w:jc w:val="center"/>
        </w:trPr>
        <w:tc>
          <w:tcPr>
            <w:tcW w:w="2280" w:type="pct"/>
            <w:tcBorders>
              <w:top w:val="single" w:sz="4" w:space="0" w:color="auto"/>
              <w:left w:val="nil"/>
              <w:bottom w:val="single" w:sz="4" w:space="0" w:color="auto"/>
              <w:right w:val="nil"/>
            </w:tcBorders>
            <w:shd w:val="clear" w:color="auto" w:fill="8DB3E2"/>
            <w:noWrap/>
            <w:vAlign w:val="center"/>
            <w:hideMark/>
          </w:tcPr>
          <w:p w14:paraId="794C02C9" w14:textId="77777777" w:rsidR="006B66C2" w:rsidRPr="0069768F" w:rsidRDefault="006B66C2" w:rsidP="00B8117E">
            <w:pPr>
              <w:pStyle w:val="cuadroCabe"/>
            </w:pPr>
            <w:r w:rsidRPr="0069768F">
              <w:t>Total transferencias de capital</w:t>
            </w:r>
          </w:p>
        </w:tc>
        <w:tc>
          <w:tcPr>
            <w:tcW w:w="975" w:type="pct"/>
            <w:tcBorders>
              <w:top w:val="single" w:sz="4" w:space="0" w:color="auto"/>
              <w:left w:val="nil"/>
              <w:bottom w:val="single" w:sz="4" w:space="0" w:color="auto"/>
              <w:right w:val="nil"/>
            </w:tcBorders>
            <w:shd w:val="clear" w:color="auto" w:fill="8DB3E2"/>
            <w:noWrap/>
            <w:vAlign w:val="center"/>
          </w:tcPr>
          <w:p w14:paraId="7413BFBE" w14:textId="77777777" w:rsidR="006B66C2" w:rsidRPr="0069768F" w:rsidRDefault="006B66C2" w:rsidP="00B8117E">
            <w:pPr>
              <w:pStyle w:val="cuadroCabe"/>
              <w:jc w:val="right"/>
            </w:pPr>
            <w:r w:rsidRPr="0069768F">
              <w:t>196.914</w:t>
            </w:r>
          </w:p>
        </w:tc>
        <w:tc>
          <w:tcPr>
            <w:tcW w:w="952" w:type="pct"/>
            <w:tcBorders>
              <w:top w:val="single" w:sz="4" w:space="0" w:color="auto"/>
              <w:left w:val="nil"/>
              <w:bottom w:val="single" w:sz="4" w:space="0" w:color="auto"/>
              <w:right w:val="nil"/>
            </w:tcBorders>
            <w:shd w:val="clear" w:color="000000" w:fill="8DB3E2"/>
            <w:noWrap/>
            <w:vAlign w:val="center"/>
          </w:tcPr>
          <w:p w14:paraId="34AFDD6D" w14:textId="77777777" w:rsidR="006B66C2" w:rsidRPr="0069768F" w:rsidRDefault="006B66C2" w:rsidP="00B8117E">
            <w:pPr>
              <w:pStyle w:val="cuadroCabe"/>
              <w:jc w:val="right"/>
              <w:rPr>
                <w:color w:val="000000"/>
              </w:rPr>
            </w:pPr>
            <w:r w:rsidRPr="0069768F">
              <w:rPr>
                <w:color w:val="000000"/>
              </w:rPr>
              <w:t>189.600</w:t>
            </w:r>
          </w:p>
        </w:tc>
        <w:tc>
          <w:tcPr>
            <w:tcW w:w="794" w:type="pct"/>
            <w:tcBorders>
              <w:top w:val="single" w:sz="4" w:space="0" w:color="auto"/>
              <w:left w:val="nil"/>
              <w:bottom w:val="single" w:sz="4" w:space="0" w:color="auto"/>
              <w:right w:val="nil"/>
            </w:tcBorders>
            <w:shd w:val="clear" w:color="auto" w:fill="8DB3E2"/>
            <w:noWrap/>
            <w:vAlign w:val="center"/>
          </w:tcPr>
          <w:p w14:paraId="59CE6CBF" w14:textId="77777777" w:rsidR="006B66C2" w:rsidRPr="0069768F" w:rsidRDefault="006B66C2" w:rsidP="00B8117E">
            <w:pPr>
              <w:pStyle w:val="cuadroCabe"/>
              <w:jc w:val="right"/>
            </w:pPr>
            <w:r w:rsidRPr="0069768F">
              <w:t>-4</w:t>
            </w:r>
          </w:p>
        </w:tc>
      </w:tr>
    </w:tbl>
    <w:p w14:paraId="208345DF" w14:textId="77777777" w:rsidR="006B66C2" w:rsidRDefault="006B66C2" w:rsidP="008C2B8E">
      <w:pPr>
        <w:pStyle w:val="texto"/>
        <w:numPr>
          <w:ilvl w:val="0"/>
          <w:numId w:val="6"/>
        </w:numPr>
        <w:tabs>
          <w:tab w:val="clear" w:pos="360"/>
          <w:tab w:val="num" w:pos="300"/>
          <w:tab w:val="left" w:pos="480"/>
          <w:tab w:val="num" w:pos="600"/>
        </w:tabs>
        <w:spacing w:before="120"/>
        <w:ind w:firstLine="289"/>
        <w:jc w:val="both"/>
      </w:pPr>
      <w:r w:rsidRPr="006B66C2">
        <w:t>Los ingresos por transferencias corrientes han aumentado un 54 por ciento (117,8</w:t>
      </w:r>
      <w:r w:rsidR="008D7B3A">
        <w:t>5</w:t>
      </w:r>
      <w:r w:rsidRPr="006B66C2">
        <w:t xml:space="preserve"> millones) respecto a 2022 debido fundamentalmente al incremento en las transferencias recibidas del Estado en un 56 por ciento (112,91 millones). Este aumento se debe principalmente a lo siguiente:</w:t>
      </w:r>
    </w:p>
    <w:p w14:paraId="671C3627" w14:textId="77777777" w:rsidR="006B66C2" w:rsidRPr="006B66C2" w:rsidRDefault="00E1425B" w:rsidP="00A963CA">
      <w:pPr>
        <w:pStyle w:val="texto"/>
        <w:spacing w:before="240" w:after="120"/>
        <w:jc w:val="both"/>
      </w:pPr>
      <w:r>
        <w:rPr>
          <w:rFonts w:cs="Arial"/>
        </w:rPr>
        <w:t xml:space="preserve">- </w:t>
      </w:r>
      <w:r w:rsidR="006B66C2" w:rsidRPr="00E1425B">
        <w:rPr>
          <w:rFonts w:cs="Arial"/>
        </w:rPr>
        <w:t>Se</w:t>
      </w:r>
      <w:r w:rsidR="006B66C2" w:rsidRPr="006B66C2">
        <w:t xml:space="preserve"> han ingresado 46,54 millones en concepto de “Participación en el gravamen temporal energético” (26,31 millones) y “Participación en el gravamen temporal de entidades de crédito” (20,22 millones). Esta financiación es novedad por la entrada en vigor en 2023 de la Ley 38/2022, de 27 de diciembre, que introduce en el ordenamiento jurídico, entre otras figuras, dos nuevos gravámenes temporales: el gravamen temporal energético y el gravamen temporal de entidades de crédito y establecimientos financieros de crédito. La participación de Navarra en estas figuras tributarias se lleva a cabo en el marco del Co</w:t>
      </w:r>
      <w:r w:rsidR="00735746">
        <w:t xml:space="preserve">nvenio Económico con el Estado y consta su detalle en el apartado 5.6 de este apéndice. </w:t>
      </w:r>
    </w:p>
    <w:p w14:paraId="40567493" w14:textId="77777777" w:rsidR="006B66C2" w:rsidRPr="006B66C2" w:rsidRDefault="00E1425B" w:rsidP="00E1425B">
      <w:pPr>
        <w:pStyle w:val="texto"/>
        <w:spacing w:after="120"/>
        <w:jc w:val="both"/>
      </w:pPr>
      <w:r>
        <w:t xml:space="preserve">- </w:t>
      </w:r>
      <w:r w:rsidR="006B66C2" w:rsidRPr="006B66C2">
        <w:t xml:space="preserve">La financiación por el Estado de las ayudas por la bonificación al combustible ascendía a 147,88 millones, de los que se cobraron 49,33 millones en 2022 y 98,55 millones en 2023. </w:t>
      </w:r>
    </w:p>
    <w:p w14:paraId="4FC2EF49" w14:textId="77777777" w:rsidR="006B66C2" w:rsidRPr="006B66C2" w:rsidRDefault="00E1425B" w:rsidP="00E1425B">
      <w:pPr>
        <w:pStyle w:val="texto"/>
        <w:jc w:val="both"/>
      </w:pPr>
      <w:r>
        <w:rPr>
          <w:rFonts w:cs="Arial"/>
        </w:rPr>
        <w:lastRenderedPageBreak/>
        <w:t xml:space="preserve">- </w:t>
      </w:r>
      <w:r w:rsidR="006B66C2" w:rsidRPr="00E1425B">
        <w:rPr>
          <w:rFonts w:cs="Arial"/>
        </w:rPr>
        <w:t>En</w:t>
      </w:r>
      <w:r w:rsidR="006B66C2" w:rsidRPr="006B66C2">
        <w:t xml:space="preserve"> 2023 se han ingresado 43,10 millones más por el Ingreso Mínimo Vital que en 2022.</w:t>
      </w:r>
    </w:p>
    <w:p w14:paraId="0462B317" w14:textId="77777777" w:rsidR="006B66C2" w:rsidRPr="00D264E2" w:rsidRDefault="006B66C2" w:rsidP="008C2B8E">
      <w:pPr>
        <w:pStyle w:val="texto"/>
        <w:numPr>
          <w:ilvl w:val="0"/>
          <w:numId w:val="6"/>
        </w:numPr>
        <w:tabs>
          <w:tab w:val="clear" w:pos="360"/>
          <w:tab w:val="num" w:pos="300"/>
          <w:tab w:val="left" w:pos="480"/>
          <w:tab w:val="num" w:pos="600"/>
        </w:tabs>
        <w:spacing w:before="120"/>
        <w:ind w:firstLine="289"/>
        <w:jc w:val="both"/>
      </w:pPr>
      <w:r w:rsidRPr="006B66C2">
        <w:t>Los ingresos por transferencias de capital disminuyeron un cuatro por ciento (7,31 millones) debido fundamentalmente a los menores ingresos (18,93 millones) recibidos del Estado procedentes del Mecanismo de Recuperación y Resiliencia.  Por otro lado, los ingresos por transferencias del exterior (Fondos FEDER y FEADER) se han visto aumentados en u</w:t>
      </w:r>
      <w:r w:rsidR="00D264E2">
        <w:t>n 44 por ciento (8,51 millones) y respecto a los ingreso</w:t>
      </w:r>
      <w:r w:rsidR="00305B81">
        <w:t>s</w:t>
      </w:r>
      <w:r w:rsidR="00D264E2">
        <w:t xml:space="preserve"> de entidades locales, principalmente por los 2,78 millones </w:t>
      </w:r>
      <w:r w:rsidR="00D264E2" w:rsidRPr="00D264E2">
        <w:t xml:space="preserve">recibidos en el Departamento de Cohesión Territorial para la construcción del nuevo vial de conexión de Barañain con </w:t>
      </w:r>
      <w:proofErr w:type="spellStart"/>
      <w:r w:rsidR="00D264E2" w:rsidRPr="00D264E2">
        <w:t>Landaben</w:t>
      </w:r>
      <w:proofErr w:type="spellEnd"/>
      <w:r w:rsidR="00D264E2" w:rsidRPr="00D264E2">
        <w:t>.</w:t>
      </w:r>
    </w:p>
    <w:p w14:paraId="597D3E97" w14:textId="77777777" w:rsidR="00614DC4" w:rsidRPr="00CF00B6" w:rsidRDefault="00A35015" w:rsidP="00614DC4">
      <w:pPr>
        <w:pStyle w:val="atitulo2"/>
        <w:tabs>
          <w:tab w:val="left" w:pos="7875"/>
        </w:tabs>
        <w:spacing w:before="240"/>
        <w:rPr>
          <w:bCs w:val="0"/>
          <w:iCs w:val="0"/>
          <w:color w:val="auto"/>
        </w:rPr>
      </w:pPr>
      <w:bookmarkStart w:id="151" w:name="_Toc494270392"/>
      <w:bookmarkStart w:id="152" w:name="_Toc525907448"/>
      <w:bookmarkStart w:id="153" w:name="_Toc52267377"/>
      <w:bookmarkStart w:id="154" w:name="_Toc146471252"/>
      <w:bookmarkStart w:id="155" w:name="_Toc182464287"/>
      <w:r>
        <w:rPr>
          <w:bCs w:val="0"/>
          <w:iCs w:val="0"/>
          <w:color w:val="auto"/>
        </w:rPr>
        <w:t>5.9</w:t>
      </w:r>
      <w:r w:rsidR="00614DC4" w:rsidRPr="00CF00B6">
        <w:rPr>
          <w:bCs w:val="0"/>
          <w:iCs w:val="0"/>
          <w:color w:val="auto"/>
        </w:rPr>
        <w:t xml:space="preserve"> Deudores</w:t>
      </w:r>
      <w:bookmarkEnd w:id="151"/>
      <w:r w:rsidR="00614DC4" w:rsidRPr="00CF00B6">
        <w:rPr>
          <w:bCs w:val="0"/>
          <w:iCs w:val="0"/>
          <w:color w:val="auto"/>
        </w:rPr>
        <w:t xml:space="preserve"> y acreedores a corto plaz</w:t>
      </w:r>
      <w:bookmarkEnd w:id="152"/>
      <w:r w:rsidR="00614DC4" w:rsidRPr="00CF00B6">
        <w:rPr>
          <w:bCs w:val="0"/>
          <w:iCs w:val="0"/>
          <w:color w:val="auto"/>
        </w:rPr>
        <w:t>o</w:t>
      </w:r>
      <w:bookmarkEnd w:id="153"/>
      <w:bookmarkEnd w:id="154"/>
      <w:bookmarkEnd w:id="155"/>
      <w:r w:rsidR="00614DC4" w:rsidRPr="00CF00B6">
        <w:rPr>
          <w:bCs w:val="0"/>
          <w:iCs w:val="0"/>
          <w:color w:val="auto"/>
        </w:rPr>
        <w:t xml:space="preserve"> </w:t>
      </w:r>
    </w:p>
    <w:p w14:paraId="34D6FA67" w14:textId="77777777" w:rsidR="00614DC4" w:rsidRPr="0017053D" w:rsidRDefault="00614DC4" w:rsidP="0017053D">
      <w:pPr>
        <w:pStyle w:val="atitulo3"/>
        <w:spacing w:before="240"/>
      </w:pPr>
      <w:r w:rsidRPr="0017053D">
        <w:t>Deudores</w:t>
      </w:r>
    </w:p>
    <w:p w14:paraId="36510933" w14:textId="77777777" w:rsidR="00614DC4" w:rsidRDefault="00614DC4" w:rsidP="00FA079F">
      <w:pPr>
        <w:pStyle w:val="texto"/>
        <w:spacing w:after="80"/>
        <w:jc w:val="both"/>
      </w:pPr>
      <w:r w:rsidRPr="00CF00B6">
        <w:t>El saldo de deudores a 31 de diciembre de 202</w:t>
      </w:r>
      <w:r w:rsidR="00CF00B6" w:rsidRPr="00CF00B6">
        <w:t>3</w:t>
      </w:r>
      <w:r w:rsidRPr="00CF00B6">
        <w:t xml:space="preserve"> asciende a 4</w:t>
      </w:r>
      <w:r w:rsidR="00CF00B6" w:rsidRPr="00CF00B6">
        <w:t>50,73</w:t>
      </w:r>
      <w:r w:rsidRPr="00CF00B6">
        <w:t xml:space="preserve"> millones y se corresponde con los siguientes datos:</w:t>
      </w:r>
    </w:p>
    <w:tbl>
      <w:tblPr>
        <w:tblW w:w="5028" w:type="pct"/>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3837"/>
        <w:gridCol w:w="1432"/>
        <w:gridCol w:w="1432"/>
        <w:gridCol w:w="2091"/>
        <w:gridCol w:w="46"/>
      </w:tblGrid>
      <w:tr w:rsidR="00CF00B6" w:rsidRPr="00CF00B6" w14:paraId="2C96FE0C" w14:textId="77777777" w:rsidTr="00F0287A">
        <w:trPr>
          <w:trHeight w:val="198"/>
          <w:jc w:val="center"/>
        </w:trPr>
        <w:tc>
          <w:tcPr>
            <w:tcW w:w="5000" w:type="pct"/>
            <w:gridSpan w:val="5"/>
            <w:tcBorders>
              <w:top w:val="nil"/>
              <w:left w:val="nil"/>
              <w:bottom w:val="single" w:sz="4" w:space="0" w:color="auto"/>
              <w:right w:val="nil"/>
            </w:tcBorders>
            <w:noWrap/>
            <w:vAlign w:val="center"/>
            <w:hideMark/>
          </w:tcPr>
          <w:p w14:paraId="5DDAC3D0" w14:textId="77777777" w:rsidR="00614DC4" w:rsidRPr="00F0287A" w:rsidRDefault="00785A84">
            <w:pPr>
              <w:keepLines/>
              <w:tabs>
                <w:tab w:val="right" w:pos="2835"/>
                <w:tab w:val="right" w:pos="3969"/>
                <w:tab w:val="right" w:pos="5103"/>
                <w:tab w:val="right" w:pos="6237"/>
                <w:tab w:val="right" w:pos="7371"/>
              </w:tabs>
              <w:ind w:right="-30"/>
              <w:jc w:val="right"/>
              <w:rPr>
                <w:rFonts w:ascii="Arial" w:hAnsi="Arial" w:cs="Arial"/>
                <w:spacing w:val="6"/>
                <w:sz w:val="17"/>
                <w:szCs w:val="17"/>
              </w:rPr>
            </w:pPr>
            <w:r w:rsidRPr="00CF00B6">
              <w:rPr>
                <w:rFonts w:ascii="Arial Narrow" w:hAnsi="Arial Narrow" w:cs="Arial"/>
                <w:spacing w:val="6"/>
                <w:szCs w:val="17"/>
              </w:rPr>
              <w:t xml:space="preserve"> </w:t>
            </w:r>
            <w:r w:rsidR="00614DC4" w:rsidRPr="00F0287A">
              <w:rPr>
                <w:rFonts w:ascii="Arial" w:hAnsi="Arial" w:cs="Arial"/>
                <w:spacing w:val="6"/>
                <w:sz w:val="17"/>
                <w:szCs w:val="17"/>
              </w:rPr>
              <w:t>(en miles)</w:t>
            </w:r>
          </w:p>
        </w:tc>
      </w:tr>
      <w:tr w:rsidR="00CF00B6" w:rsidRPr="00CF00B6" w14:paraId="5F3EFD5A" w14:textId="77777777" w:rsidTr="00CF00B6">
        <w:trPr>
          <w:trHeight w:val="255"/>
          <w:jc w:val="center"/>
        </w:trPr>
        <w:tc>
          <w:tcPr>
            <w:tcW w:w="2171" w:type="pct"/>
            <w:tcBorders>
              <w:top w:val="single" w:sz="4" w:space="0" w:color="auto"/>
              <w:left w:val="nil"/>
              <w:bottom w:val="single" w:sz="4" w:space="0" w:color="auto"/>
              <w:right w:val="nil"/>
            </w:tcBorders>
            <w:shd w:val="clear" w:color="auto" w:fill="8DB3E2"/>
            <w:noWrap/>
            <w:vAlign w:val="center"/>
            <w:hideMark/>
          </w:tcPr>
          <w:p w14:paraId="379CD306" w14:textId="77777777" w:rsidR="00614DC4" w:rsidRPr="00CF00B6" w:rsidRDefault="00614DC4" w:rsidP="00744AFD">
            <w:pPr>
              <w:pStyle w:val="cuadroCabe"/>
            </w:pPr>
            <w:r w:rsidRPr="00CF00B6">
              <w:t>Deudores</w:t>
            </w:r>
          </w:p>
        </w:tc>
        <w:tc>
          <w:tcPr>
            <w:tcW w:w="810" w:type="pct"/>
            <w:tcBorders>
              <w:top w:val="single" w:sz="4" w:space="0" w:color="auto"/>
              <w:left w:val="nil"/>
              <w:bottom w:val="single" w:sz="4" w:space="0" w:color="auto"/>
              <w:right w:val="nil"/>
            </w:tcBorders>
            <w:shd w:val="clear" w:color="auto" w:fill="8DB3E2"/>
            <w:vAlign w:val="center"/>
            <w:hideMark/>
          </w:tcPr>
          <w:p w14:paraId="16585DA8" w14:textId="77777777" w:rsidR="00614DC4" w:rsidRPr="00CF00B6" w:rsidRDefault="00614DC4" w:rsidP="001F6B50">
            <w:pPr>
              <w:pStyle w:val="cuadroCabe"/>
              <w:jc w:val="right"/>
            </w:pPr>
            <w:r w:rsidRPr="00CF00B6">
              <w:t>31/12/202</w:t>
            </w:r>
            <w:r w:rsidR="00FA5CB9" w:rsidRPr="00CF00B6">
              <w:t>2</w:t>
            </w:r>
          </w:p>
        </w:tc>
        <w:tc>
          <w:tcPr>
            <w:tcW w:w="810" w:type="pct"/>
            <w:tcBorders>
              <w:top w:val="single" w:sz="4" w:space="0" w:color="auto"/>
              <w:left w:val="nil"/>
              <w:bottom w:val="single" w:sz="4" w:space="0" w:color="auto"/>
              <w:right w:val="nil"/>
            </w:tcBorders>
            <w:shd w:val="clear" w:color="auto" w:fill="8DB3E2"/>
            <w:noWrap/>
            <w:vAlign w:val="center"/>
            <w:hideMark/>
          </w:tcPr>
          <w:p w14:paraId="570DACA7" w14:textId="77777777" w:rsidR="00614DC4" w:rsidRPr="00CF00B6" w:rsidRDefault="00614DC4" w:rsidP="0095496A">
            <w:pPr>
              <w:pStyle w:val="cuadroCabe"/>
              <w:jc w:val="right"/>
            </w:pPr>
            <w:r w:rsidRPr="00CF00B6">
              <w:t>31/12/202</w:t>
            </w:r>
            <w:r w:rsidR="00FA5CB9" w:rsidRPr="00CF00B6">
              <w:t>3</w:t>
            </w:r>
          </w:p>
        </w:tc>
        <w:tc>
          <w:tcPr>
            <w:tcW w:w="1209" w:type="pct"/>
            <w:gridSpan w:val="2"/>
            <w:tcBorders>
              <w:top w:val="single" w:sz="4" w:space="0" w:color="auto"/>
              <w:left w:val="nil"/>
              <w:bottom w:val="single" w:sz="4" w:space="0" w:color="auto"/>
              <w:right w:val="nil"/>
            </w:tcBorders>
            <w:shd w:val="clear" w:color="auto" w:fill="8DB3E2"/>
            <w:noWrap/>
            <w:vAlign w:val="center"/>
            <w:hideMark/>
          </w:tcPr>
          <w:p w14:paraId="42A56C78" w14:textId="77777777" w:rsidR="00614DC4" w:rsidRPr="00CF00B6" w:rsidRDefault="00614DC4" w:rsidP="00744AFD">
            <w:pPr>
              <w:pStyle w:val="cuadroCabe"/>
            </w:pPr>
            <w:r w:rsidRPr="00CF00B6">
              <w:t>% variación 202</w:t>
            </w:r>
            <w:r w:rsidR="00FA5CB9" w:rsidRPr="00CF00B6">
              <w:t>3</w:t>
            </w:r>
            <w:r w:rsidRPr="00CF00B6">
              <w:t>/202</w:t>
            </w:r>
            <w:r w:rsidR="00FA5CB9" w:rsidRPr="00CF00B6">
              <w:t>2</w:t>
            </w:r>
          </w:p>
        </w:tc>
      </w:tr>
      <w:tr w:rsidR="00CF00B6" w:rsidRPr="00CF00B6" w14:paraId="18F091D8" w14:textId="77777777" w:rsidTr="00CF00B6">
        <w:trPr>
          <w:gridAfter w:val="1"/>
          <w:wAfter w:w="26" w:type="pct"/>
          <w:trHeight w:val="198"/>
          <w:jc w:val="center"/>
        </w:trPr>
        <w:tc>
          <w:tcPr>
            <w:tcW w:w="2171" w:type="pct"/>
            <w:tcBorders>
              <w:top w:val="single" w:sz="2" w:space="0" w:color="auto"/>
              <w:left w:val="nil"/>
              <w:bottom w:val="single" w:sz="2" w:space="0" w:color="auto"/>
              <w:right w:val="nil"/>
            </w:tcBorders>
            <w:noWrap/>
            <w:vAlign w:val="center"/>
            <w:hideMark/>
          </w:tcPr>
          <w:p w14:paraId="0E8A43A9" w14:textId="77777777" w:rsidR="00FA5CB9" w:rsidRPr="00CF00B6" w:rsidRDefault="00FA5CB9" w:rsidP="00FA5CB9">
            <w:pPr>
              <w:keepLines/>
              <w:tabs>
                <w:tab w:val="right" w:pos="2835"/>
                <w:tab w:val="right" w:pos="3969"/>
                <w:tab w:val="right" w:pos="5103"/>
                <w:tab w:val="right" w:pos="6237"/>
                <w:tab w:val="right" w:pos="7371"/>
              </w:tabs>
              <w:rPr>
                <w:rFonts w:ascii="Arial Narrow" w:hAnsi="Arial Narrow"/>
                <w:spacing w:val="6"/>
                <w:sz w:val="20"/>
                <w:szCs w:val="20"/>
              </w:rPr>
            </w:pPr>
            <w:bookmarkStart w:id="156" w:name="_Toc305480484"/>
            <w:bookmarkStart w:id="157" w:name="_Toc305415966"/>
            <w:r w:rsidRPr="00CF00B6">
              <w:rPr>
                <w:rFonts w:ascii="Arial Narrow" w:hAnsi="Arial Narrow"/>
                <w:spacing w:val="6"/>
                <w:sz w:val="20"/>
                <w:szCs w:val="20"/>
              </w:rPr>
              <w:t>Deudores presupuestarios</w:t>
            </w:r>
          </w:p>
        </w:tc>
        <w:tc>
          <w:tcPr>
            <w:tcW w:w="810" w:type="pct"/>
            <w:tcBorders>
              <w:top w:val="single" w:sz="2" w:space="0" w:color="auto"/>
              <w:left w:val="nil"/>
              <w:bottom w:val="single" w:sz="2" w:space="0" w:color="auto"/>
              <w:right w:val="nil"/>
            </w:tcBorders>
            <w:vAlign w:val="center"/>
          </w:tcPr>
          <w:p w14:paraId="69525554" w14:textId="77777777" w:rsidR="00FA5CB9" w:rsidRPr="00CF00B6" w:rsidRDefault="00FA5CB9" w:rsidP="00FA5CB9">
            <w:pPr>
              <w:keepLines/>
              <w:tabs>
                <w:tab w:val="right" w:pos="2835"/>
                <w:tab w:val="right" w:pos="3969"/>
                <w:tab w:val="right" w:pos="5103"/>
                <w:tab w:val="right" w:pos="6237"/>
                <w:tab w:val="right" w:pos="7371"/>
              </w:tabs>
              <w:jc w:val="right"/>
              <w:rPr>
                <w:rFonts w:ascii="Arial Narrow" w:hAnsi="Arial Narrow"/>
                <w:spacing w:val="6"/>
                <w:sz w:val="20"/>
                <w:szCs w:val="20"/>
              </w:rPr>
            </w:pPr>
            <w:r w:rsidRPr="00CF00B6">
              <w:rPr>
                <w:rFonts w:ascii="Arial Narrow" w:hAnsi="Arial Narrow"/>
                <w:spacing w:val="6"/>
                <w:sz w:val="20"/>
                <w:szCs w:val="20"/>
              </w:rPr>
              <w:t>979.416</w:t>
            </w:r>
          </w:p>
        </w:tc>
        <w:tc>
          <w:tcPr>
            <w:tcW w:w="810" w:type="pct"/>
            <w:tcBorders>
              <w:top w:val="single" w:sz="2" w:space="0" w:color="auto"/>
              <w:left w:val="nil"/>
              <w:bottom w:val="single" w:sz="2" w:space="0" w:color="auto"/>
              <w:right w:val="nil"/>
            </w:tcBorders>
            <w:noWrap/>
            <w:vAlign w:val="center"/>
          </w:tcPr>
          <w:p w14:paraId="16A0546E" w14:textId="77777777" w:rsidR="00FA5CB9" w:rsidRPr="00CF00B6" w:rsidRDefault="00CF00B6" w:rsidP="0095496A">
            <w:pPr>
              <w:keepLines/>
              <w:tabs>
                <w:tab w:val="right" w:pos="2835"/>
                <w:tab w:val="right" w:pos="3969"/>
                <w:tab w:val="right" w:pos="5103"/>
                <w:tab w:val="right" w:pos="6237"/>
                <w:tab w:val="right" w:pos="7371"/>
              </w:tabs>
              <w:jc w:val="right"/>
              <w:rPr>
                <w:rFonts w:ascii="Arial Narrow" w:hAnsi="Arial Narrow"/>
                <w:spacing w:val="6"/>
                <w:sz w:val="20"/>
                <w:szCs w:val="20"/>
              </w:rPr>
            </w:pPr>
            <w:r w:rsidRPr="00CF00B6">
              <w:rPr>
                <w:rFonts w:ascii="Arial Narrow" w:hAnsi="Arial Narrow"/>
                <w:spacing w:val="6"/>
                <w:sz w:val="20"/>
                <w:szCs w:val="20"/>
              </w:rPr>
              <w:t>955.893</w:t>
            </w:r>
          </w:p>
        </w:tc>
        <w:tc>
          <w:tcPr>
            <w:tcW w:w="1183" w:type="pct"/>
            <w:tcBorders>
              <w:top w:val="single" w:sz="2" w:space="0" w:color="auto"/>
              <w:left w:val="nil"/>
              <w:bottom w:val="single" w:sz="2" w:space="0" w:color="auto"/>
              <w:right w:val="nil"/>
            </w:tcBorders>
            <w:noWrap/>
            <w:vAlign w:val="center"/>
          </w:tcPr>
          <w:p w14:paraId="1FD3BC6E" w14:textId="77777777" w:rsidR="00FA5CB9" w:rsidRPr="00CF00B6" w:rsidRDefault="00785A84" w:rsidP="00FA5CB9">
            <w:pPr>
              <w:keepLines/>
              <w:tabs>
                <w:tab w:val="right" w:pos="2835"/>
                <w:tab w:val="right" w:pos="3969"/>
                <w:tab w:val="right" w:pos="5103"/>
                <w:tab w:val="right" w:pos="6237"/>
                <w:tab w:val="right" w:pos="7371"/>
              </w:tabs>
              <w:jc w:val="right"/>
              <w:rPr>
                <w:rFonts w:ascii="Arial Narrow" w:hAnsi="Arial Narrow"/>
                <w:spacing w:val="6"/>
                <w:sz w:val="20"/>
                <w:szCs w:val="20"/>
              </w:rPr>
            </w:pPr>
            <w:r>
              <w:rPr>
                <w:rFonts w:ascii="Arial Narrow" w:hAnsi="Arial Narrow"/>
                <w:spacing w:val="6"/>
                <w:sz w:val="20"/>
                <w:szCs w:val="20"/>
              </w:rPr>
              <w:t>-2</w:t>
            </w:r>
          </w:p>
        </w:tc>
      </w:tr>
      <w:tr w:rsidR="00CF00B6" w:rsidRPr="00CF00B6" w14:paraId="7434A0B7" w14:textId="77777777" w:rsidTr="00CF00B6">
        <w:trPr>
          <w:gridAfter w:val="1"/>
          <w:wAfter w:w="26" w:type="pct"/>
          <w:trHeight w:val="198"/>
          <w:jc w:val="center"/>
        </w:trPr>
        <w:tc>
          <w:tcPr>
            <w:tcW w:w="2171" w:type="pct"/>
            <w:tcBorders>
              <w:top w:val="single" w:sz="2" w:space="0" w:color="auto"/>
              <w:left w:val="nil"/>
              <w:bottom w:val="single" w:sz="2" w:space="0" w:color="auto"/>
              <w:right w:val="nil"/>
            </w:tcBorders>
            <w:noWrap/>
            <w:vAlign w:val="center"/>
            <w:hideMark/>
          </w:tcPr>
          <w:p w14:paraId="6017C2B0" w14:textId="77777777" w:rsidR="00FA5CB9" w:rsidRPr="00CF00B6" w:rsidRDefault="00FA5CB9" w:rsidP="00FA5CB9">
            <w:pPr>
              <w:keepLines/>
              <w:tabs>
                <w:tab w:val="right" w:pos="2835"/>
                <w:tab w:val="right" w:pos="3969"/>
                <w:tab w:val="right" w:pos="5103"/>
                <w:tab w:val="right" w:pos="6237"/>
                <w:tab w:val="right" w:pos="7371"/>
              </w:tabs>
              <w:rPr>
                <w:rFonts w:ascii="Arial Narrow" w:hAnsi="Arial Narrow"/>
                <w:spacing w:val="6"/>
                <w:sz w:val="20"/>
                <w:szCs w:val="20"/>
              </w:rPr>
            </w:pPr>
            <w:r w:rsidRPr="00CF00B6">
              <w:rPr>
                <w:rFonts w:ascii="Arial Narrow" w:hAnsi="Arial Narrow"/>
                <w:spacing w:val="6"/>
                <w:sz w:val="20"/>
                <w:szCs w:val="20"/>
              </w:rPr>
              <w:t>Deudores no presupuestarios</w:t>
            </w:r>
          </w:p>
        </w:tc>
        <w:tc>
          <w:tcPr>
            <w:tcW w:w="810" w:type="pct"/>
            <w:tcBorders>
              <w:top w:val="single" w:sz="2" w:space="0" w:color="auto"/>
              <w:left w:val="nil"/>
              <w:bottom w:val="single" w:sz="2" w:space="0" w:color="auto"/>
              <w:right w:val="nil"/>
            </w:tcBorders>
            <w:vAlign w:val="center"/>
          </w:tcPr>
          <w:p w14:paraId="0A94D520" w14:textId="77777777" w:rsidR="00FA5CB9" w:rsidRPr="00CF00B6" w:rsidRDefault="00FA5CB9" w:rsidP="00FA5CB9">
            <w:pPr>
              <w:keepLines/>
              <w:tabs>
                <w:tab w:val="right" w:pos="2835"/>
                <w:tab w:val="right" w:pos="3969"/>
                <w:tab w:val="right" w:pos="5103"/>
                <w:tab w:val="right" w:pos="6237"/>
                <w:tab w:val="right" w:pos="7371"/>
              </w:tabs>
              <w:jc w:val="right"/>
              <w:rPr>
                <w:rFonts w:ascii="Arial Narrow" w:hAnsi="Arial Narrow"/>
                <w:spacing w:val="6"/>
                <w:sz w:val="20"/>
                <w:szCs w:val="20"/>
              </w:rPr>
            </w:pPr>
            <w:r w:rsidRPr="00CF00B6">
              <w:rPr>
                <w:rFonts w:ascii="Arial Narrow" w:hAnsi="Arial Narrow"/>
                <w:spacing w:val="6"/>
                <w:sz w:val="20"/>
                <w:szCs w:val="20"/>
              </w:rPr>
              <w:t>93.118</w:t>
            </w:r>
          </w:p>
        </w:tc>
        <w:tc>
          <w:tcPr>
            <w:tcW w:w="810" w:type="pct"/>
            <w:tcBorders>
              <w:top w:val="single" w:sz="2" w:space="0" w:color="auto"/>
              <w:left w:val="nil"/>
              <w:bottom w:val="single" w:sz="2" w:space="0" w:color="auto"/>
              <w:right w:val="nil"/>
            </w:tcBorders>
            <w:noWrap/>
            <w:vAlign w:val="center"/>
          </w:tcPr>
          <w:p w14:paraId="0AC0D16B" w14:textId="77777777" w:rsidR="00FA5CB9" w:rsidRPr="00CF00B6" w:rsidRDefault="00CF00B6" w:rsidP="0095496A">
            <w:pPr>
              <w:keepLines/>
              <w:tabs>
                <w:tab w:val="right" w:pos="2835"/>
                <w:tab w:val="right" w:pos="3969"/>
                <w:tab w:val="right" w:pos="5103"/>
                <w:tab w:val="right" w:pos="6237"/>
                <w:tab w:val="right" w:pos="7371"/>
              </w:tabs>
              <w:jc w:val="right"/>
              <w:rPr>
                <w:rFonts w:ascii="Arial Narrow" w:hAnsi="Arial Narrow"/>
                <w:spacing w:val="6"/>
                <w:sz w:val="20"/>
                <w:szCs w:val="20"/>
              </w:rPr>
            </w:pPr>
            <w:r w:rsidRPr="00CF00B6">
              <w:rPr>
                <w:rFonts w:ascii="Arial Narrow" w:hAnsi="Arial Narrow"/>
                <w:spacing w:val="6"/>
                <w:sz w:val="20"/>
                <w:szCs w:val="20"/>
              </w:rPr>
              <w:t>110.447</w:t>
            </w:r>
          </w:p>
        </w:tc>
        <w:tc>
          <w:tcPr>
            <w:tcW w:w="1183" w:type="pct"/>
            <w:tcBorders>
              <w:top w:val="single" w:sz="2" w:space="0" w:color="auto"/>
              <w:left w:val="nil"/>
              <w:bottom w:val="single" w:sz="2" w:space="0" w:color="auto"/>
              <w:right w:val="nil"/>
            </w:tcBorders>
            <w:noWrap/>
            <w:vAlign w:val="center"/>
          </w:tcPr>
          <w:p w14:paraId="222EB078" w14:textId="77777777" w:rsidR="00FA5CB9" w:rsidRPr="00CF00B6" w:rsidRDefault="00785A84" w:rsidP="00FA5CB9">
            <w:pPr>
              <w:keepLines/>
              <w:tabs>
                <w:tab w:val="right" w:pos="2835"/>
                <w:tab w:val="right" w:pos="3969"/>
                <w:tab w:val="right" w:pos="5103"/>
                <w:tab w:val="right" w:pos="6237"/>
                <w:tab w:val="right" w:pos="7371"/>
              </w:tabs>
              <w:jc w:val="right"/>
              <w:rPr>
                <w:rFonts w:ascii="Arial Narrow" w:hAnsi="Arial Narrow"/>
                <w:spacing w:val="6"/>
                <w:sz w:val="20"/>
                <w:szCs w:val="20"/>
              </w:rPr>
            </w:pPr>
            <w:r>
              <w:rPr>
                <w:rFonts w:ascii="Arial Narrow" w:hAnsi="Arial Narrow"/>
                <w:spacing w:val="6"/>
                <w:sz w:val="20"/>
                <w:szCs w:val="20"/>
              </w:rPr>
              <w:t>19</w:t>
            </w:r>
          </w:p>
        </w:tc>
      </w:tr>
      <w:tr w:rsidR="00CF00B6" w:rsidRPr="00CF00B6" w14:paraId="7FEFF06C" w14:textId="77777777" w:rsidTr="00CF00B6">
        <w:trPr>
          <w:gridAfter w:val="1"/>
          <w:wAfter w:w="26" w:type="pct"/>
          <w:trHeight w:val="198"/>
          <w:jc w:val="center"/>
        </w:trPr>
        <w:tc>
          <w:tcPr>
            <w:tcW w:w="2171" w:type="pct"/>
            <w:tcBorders>
              <w:top w:val="single" w:sz="2" w:space="0" w:color="auto"/>
              <w:left w:val="nil"/>
              <w:bottom w:val="single" w:sz="2" w:space="0" w:color="auto"/>
              <w:right w:val="nil"/>
            </w:tcBorders>
            <w:noWrap/>
            <w:vAlign w:val="center"/>
            <w:hideMark/>
          </w:tcPr>
          <w:p w14:paraId="2206845E" w14:textId="77777777" w:rsidR="00FA5CB9" w:rsidRPr="00CF00B6" w:rsidRDefault="00FA5CB9" w:rsidP="00FA5CB9">
            <w:pPr>
              <w:keepLines/>
              <w:tabs>
                <w:tab w:val="right" w:pos="2835"/>
                <w:tab w:val="right" w:pos="3969"/>
                <w:tab w:val="right" w:pos="5103"/>
                <w:tab w:val="right" w:pos="6237"/>
                <w:tab w:val="right" w:pos="7371"/>
              </w:tabs>
              <w:rPr>
                <w:rFonts w:ascii="Arial Narrow" w:hAnsi="Arial Narrow"/>
                <w:spacing w:val="6"/>
                <w:sz w:val="20"/>
                <w:szCs w:val="20"/>
              </w:rPr>
            </w:pPr>
            <w:r w:rsidRPr="00CF00B6">
              <w:rPr>
                <w:rFonts w:ascii="Arial Narrow" w:hAnsi="Arial Narrow"/>
                <w:spacing w:val="6"/>
                <w:sz w:val="20"/>
                <w:szCs w:val="20"/>
              </w:rPr>
              <w:t>Deudores por recursos de otros entes públicos</w:t>
            </w:r>
          </w:p>
        </w:tc>
        <w:tc>
          <w:tcPr>
            <w:tcW w:w="810" w:type="pct"/>
            <w:tcBorders>
              <w:top w:val="single" w:sz="2" w:space="0" w:color="auto"/>
              <w:left w:val="nil"/>
              <w:bottom w:val="single" w:sz="2" w:space="0" w:color="auto"/>
              <w:right w:val="nil"/>
            </w:tcBorders>
            <w:vAlign w:val="center"/>
          </w:tcPr>
          <w:p w14:paraId="6F10D599" w14:textId="77777777" w:rsidR="00FA5CB9" w:rsidRPr="00CF00B6" w:rsidRDefault="00FA5CB9" w:rsidP="00FA5CB9">
            <w:pPr>
              <w:keepLines/>
              <w:tabs>
                <w:tab w:val="right" w:pos="2835"/>
                <w:tab w:val="right" w:pos="3969"/>
                <w:tab w:val="right" w:pos="5103"/>
                <w:tab w:val="right" w:pos="6237"/>
                <w:tab w:val="right" w:pos="7371"/>
              </w:tabs>
              <w:jc w:val="right"/>
              <w:rPr>
                <w:rFonts w:ascii="Arial Narrow" w:hAnsi="Arial Narrow"/>
                <w:spacing w:val="6"/>
                <w:sz w:val="20"/>
                <w:szCs w:val="20"/>
              </w:rPr>
            </w:pPr>
            <w:r w:rsidRPr="00CF00B6">
              <w:rPr>
                <w:rFonts w:ascii="Arial Narrow" w:hAnsi="Arial Narrow"/>
                <w:spacing w:val="6"/>
                <w:sz w:val="20"/>
                <w:szCs w:val="20"/>
              </w:rPr>
              <w:t>3.417</w:t>
            </w:r>
          </w:p>
        </w:tc>
        <w:tc>
          <w:tcPr>
            <w:tcW w:w="810" w:type="pct"/>
            <w:tcBorders>
              <w:top w:val="single" w:sz="2" w:space="0" w:color="auto"/>
              <w:left w:val="nil"/>
              <w:bottom w:val="single" w:sz="2" w:space="0" w:color="auto"/>
              <w:right w:val="nil"/>
            </w:tcBorders>
            <w:noWrap/>
            <w:vAlign w:val="center"/>
          </w:tcPr>
          <w:p w14:paraId="73DF4B69" w14:textId="77777777" w:rsidR="00FA5CB9" w:rsidRPr="00CF00B6" w:rsidRDefault="00CF00B6" w:rsidP="0095496A">
            <w:pPr>
              <w:keepLines/>
              <w:tabs>
                <w:tab w:val="right" w:pos="2835"/>
                <w:tab w:val="right" w:pos="3969"/>
                <w:tab w:val="right" w:pos="5103"/>
                <w:tab w:val="right" w:pos="6237"/>
                <w:tab w:val="right" w:pos="7371"/>
              </w:tabs>
              <w:jc w:val="right"/>
              <w:rPr>
                <w:rFonts w:ascii="Arial Narrow" w:hAnsi="Arial Narrow"/>
                <w:spacing w:val="6"/>
                <w:sz w:val="20"/>
                <w:szCs w:val="20"/>
              </w:rPr>
            </w:pPr>
            <w:r w:rsidRPr="00CF00B6">
              <w:rPr>
                <w:rFonts w:ascii="Arial Narrow" w:hAnsi="Arial Narrow"/>
                <w:spacing w:val="6"/>
                <w:sz w:val="20"/>
                <w:szCs w:val="20"/>
              </w:rPr>
              <w:t>3.260</w:t>
            </w:r>
          </w:p>
        </w:tc>
        <w:tc>
          <w:tcPr>
            <w:tcW w:w="1183" w:type="pct"/>
            <w:tcBorders>
              <w:top w:val="single" w:sz="2" w:space="0" w:color="auto"/>
              <w:left w:val="nil"/>
              <w:bottom w:val="single" w:sz="2" w:space="0" w:color="auto"/>
              <w:right w:val="nil"/>
            </w:tcBorders>
            <w:noWrap/>
            <w:vAlign w:val="center"/>
          </w:tcPr>
          <w:p w14:paraId="585CECA9" w14:textId="77777777" w:rsidR="00FA5CB9" w:rsidRPr="00CF00B6" w:rsidRDefault="00785A84" w:rsidP="00FA5CB9">
            <w:pPr>
              <w:keepLines/>
              <w:tabs>
                <w:tab w:val="right" w:pos="2835"/>
                <w:tab w:val="right" w:pos="3969"/>
                <w:tab w:val="right" w:pos="5103"/>
                <w:tab w:val="right" w:pos="6237"/>
                <w:tab w:val="right" w:pos="7371"/>
              </w:tabs>
              <w:jc w:val="right"/>
              <w:rPr>
                <w:rFonts w:ascii="Arial Narrow" w:hAnsi="Arial Narrow"/>
                <w:spacing w:val="6"/>
                <w:sz w:val="20"/>
                <w:szCs w:val="20"/>
              </w:rPr>
            </w:pPr>
            <w:r>
              <w:rPr>
                <w:rFonts w:ascii="Arial Narrow" w:hAnsi="Arial Narrow"/>
                <w:spacing w:val="6"/>
                <w:sz w:val="20"/>
                <w:szCs w:val="20"/>
              </w:rPr>
              <w:t>-5</w:t>
            </w:r>
          </w:p>
        </w:tc>
      </w:tr>
      <w:tr w:rsidR="00CF00B6" w:rsidRPr="00CF00B6" w14:paraId="6D7E68B7" w14:textId="77777777" w:rsidTr="00CF00B6">
        <w:trPr>
          <w:gridAfter w:val="1"/>
          <w:wAfter w:w="26" w:type="pct"/>
          <w:trHeight w:val="198"/>
          <w:jc w:val="center"/>
        </w:trPr>
        <w:tc>
          <w:tcPr>
            <w:tcW w:w="2171" w:type="pct"/>
            <w:tcBorders>
              <w:top w:val="single" w:sz="2" w:space="0" w:color="auto"/>
              <w:left w:val="nil"/>
              <w:bottom w:val="single" w:sz="2" w:space="0" w:color="auto"/>
              <w:right w:val="nil"/>
            </w:tcBorders>
            <w:noWrap/>
            <w:vAlign w:val="center"/>
            <w:hideMark/>
          </w:tcPr>
          <w:p w14:paraId="32E7680E" w14:textId="77777777" w:rsidR="00FA5CB9" w:rsidRPr="00CF00B6" w:rsidRDefault="00FA5CB9" w:rsidP="00FA5CB9">
            <w:pPr>
              <w:keepLines/>
              <w:tabs>
                <w:tab w:val="right" w:pos="2835"/>
                <w:tab w:val="right" w:pos="3969"/>
                <w:tab w:val="right" w:pos="5103"/>
                <w:tab w:val="right" w:pos="6237"/>
                <w:tab w:val="right" w:pos="7371"/>
              </w:tabs>
              <w:rPr>
                <w:rFonts w:ascii="Arial Narrow" w:hAnsi="Arial Narrow"/>
                <w:spacing w:val="6"/>
                <w:sz w:val="20"/>
                <w:szCs w:val="20"/>
              </w:rPr>
            </w:pPr>
            <w:r w:rsidRPr="00CF00B6">
              <w:rPr>
                <w:rFonts w:ascii="Arial Narrow" w:hAnsi="Arial Narrow"/>
                <w:spacing w:val="6"/>
                <w:sz w:val="20"/>
                <w:szCs w:val="20"/>
              </w:rPr>
              <w:t>Otros deudores</w:t>
            </w:r>
          </w:p>
        </w:tc>
        <w:tc>
          <w:tcPr>
            <w:tcW w:w="810" w:type="pct"/>
            <w:tcBorders>
              <w:top w:val="single" w:sz="2" w:space="0" w:color="auto"/>
              <w:left w:val="nil"/>
              <w:bottom w:val="single" w:sz="2" w:space="0" w:color="auto"/>
              <w:right w:val="nil"/>
            </w:tcBorders>
            <w:vAlign w:val="center"/>
          </w:tcPr>
          <w:p w14:paraId="728FAEA2" w14:textId="77777777" w:rsidR="00FA5CB9" w:rsidRPr="00CF00B6" w:rsidRDefault="00FA5CB9" w:rsidP="00FA5CB9">
            <w:pPr>
              <w:keepLines/>
              <w:tabs>
                <w:tab w:val="right" w:pos="2835"/>
                <w:tab w:val="right" w:pos="3969"/>
                <w:tab w:val="right" w:pos="5103"/>
                <w:tab w:val="right" w:pos="6237"/>
                <w:tab w:val="right" w:pos="7371"/>
              </w:tabs>
              <w:jc w:val="right"/>
              <w:rPr>
                <w:rFonts w:ascii="Arial Narrow" w:hAnsi="Arial Narrow"/>
                <w:spacing w:val="6"/>
                <w:sz w:val="20"/>
                <w:szCs w:val="20"/>
              </w:rPr>
            </w:pPr>
            <w:r w:rsidRPr="00CF00B6">
              <w:rPr>
                <w:rFonts w:ascii="Arial Narrow" w:hAnsi="Arial Narrow"/>
                <w:spacing w:val="6"/>
                <w:sz w:val="20"/>
                <w:szCs w:val="20"/>
              </w:rPr>
              <w:t>6.322</w:t>
            </w:r>
          </w:p>
        </w:tc>
        <w:tc>
          <w:tcPr>
            <w:tcW w:w="810" w:type="pct"/>
            <w:tcBorders>
              <w:top w:val="single" w:sz="2" w:space="0" w:color="auto"/>
              <w:left w:val="nil"/>
              <w:bottom w:val="single" w:sz="2" w:space="0" w:color="auto"/>
              <w:right w:val="nil"/>
            </w:tcBorders>
            <w:noWrap/>
            <w:vAlign w:val="center"/>
          </w:tcPr>
          <w:p w14:paraId="0D2B7CFB" w14:textId="77777777" w:rsidR="00FA5CB9" w:rsidRPr="00CF00B6" w:rsidRDefault="00CF00B6" w:rsidP="0095496A">
            <w:pPr>
              <w:keepLines/>
              <w:tabs>
                <w:tab w:val="right" w:pos="2835"/>
                <w:tab w:val="right" w:pos="3969"/>
                <w:tab w:val="right" w:pos="5103"/>
                <w:tab w:val="right" w:pos="6237"/>
                <w:tab w:val="right" w:pos="7371"/>
              </w:tabs>
              <w:jc w:val="right"/>
              <w:rPr>
                <w:rFonts w:ascii="Arial Narrow" w:hAnsi="Arial Narrow"/>
                <w:spacing w:val="6"/>
                <w:sz w:val="20"/>
                <w:szCs w:val="20"/>
              </w:rPr>
            </w:pPr>
            <w:r w:rsidRPr="00CF00B6">
              <w:rPr>
                <w:rFonts w:ascii="Arial Narrow" w:hAnsi="Arial Narrow"/>
                <w:spacing w:val="6"/>
                <w:sz w:val="20"/>
                <w:szCs w:val="20"/>
              </w:rPr>
              <w:t>5.998</w:t>
            </w:r>
          </w:p>
        </w:tc>
        <w:tc>
          <w:tcPr>
            <w:tcW w:w="1183" w:type="pct"/>
            <w:tcBorders>
              <w:top w:val="single" w:sz="2" w:space="0" w:color="auto"/>
              <w:left w:val="nil"/>
              <w:bottom w:val="single" w:sz="2" w:space="0" w:color="auto"/>
              <w:right w:val="nil"/>
            </w:tcBorders>
            <w:noWrap/>
            <w:vAlign w:val="center"/>
          </w:tcPr>
          <w:p w14:paraId="58667409" w14:textId="77777777" w:rsidR="00FA5CB9" w:rsidRPr="00CF00B6" w:rsidRDefault="00785A84" w:rsidP="00FA5CB9">
            <w:pPr>
              <w:keepLines/>
              <w:tabs>
                <w:tab w:val="right" w:pos="2835"/>
                <w:tab w:val="right" w:pos="3969"/>
                <w:tab w:val="right" w:pos="5103"/>
                <w:tab w:val="right" w:pos="6237"/>
                <w:tab w:val="right" w:pos="7371"/>
              </w:tabs>
              <w:jc w:val="right"/>
              <w:rPr>
                <w:rFonts w:ascii="Arial Narrow" w:hAnsi="Arial Narrow"/>
                <w:spacing w:val="6"/>
                <w:sz w:val="20"/>
                <w:szCs w:val="20"/>
              </w:rPr>
            </w:pPr>
            <w:r>
              <w:rPr>
                <w:rFonts w:ascii="Arial Narrow" w:hAnsi="Arial Narrow"/>
                <w:spacing w:val="6"/>
                <w:sz w:val="20"/>
                <w:szCs w:val="20"/>
              </w:rPr>
              <w:t>-5</w:t>
            </w:r>
          </w:p>
        </w:tc>
      </w:tr>
      <w:tr w:rsidR="00CF00B6" w:rsidRPr="00CF00B6" w14:paraId="4D7EE524" w14:textId="77777777" w:rsidTr="00F0287A">
        <w:trPr>
          <w:gridAfter w:val="1"/>
          <w:wAfter w:w="26" w:type="pct"/>
          <w:trHeight w:val="198"/>
          <w:jc w:val="center"/>
        </w:trPr>
        <w:tc>
          <w:tcPr>
            <w:tcW w:w="2171" w:type="pct"/>
            <w:tcBorders>
              <w:top w:val="single" w:sz="2" w:space="0" w:color="auto"/>
              <w:left w:val="nil"/>
              <w:bottom w:val="single" w:sz="4" w:space="0" w:color="auto"/>
              <w:right w:val="nil"/>
            </w:tcBorders>
            <w:noWrap/>
            <w:vAlign w:val="center"/>
            <w:hideMark/>
          </w:tcPr>
          <w:p w14:paraId="25842074" w14:textId="77777777" w:rsidR="00FA5CB9" w:rsidRPr="00CF00B6" w:rsidRDefault="00FA5CB9" w:rsidP="00FA5CB9">
            <w:pPr>
              <w:keepLines/>
              <w:tabs>
                <w:tab w:val="right" w:pos="2835"/>
                <w:tab w:val="right" w:pos="3969"/>
                <w:tab w:val="right" w:pos="5103"/>
                <w:tab w:val="right" w:pos="6237"/>
                <w:tab w:val="right" w:pos="7371"/>
              </w:tabs>
              <w:rPr>
                <w:rFonts w:ascii="Arial Narrow" w:hAnsi="Arial Narrow"/>
                <w:spacing w:val="6"/>
                <w:sz w:val="20"/>
                <w:szCs w:val="20"/>
              </w:rPr>
            </w:pPr>
            <w:r w:rsidRPr="00CF00B6">
              <w:rPr>
                <w:rFonts w:ascii="Arial Narrow" w:hAnsi="Arial Narrow"/>
                <w:spacing w:val="6"/>
                <w:sz w:val="20"/>
                <w:szCs w:val="20"/>
              </w:rPr>
              <w:t>Provisión para insolvencias</w:t>
            </w:r>
          </w:p>
        </w:tc>
        <w:tc>
          <w:tcPr>
            <w:tcW w:w="810" w:type="pct"/>
            <w:tcBorders>
              <w:top w:val="single" w:sz="2" w:space="0" w:color="auto"/>
              <w:left w:val="nil"/>
              <w:bottom w:val="single" w:sz="4" w:space="0" w:color="auto"/>
              <w:right w:val="nil"/>
            </w:tcBorders>
            <w:vAlign w:val="center"/>
          </w:tcPr>
          <w:p w14:paraId="58DDD23D" w14:textId="77777777" w:rsidR="00FA5CB9" w:rsidRPr="00CF00B6" w:rsidRDefault="00FA5CB9" w:rsidP="00FA5CB9">
            <w:pPr>
              <w:keepLines/>
              <w:tabs>
                <w:tab w:val="right" w:pos="2835"/>
                <w:tab w:val="right" w:pos="3969"/>
                <w:tab w:val="right" w:pos="5103"/>
                <w:tab w:val="right" w:pos="6237"/>
                <w:tab w:val="right" w:pos="7371"/>
              </w:tabs>
              <w:jc w:val="right"/>
              <w:rPr>
                <w:rFonts w:ascii="Arial Narrow" w:hAnsi="Arial Narrow"/>
                <w:spacing w:val="6"/>
                <w:sz w:val="20"/>
                <w:szCs w:val="20"/>
              </w:rPr>
            </w:pPr>
            <w:r w:rsidRPr="00CF00B6">
              <w:rPr>
                <w:rFonts w:ascii="Arial Narrow" w:hAnsi="Arial Narrow"/>
                <w:spacing w:val="6"/>
                <w:sz w:val="20"/>
                <w:szCs w:val="20"/>
              </w:rPr>
              <w:t>(622.391)</w:t>
            </w:r>
          </w:p>
        </w:tc>
        <w:tc>
          <w:tcPr>
            <w:tcW w:w="810" w:type="pct"/>
            <w:tcBorders>
              <w:top w:val="single" w:sz="2" w:space="0" w:color="auto"/>
              <w:left w:val="nil"/>
              <w:bottom w:val="single" w:sz="4" w:space="0" w:color="auto"/>
              <w:right w:val="nil"/>
            </w:tcBorders>
            <w:noWrap/>
            <w:vAlign w:val="center"/>
          </w:tcPr>
          <w:p w14:paraId="50D74EAB" w14:textId="77777777" w:rsidR="00FA5CB9" w:rsidRPr="00CF00B6" w:rsidRDefault="00CF00B6" w:rsidP="0095496A">
            <w:pPr>
              <w:keepLines/>
              <w:tabs>
                <w:tab w:val="right" w:pos="2835"/>
                <w:tab w:val="right" w:pos="3969"/>
                <w:tab w:val="right" w:pos="5103"/>
                <w:tab w:val="right" w:pos="6237"/>
                <w:tab w:val="right" w:pos="7371"/>
              </w:tabs>
              <w:jc w:val="right"/>
              <w:rPr>
                <w:rFonts w:ascii="Arial Narrow" w:hAnsi="Arial Narrow"/>
                <w:spacing w:val="6"/>
                <w:sz w:val="20"/>
                <w:szCs w:val="20"/>
              </w:rPr>
            </w:pPr>
            <w:r w:rsidRPr="00CF00B6">
              <w:rPr>
                <w:rFonts w:ascii="Arial Narrow" w:hAnsi="Arial Narrow"/>
                <w:spacing w:val="6"/>
                <w:sz w:val="20"/>
                <w:szCs w:val="20"/>
              </w:rPr>
              <w:t>(624.869)</w:t>
            </w:r>
          </w:p>
        </w:tc>
        <w:tc>
          <w:tcPr>
            <w:tcW w:w="1183" w:type="pct"/>
            <w:tcBorders>
              <w:top w:val="single" w:sz="2" w:space="0" w:color="auto"/>
              <w:left w:val="nil"/>
              <w:bottom w:val="single" w:sz="4" w:space="0" w:color="auto"/>
              <w:right w:val="nil"/>
            </w:tcBorders>
            <w:noWrap/>
            <w:vAlign w:val="center"/>
          </w:tcPr>
          <w:p w14:paraId="6EF1CE29" w14:textId="77777777" w:rsidR="00FA5CB9" w:rsidRPr="00CF00B6" w:rsidRDefault="00785A84" w:rsidP="00FA5CB9">
            <w:pPr>
              <w:keepLines/>
              <w:tabs>
                <w:tab w:val="right" w:pos="2835"/>
                <w:tab w:val="right" w:pos="3969"/>
                <w:tab w:val="right" w:pos="5103"/>
                <w:tab w:val="right" w:pos="6237"/>
                <w:tab w:val="right" w:pos="7371"/>
              </w:tabs>
              <w:jc w:val="right"/>
              <w:rPr>
                <w:rFonts w:ascii="Arial Narrow" w:hAnsi="Arial Narrow"/>
                <w:spacing w:val="6"/>
                <w:sz w:val="20"/>
                <w:szCs w:val="20"/>
              </w:rPr>
            </w:pPr>
            <w:r>
              <w:rPr>
                <w:rFonts w:ascii="Arial Narrow" w:hAnsi="Arial Narrow"/>
                <w:spacing w:val="6"/>
                <w:sz w:val="20"/>
                <w:szCs w:val="20"/>
              </w:rPr>
              <w:t>-</w:t>
            </w:r>
          </w:p>
        </w:tc>
      </w:tr>
      <w:tr w:rsidR="00CF00B6" w:rsidRPr="00FA079F" w14:paraId="1085E24E" w14:textId="77777777" w:rsidTr="00CF00B6">
        <w:trPr>
          <w:gridAfter w:val="1"/>
          <w:wAfter w:w="26" w:type="pct"/>
          <w:trHeight w:hRule="exact" w:val="255"/>
          <w:jc w:val="center"/>
        </w:trPr>
        <w:tc>
          <w:tcPr>
            <w:tcW w:w="2171" w:type="pct"/>
            <w:tcBorders>
              <w:top w:val="single" w:sz="4" w:space="0" w:color="auto"/>
              <w:left w:val="nil"/>
              <w:bottom w:val="single" w:sz="4" w:space="0" w:color="auto"/>
              <w:right w:val="nil"/>
            </w:tcBorders>
            <w:shd w:val="clear" w:color="auto" w:fill="8DB3E2"/>
            <w:noWrap/>
            <w:vAlign w:val="center"/>
            <w:hideMark/>
          </w:tcPr>
          <w:p w14:paraId="182985CD" w14:textId="77777777" w:rsidR="00FA5CB9" w:rsidRPr="00FA079F" w:rsidRDefault="00FA5CB9" w:rsidP="00FA5CB9">
            <w:pPr>
              <w:keepLines/>
              <w:tabs>
                <w:tab w:val="right" w:pos="2835"/>
                <w:tab w:val="right" w:pos="3969"/>
                <w:tab w:val="right" w:pos="5103"/>
                <w:tab w:val="right" w:pos="6237"/>
                <w:tab w:val="right" w:pos="7371"/>
              </w:tabs>
              <w:rPr>
                <w:rFonts w:ascii="Arial" w:hAnsi="Arial" w:cs="Arial"/>
                <w:spacing w:val="6"/>
                <w:sz w:val="18"/>
                <w:szCs w:val="18"/>
              </w:rPr>
            </w:pPr>
            <w:r w:rsidRPr="00FA079F">
              <w:rPr>
                <w:rFonts w:ascii="Arial" w:hAnsi="Arial" w:cs="Arial"/>
                <w:spacing w:val="6"/>
                <w:sz w:val="18"/>
                <w:szCs w:val="18"/>
              </w:rPr>
              <w:t>Total deudores</w:t>
            </w:r>
          </w:p>
        </w:tc>
        <w:tc>
          <w:tcPr>
            <w:tcW w:w="810" w:type="pct"/>
            <w:tcBorders>
              <w:top w:val="single" w:sz="4" w:space="0" w:color="auto"/>
              <w:left w:val="nil"/>
              <w:bottom w:val="single" w:sz="4" w:space="0" w:color="auto"/>
              <w:right w:val="nil"/>
            </w:tcBorders>
            <w:shd w:val="clear" w:color="auto" w:fill="8DB3E2"/>
            <w:vAlign w:val="center"/>
          </w:tcPr>
          <w:p w14:paraId="0BFEB649" w14:textId="77777777" w:rsidR="00FA5CB9" w:rsidRPr="00FA079F" w:rsidRDefault="00FA5CB9" w:rsidP="00FA5CB9">
            <w:pPr>
              <w:keepLines/>
              <w:tabs>
                <w:tab w:val="right" w:pos="2835"/>
                <w:tab w:val="right" w:pos="3969"/>
                <w:tab w:val="right" w:pos="5103"/>
                <w:tab w:val="right" w:pos="6237"/>
                <w:tab w:val="right" w:pos="7371"/>
              </w:tabs>
              <w:jc w:val="right"/>
              <w:rPr>
                <w:rFonts w:ascii="Arial" w:hAnsi="Arial" w:cs="Arial"/>
                <w:spacing w:val="6"/>
                <w:sz w:val="18"/>
                <w:szCs w:val="18"/>
              </w:rPr>
            </w:pPr>
            <w:r w:rsidRPr="00FA079F">
              <w:rPr>
                <w:rFonts w:ascii="Arial" w:hAnsi="Arial" w:cs="Arial"/>
                <w:spacing w:val="6"/>
                <w:sz w:val="18"/>
                <w:szCs w:val="18"/>
              </w:rPr>
              <w:t>459.882</w:t>
            </w:r>
          </w:p>
        </w:tc>
        <w:tc>
          <w:tcPr>
            <w:tcW w:w="810" w:type="pct"/>
            <w:tcBorders>
              <w:top w:val="single" w:sz="4" w:space="0" w:color="auto"/>
              <w:left w:val="nil"/>
              <w:bottom w:val="single" w:sz="4" w:space="0" w:color="auto"/>
              <w:right w:val="nil"/>
            </w:tcBorders>
            <w:shd w:val="clear" w:color="auto" w:fill="8DB3E2"/>
            <w:noWrap/>
            <w:vAlign w:val="center"/>
          </w:tcPr>
          <w:p w14:paraId="45A3B376" w14:textId="77777777" w:rsidR="00FA5CB9" w:rsidRPr="00FA079F" w:rsidRDefault="00CF00B6" w:rsidP="0095496A">
            <w:pPr>
              <w:keepLines/>
              <w:tabs>
                <w:tab w:val="right" w:pos="2835"/>
                <w:tab w:val="right" w:pos="3969"/>
                <w:tab w:val="right" w:pos="5103"/>
                <w:tab w:val="right" w:pos="6237"/>
                <w:tab w:val="right" w:pos="7371"/>
              </w:tabs>
              <w:jc w:val="right"/>
              <w:rPr>
                <w:rFonts w:ascii="Arial" w:hAnsi="Arial" w:cs="Arial"/>
                <w:spacing w:val="6"/>
                <w:sz w:val="18"/>
                <w:szCs w:val="18"/>
              </w:rPr>
            </w:pPr>
            <w:r w:rsidRPr="00FA079F">
              <w:rPr>
                <w:rFonts w:ascii="Arial" w:hAnsi="Arial" w:cs="Arial"/>
                <w:spacing w:val="6"/>
                <w:sz w:val="18"/>
                <w:szCs w:val="18"/>
              </w:rPr>
              <w:t>450.729</w:t>
            </w:r>
          </w:p>
        </w:tc>
        <w:tc>
          <w:tcPr>
            <w:tcW w:w="1183" w:type="pct"/>
            <w:tcBorders>
              <w:top w:val="single" w:sz="4" w:space="0" w:color="auto"/>
              <w:left w:val="nil"/>
              <w:bottom w:val="single" w:sz="4" w:space="0" w:color="auto"/>
              <w:right w:val="nil"/>
            </w:tcBorders>
            <w:shd w:val="clear" w:color="auto" w:fill="8DB3E2"/>
            <w:noWrap/>
            <w:vAlign w:val="center"/>
          </w:tcPr>
          <w:p w14:paraId="34287E66" w14:textId="77777777" w:rsidR="00FA5CB9" w:rsidRPr="00FA079F" w:rsidRDefault="00785A84" w:rsidP="00FA5CB9">
            <w:pPr>
              <w:keepLines/>
              <w:tabs>
                <w:tab w:val="right" w:pos="2835"/>
                <w:tab w:val="right" w:pos="3969"/>
                <w:tab w:val="right" w:pos="5103"/>
                <w:tab w:val="right" w:pos="6237"/>
                <w:tab w:val="right" w:pos="7371"/>
              </w:tabs>
              <w:jc w:val="right"/>
              <w:rPr>
                <w:rFonts w:ascii="Arial" w:hAnsi="Arial" w:cs="Arial"/>
                <w:spacing w:val="6"/>
                <w:sz w:val="18"/>
                <w:szCs w:val="18"/>
              </w:rPr>
            </w:pPr>
            <w:r w:rsidRPr="00FA079F">
              <w:rPr>
                <w:rFonts w:ascii="Arial" w:hAnsi="Arial" w:cs="Arial"/>
                <w:spacing w:val="6"/>
                <w:sz w:val="18"/>
                <w:szCs w:val="18"/>
              </w:rPr>
              <w:t>-2</w:t>
            </w:r>
          </w:p>
        </w:tc>
      </w:tr>
    </w:tbl>
    <w:p w14:paraId="7B47763E" w14:textId="77777777" w:rsidR="00785A84" w:rsidRDefault="00785A84" w:rsidP="00FA079F">
      <w:pPr>
        <w:pStyle w:val="texto"/>
        <w:jc w:val="both"/>
      </w:pPr>
    </w:p>
    <w:p w14:paraId="7F90134B" w14:textId="77777777" w:rsidR="006D0297" w:rsidRDefault="00614DC4" w:rsidP="009A38AE">
      <w:pPr>
        <w:pStyle w:val="texto"/>
        <w:spacing w:before="120" w:after="120"/>
        <w:jc w:val="both"/>
      </w:pPr>
      <w:r w:rsidRPr="00CF00B6">
        <w:t>A 31 de diciembre de 202</w:t>
      </w:r>
      <w:r w:rsidR="00D37351">
        <w:t>3, el 58</w:t>
      </w:r>
      <w:r w:rsidRPr="00CF00B6">
        <w:t xml:space="preserve"> por ciento </w:t>
      </w:r>
      <w:proofErr w:type="gramStart"/>
      <w:r w:rsidRPr="00CF00B6">
        <w:t>del mismo</w:t>
      </w:r>
      <w:proofErr w:type="gramEnd"/>
      <w:r w:rsidRPr="00CF00B6">
        <w:t xml:space="preserve"> estaba provisionado por insolvencias (62</w:t>
      </w:r>
      <w:r w:rsidR="00CF00B6" w:rsidRPr="00CF00B6">
        <w:t>4,87</w:t>
      </w:r>
      <w:r w:rsidRPr="00CF00B6">
        <w:t xml:space="preserve"> millones). Sobre esta provisión, indicamos que el cálculo anual, se realiza históricamente aplicando un</w:t>
      </w:r>
      <w:r w:rsidR="00D37351">
        <w:t>os</w:t>
      </w:r>
      <w:r w:rsidRPr="00CF00B6">
        <w:t xml:space="preserve"> porcentaje</w:t>
      </w:r>
      <w:r w:rsidR="00D37351">
        <w:t>s</w:t>
      </w:r>
      <w:r w:rsidRPr="00CF00B6">
        <w:t xml:space="preserve"> constante</w:t>
      </w:r>
      <w:r w:rsidR="00D37351">
        <w:t xml:space="preserve">s que se aplican sobre el saldo al cierre del ejercicio, y que varían en función de la naturaleza del saldo. </w:t>
      </w:r>
    </w:p>
    <w:p w14:paraId="55411E4E" w14:textId="77777777" w:rsidR="005F2B06" w:rsidRDefault="005F2B06">
      <w:pPr>
        <w:rPr>
          <w:spacing w:val="6"/>
          <w:sz w:val="26"/>
        </w:rPr>
      </w:pPr>
      <w:r>
        <w:br w:type="page"/>
      </w:r>
    </w:p>
    <w:p w14:paraId="3E346C21" w14:textId="77777777" w:rsidR="00614DC4" w:rsidRPr="00D37351" w:rsidRDefault="00614DC4" w:rsidP="00BA5D19">
      <w:pPr>
        <w:pStyle w:val="texto"/>
        <w:spacing w:before="120" w:after="120"/>
        <w:jc w:val="both"/>
      </w:pPr>
      <w:r w:rsidRPr="00D37351">
        <w:lastRenderedPageBreak/>
        <w:t>La composición de los deudores presupuestarios es la siguiente:</w:t>
      </w:r>
    </w:p>
    <w:tbl>
      <w:tblPr>
        <w:tblW w:w="5028" w:type="pct"/>
        <w:jc w:val="center"/>
        <w:tblCellMar>
          <w:left w:w="70" w:type="dxa"/>
          <w:right w:w="70" w:type="dxa"/>
        </w:tblCellMar>
        <w:tblLook w:val="04A0" w:firstRow="1" w:lastRow="0" w:firstColumn="1" w:lastColumn="0" w:noHBand="0" w:noVBand="1"/>
      </w:tblPr>
      <w:tblGrid>
        <w:gridCol w:w="4150"/>
        <w:gridCol w:w="23"/>
        <w:gridCol w:w="1343"/>
        <w:gridCol w:w="30"/>
        <w:gridCol w:w="1605"/>
        <w:gridCol w:w="39"/>
        <w:gridCol w:w="1600"/>
        <w:gridCol w:w="48"/>
      </w:tblGrid>
      <w:tr w:rsidR="00614DC4" w:rsidRPr="00D37351" w14:paraId="338A831C" w14:textId="77777777" w:rsidTr="0095496A">
        <w:trPr>
          <w:trHeight w:val="198"/>
          <w:jc w:val="center"/>
        </w:trPr>
        <w:tc>
          <w:tcPr>
            <w:tcW w:w="5000" w:type="pct"/>
            <w:gridSpan w:val="8"/>
            <w:tcBorders>
              <w:top w:val="nil"/>
              <w:left w:val="nil"/>
              <w:bottom w:val="single" w:sz="4" w:space="0" w:color="auto"/>
              <w:right w:val="nil"/>
            </w:tcBorders>
            <w:noWrap/>
            <w:vAlign w:val="center"/>
            <w:hideMark/>
          </w:tcPr>
          <w:p w14:paraId="7C250700" w14:textId="77777777" w:rsidR="00614DC4" w:rsidRPr="0095496A" w:rsidRDefault="00614DC4">
            <w:pPr>
              <w:keepLines/>
              <w:tabs>
                <w:tab w:val="right" w:pos="2835"/>
                <w:tab w:val="right" w:pos="3969"/>
                <w:tab w:val="right" w:pos="5103"/>
                <w:tab w:val="right" w:pos="6237"/>
                <w:tab w:val="right" w:pos="7371"/>
              </w:tabs>
              <w:ind w:right="10"/>
              <w:jc w:val="right"/>
              <w:rPr>
                <w:rFonts w:ascii="Arial Narrow" w:hAnsi="Arial Narrow" w:cs="Arial"/>
                <w:spacing w:val="6"/>
                <w:sz w:val="17"/>
                <w:szCs w:val="17"/>
              </w:rPr>
            </w:pPr>
            <w:r w:rsidRPr="0095496A">
              <w:rPr>
                <w:rFonts w:ascii="Arial Narrow" w:hAnsi="Arial Narrow" w:cs="Arial"/>
                <w:spacing w:val="6"/>
                <w:sz w:val="17"/>
                <w:szCs w:val="17"/>
              </w:rPr>
              <w:t>(en miles)</w:t>
            </w:r>
          </w:p>
        </w:tc>
      </w:tr>
      <w:tr w:rsidR="00614DC4" w:rsidRPr="00D37351" w14:paraId="51647C70" w14:textId="77777777" w:rsidTr="00614DC4">
        <w:trPr>
          <w:trHeight w:val="255"/>
          <w:jc w:val="center"/>
        </w:trPr>
        <w:tc>
          <w:tcPr>
            <w:tcW w:w="2361" w:type="pct"/>
            <w:gridSpan w:val="2"/>
            <w:tcBorders>
              <w:top w:val="single" w:sz="4" w:space="0" w:color="auto"/>
              <w:left w:val="nil"/>
              <w:bottom w:val="single" w:sz="4" w:space="0" w:color="auto"/>
              <w:right w:val="nil"/>
            </w:tcBorders>
            <w:shd w:val="clear" w:color="auto" w:fill="8DB3E2"/>
            <w:noWrap/>
            <w:vAlign w:val="center"/>
            <w:hideMark/>
          </w:tcPr>
          <w:p w14:paraId="63D4A99A" w14:textId="77777777" w:rsidR="00614DC4" w:rsidRPr="00D37351" w:rsidRDefault="00614DC4" w:rsidP="00EA72EA">
            <w:pPr>
              <w:pStyle w:val="cuadroCabe"/>
            </w:pPr>
            <w:r w:rsidRPr="00D37351">
              <w:t>Deudores presupuestarios</w:t>
            </w:r>
          </w:p>
        </w:tc>
        <w:tc>
          <w:tcPr>
            <w:tcW w:w="777" w:type="pct"/>
            <w:gridSpan w:val="2"/>
            <w:tcBorders>
              <w:top w:val="single" w:sz="4" w:space="0" w:color="auto"/>
              <w:left w:val="nil"/>
              <w:bottom w:val="single" w:sz="4" w:space="0" w:color="auto"/>
              <w:right w:val="nil"/>
            </w:tcBorders>
            <w:shd w:val="clear" w:color="auto" w:fill="8DB3E2"/>
            <w:vAlign w:val="center"/>
            <w:hideMark/>
          </w:tcPr>
          <w:p w14:paraId="707B7061" w14:textId="77777777" w:rsidR="00614DC4" w:rsidRPr="00D37351" w:rsidRDefault="00614DC4" w:rsidP="00EA72EA">
            <w:pPr>
              <w:pStyle w:val="cuadroCabe"/>
            </w:pPr>
            <w:r w:rsidRPr="00D37351">
              <w:t>31/12/202</w:t>
            </w:r>
            <w:r w:rsidR="00FA5CB9" w:rsidRPr="00D37351">
              <w:t>2</w:t>
            </w:r>
          </w:p>
        </w:tc>
        <w:tc>
          <w:tcPr>
            <w:tcW w:w="930" w:type="pct"/>
            <w:gridSpan w:val="2"/>
            <w:tcBorders>
              <w:top w:val="single" w:sz="4" w:space="0" w:color="auto"/>
              <w:left w:val="nil"/>
              <w:bottom w:val="single" w:sz="4" w:space="0" w:color="auto"/>
              <w:right w:val="nil"/>
            </w:tcBorders>
            <w:shd w:val="clear" w:color="auto" w:fill="8DB3E2"/>
            <w:vAlign w:val="center"/>
            <w:hideMark/>
          </w:tcPr>
          <w:p w14:paraId="4A93279B" w14:textId="77777777" w:rsidR="00614DC4" w:rsidRPr="00D37351" w:rsidRDefault="00614DC4" w:rsidP="00EA72EA">
            <w:pPr>
              <w:pStyle w:val="cuadroCabe"/>
            </w:pPr>
            <w:r w:rsidRPr="00D37351">
              <w:t>31/12/202</w:t>
            </w:r>
            <w:r w:rsidR="00FA5CB9" w:rsidRPr="00D37351">
              <w:t>3</w:t>
            </w:r>
          </w:p>
        </w:tc>
        <w:tc>
          <w:tcPr>
            <w:tcW w:w="932" w:type="pct"/>
            <w:gridSpan w:val="2"/>
            <w:tcBorders>
              <w:top w:val="single" w:sz="4" w:space="0" w:color="auto"/>
              <w:left w:val="nil"/>
              <w:bottom w:val="single" w:sz="4" w:space="0" w:color="auto"/>
              <w:right w:val="nil"/>
            </w:tcBorders>
            <w:shd w:val="clear" w:color="auto" w:fill="8DB3E2"/>
            <w:vAlign w:val="center"/>
            <w:hideMark/>
          </w:tcPr>
          <w:p w14:paraId="0A635495" w14:textId="77777777" w:rsidR="00614DC4" w:rsidRPr="00D37351" w:rsidRDefault="00614DC4" w:rsidP="00D37351">
            <w:pPr>
              <w:pStyle w:val="cuadroCabe"/>
              <w:jc w:val="right"/>
            </w:pPr>
            <w:r w:rsidRPr="00D37351">
              <w:t xml:space="preserve">% variación </w:t>
            </w:r>
          </w:p>
          <w:p w14:paraId="1FB0817E" w14:textId="77777777" w:rsidR="00614DC4" w:rsidRPr="00D37351" w:rsidRDefault="00614DC4" w:rsidP="00D37351">
            <w:pPr>
              <w:pStyle w:val="cuadroCabe"/>
              <w:jc w:val="right"/>
            </w:pPr>
            <w:r w:rsidRPr="00D37351">
              <w:t>202</w:t>
            </w:r>
            <w:r w:rsidR="00FA5CB9" w:rsidRPr="00D37351">
              <w:t>3</w:t>
            </w:r>
            <w:r w:rsidRPr="00D37351">
              <w:t>/202</w:t>
            </w:r>
            <w:r w:rsidR="00FA5CB9" w:rsidRPr="00D37351">
              <w:t>2</w:t>
            </w:r>
          </w:p>
        </w:tc>
      </w:tr>
      <w:tr w:rsidR="00FA5CB9" w:rsidRPr="00D37351" w14:paraId="59144588" w14:textId="77777777" w:rsidTr="0095496A">
        <w:trPr>
          <w:gridAfter w:val="1"/>
          <w:wAfter w:w="27" w:type="pct"/>
          <w:trHeight w:val="198"/>
          <w:jc w:val="center"/>
        </w:trPr>
        <w:tc>
          <w:tcPr>
            <w:tcW w:w="2348" w:type="pct"/>
            <w:tcBorders>
              <w:top w:val="single" w:sz="2" w:space="0" w:color="auto"/>
              <w:left w:val="nil"/>
              <w:bottom w:val="single" w:sz="2" w:space="0" w:color="auto"/>
              <w:right w:val="nil"/>
            </w:tcBorders>
            <w:noWrap/>
            <w:vAlign w:val="center"/>
            <w:hideMark/>
          </w:tcPr>
          <w:p w14:paraId="1706C156" w14:textId="77777777" w:rsidR="00FA5CB9" w:rsidRPr="00D37351" w:rsidRDefault="00FA5CB9" w:rsidP="00EA72EA">
            <w:pPr>
              <w:pStyle w:val="cuatexto"/>
            </w:pPr>
            <w:r w:rsidRPr="00D37351">
              <w:t>Deudores en departamentos</w:t>
            </w:r>
          </w:p>
        </w:tc>
        <w:tc>
          <w:tcPr>
            <w:tcW w:w="773" w:type="pct"/>
            <w:gridSpan w:val="2"/>
            <w:tcBorders>
              <w:top w:val="single" w:sz="2" w:space="0" w:color="auto"/>
              <w:left w:val="nil"/>
              <w:bottom w:val="single" w:sz="2" w:space="0" w:color="auto"/>
              <w:right w:val="nil"/>
            </w:tcBorders>
            <w:noWrap/>
            <w:vAlign w:val="center"/>
          </w:tcPr>
          <w:p w14:paraId="7933C240" w14:textId="77777777" w:rsidR="00FA5CB9" w:rsidRPr="00D37351" w:rsidRDefault="00FA5CB9" w:rsidP="00D12353">
            <w:pPr>
              <w:pStyle w:val="cuatexto"/>
              <w:jc w:val="right"/>
            </w:pPr>
            <w:r w:rsidRPr="00D37351">
              <w:t>39.011</w:t>
            </w:r>
          </w:p>
        </w:tc>
        <w:tc>
          <w:tcPr>
            <w:tcW w:w="925" w:type="pct"/>
            <w:gridSpan w:val="2"/>
            <w:tcBorders>
              <w:top w:val="single" w:sz="2" w:space="0" w:color="auto"/>
              <w:left w:val="nil"/>
              <w:bottom w:val="single" w:sz="2" w:space="0" w:color="auto"/>
              <w:right w:val="nil"/>
            </w:tcBorders>
            <w:noWrap/>
            <w:vAlign w:val="center"/>
          </w:tcPr>
          <w:p w14:paraId="51B0126D" w14:textId="77777777" w:rsidR="00FA5CB9" w:rsidRPr="00D37351" w:rsidRDefault="00D37351" w:rsidP="00D12353">
            <w:pPr>
              <w:pStyle w:val="cuatexto"/>
              <w:jc w:val="right"/>
            </w:pPr>
            <w:r w:rsidRPr="00D37351">
              <w:t>28.187</w:t>
            </w:r>
          </w:p>
        </w:tc>
        <w:tc>
          <w:tcPr>
            <w:tcW w:w="927" w:type="pct"/>
            <w:gridSpan w:val="2"/>
            <w:tcBorders>
              <w:top w:val="single" w:sz="2" w:space="0" w:color="auto"/>
              <w:left w:val="nil"/>
              <w:bottom w:val="single" w:sz="2" w:space="0" w:color="auto"/>
              <w:right w:val="nil"/>
            </w:tcBorders>
            <w:noWrap/>
            <w:vAlign w:val="center"/>
          </w:tcPr>
          <w:p w14:paraId="6ABFBF21" w14:textId="77777777" w:rsidR="00FA5CB9" w:rsidRPr="00D37351" w:rsidRDefault="00D37351" w:rsidP="00D12353">
            <w:pPr>
              <w:pStyle w:val="cuatexto"/>
              <w:jc w:val="right"/>
            </w:pPr>
            <w:r w:rsidRPr="00D37351">
              <w:t>-28</w:t>
            </w:r>
          </w:p>
        </w:tc>
      </w:tr>
      <w:tr w:rsidR="00FA5CB9" w:rsidRPr="00D37351" w14:paraId="00902FED" w14:textId="77777777" w:rsidTr="00FA5CB9">
        <w:trPr>
          <w:gridAfter w:val="1"/>
          <w:wAfter w:w="27" w:type="pct"/>
          <w:trHeight w:val="198"/>
          <w:jc w:val="center"/>
        </w:trPr>
        <w:tc>
          <w:tcPr>
            <w:tcW w:w="2348" w:type="pct"/>
            <w:tcBorders>
              <w:top w:val="single" w:sz="2" w:space="0" w:color="auto"/>
              <w:left w:val="nil"/>
              <w:bottom w:val="single" w:sz="2" w:space="0" w:color="auto"/>
              <w:right w:val="nil"/>
            </w:tcBorders>
            <w:noWrap/>
            <w:vAlign w:val="center"/>
            <w:hideMark/>
          </w:tcPr>
          <w:p w14:paraId="79BC4580" w14:textId="77777777" w:rsidR="00FA5CB9" w:rsidRPr="00D37351" w:rsidRDefault="00FA5CB9" w:rsidP="00EA72EA">
            <w:pPr>
              <w:pStyle w:val="cuatexto"/>
            </w:pPr>
            <w:r w:rsidRPr="00D37351">
              <w:t>Deudores gestión ordinaria</w:t>
            </w:r>
          </w:p>
        </w:tc>
        <w:tc>
          <w:tcPr>
            <w:tcW w:w="773" w:type="pct"/>
            <w:gridSpan w:val="2"/>
            <w:tcBorders>
              <w:top w:val="single" w:sz="2" w:space="0" w:color="auto"/>
              <w:left w:val="nil"/>
              <w:bottom w:val="single" w:sz="2" w:space="0" w:color="auto"/>
              <w:right w:val="nil"/>
            </w:tcBorders>
            <w:noWrap/>
            <w:vAlign w:val="center"/>
          </w:tcPr>
          <w:p w14:paraId="46C32A33" w14:textId="77777777" w:rsidR="00FA5CB9" w:rsidRPr="00D37351" w:rsidRDefault="00FA5CB9" w:rsidP="00D12353">
            <w:pPr>
              <w:pStyle w:val="cuatexto"/>
              <w:jc w:val="right"/>
            </w:pPr>
            <w:r w:rsidRPr="00D37351">
              <w:t>227.298</w:t>
            </w:r>
          </w:p>
        </w:tc>
        <w:tc>
          <w:tcPr>
            <w:tcW w:w="925" w:type="pct"/>
            <w:gridSpan w:val="2"/>
            <w:tcBorders>
              <w:top w:val="single" w:sz="2" w:space="0" w:color="auto"/>
              <w:left w:val="nil"/>
              <w:bottom w:val="single" w:sz="2" w:space="0" w:color="auto"/>
              <w:right w:val="nil"/>
            </w:tcBorders>
            <w:noWrap/>
            <w:vAlign w:val="center"/>
          </w:tcPr>
          <w:p w14:paraId="4836B32E" w14:textId="77777777" w:rsidR="00FA5CB9" w:rsidRPr="00D37351" w:rsidRDefault="00D37351" w:rsidP="00D12353">
            <w:pPr>
              <w:pStyle w:val="cuatexto"/>
              <w:jc w:val="right"/>
            </w:pPr>
            <w:r w:rsidRPr="00D37351">
              <w:t>182.593</w:t>
            </w:r>
          </w:p>
        </w:tc>
        <w:tc>
          <w:tcPr>
            <w:tcW w:w="927" w:type="pct"/>
            <w:gridSpan w:val="2"/>
            <w:tcBorders>
              <w:top w:val="single" w:sz="2" w:space="0" w:color="auto"/>
              <w:left w:val="nil"/>
              <w:bottom w:val="single" w:sz="2" w:space="0" w:color="auto"/>
              <w:right w:val="nil"/>
            </w:tcBorders>
            <w:noWrap/>
            <w:vAlign w:val="center"/>
          </w:tcPr>
          <w:p w14:paraId="7584BE94" w14:textId="77777777" w:rsidR="00FA5CB9" w:rsidRPr="00D37351" w:rsidRDefault="00D37351" w:rsidP="00D12353">
            <w:pPr>
              <w:pStyle w:val="cuatexto"/>
              <w:jc w:val="right"/>
            </w:pPr>
            <w:r w:rsidRPr="00D37351">
              <w:t>-20</w:t>
            </w:r>
          </w:p>
        </w:tc>
      </w:tr>
      <w:tr w:rsidR="00FA5CB9" w:rsidRPr="00D37351" w14:paraId="3CBA354B" w14:textId="77777777" w:rsidTr="00FA5CB9">
        <w:trPr>
          <w:gridAfter w:val="1"/>
          <w:wAfter w:w="27" w:type="pct"/>
          <w:trHeight w:val="198"/>
          <w:jc w:val="center"/>
        </w:trPr>
        <w:tc>
          <w:tcPr>
            <w:tcW w:w="2348" w:type="pct"/>
            <w:tcBorders>
              <w:top w:val="single" w:sz="2" w:space="0" w:color="auto"/>
              <w:left w:val="nil"/>
              <w:bottom w:val="single" w:sz="2" w:space="0" w:color="auto"/>
              <w:right w:val="nil"/>
            </w:tcBorders>
            <w:noWrap/>
            <w:vAlign w:val="center"/>
            <w:hideMark/>
          </w:tcPr>
          <w:p w14:paraId="368B49D3" w14:textId="77777777" w:rsidR="00FA5CB9" w:rsidRPr="00D37351" w:rsidRDefault="00FA5CB9" w:rsidP="00EA72EA">
            <w:pPr>
              <w:pStyle w:val="cuatexto"/>
            </w:pPr>
            <w:r w:rsidRPr="00D37351">
              <w:t>Deudores con aplazamiento</w:t>
            </w:r>
          </w:p>
        </w:tc>
        <w:tc>
          <w:tcPr>
            <w:tcW w:w="773" w:type="pct"/>
            <w:gridSpan w:val="2"/>
            <w:tcBorders>
              <w:top w:val="single" w:sz="2" w:space="0" w:color="auto"/>
              <w:left w:val="nil"/>
              <w:bottom w:val="single" w:sz="2" w:space="0" w:color="auto"/>
              <w:right w:val="nil"/>
            </w:tcBorders>
            <w:noWrap/>
            <w:vAlign w:val="center"/>
          </w:tcPr>
          <w:p w14:paraId="189BFC5F" w14:textId="77777777" w:rsidR="00FA5CB9" w:rsidRPr="00D37351" w:rsidRDefault="00FA5CB9" w:rsidP="00D12353">
            <w:pPr>
              <w:pStyle w:val="cuatexto"/>
              <w:jc w:val="right"/>
            </w:pPr>
            <w:r w:rsidRPr="00D37351">
              <w:t>67.007</w:t>
            </w:r>
          </w:p>
        </w:tc>
        <w:tc>
          <w:tcPr>
            <w:tcW w:w="925" w:type="pct"/>
            <w:gridSpan w:val="2"/>
            <w:tcBorders>
              <w:top w:val="single" w:sz="2" w:space="0" w:color="auto"/>
              <w:left w:val="nil"/>
              <w:bottom w:val="single" w:sz="2" w:space="0" w:color="auto"/>
              <w:right w:val="nil"/>
            </w:tcBorders>
            <w:noWrap/>
            <w:vAlign w:val="center"/>
          </w:tcPr>
          <w:p w14:paraId="332D89DA" w14:textId="77777777" w:rsidR="00FA5CB9" w:rsidRPr="00D37351" w:rsidRDefault="00D37351" w:rsidP="00D12353">
            <w:pPr>
              <w:pStyle w:val="cuatexto"/>
              <w:jc w:val="right"/>
            </w:pPr>
            <w:r w:rsidRPr="00D37351">
              <w:t>75.889</w:t>
            </w:r>
          </w:p>
        </w:tc>
        <w:tc>
          <w:tcPr>
            <w:tcW w:w="927" w:type="pct"/>
            <w:gridSpan w:val="2"/>
            <w:tcBorders>
              <w:top w:val="single" w:sz="2" w:space="0" w:color="auto"/>
              <w:left w:val="nil"/>
              <w:bottom w:val="single" w:sz="2" w:space="0" w:color="auto"/>
              <w:right w:val="nil"/>
            </w:tcBorders>
            <w:noWrap/>
            <w:vAlign w:val="center"/>
          </w:tcPr>
          <w:p w14:paraId="750E32A7" w14:textId="77777777" w:rsidR="00FA5CB9" w:rsidRPr="00D37351" w:rsidRDefault="00D37351" w:rsidP="00D12353">
            <w:pPr>
              <w:pStyle w:val="cuatexto"/>
              <w:jc w:val="right"/>
            </w:pPr>
            <w:r w:rsidRPr="00D37351">
              <w:t>13</w:t>
            </w:r>
          </w:p>
        </w:tc>
      </w:tr>
      <w:tr w:rsidR="00FA5CB9" w:rsidRPr="00D37351" w14:paraId="650411AB" w14:textId="77777777" w:rsidTr="00FA5CB9">
        <w:trPr>
          <w:gridAfter w:val="1"/>
          <w:wAfter w:w="27" w:type="pct"/>
          <w:trHeight w:val="198"/>
          <w:jc w:val="center"/>
        </w:trPr>
        <w:tc>
          <w:tcPr>
            <w:tcW w:w="2348" w:type="pct"/>
            <w:tcBorders>
              <w:top w:val="single" w:sz="2" w:space="0" w:color="auto"/>
              <w:left w:val="nil"/>
              <w:bottom w:val="single" w:sz="2" w:space="0" w:color="auto"/>
              <w:right w:val="nil"/>
            </w:tcBorders>
            <w:noWrap/>
            <w:vAlign w:val="center"/>
            <w:hideMark/>
          </w:tcPr>
          <w:p w14:paraId="4E9B4534" w14:textId="77777777" w:rsidR="00FA5CB9" w:rsidRPr="00D37351" w:rsidRDefault="00FA5CB9" w:rsidP="00EA72EA">
            <w:pPr>
              <w:pStyle w:val="cuatexto"/>
            </w:pPr>
            <w:r w:rsidRPr="00D37351">
              <w:t>Deudores en vía de apremio</w:t>
            </w:r>
          </w:p>
        </w:tc>
        <w:tc>
          <w:tcPr>
            <w:tcW w:w="773" w:type="pct"/>
            <w:gridSpan w:val="2"/>
            <w:tcBorders>
              <w:top w:val="single" w:sz="2" w:space="0" w:color="auto"/>
              <w:left w:val="nil"/>
              <w:bottom w:val="single" w:sz="2" w:space="0" w:color="auto"/>
              <w:right w:val="nil"/>
            </w:tcBorders>
            <w:noWrap/>
            <w:vAlign w:val="center"/>
          </w:tcPr>
          <w:p w14:paraId="35BAB641" w14:textId="77777777" w:rsidR="00FA5CB9" w:rsidRPr="00D37351" w:rsidRDefault="00FA5CB9" w:rsidP="00D12353">
            <w:pPr>
              <w:pStyle w:val="cuatexto"/>
              <w:jc w:val="right"/>
            </w:pPr>
            <w:r w:rsidRPr="00D37351">
              <w:t>640.367</w:t>
            </w:r>
          </w:p>
        </w:tc>
        <w:tc>
          <w:tcPr>
            <w:tcW w:w="925" w:type="pct"/>
            <w:gridSpan w:val="2"/>
            <w:tcBorders>
              <w:top w:val="single" w:sz="2" w:space="0" w:color="auto"/>
              <w:left w:val="nil"/>
              <w:bottom w:val="single" w:sz="2" w:space="0" w:color="auto"/>
              <w:right w:val="nil"/>
            </w:tcBorders>
            <w:noWrap/>
            <w:vAlign w:val="center"/>
          </w:tcPr>
          <w:p w14:paraId="56EEB7B3" w14:textId="77777777" w:rsidR="00FA5CB9" w:rsidRPr="00D37351" w:rsidRDefault="00D37351" w:rsidP="00D12353">
            <w:pPr>
              <w:pStyle w:val="cuatexto"/>
              <w:jc w:val="right"/>
            </w:pPr>
            <w:r w:rsidRPr="00D37351">
              <w:t>650.591</w:t>
            </w:r>
          </w:p>
        </w:tc>
        <w:tc>
          <w:tcPr>
            <w:tcW w:w="927" w:type="pct"/>
            <w:gridSpan w:val="2"/>
            <w:tcBorders>
              <w:top w:val="single" w:sz="2" w:space="0" w:color="auto"/>
              <w:left w:val="nil"/>
              <w:bottom w:val="single" w:sz="2" w:space="0" w:color="auto"/>
              <w:right w:val="nil"/>
            </w:tcBorders>
            <w:noWrap/>
            <w:vAlign w:val="center"/>
          </w:tcPr>
          <w:p w14:paraId="1F0A30EF" w14:textId="77777777" w:rsidR="00FA5CB9" w:rsidRPr="00D37351" w:rsidRDefault="00D37351" w:rsidP="00D12353">
            <w:pPr>
              <w:pStyle w:val="cuatexto"/>
              <w:jc w:val="right"/>
            </w:pPr>
            <w:r w:rsidRPr="00D37351">
              <w:t>2</w:t>
            </w:r>
          </w:p>
        </w:tc>
      </w:tr>
      <w:tr w:rsidR="00FA5CB9" w:rsidRPr="00D37351" w14:paraId="3F5A1F9D" w14:textId="77777777" w:rsidTr="00FA5CB9">
        <w:trPr>
          <w:gridAfter w:val="1"/>
          <w:wAfter w:w="27" w:type="pct"/>
          <w:trHeight w:val="198"/>
          <w:jc w:val="center"/>
        </w:trPr>
        <w:tc>
          <w:tcPr>
            <w:tcW w:w="2348" w:type="pct"/>
            <w:tcBorders>
              <w:top w:val="single" w:sz="2" w:space="0" w:color="auto"/>
              <w:left w:val="nil"/>
              <w:bottom w:val="single" w:sz="2" w:space="0" w:color="auto"/>
              <w:right w:val="nil"/>
            </w:tcBorders>
            <w:noWrap/>
            <w:vAlign w:val="center"/>
            <w:hideMark/>
          </w:tcPr>
          <w:p w14:paraId="6826CCF2" w14:textId="77777777" w:rsidR="00FA5CB9" w:rsidRPr="00D37351" w:rsidRDefault="00FA5CB9" w:rsidP="00EA72EA">
            <w:pPr>
              <w:pStyle w:val="cuatexto"/>
            </w:pPr>
            <w:r w:rsidRPr="00D37351">
              <w:t>Deudores situaciones especiales</w:t>
            </w:r>
          </w:p>
        </w:tc>
        <w:tc>
          <w:tcPr>
            <w:tcW w:w="773" w:type="pct"/>
            <w:gridSpan w:val="2"/>
            <w:tcBorders>
              <w:top w:val="single" w:sz="2" w:space="0" w:color="auto"/>
              <w:left w:val="nil"/>
              <w:bottom w:val="single" w:sz="2" w:space="0" w:color="auto"/>
              <w:right w:val="nil"/>
            </w:tcBorders>
            <w:noWrap/>
            <w:vAlign w:val="center"/>
          </w:tcPr>
          <w:p w14:paraId="33915B79" w14:textId="77777777" w:rsidR="00FA5CB9" w:rsidRPr="00D37351" w:rsidRDefault="00FA5CB9" w:rsidP="00D12353">
            <w:pPr>
              <w:pStyle w:val="cuatexto"/>
              <w:jc w:val="right"/>
            </w:pPr>
            <w:r w:rsidRPr="00D37351">
              <w:t>9.873</w:t>
            </w:r>
          </w:p>
        </w:tc>
        <w:tc>
          <w:tcPr>
            <w:tcW w:w="925" w:type="pct"/>
            <w:gridSpan w:val="2"/>
            <w:tcBorders>
              <w:top w:val="single" w:sz="2" w:space="0" w:color="auto"/>
              <w:left w:val="nil"/>
              <w:bottom w:val="single" w:sz="2" w:space="0" w:color="auto"/>
              <w:right w:val="nil"/>
            </w:tcBorders>
            <w:noWrap/>
            <w:vAlign w:val="center"/>
          </w:tcPr>
          <w:p w14:paraId="6A6EF896" w14:textId="77777777" w:rsidR="00FA5CB9" w:rsidRPr="00D37351" w:rsidRDefault="00D37351" w:rsidP="00D12353">
            <w:pPr>
              <w:pStyle w:val="cuatexto"/>
              <w:jc w:val="right"/>
            </w:pPr>
            <w:r w:rsidRPr="00D37351">
              <w:t>23.517</w:t>
            </w:r>
          </w:p>
        </w:tc>
        <w:tc>
          <w:tcPr>
            <w:tcW w:w="927" w:type="pct"/>
            <w:gridSpan w:val="2"/>
            <w:tcBorders>
              <w:top w:val="single" w:sz="2" w:space="0" w:color="auto"/>
              <w:left w:val="nil"/>
              <w:bottom w:val="single" w:sz="2" w:space="0" w:color="auto"/>
              <w:right w:val="nil"/>
            </w:tcBorders>
            <w:noWrap/>
            <w:vAlign w:val="center"/>
          </w:tcPr>
          <w:p w14:paraId="3E438535" w14:textId="77777777" w:rsidR="00FA5CB9" w:rsidRPr="00D37351" w:rsidRDefault="00D37351" w:rsidP="00D12353">
            <w:pPr>
              <w:pStyle w:val="cuatexto"/>
              <w:jc w:val="right"/>
            </w:pPr>
            <w:r w:rsidRPr="00D37351">
              <w:t>138</w:t>
            </w:r>
          </w:p>
        </w:tc>
      </w:tr>
      <w:tr w:rsidR="00FA5CB9" w:rsidRPr="00D37351" w14:paraId="2B7FDFD4" w14:textId="77777777" w:rsidTr="00B81AF3">
        <w:trPr>
          <w:gridAfter w:val="1"/>
          <w:wAfter w:w="27" w:type="pct"/>
          <w:trHeight w:val="198"/>
          <w:jc w:val="center"/>
        </w:trPr>
        <w:tc>
          <w:tcPr>
            <w:tcW w:w="2348" w:type="pct"/>
            <w:tcBorders>
              <w:top w:val="single" w:sz="2" w:space="0" w:color="auto"/>
              <w:left w:val="nil"/>
              <w:bottom w:val="single" w:sz="4" w:space="0" w:color="auto"/>
              <w:right w:val="nil"/>
            </w:tcBorders>
            <w:noWrap/>
            <w:vAlign w:val="center"/>
            <w:hideMark/>
          </w:tcPr>
          <w:p w14:paraId="7F7BB04F" w14:textId="77777777" w:rsidR="00FA5CB9" w:rsidRPr="00D37351" w:rsidRDefault="00FA5CB9" w:rsidP="00EA72EA">
            <w:pPr>
              <w:pStyle w:val="cuatexto"/>
            </w:pPr>
            <w:r w:rsidRPr="00D37351">
              <w:t>Deudores por devolución de compras</w:t>
            </w:r>
          </w:p>
        </w:tc>
        <w:tc>
          <w:tcPr>
            <w:tcW w:w="773" w:type="pct"/>
            <w:gridSpan w:val="2"/>
            <w:tcBorders>
              <w:top w:val="single" w:sz="2" w:space="0" w:color="auto"/>
              <w:left w:val="nil"/>
              <w:bottom w:val="single" w:sz="4" w:space="0" w:color="auto"/>
              <w:right w:val="nil"/>
            </w:tcBorders>
            <w:noWrap/>
            <w:vAlign w:val="center"/>
          </w:tcPr>
          <w:p w14:paraId="4727C494" w14:textId="77777777" w:rsidR="00FA5CB9" w:rsidRPr="00D37351" w:rsidRDefault="00FA5CB9" w:rsidP="00D12353">
            <w:pPr>
              <w:pStyle w:val="cuatexto"/>
              <w:jc w:val="right"/>
            </w:pPr>
            <w:r w:rsidRPr="00D37351">
              <w:t>554</w:t>
            </w:r>
          </w:p>
        </w:tc>
        <w:tc>
          <w:tcPr>
            <w:tcW w:w="925" w:type="pct"/>
            <w:gridSpan w:val="2"/>
            <w:tcBorders>
              <w:top w:val="single" w:sz="2" w:space="0" w:color="auto"/>
              <w:left w:val="nil"/>
              <w:bottom w:val="single" w:sz="4" w:space="0" w:color="auto"/>
              <w:right w:val="nil"/>
            </w:tcBorders>
            <w:noWrap/>
            <w:vAlign w:val="center"/>
          </w:tcPr>
          <w:p w14:paraId="5BAD4199" w14:textId="77777777" w:rsidR="00FA5CB9" w:rsidRPr="00D37351" w:rsidRDefault="00D37351" w:rsidP="00D12353">
            <w:pPr>
              <w:pStyle w:val="cuatexto"/>
              <w:jc w:val="right"/>
            </w:pPr>
            <w:r w:rsidRPr="00D37351">
              <w:t>548</w:t>
            </w:r>
          </w:p>
        </w:tc>
        <w:tc>
          <w:tcPr>
            <w:tcW w:w="927" w:type="pct"/>
            <w:gridSpan w:val="2"/>
            <w:tcBorders>
              <w:top w:val="single" w:sz="2" w:space="0" w:color="auto"/>
              <w:left w:val="nil"/>
              <w:bottom w:val="single" w:sz="4" w:space="0" w:color="auto"/>
              <w:right w:val="nil"/>
            </w:tcBorders>
            <w:noWrap/>
            <w:vAlign w:val="center"/>
          </w:tcPr>
          <w:p w14:paraId="20BA70A3" w14:textId="77777777" w:rsidR="00FA5CB9" w:rsidRPr="00D37351" w:rsidRDefault="00D37351" w:rsidP="00D12353">
            <w:pPr>
              <w:pStyle w:val="cuatexto"/>
              <w:jc w:val="right"/>
            </w:pPr>
            <w:r w:rsidRPr="00D37351">
              <w:t>-1</w:t>
            </w:r>
          </w:p>
        </w:tc>
      </w:tr>
      <w:tr w:rsidR="00FA5CB9" w:rsidRPr="00D37351" w14:paraId="69F0F00B" w14:textId="77777777" w:rsidTr="00B81AF3">
        <w:trPr>
          <w:gridAfter w:val="1"/>
          <w:wAfter w:w="27" w:type="pct"/>
          <w:trHeight w:val="198"/>
          <w:jc w:val="center"/>
        </w:trPr>
        <w:tc>
          <w:tcPr>
            <w:tcW w:w="2348" w:type="pct"/>
            <w:tcBorders>
              <w:top w:val="single" w:sz="4" w:space="0" w:color="auto"/>
              <w:left w:val="nil"/>
              <w:bottom w:val="single" w:sz="4" w:space="0" w:color="auto"/>
              <w:right w:val="nil"/>
            </w:tcBorders>
            <w:noWrap/>
            <w:vAlign w:val="center"/>
            <w:hideMark/>
          </w:tcPr>
          <w:p w14:paraId="63BA8DD9" w14:textId="77777777" w:rsidR="00FA5CB9" w:rsidRPr="00D37351" w:rsidRDefault="00FA5CB9" w:rsidP="00EA72EA">
            <w:pPr>
              <w:pStyle w:val="cuatexto"/>
              <w:rPr>
                <w:rFonts w:cs="Arial"/>
                <w:b/>
              </w:rPr>
            </w:pPr>
            <w:r w:rsidRPr="00D37351">
              <w:rPr>
                <w:rFonts w:cs="Arial"/>
                <w:b/>
              </w:rPr>
              <w:t>Total deudores</w:t>
            </w:r>
          </w:p>
        </w:tc>
        <w:tc>
          <w:tcPr>
            <w:tcW w:w="773" w:type="pct"/>
            <w:gridSpan w:val="2"/>
            <w:tcBorders>
              <w:top w:val="single" w:sz="4" w:space="0" w:color="auto"/>
              <w:left w:val="nil"/>
              <w:bottom w:val="single" w:sz="4" w:space="0" w:color="auto"/>
              <w:right w:val="nil"/>
            </w:tcBorders>
            <w:noWrap/>
            <w:vAlign w:val="center"/>
          </w:tcPr>
          <w:p w14:paraId="06E0A2C4" w14:textId="77777777" w:rsidR="00FA5CB9" w:rsidRPr="00D37351" w:rsidRDefault="00FA5CB9" w:rsidP="00D12353">
            <w:pPr>
              <w:pStyle w:val="cuatexto"/>
              <w:jc w:val="right"/>
              <w:rPr>
                <w:rFonts w:cs="Arial"/>
                <w:b/>
              </w:rPr>
            </w:pPr>
            <w:r w:rsidRPr="00D37351">
              <w:rPr>
                <w:rFonts w:cs="Arial"/>
                <w:b/>
              </w:rPr>
              <w:t>984.110</w:t>
            </w:r>
          </w:p>
        </w:tc>
        <w:tc>
          <w:tcPr>
            <w:tcW w:w="925" w:type="pct"/>
            <w:gridSpan w:val="2"/>
            <w:tcBorders>
              <w:top w:val="single" w:sz="4" w:space="0" w:color="auto"/>
              <w:left w:val="nil"/>
              <w:bottom w:val="single" w:sz="4" w:space="0" w:color="auto"/>
              <w:right w:val="nil"/>
            </w:tcBorders>
            <w:noWrap/>
            <w:vAlign w:val="center"/>
          </w:tcPr>
          <w:p w14:paraId="72D0E003" w14:textId="77777777" w:rsidR="00FA5CB9" w:rsidRPr="00D37351" w:rsidRDefault="00D37351" w:rsidP="00D12353">
            <w:pPr>
              <w:pStyle w:val="cuatexto"/>
              <w:jc w:val="right"/>
              <w:rPr>
                <w:rFonts w:cs="Arial"/>
                <w:b/>
              </w:rPr>
            </w:pPr>
            <w:r w:rsidRPr="00D37351">
              <w:rPr>
                <w:rFonts w:cs="Arial"/>
                <w:b/>
              </w:rPr>
              <w:t>961.335</w:t>
            </w:r>
          </w:p>
        </w:tc>
        <w:tc>
          <w:tcPr>
            <w:tcW w:w="927" w:type="pct"/>
            <w:gridSpan w:val="2"/>
            <w:tcBorders>
              <w:top w:val="single" w:sz="4" w:space="0" w:color="auto"/>
              <w:left w:val="nil"/>
              <w:bottom w:val="single" w:sz="4" w:space="0" w:color="auto"/>
              <w:right w:val="nil"/>
            </w:tcBorders>
            <w:noWrap/>
            <w:vAlign w:val="center"/>
          </w:tcPr>
          <w:p w14:paraId="522ED6BD" w14:textId="77777777" w:rsidR="00FA5CB9" w:rsidRPr="00D37351" w:rsidRDefault="00D37351" w:rsidP="00D12353">
            <w:pPr>
              <w:pStyle w:val="cuatexto"/>
              <w:jc w:val="right"/>
            </w:pPr>
            <w:r w:rsidRPr="00D37351">
              <w:t>-2</w:t>
            </w:r>
          </w:p>
        </w:tc>
      </w:tr>
      <w:tr w:rsidR="00FA5CB9" w:rsidRPr="00D37351" w14:paraId="2E2A6495" w14:textId="77777777" w:rsidTr="00B81AF3">
        <w:trPr>
          <w:gridAfter w:val="1"/>
          <w:wAfter w:w="27" w:type="pct"/>
          <w:trHeight w:val="198"/>
          <w:jc w:val="center"/>
        </w:trPr>
        <w:tc>
          <w:tcPr>
            <w:tcW w:w="2348" w:type="pct"/>
            <w:tcBorders>
              <w:top w:val="single" w:sz="4" w:space="0" w:color="auto"/>
              <w:left w:val="nil"/>
              <w:bottom w:val="single" w:sz="4" w:space="0" w:color="auto"/>
              <w:right w:val="nil"/>
            </w:tcBorders>
            <w:noWrap/>
            <w:vAlign w:val="center"/>
            <w:hideMark/>
          </w:tcPr>
          <w:p w14:paraId="5B35B89A" w14:textId="77777777" w:rsidR="00FA5CB9" w:rsidRPr="00D37351" w:rsidRDefault="00FA5CB9" w:rsidP="00EA72EA">
            <w:pPr>
              <w:pStyle w:val="cuatexto"/>
            </w:pPr>
            <w:r w:rsidRPr="00D37351">
              <w:t>Intereses y recargos no devengados</w:t>
            </w:r>
          </w:p>
        </w:tc>
        <w:tc>
          <w:tcPr>
            <w:tcW w:w="773" w:type="pct"/>
            <w:gridSpan w:val="2"/>
            <w:tcBorders>
              <w:top w:val="single" w:sz="4" w:space="0" w:color="auto"/>
              <w:left w:val="nil"/>
              <w:bottom w:val="single" w:sz="4" w:space="0" w:color="auto"/>
              <w:right w:val="nil"/>
            </w:tcBorders>
            <w:noWrap/>
            <w:vAlign w:val="center"/>
          </w:tcPr>
          <w:p w14:paraId="36F7C749" w14:textId="77777777" w:rsidR="00FA5CB9" w:rsidRPr="00D37351" w:rsidRDefault="00FA5CB9" w:rsidP="00D12353">
            <w:pPr>
              <w:pStyle w:val="cuatexto"/>
              <w:jc w:val="right"/>
            </w:pPr>
            <w:r w:rsidRPr="00D37351">
              <w:t>-4.693</w:t>
            </w:r>
          </w:p>
        </w:tc>
        <w:tc>
          <w:tcPr>
            <w:tcW w:w="925" w:type="pct"/>
            <w:gridSpan w:val="2"/>
            <w:tcBorders>
              <w:top w:val="single" w:sz="4" w:space="0" w:color="auto"/>
              <w:left w:val="nil"/>
              <w:bottom w:val="single" w:sz="4" w:space="0" w:color="auto"/>
              <w:right w:val="nil"/>
            </w:tcBorders>
            <w:noWrap/>
            <w:vAlign w:val="center"/>
          </w:tcPr>
          <w:p w14:paraId="5AA4FF1B" w14:textId="77777777" w:rsidR="00FA5CB9" w:rsidRPr="00D37351" w:rsidRDefault="00D37351" w:rsidP="00D12353">
            <w:pPr>
              <w:pStyle w:val="cuatexto"/>
              <w:jc w:val="right"/>
            </w:pPr>
            <w:r w:rsidRPr="00D37351">
              <w:t>-5.442</w:t>
            </w:r>
          </w:p>
        </w:tc>
        <w:tc>
          <w:tcPr>
            <w:tcW w:w="927" w:type="pct"/>
            <w:gridSpan w:val="2"/>
            <w:tcBorders>
              <w:top w:val="single" w:sz="4" w:space="0" w:color="auto"/>
              <w:left w:val="nil"/>
              <w:bottom w:val="single" w:sz="4" w:space="0" w:color="auto"/>
              <w:right w:val="nil"/>
            </w:tcBorders>
            <w:noWrap/>
            <w:vAlign w:val="center"/>
          </w:tcPr>
          <w:p w14:paraId="06DB8282" w14:textId="77777777" w:rsidR="00FA5CB9" w:rsidRPr="00D37351" w:rsidRDefault="00D37351" w:rsidP="00D12353">
            <w:pPr>
              <w:pStyle w:val="cuatexto"/>
              <w:jc w:val="right"/>
            </w:pPr>
            <w:r w:rsidRPr="00D37351">
              <w:t>16</w:t>
            </w:r>
          </w:p>
        </w:tc>
      </w:tr>
      <w:tr w:rsidR="00FA5CB9" w:rsidRPr="00D37351" w14:paraId="0FE2B3CB" w14:textId="77777777" w:rsidTr="00BA5D19">
        <w:trPr>
          <w:gridAfter w:val="1"/>
          <w:wAfter w:w="27" w:type="pct"/>
          <w:trHeight w:hRule="exact" w:val="255"/>
          <w:jc w:val="center"/>
        </w:trPr>
        <w:tc>
          <w:tcPr>
            <w:tcW w:w="2348" w:type="pct"/>
            <w:tcBorders>
              <w:top w:val="single" w:sz="4" w:space="0" w:color="auto"/>
              <w:left w:val="nil"/>
              <w:bottom w:val="single" w:sz="4" w:space="0" w:color="auto"/>
              <w:right w:val="nil"/>
            </w:tcBorders>
            <w:shd w:val="clear" w:color="auto" w:fill="8DB3E2"/>
            <w:noWrap/>
            <w:vAlign w:val="center"/>
            <w:hideMark/>
          </w:tcPr>
          <w:p w14:paraId="2B617A2D" w14:textId="77777777" w:rsidR="00FA5CB9" w:rsidRPr="00D37351" w:rsidRDefault="00FA5CB9" w:rsidP="00EA72EA">
            <w:pPr>
              <w:pStyle w:val="cuadroCabe"/>
            </w:pPr>
            <w:r w:rsidRPr="00D37351">
              <w:t>Total deudores presupuestarios</w:t>
            </w:r>
          </w:p>
        </w:tc>
        <w:tc>
          <w:tcPr>
            <w:tcW w:w="773" w:type="pct"/>
            <w:gridSpan w:val="2"/>
            <w:tcBorders>
              <w:top w:val="single" w:sz="4" w:space="0" w:color="auto"/>
              <w:left w:val="nil"/>
              <w:bottom w:val="single" w:sz="4" w:space="0" w:color="auto"/>
              <w:right w:val="nil"/>
            </w:tcBorders>
            <w:shd w:val="clear" w:color="auto" w:fill="8DB3E2"/>
            <w:noWrap/>
            <w:vAlign w:val="center"/>
          </w:tcPr>
          <w:p w14:paraId="5598E637" w14:textId="77777777" w:rsidR="00FA5CB9" w:rsidRPr="00D37351" w:rsidRDefault="00FA5CB9" w:rsidP="00D12353">
            <w:pPr>
              <w:pStyle w:val="cuadroCabe"/>
              <w:jc w:val="right"/>
            </w:pPr>
            <w:r w:rsidRPr="00D37351">
              <w:t>979.416</w:t>
            </w:r>
          </w:p>
        </w:tc>
        <w:tc>
          <w:tcPr>
            <w:tcW w:w="925" w:type="pct"/>
            <w:gridSpan w:val="2"/>
            <w:tcBorders>
              <w:top w:val="single" w:sz="4" w:space="0" w:color="auto"/>
              <w:left w:val="nil"/>
              <w:bottom w:val="single" w:sz="4" w:space="0" w:color="auto"/>
              <w:right w:val="nil"/>
            </w:tcBorders>
            <w:shd w:val="clear" w:color="auto" w:fill="8DB3E2"/>
            <w:noWrap/>
            <w:vAlign w:val="center"/>
          </w:tcPr>
          <w:p w14:paraId="65C4ABF6" w14:textId="77777777" w:rsidR="00FA5CB9" w:rsidRPr="00D37351" w:rsidRDefault="00CF00B6" w:rsidP="00D12353">
            <w:pPr>
              <w:pStyle w:val="cuadroCabe"/>
              <w:jc w:val="right"/>
            </w:pPr>
            <w:r w:rsidRPr="00D37351">
              <w:t>955.893</w:t>
            </w:r>
          </w:p>
        </w:tc>
        <w:tc>
          <w:tcPr>
            <w:tcW w:w="927" w:type="pct"/>
            <w:gridSpan w:val="2"/>
            <w:tcBorders>
              <w:top w:val="single" w:sz="4" w:space="0" w:color="auto"/>
              <w:left w:val="nil"/>
              <w:bottom w:val="single" w:sz="4" w:space="0" w:color="auto"/>
              <w:right w:val="nil"/>
            </w:tcBorders>
            <w:shd w:val="clear" w:color="auto" w:fill="8DB3E2"/>
            <w:noWrap/>
            <w:vAlign w:val="center"/>
          </w:tcPr>
          <w:p w14:paraId="4505F05B" w14:textId="77777777" w:rsidR="00FA5CB9" w:rsidRPr="00D37351" w:rsidRDefault="00D37351" w:rsidP="00D12353">
            <w:pPr>
              <w:pStyle w:val="cuadroCabe"/>
              <w:jc w:val="right"/>
            </w:pPr>
            <w:r w:rsidRPr="00D37351">
              <w:t>-2</w:t>
            </w:r>
          </w:p>
        </w:tc>
      </w:tr>
    </w:tbl>
    <w:p w14:paraId="07183955" w14:textId="77777777" w:rsidR="00614DC4" w:rsidRPr="00D37351" w:rsidRDefault="00614DC4" w:rsidP="009A38AE">
      <w:pPr>
        <w:pStyle w:val="texto"/>
        <w:spacing w:before="240"/>
        <w:jc w:val="both"/>
      </w:pPr>
      <w:r w:rsidRPr="00D37351">
        <w:t>El saldo global de los deudores presupuestarios en 202</w:t>
      </w:r>
      <w:r w:rsidR="00CF00B6" w:rsidRPr="00D37351">
        <w:t>3</w:t>
      </w:r>
      <w:r w:rsidRPr="00D37351">
        <w:t xml:space="preserve"> es </w:t>
      </w:r>
      <w:r w:rsidR="00CF00B6" w:rsidRPr="00D37351">
        <w:t xml:space="preserve">inferior </w:t>
      </w:r>
      <w:r w:rsidRPr="00D37351">
        <w:t xml:space="preserve">al del ejercicio anterior en un </w:t>
      </w:r>
      <w:r w:rsidR="00CF00B6" w:rsidRPr="00D37351">
        <w:t xml:space="preserve">dos </w:t>
      </w:r>
      <w:r w:rsidRPr="00D37351">
        <w:t>por ciento (</w:t>
      </w:r>
      <w:r w:rsidR="00CF00B6" w:rsidRPr="00D37351">
        <w:t>23,52</w:t>
      </w:r>
      <w:r w:rsidRPr="00D37351">
        <w:t xml:space="preserve"> millones). En todo caso, el concepto más significativo, es el correspondiente a los d</w:t>
      </w:r>
      <w:r w:rsidR="00D37351" w:rsidRPr="00D37351">
        <w:t>eudores en vía de apremio en 650,59 millones, lo que supone el 68</w:t>
      </w:r>
      <w:r w:rsidRPr="00D37351">
        <w:t xml:space="preserve"> por ciento de la cifra total de deudores. </w:t>
      </w:r>
    </w:p>
    <w:p w14:paraId="475C2967" w14:textId="77777777" w:rsidR="00F6717D" w:rsidRDefault="00F6717D" w:rsidP="00F6717D">
      <w:pPr>
        <w:pStyle w:val="texto"/>
        <w:spacing w:after="120"/>
        <w:jc w:val="both"/>
        <w:rPr>
          <w:rFonts w:cs="Arial"/>
        </w:rPr>
      </w:pPr>
    </w:p>
    <w:p w14:paraId="35AD1EBF" w14:textId="77777777" w:rsidR="00F6717D" w:rsidRPr="00944836" w:rsidRDefault="00F6717D" w:rsidP="00F6717D">
      <w:pPr>
        <w:pStyle w:val="texto"/>
        <w:spacing w:after="120"/>
        <w:jc w:val="both"/>
      </w:pPr>
      <w:r w:rsidRPr="00944836">
        <w:rPr>
          <w:rFonts w:cs="Arial"/>
        </w:rPr>
        <w:t xml:space="preserve">El </w:t>
      </w:r>
      <w:r w:rsidRPr="00676DCB">
        <w:t>epígrafe</w:t>
      </w:r>
      <w:r w:rsidRPr="00944836">
        <w:rPr>
          <w:rFonts w:cs="Arial"/>
        </w:rPr>
        <w:t xml:space="preserve"> de “deudores no presupuestarios” incluye la cuenta “deudores por anticipos de subvenciones” cuyo saldo a 31 de diciembre de 2023 ascendía a 110,40 millones. </w:t>
      </w:r>
    </w:p>
    <w:p w14:paraId="4D81666B" w14:textId="77777777" w:rsidR="00F6717D" w:rsidRPr="00944836" w:rsidRDefault="00F6717D" w:rsidP="00F6717D">
      <w:pPr>
        <w:pStyle w:val="texto"/>
        <w:spacing w:after="120"/>
        <w:jc w:val="both"/>
        <w:rPr>
          <w:rFonts w:cs="Arial"/>
        </w:rPr>
      </w:pPr>
      <w:r w:rsidRPr="00944836">
        <w:rPr>
          <w:rFonts w:cs="Arial"/>
        </w:rPr>
        <w:t xml:space="preserve">Esta cuenta recoge las subvenciones concedidas que, con arreglo a la normativa aplicable, tienen la </w:t>
      </w:r>
      <w:r w:rsidRPr="00676DCB">
        <w:t>consideración</w:t>
      </w:r>
      <w:r w:rsidRPr="00944836">
        <w:rPr>
          <w:rFonts w:cs="Arial"/>
        </w:rPr>
        <w:t xml:space="preserve"> de anticipo y deben ser objeto de justificación posterior por el beneficiario. Su saldo se debe cancelar cuando se acredite el cumplimiento de las condiciones de la concesión de la subvención, momento en el que se </w:t>
      </w:r>
      <w:r w:rsidRPr="00676DCB">
        <w:t>imputará</w:t>
      </w:r>
      <w:r w:rsidRPr="00944836">
        <w:rPr>
          <w:rFonts w:cs="Arial"/>
        </w:rPr>
        <w:t xml:space="preserve"> el gasto a la cuenta de resultados. </w:t>
      </w:r>
    </w:p>
    <w:p w14:paraId="7842F953" w14:textId="77777777" w:rsidR="00F6717D" w:rsidRPr="00944836" w:rsidRDefault="00F6717D" w:rsidP="00F6717D">
      <w:pPr>
        <w:pStyle w:val="texto"/>
        <w:spacing w:after="120"/>
        <w:jc w:val="both"/>
        <w:rPr>
          <w:rFonts w:cs="Arial"/>
        </w:rPr>
      </w:pPr>
      <w:r>
        <w:rPr>
          <w:rFonts w:cs="Arial"/>
        </w:rPr>
        <w:t xml:space="preserve">Si bien </w:t>
      </w:r>
      <w:r w:rsidRPr="00944836">
        <w:rPr>
          <w:rFonts w:cs="Arial"/>
        </w:rPr>
        <w:t xml:space="preserve">consta un procedimiento definido para la contabilización de esta cuenta, y </w:t>
      </w:r>
      <w:r>
        <w:rPr>
          <w:rFonts w:cs="Arial"/>
        </w:rPr>
        <w:t>a pesar de haberse l</w:t>
      </w:r>
      <w:r w:rsidRPr="00676DCB">
        <w:t>levado</w:t>
      </w:r>
      <w:r w:rsidRPr="00944836">
        <w:rPr>
          <w:rFonts w:cs="Arial"/>
        </w:rPr>
        <w:t xml:space="preserve"> a cabo determinadas regularizaciones, no hemos podido verificar que se haya minorado su saldo por el importe justificado o por la parte no justificada, por lo que no podemos determinar si este saldo en balance es correcto. Esta deficiencia ya fue puesta de manifiesto en el informe de esta Cámara sobre las Cuentas Generales del ejercicio 2021 y 2022. </w:t>
      </w:r>
    </w:p>
    <w:p w14:paraId="3C63D8EB" w14:textId="77777777" w:rsidR="00614DC4" w:rsidRPr="00D37351" w:rsidRDefault="00614DC4" w:rsidP="009A38AE">
      <w:pPr>
        <w:pStyle w:val="texto"/>
        <w:spacing w:before="240"/>
        <w:jc w:val="both"/>
      </w:pPr>
      <w:r w:rsidRPr="00D37351">
        <w:t xml:space="preserve">Por otro lado, el saldo de deudores con aplazamiento incluye 25 millones a largo plazo, por lo que debería reclasificarse y distinguirse de la parte a corto plazo. </w:t>
      </w:r>
    </w:p>
    <w:p w14:paraId="5D857B46" w14:textId="77777777" w:rsidR="00614DC4" w:rsidRDefault="00614DC4" w:rsidP="005F2B06">
      <w:pPr>
        <w:pStyle w:val="texto"/>
        <w:tabs>
          <w:tab w:val="left" w:pos="480"/>
          <w:tab w:val="num" w:pos="600"/>
        </w:tabs>
        <w:spacing w:before="120"/>
        <w:jc w:val="both"/>
        <w:rPr>
          <w:rFonts w:cs="Arial"/>
        </w:rPr>
      </w:pPr>
      <w:r w:rsidRPr="00D37351">
        <w:rPr>
          <w:rFonts w:cs="Arial"/>
        </w:rPr>
        <w:t>En cuanto al desglose de “otros deudores”, destaca la cuenta de operaciones a formalizar del CAT (cuenta de enlace entre CAT y contabilidad), con un saldo de 5,2</w:t>
      </w:r>
      <w:r w:rsidR="00D37351" w:rsidRPr="00D37351">
        <w:rPr>
          <w:rFonts w:cs="Arial"/>
        </w:rPr>
        <w:t>2</w:t>
      </w:r>
      <w:r w:rsidRPr="00D37351">
        <w:rPr>
          <w:rFonts w:cs="Arial"/>
        </w:rPr>
        <w:t xml:space="preserve"> millones, provisionado en su totalidad. Tal y como ha advertido esta Cámara en anteriores informes, este importe no está debidamente soportado.</w:t>
      </w:r>
    </w:p>
    <w:p w14:paraId="64D70657" w14:textId="77777777" w:rsidR="00F6717D" w:rsidRDefault="00F6717D" w:rsidP="005F2B06">
      <w:pPr>
        <w:pStyle w:val="texto"/>
        <w:tabs>
          <w:tab w:val="left" w:pos="480"/>
          <w:tab w:val="num" w:pos="600"/>
        </w:tabs>
        <w:spacing w:before="120"/>
        <w:jc w:val="both"/>
        <w:rPr>
          <w:rFonts w:cs="Arial"/>
        </w:rPr>
      </w:pPr>
    </w:p>
    <w:p w14:paraId="281B369C" w14:textId="77777777" w:rsidR="00F6717D" w:rsidRDefault="00F6717D" w:rsidP="005F2B06">
      <w:pPr>
        <w:pStyle w:val="texto"/>
        <w:tabs>
          <w:tab w:val="left" w:pos="480"/>
          <w:tab w:val="num" w:pos="600"/>
        </w:tabs>
        <w:spacing w:before="120"/>
        <w:jc w:val="both"/>
        <w:rPr>
          <w:rFonts w:cs="Arial"/>
        </w:rPr>
      </w:pPr>
    </w:p>
    <w:p w14:paraId="370AD3F1" w14:textId="77777777" w:rsidR="00352146" w:rsidRPr="00352146" w:rsidRDefault="00352146" w:rsidP="00352146">
      <w:pPr>
        <w:spacing w:before="240" w:after="240"/>
        <w:ind w:firstLine="284"/>
        <w:jc w:val="both"/>
        <w:rPr>
          <w:rFonts w:ascii="Arial" w:hAnsi="Arial"/>
          <w:i/>
          <w:iCs/>
          <w:color w:val="000000"/>
          <w:spacing w:val="10"/>
          <w:kern w:val="28"/>
          <w:sz w:val="25"/>
          <w:szCs w:val="26"/>
          <w:lang w:eastAsia="en-US"/>
        </w:rPr>
      </w:pPr>
      <w:r w:rsidRPr="00352146">
        <w:rPr>
          <w:rFonts w:ascii="Arial" w:hAnsi="Arial"/>
          <w:i/>
          <w:iCs/>
          <w:color w:val="000000"/>
          <w:spacing w:val="10"/>
          <w:kern w:val="28"/>
          <w:sz w:val="25"/>
          <w:szCs w:val="26"/>
          <w:lang w:eastAsia="en-US"/>
        </w:rPr>
        <w:lastRenderedPageBreak/>
        <w:t>Acreedores a corto plazo</w:t>
      </w:r>
    </w:p>
    <w:p w14:paraId="35719327" w14:textId="77777777" w:rsidR="00352146" w:rsidRPr="00352146" w:rsidRDefault="00352146" w:rsidP="00352146">
      <w:pPr>
        <w:tabs>
          <w:tab w:val="center" w:pos="2835"/>
          <w:tab w:val="center" w:pos="3969"/>
          <w:tab w:val="center" w:pos="5103"/>
          <w:tab w:val="center" w:pos="6237"/>
          <w:tab w:val="center" w:pos="7371"/>
        </w:tabs>
        <w:spacing w:after="120"/>
        <w:ind w:firstLine="284"/>
        <w:jc w:val="both"/>
        <w:rPr>
          <w:spacing w:val="6"/>
          <w:sz w:val="26"/>
          <w:lang w:eastAsia="en-US"/>
        </w:rPr>
      </w:pPr>
      <w:r w:rsidRPr="00352146">
        <w:rPr>
          <w:spacing w:val="6"/>
          <w:sz w:val="26"/>
          <w:lang w:eastAsia="en-US"/>
        </w:rPr>
        <w:t>El saldo de acreedores a corto plazo, sin incluir los correspondientes a las emisiones de obligaciones y otros valores negociables, a 31 de diciembre de 202</w:t>
      </w:r>
      <w:r w:rsidR="00F6717D">
        <w:rPr>
          <w:spacing w:val="6"/>
          <w:sz w:val="26"/>
          <w:lang w:eastAsia="en-US"/>
        </w:rPr>
        <w:t>3 asciende a 452,63</w:t>
      </w:r>
      <w:r w:rsidRPr="00352146">
        <w:rPr>
          <w:spacing w:val="6"/>
          <w:sz w:val="26"/>
          <w:lang w:eastAsia="en-US"/>
        </w:rPr>
        <w:t xml:space="preserve"> millones y corresponde a:</w:t>
      </w:r>
    </w:p>
    <w:tbl>
      <w:tblPr>
        <w:tblW w:w="5000" w:type="pct"/>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3962"/>
        <w:gridCol w:w="1278"/>
        <w:gridCol w:w="1420"/>
        <w:gridCol w:w="2129"/>
      </w:tblGrid>
      <w:tr w:rsidR="00352146" w:rsidRPr="00352146" w14:paraId="3153B1CB" w14:textId="77777777" w:rsidTr="00352146">
        <w:trPr>
          <w:trHeight w:val="198"/>
          <w:jc w:val="center"/>
        </w:trPr>
        <w:tc>
          <w:tcPr>
            <w:tcW w:w="5000" w:type="pct"/>
            <w:gridSpan w:val="4"/>
            <w:tcBorders>
              <w:top w:val="nil"/>
              <w:left w:val="nil"/>
              <w:bottom w:val="single" w:sz="4" w:space="0" w:color="auto"/>
              <w:right w:val="nil"/>
            </w:tcBorders>
            <w:noWrap/>
            <w:vAlign w:val="center"/>
            <w:hideMark/>
          </w:tcPr>
          <w:p w14:paraId="61270766" w14:textId="77777777" w:rsidR="00352146" w:rsidRPr="00352146" w:rsidRDefault="00352146" w:rsidP="00352146">
            <w:pPr>
              <w:keepLines/>
              <w:tabs>
                <w:tab w:val="right" w:pos="2835"/>
                <w:tab w:val="right" w:pos="3969"/>
                <w:tab w:val="right" w:pos="5103"/>
                <w:tab w:val="right" w:pos="6237"/>
                <w:tab w:val="right" w:pos="7371"/>
              </w:tabs>
              <w:ind w:right="-47"/>
              <w:jc w:val="right"/>
              <w:rPr>
                <w:rFonts w:ascii="Arial" w:hAnsi="Arial" w:cs="Arial"/>
                <w:spacing w:val="6"/>
                <w:sz w:val="17"/>
                <w:szCs w:val="17"/>
                <w:lang w:val="es-ES_tradnl" w:eastAsia="en-US"/>
              </w:rPr>
            </w:pPr>
            <w:r w:rsidRPr="00352146">
              <w:rPr>
                <w:rFonts w:ascii="Arial" w:hAnsi="Arial" w:cs="Arial"/>
                <w:spacing w:val="6"/>
                <w:sz w:val="17"/>
                <w:szCs w:val="17"/>
                <w:lang w:val="es-ES_tradnl" w:eastAsia="en-US"/>
              </w:rPr>
              <w:t>(en miles)</w:t>
            </w:r>
          </w:p>
        </w:tc>
      </w:tr>
      <w:tr w:rsidR="00352146" w:rsidRPr="00352146" w14:paraId="753CFEE7" w14:textId="77777777" w:rsidTr="00F6717D">
        <w:trPr>
          <w:trHeight w:val="255"/>
          <w:jc w:val="center"/>
        </w:trPr>
        <w:tc>
          <w:tcPr>
            <w:tcW w:w="2254" w:type="pct"/>
            <w:tcBorders>
              <w:top w:val="single" w:sz="4" w:space="0" w:color="auto"/>
              <w:left w:val="nil"/>
              <w:bottom w:val="single" w:sz="4" w:space="0" w:color="auto"/>
              <w:right w:val="nil"/>
            </w:tcBorders>
            <w:shd w:val="clear" w:color="auto" w:fill="8DB3E2"/>
            <w:noWrap/>
            <w:vAlign w:val="center"/>
            <w:hideMark/>
          </w:tcPr>
          <w:p w14:paraId="72D87523" w14:textId="77777777" w:rsidR="00352146" w:rsidRPr="00352146" w:rsidRDefault="00352146" w:rsidP="00352146">
            <w:pPr>
              <w:keepLines/>
              <w:tabs>
                <w:tab w:val="right" w:pos="2835"/>
                <w:tab w:val="right" w:pos="3969"/>
                <w:tab w:val="right" w:pos="5103"/>
                <w:tab w:val="right" w:pos="6237"/>
                <w:tab w:val="right" w:pos="7371"/>
              </w:tabs>
              <w:rPr>
                <w:rFonts w:ascii="Arial" w:hAnsi="Arial" w:cs="Arial"/>
                <w:spacing w:val="6"/>
                <w:sz w:val="18"/>
                <w:lang w:val="es-ES_tradnl" w:eastAsia="en-US"/>
              </w:rPr>
            </w:pPr>
            <w:r w:rsidRPr="00352146">
              <w:rPr>
                <w:rFonts w:ascii="Arial" w:hAnsi="Arial" w:cs="Arial"/>
                <w:spacing w:val="6"/>
                <w:sz w:val="18"/>
                <w:lang w:val="es-ES_tradnl" w:eastAsia="en-US"/>
              </w:rPr>
              <w:t>Acreedores a corto plazo</w:t>
            </w:r>
          </w:p>
        </w:tc>
        <w:tc>
          <w:tcPr>
            <w:tcW w:w="727" w:type="pct"/>
            <w:tcBorders>
              <w:top w:val="single" w:sz="4" w:space="0" w:color="auto"/>
              <w:left w:val="nil"/>
              <w:bottom w:val="single" w:sz="4" w:space="0" w:color="auto"/>
              <w:right w:val="nil"/>
            </w:tcBorders>
            <w:shd w:val="clear" w:color="auto" w:fill="8DB3E2"/>
            <w:vAlign w:val="center"/>
            <w:hideMark/>
          </w:tcPr>
          <w:p w14:paraId="7512A8FC" w14:textId="77777777" w:rsidR="00352146" w:rsidRPr="00352146" w:rsidRDefault="00352146" w:rsidP="00F6717D">
            <w:pPr>
              <w:keepLines/>
              <w:tabs>
                <w:tab w:val="right" w:pos="2835"/>
                <w:tab w:val="right" w:pos="3969"/>
                <w:tab w:val="right" w:pos="5103"/>
                <w:tab w:val="right" w:pos="6237"/>
                <w:tab w:val="right" w:pos="7371"/>
              </w:tabs>
              <w:jc w:val="right"/>
              <w:rPr>
                <w:rFonts w:ascii="Arial" w:hAnsi="Arial" w:cs="Arial"/>
                <w:spacing w:val="6"/>
                <w:sz w:val="18"/>
                <w:lang w:val="es-ES_tradnl" w:eastAsia="en-US"/>
              </w:rPr>
            </w:pPr>
            <w:r w:rsidRPr="00352146">
              <w:rPr>
                <w:rFonts w:ascii="Arial" w:hAnsi="Arial" w:cs="Arial"/>
                <w:spacing w:val="6"/>
                <w:sz w:val="18"/>
                <w:lang w:val="es-ES_tradnl" w:eastAsia="en-US"/>
              </w:rPr>
              <w:t>31/12/202</w:t>
            </w:r>
            <w:r w:rsidR="00F6717D">
              <w:rPr>
                <w:rFonts w:ascii="Arial" w:hAnsi="Arial" w:cs="Arial"/>
                <w:spacing w:val="6"/>
                <w:sz w:val="18"/>
                <w:lang w:val="es-ES_tradnl" w:eastAsia="en-US"/>
              </w:rPr>
              <w:t>2</w:t>
            </w:r>
          </w:p>
        </w:tc>
        <w:tc>
          <w:tcPr>
            <w:tcW w:w="808" w:type="pct"/>
            <w:tcBorders>
              <w:top w:val="single" w:sz="4" w:space="0" w:color="auto"/>
              <w:left w:val="nil"/>
              <w:bottom w:val="single" w:sz="4" w:space="0" w:color="auto"/>
              <w:right w:val="nil"/>
            </w:tcBorders>
            <w:shd w:val="clear" w:color="auto" w:fill="8DB3E2"/>
            <w:noWrap/>
            <w:vAlign w:val="center"/>
            <w:hideMark/>
          </w:tcPr>
          <w:p w14:paraId="67E9D3B1" w14:textId="77777777" w:rsidR="00352146" w:rsidRPr="00352146" w:rsidRDefault="00352146" w:rsidP="00F6717D">
            <w:pPr>
              <w:keepLines/>
              <w:tabs>
                <w:tab w:val="right" w:pos="2835"/>
                <w:tab w:val="right" w:pos="3969"/>
                <w:tab w:val="right" w:pos="5103"/>
                <w:tab w:val="right" w:pos="6237"/>
                <w:tab w:val="right" w:pos="7371"/>
              </w:tabs>
              <w:jc w:val="right"/>
              <w:rPr>
                <w:rFonts w:ascii="Arial" w:hAnsi="Arial" w:cs="Arial"/>
                <w:spacing w:val="6"/>
                <w:sz w:val="18"/>
                <w:lang w:val="es-ES_tradnl" w:eastAsia="en-US"/>
              </w:rPr>
            </w:pPr>
            <w:r w:rsidRPr="00352146">
              <w:rPr>
                <w:rFonts w:ascii="Arial" w:hAnsi="Arial" w:cs="Arial"/>
                <w:spacing w:val="6"/>
                <w:sz w:val="18"/>
                <w:lang w:val="es-ES_tradnl" w:eastAsia="en-US"/>
              </w:rPr>
              <w:t>31/12/202</w:t>
            </w:r>
            <w:r w:rsidR="00F6717D">
              <w:rPr>
                <w:rFonts w:ascii="Arial" w:hAnsi="Arial" w:cs="Arial"/>
                <w:spacing w:val="6"/>
                <w:sz w:val="18"/>
                <w:lang w:val="es-ES_tradnl" w:eastAsia="en-US"/>
              </w:rPr>
              <w:t>3</w:t>
            </w:r>
          </w:p>
        </w:tc>
        <w:tc>
          <w:tcPr>
            <w:tcW w:w="1211" w:type="pct"/>
            <w:tcBorders>
              <w:top w:val="single" w:sz="4" w:space="0" w:color="auto"/>
              <w:left w:val="nil"/>
              <w:bottom w:val="single" w:sz="4" w:space="0" w:color="auto"/>
              <w:right w:val="nil"/>
            </w:tcBorders>
            <w:shd w:val="clear" w:color="auto" w:fill="8DB3E2"/>
            <w:noWrap/>
            <w:vAlign w:val="center"/>
            <w:hideMark/>
          </w:tcPr>
          <w:p w14:paraId="106B08CB" w14:textId="77777777" w:rsidR="00352146" w:rsidRPr="00352146" w:rsidRDefault="00352146" w:rsidP="00352146">
            <w:pPr>
              <w:keepLines/>
              <w:tabs>
                <w:tab w:val="right" w:pos="2835"/>
                <w:tab w:val="right" w:pos="3969"/>
                <w:tab w:val="right" w:pos="5103"/>
                <w:tab w:val="right" w:pos="6237"/>
                <w:tab w:val="right" w:pos="7371"/>
              </w:tabs>
              <w:jc w:val="right"/>
              <w:rPr>
                <w:rFonts w:ascii="Arial" w:hAnsi="Arial" w:cs="Arial"/>
                <w:spacing w:val="6"/>
                <w:sz w:val="18"/>
                <w:lang w:val="es-ES_tradnl" w:eastAsia="en-US"/>
              </w:rPr>
            </w:pPr>
            <w:r w:rsidRPr="00352146">
              <w:rPr>
                <w:rFonts w:ascii="Arial" w:hAnsi="Arial" w:cs="Arial"/>
                <w:spacing w:val="6"/>
                <w:sz w:val="18"/>
                <w:lang w:val="es-ES_tradnl" w:eastAsia="en-US"/>
              </w:rPr>
              <w:t>% Variación 2022/2021</w:t>
            </w:r>
          </w:p>
        </w:tc>
      </w:tr>
      <w:tr w:rsidR="00F6717D" w:rsidRPr="00352146" w14:paraId="38DCCE70" w14:textId="77777777" w:rsidTr="00F6717D">
        <w:trPr>
          <w:trHeight w:val="198"/>
          <w:jc w:val="center"/>
        </w:trPr>
        <w:tc>
          <w:tcPr>
            <w:tcW w:w="2254" w:type="pct"/>
            <w:tcBorders>
              <w:top w:val="single" w:sz="2" w:space="0" w:color="auto"/>
              <w:left w:val="nil"/>
              <w:bottom w:val="single" w:sz="2" w:space="0" w:color="auto"/>
              <w:right w:val="nil"/>
            </w:tcBorders>
            <w:noWrap/>
            <w:vAlign w:val="center"/>
            <w:hideMark/>
          </w:tcPr>
          <w:p w14:paraId="400BD5BC" w14:textId="77777777" w:rsidR="00F6717D" w:rsidRPr="00352146" w:rsidRDefault="00F6717D" w:rsidP="00F6717D">
            <w:pPr>
              <w:keepLines/>
              <w:tabs>
                <w:tab w:val="right" w:pos="2835"/>
                <w:tab w:val="right" w:pos="3969"/>
                <w:tab w:val="right" w:pos="5103"/>
                <w:tab w:val="right" w:pos="6237"/>
                <w:tab w:val="right" w:pos="7371"/>
              </w:tabs>
              <w:rPr>
                <w:rFonts w:ascii="Arial Narrow" w:hAnsi="Arial Narrow"/>
                <w:spacing w:val="6"/>
                <w:sz w:val="20"/>
                <w:szCs w:val="20"/>
                <w:lang w:val="es-ES_tradnl" w:eastAsia="en-US"/>
              </w:rPr>
            </w:pPr>
            <w:r w:rsidRPr="00352146">
              <w:rPr>
                <w:rFonts w:ascii="Arial Narrow" w:hAnsi="Arial Narrow"/>
                <w:spacing w:val="6"/>
                <w:sz w:val="20"/>
                <w:szCs w:val="20"/>
                <w:lang w:val="es-ES_tradnl" w:eastAsia="en-US"/>
              </w:rPr>
              <w:t>Acreedores presupuestarios</w:t>
            </w:r>
          </w:p>
        </w:tc>
        <w:tc>
          <w:tcPr>
            <w:tcW w:w="727" w:type="pct"/>
            <w:tcBorders>
              <w:top w:val="single" w:sz="4" w:space="0" w:color="auto"/>
              <w:left w:val="nil"/>
              <w:bottom w:val="single" w:sz="2" w:space="0" w:color="auto"/>
              <w:right w:val="nil"/>
            </w:tcBorders>
            <w:vAlign w:val="center"/>
          </w:tcPr>
          <w:p w14:paraId="211363D7" w14:textId="77777777" w:rsidR="00F6717D" w:rsidRPr="00352146" w:rsidRDefault="00F6717D" w:rsidP="00F6717D">
            <w:pPr>
              <w:jc w:val="right"/>
              <w:rPr>
                <w:rFonts w:ascii="Arial Narrow" w:hAnsi="Arial Narrow" w:cs="Arial"/>
                <w:sz w:val="20"/>
                <w:szCs w:val="20"/>
                <w:lang w:eastAsia="en-US"/>
              </w:rPr>
            </w:pPr>
            <w:r w:rsidRPr="00352146">
              <w:rPr>
                <w:rFonts w:ascii="Arial Narrow" w:hAnsi="Arial Narrow" w:cs="Arial"/>
                <w:sz w:val="20"/>
                <w:szCs w:val="20"/>
                <w:lang w:eastAsia="en-US"/>
              </w:rPr>
              <w:t>350.899</w:t>
            </w:r>
          </w:p>
        </w:tc>
        <w:tc>
          <w:tcPr>
            <w:tcW w:w="808" w:type="pct"/>
            <w:tcBorders>
              <w:top w:val="single" w:sz="4" w:space="0" w:color="auto"/>
              <w:left w:val="nil"/>
              <w:bottom w:val="single" w:sz="2" w:space="0" w:color="auto"/>
              <w:right w:val="nil"/>
            </w:tcBorders>
            <w:noWrap/>
            <w:vAlign w:val="center"/>
          </w:tcPr>
          <w:p w14:paraId="7FEA0113" w14:textId="77777777" w:rsidR="00F6717D" w:rsidRPr="00352146" w:rsidRDefault="00F6717D" w:rsidP="00F6717D">
            <w:pPr>
              <w:jc w:val="right"/>
              <w:rPr>
                <w:rFonts w:ascii="Arial Narrow" w:hAnsi="Arial Narrow" w:cs="Arial"/>
                <w:sz w:val="20"/>
                <w:szCs w:val="20"/>
                <w:lang w:eastAsia="en-US"/>
              </w:rPr>
            </w:pPr>
            <w:r>
              <w:rPr>
                <w:rFonts w:ascii="Arial Narrow" w:hAnsi="Arial Narrow" w:cs="Arial"/>
                <w:sz w:val="20"/>
                <w:szCs w:val="20"/>
                <w:lang w:eastAsia="en-US"/>
              </w:rPr>
              <w:t>338.446</w:t>
            </w:r>
          </w:p>
        </w:tc>
        <w:tc>
          <w:tcPr>
            <w:tcW w:w="1211" w:type="pct"/>
            <w:tcBorders>
              <w:top w:val="single" w:sz="2" w:space="0" w:color="auto"/>
              <w:left w:val="nil"/>
              <w:bottom w:val="single" w:sz="2" w:space="0" w:color="auto"/>
              <w:right w:val="nil"/>
            </w:tcBorders>
            <w:noWrap/>
            <w:vAlign w:val="center"/>
          </w:tcPr>
          <w:p w14:paraId="4F382B2A" w14:textId="77777777" w:rsidR="00F6717D" w:rsidRPr="00352146" w:rsidRDefault="00F6717D" w:rsidP="00F6717D">
            <w:pPr>
              <w:keepLines/>
              <w:tabs>
                <w:tab w:val="right" w:pos="2835"/>
                <w:tab w:val="right" w:pos="3969"/>
                <w:tab w:val="right" w:pos="5103"/>
                <w:tab w:val="right" w:pos="6237"/>
                <w:tab w:val="right" w:pos="7371"/>
              </w:tabs>
              <w:jc w:val="right"/>
              <w:rPr>
                <w:rFonts w:ascii="Arial Narrow" w:hAnsi="Arial Narrow"/>
                <w:spacing w:val="6"/>
                <w:sz w:val="20"/>
                <w:szCs w:val="20"/>
                <w:lang w:val="es-ES_tradnl" w:eastAsia="en-US"/>
              </w:rPr>
            </w:pPr>
            <w:r>
              <w:rPr>
                <w:rFonts w:ascii="Arial Narrow" w:hAnsi="Arial Narrow"/>
                <w:spacing w:val="6"/>
                <w:sz w:val="20"/>
                <w:szCs w:val="20"/>
                <w:lang w:val="es-ES_tradnl" w:eastAsia="en-US"/>
              </w:rPr>
              <w:t>-4</w:t>
            </w:r>
          </w:p>
        </w:tc>
      </w:tr>
      <w:tr w:rsidR="00F6717D" w:rsidRPr="00352146" w14:paraId="4ADDED50" w14:textId="77777777" w:rsidTr="00F6717D">
        <w:trPr>
          <w:trHeight w:val="198"/>
          <w:jc w:val="center"/>
        </w:trPr>
        <w:tc>
          <w:tcPr>
            <w:tcW w:w="2254" w:type="pct"/>
            <w:tcBorders>
              <w:top w:val="single" w:sz="2" w:space="0" w:color="auto"/>
              <w:left w:val="nil"/>
              <w:bottom w:val="single" w:sz="2" w:space="0" w:color="auto"/>
              <w:right w:val="nil"/>
            </w:tcBorders>
            <w:noWrap/>
            <w:vAlign w:val="center"/>
            <w:hideMark/>
          </w:tcPr>
          <w:p w14:paraId="09E872E9" w14:textId="77777777" w:rsidR="00F6717D" w:rsidRPr="00352146" w:rsidRDefault="00F6717D" w:rsidP="00F6717D">
            <w:pPr>
              <w:keepLines/>
              <w:tabs>
                <w:tab w:val="right" w:pos="2835"/>
                <w:tab w:val="right" w:pos="3969"/>
                <w:tab w:val="right" w:pos="5103"/>
                <w:tab w:val="right" w:pos="6237"/>
                <w:tab w:val="right" w:pos="7371"/>
              </w:tabs>
              <w:rPr>
                <w:rFonts w:ascii="Arial Narrow" w:hAnsi="Arial Narrow"/>
                <w:spacing w:val="6"/>
                <w:sz w:val="20"/>
                <w:szCs w:val="20"/>
                <w:lang w:val="es-ES_tradnl" w:eastAsia="en-US"/>
              </w:rPr>
            </w:pPr>
            <w:r w:rsidRPr="00352146">
              <w:rPr>
                <w:rFonts w:ascii="Arial Narrow" w:hAnsi="Arial Narrow"/>
                <w:spacing w:val="6"/>
                <w:sz w:val="20"/>
                <w:szCs w:val="20"/>
                <w:lang w:val="es-ES_tradnl" w:eastAsia="en-US"/>
              </w:rPr>
              <w:t xml:space="preserve">Acreedores admón. </w:t>
            </w:r>
            <w:proofErr w:type="spellStart"/>
            <w:r w:rsidRPr="00352146">
              <w:rPr>
                <w:rFonts w:ascii="Arial Narrow" w:hAnsi="Arial Narrow"/>
                <w:spacing w:val="6"/>
                <w:sz w:val="20"/>
                <w:szCs w:val="20"/>
                <w:lang w:val="es-ES_tradnl" w:eastAsia="en-US"/>
              </w:rPr>
              <w:t>rec.</w:t>
            </w:r>
            <w:proofErr w:type="spellEnd"/>
            <w:r w:rsidRPr="00352146">
              <w:rPr>
                <w:rFonts w:ascii="Arial Narrow" w:hAnsi="Arial Narrow"/>
                <w:spacing w:val="6"/>
                <w:sz w:val="20"/>
                <w:szCs w:val="20"/>
                <w:lang w:val="es-ES_tradnl" w:eastAsia="en-US"/>
              </w:rPr>
              <w:t xml:space="preserve"> por cuenta de otras </w:t>
            </w:r>
            <w:proofErr w:type="spellStart"/>
            <w:r w:rsidRPr="00352146">
              <w:rPr>
                <w:rFonts w:ascii="Arial Narrow" w:hAnsi="Arial Narrow"/>
                <w:spacing w:val="6"/>
                <w:sz w:val="20"/>
                <w:szCs w:val="20"/>
                <w:lang w:val="es-ES_tradnl" w:eastAsia="en-US"/>
              </w:rPr>
              <w:t>ent</w:t>
            </w:r>
            <w:proofErr w:type="spellEnd"/>
            <w:r w:rsidRPr="00352146">
              <w:rPr>
                <w:rFonts w:ascii="Arial Narrow" w:hAnsi="Arial Narrow"/>
                <w:spacing w:val="6"/>
                <w:sz w:val="20"/>
                <w:szCs w:val="20"/>
                <w:lang w:val="es-ES_tradnl" w:eastAsia="en-US"/>
              </w:rPr>
              <w:t>.</w:t>
            </w:r>
          </w:p>
        </w:tc>
        <w:tc>
          <w:tcPr>
            <w:tcW w:w="727" w:type="pct"/>
            <w:tcBorders>
              <w:top w:val="single" w:sz="2" w:space="0" w:color="auto"/>
              <w:left w:val="nil"/>
              <w:bottom w:val="single" w:sz="2" w:space="0" w:color="auto"/>
              <w:right w:val="nil"/>
            </w:tcBorders>
            <w:vAlign w:val="center"/>
          </w:tcPr>
          <w:p w14:paraId="358D0E6A" w14:textId="77777777" w:rsidR="00F6717D" w:rsidRPr="00352146" w:rsidRDefault="00F6717D" w:rsidP="00F6717D">
            <w:pPr>
              <w:jc w:val="right"/>
              <w:rPr>
                <w:rFonts w:ascii="Arial Narrow" w:hAnsi="Arial Narrow" w:cs="Arial"/>
                <w:sz w:val="20"/>
                <w:szCs w:val="20"/>
                <w:lang w:eastAsia="en-US"/>
              </w:rPr>
            </w:pPr>
            <w:r w:rsidRPr="00352146">
              <w:rPr>
                <w:rFonts w:ascii="Arial Narrow" w:hAnsi="Arial Narrow" w:cs="Arial"/>
                <w:sz w:val="20"/>
                <w:szCs w:val="20"/>
                <w:lang w:eastAsia="en-US"/>
              </w:rPr>
              <w:t>11.348</w:t>
            </w:r>
          </w:p>
        </w:tc>
        <w:tc>
          <w:tcPr>
            <w:tcW w:w="808" w:type="pct"/>
            <w:tcBorders>
              <w:top w:val="single" w:sz="2" w:space="0" w:color="auto"/>
              <w:left w:val="nil"/>
              <w:bottom w:val="single" w:sz="2" w:space="0" w:color="auto"/>
              <w:right w:val="nil"/>
            </w:tcBorders>
            <w:noWrap/>
            <w:vAlign w:val="center"/>
          </w:tcPr>
          <w:p w14:paraId="7F6ED411" w14:textId="77777777" w:rsidR="00F6717D" w:rsidRPr="00352146" w:rsidRDefault="00F6717D" w:rsidP="00F6717D">
            <w:pPr>
              <w:jc w:val="right"/>
              <w:rPr>
                <w:rFonts w:ascii="Arial Narrow" w:hAnsi="Arial Narrow" w:cs="Arial"/>
                <w:sz w:val="20"/>
                <w:szCs w:val="20"/>
                <w:lang w:eastAsia="en-US"/>
              </w:rPr>
            </w:pPr>
            <w:r>
              <w:rPr>
                <w:rFonts w:ascii="Arial Narrow" w:hAnsi="Arial Narrow" w:cs="Arial"/>
                <w:sz w:val="20"/>
                <w:szCs w:val="20"/>
                <w:lang w:eastAsia="en-US"/>
              </w:rPr>
              <w:t>10.414</w:t>
            </w:r>
          </w:p>
        </w:tc>
        <w:tc>
          <w:tcPr>
            <w:tcW w:w="1211" w:type="pct"/>
            <w:tcBorders>
              <w:top w:val="single" w:sz="2" w:space="0" w:color="auto"/>
              <w:left w:val="nil"/>
              <w:bottom w:val="single" w:sz="2" w:space="0" w:color="auto"/>
              <w:right w:val="nil"/>
            </w:tcBorders>
            <w:noWrap/>
            <w:vAlign w:val="center"/>
          </w:tcPr>
          <w:p w14:paraId="59CA8F07" w14:textId="77777777" w:rsidR="00F6717D" w:rsidRPr="00352146" w:rsidRDefault="00F6717D" w:rsidP="00F6717D">
            <w:pPr>
              <w:keepLines/>
              <w:tabs>
                <w:tab w:val="right" w:pos="2835"/>
                <w:tab w:val="right" w:pos="3969"/>
                <w:tab w:val="right" w:pos="5103"/>
                <w:tab w:val="right" w:pos="6237"/>
                <w:tab w:val="right" w:pos="7371"/>
              </w:tabs>
              <w:jc w:val="right"/>
              <w:rPr>
                <w:rFonts w:ascii="Arial Narrow" w:hAnsi="Arial Narrow"/>
                <w:spacing w:val="6"/>
                <w:sz w:val="20"/>
                <w:szCs w:val="20"/>
                <w:lang w:val="es-ES_tradnl" w:eastAsia="en-US"/>
              </w:rPr>
            </w:pPr>
            <w:r>
              <w:rPr>
                <w:rFonts w:ascii="Arial Narrow" w:hAnsi="Arial Narrow"/>
                <w:spacing w:val="6"/>
                <w:sz w:val="20"/>
                <w:szCs w:val="20"/>
                <w:lang w:val="es-ES_tradnl" w:eastAsia="en-US"/>
              </w:rPr>
              <w:t>-8</w:t>
            </w:r>
          </w:p>
        </w:tc>
      </w:tr>
      <w:tr w:rsidR="00F6717D" w:rsidRPr="00352146" w14:paraId="753FB1D7" w14:textId="77777777" w:rsidTr="00F6717D">
        <w:trPr>
          <w:trHeight w:val="198"/>
          <w:jc w:val="center"/>
        </w:trPr>
        <w:tc>
          <w:tcPr>
            <w:tcW w:w="2254" w:type="pct"/>
            <w:tcBorders>
              <w:top w:val="single" w:sz="2" w:space="0" w:color="auto"/>
              <w:left w:val="nil"/>
              <w:bottom w:val="single" w:sz="2" w:space="0" w:color="auto"/>
              <w:right w:val="nil"/>
            </w:tcBorders>
            <w:noWrap/>
            <w:vAlign w:val="center"/>
            <w:hideMark/>
          </w:tcPr>
          <w:p w14:paraId="3EE5F3E0" w14:textId="77777777" w:rsidR="00F6717D" w:rsidRPr="00352146" w:rsidRDefault="00F6717D" w:rsidP="00F6717D">
            <w:pPr>
              <w:keepLines/>
              <w:tabs>
                <w:tab w:val="right" w:pos="2835"/>
                <w:tab w:val="right" w:pos="3969"/>
                <w:tab w:val="right" w:pos="5103"/>
                <w:tab w:val="right" w:pos="6237"/>
                <w:tab w:val="right" w:pos="7371"/>
              </w:tabs>
              <w:rPr>
                <w:rFonts w:ascii="Arial Narrow" w:hAnsi="Arial Narrow"/>
                <w:spacing w:val="6"/>
                <w:sz w:val="20"/>
                <w:szCs w:val="20"/>
                <w:lang w:val="es-ES_tradnl" w:eastAsia="en-US"/>
              </w:rPr>
            </w:pPr>
            <w:r w:rsidRPr="00352146">
              <w:rPr>
                <w:rFonts w:ascii="Arial Narrow" w:hAnsi="Arial Narrow"/>
                <w:spacing w:val="6"/>
                <w:sz w:val="20"/>
                <w:szCs w:val="20"/>
                <w:lang w:val="es-ES_tradnl" w:eastAsia="en-US"/>
              </w:rPr>
              <w:t>Administraciones Públicas</w:t>
            </w:r>
          </w:p>
        </w:tc>
        <w:tc>
          <w:tcPr>
            <w:tcW w:w="727" w:type="pct"/>
            <w:tcBorders>
              <w:top w:val="single" w:sz="2" w:space="0" w:color="auto"/>
              <w:left w:val="nil"/>
              <w:bottom w:val="single" w:sz="2" w:space="0" w:color="auto"/>
              <w:right w:val="nil"/>
            </w:tcBorders>
            <w:vAlign w:val="center"/>
          </w:tcPr>
          <w:p w14:paraId="16C99BBD" w14:textId="77777777" w:rsidR="00F6717D" w:rsidRPr="00352146" w:rsidRDefault="00F6717D" w:rsidP="00F6717D">
            <w:pPr>
              <w:jc w:val="right"/>
              <w:rPr>
                <w:rFonts w:ascii="Arial Narrow" w:hAnsi="Arial Narrow" w:cs="Arial"/>
                <w:sz w:val="20"/>
                <w:szCs w:val="20"/>
                <w:lang w:eastAsia="en-US"/>
              </w:rPr>
            </w:pPr>
            <w:r w:rsidRPr="00352146">
              <w:rPr>
                <w:rFonts w:ascii="Arial Narrow" w:hAnsi="Arial Narrow" w:cs="Arial"/>
                <w:sz w:val="20"/>
                <w:szCs w:val="20"/>
                <w:lang w:eastAsia="en-US"/>
              </w:rPr>
              <w:t>4.974</w:t>
            </w:r>
          </w:p>
        </w:tc>
        <w:tc>
          <w:tcPr>
            <w:tcW w:w="808" w:type="pct"/>
            <w:tcBorders>
              <w:top w:val="single" w:sz="2" w:space="0" w:color="auto"/>
              <w:left w:val="nil"/>
              <w:bottom w:val="single" w:sz="2" w:space="0" w:color="auto"/>
              <w:right w:val="nil"/>
            </w:tcBorders>
            <w:noWrap/>
            <w:vAlign w:val="center"/>
          </w:tcPr>
          <w:p w14:paraId="4F686073" w14:textId="77777777" w:rsidR="00F6717D" w:rsidRPr="00352146" w:rsidRDefault="00F6717D" w:rsidP="00F6717D">
            <w:pPr>
              <w:jc w:val="right"/>
              <w:rPr>
                <w:rFonts w:ascii="Arial Narrow" w:hAnsi="Arial Narrow" w:cs="Arial"/>
                <w:sz w:val="20"/>
                <w:szCs w:val="20"/>
                <w:lang w:eastAsia="en-US"/>
              </w:rPr>
            </w:pPr>
            <w:r>
              <w:rPr>
                <w:rFonts w:ascii="Arial Narrow" w:hAnsi="Arial Narrow" w:cs="Arial"/>
                <w:sz w:val="20"/>
                <w:szCs w:val="20"/>
                <w:lang w:eastAsia="en-US"/>
              </w:rPr>
              <w:t>5.388</w:t>
            </w:r>
          </w:p>
        </w:tc>
        <w:tc>
          <w:tcPr>
            <w:tcW w:w="1211" w:type="pct"/>
            <w:tcBorders>
              <w:top w:val="single" w:sz="2" w:space="0" w:color="auto"/>
              <w:left w:val="nil"/>
              <w:bottom w:val="single" w:sz="2" w:space="0" w:color="auto"/>
              <w:right w:val="nil"/>
            </w:tcBorders>
            <w:noWrap/>
            <w:vAlign w:val="center"/>
          </w:tcPr>
          <w:p w14:paraId="7248FDDB" w14:textId="77777777" w:rsidR="00F6717D" w:rsidRPr="00352146" w:rsidRDefault="00F6717D" w:rsidP="00F6717D">
            <w:pPr>
              <w:keepLines/>
              <w:tabs>
                <w:tab w:val="right" w:pos="2835"/>
                <w:tab w:val="right" w:pos="3969"/>
                <w:tab w:val="right" w:pos="5103"/>
                <w:tab w:val="right" w:pos="6237"/>
                <w:tab w:val="right" w:pos="7371"/>
              </w:tabs>
              <w:jc w:val="right"/>
              <w:rPr>
                <w:rFonts w:ascii="Arial Narrow" w:hAnsi="Arial Narrow"/>
                <w:spacing w:val="6"/>
                <w:sz w:val="20"/>
                <w:szCs w:val="20"/>
                <w:lang w:val="es-ES_tradnl" w:eastAsia="en-US"/>
              </w:rPr>
            </w:pPr>
            <w:r>
              <w:rPr>
                <w:rFonts w:ascii="Arial Narrow" w:hAnsi="Arial Narrow"/>
                <w:spacing w:val="6"/>
                <w:sz w:val="20"/>
                <w:szCs w:val="20"/>
                <w:lang w:val="es-ES_tradnl" w:eastAsia="en-US"/>
              </w:rPr>
              <w:t>8</w:t>
            </w:r>
          </w:p>
        </w:tc>
      </w:tr>
      <w:tr w:rsidR="00F6717D" w:rsidRPr="00352146" w14:paraId="05D045F2" w14:textId="77777777" w:rsidTr="00F6717D">
        <w:trPr>
          <w:trHeight w:val="198"/>
          <w:jc w:val="center"/>
        </w:trPr>
        <w:tc>
          <w:tcPr>
            <w:tcW w:w="2254" w:type="pct"/>
            <w:tcBorders>
              <w:top w:val="single" w:sz="2" w:space="0" w:color="auto"/>
              <w:left w:val="nil"/>
              <w:bottom w:val="single" w:sz="2" w:space="0" w:color="auto"/>
              <w:right w:val="nil"/>
            </w:tcBorders>
            <w:noWrap/>
            <w:vAlign w:val="center"/>
            <w:hideMark/>
          </w:tcPr>
          <w:p w14:paraId="27968BE7" w14:textId="77777777" w:rsidR="00F6717D" w:rsidRPr="00352146" w:rsidRDefault="00F6717D" w:rsidP="00F6717D">
            <w:pPr>
              <w:keepLines/>
              <w:tabs>
                <w:tab w:val="right" w:pos="2835"/>
                <w:tab w:val="right" w:pos="3969"/>
                <w:tab w:val="right" w:pos="5103"/>
                <w:tab w:val="right" w:pos="6237"/>
                <w:tab w:val="right" w:pos="7371"/>
              </w:tabs>
              <w:rPr>
                <w:rFonts w:ascii="Arial Narrow" w:hAnsi="Arial Narrow"/>
                <w:spacing w:val="6"/>
                <w:sz w:val="20"/>
                <w:szCs w:val="20"/>
                <w:lang w:val="es-ES_tradnl" w:eastAsia="en-US"/>
              </w:rPr>
            </w:pPr>
            <w:r w:rsidRPr="00352146">
              <w:rPr>
                <w:rFonts w:ascii="Arial Narrow" w:hAnsi="Arial Narrow"/>
                <w:spacing w:val="6"/>
                <w:sz w:val="20"/>
                <w:szCs w:val="20"/>
                <w:lang w:val="es-ES_tradnl" w:eastAsia="en-US"/>
              </w:rPr>
              <w:t>Otros acreedores</w:t>
            </w:r>
          </w:p>
        </w:tc>
        <w:tc>
          <w:tcPr>
            <w:tcW w:w="727" w:type="pct"/>
            <w:tcBorders>
              <w:top w:val="single" w:sz="2" w:space="0" w:color="auto"/>
              <w:left w:val="nil"/>
              <w:bottom w:val="single" w:sz="2" w:space="0" w:color="auto"/>
              <w:right w:val="nil"/>
            </w:tcBorders>
            <w:vAlign w:val="center"/>
          </w:tcPr>
          <w:p w14:paraId="5581EE10" w14:textId="77777777" w:rsidR="00F6717D" w:rsidRPr="00352146" w:rsidRDefault="00F6717D" w:rsidP="00F6717D">
            <w:pPr>
              <w:jc w:val="right"/>
              <w:rPr>
                <w:rFonts w:ascii="Arial Narrow" w:hAnsi="Arial Narrow" w:cs="Arial"/>
                <w:sz w:val="20"/>
                <w:szCs w:val="20"/>
                <w:lang w:eastAsia="en-US"/>
              </w:rPr>
            </w:pPr>
            <w:r w:rsidRPr="00352146">
              <w:rPr>
                <w:rFonts w:ascii="Arial Narrow" w:hAnsi="Arial Narrow" w:cs="Arial"/>
                <w:sz w:val="20"/>
                <w:szCs w:val="20"/>
                <w:lang w:eastAsia="en-US"/>
              </w:rPr>
              <w:t>125.197</w:t>
            </w:r>
          </w:p>
        </w:tc>
        <w:tc>
          <w:tcPr>
            <w:tcW w:w="808" w:type="pct"/>
            <w:tcBorders>
              <w:top w:val="single" w:sz="2" w:space="0" w:color="auto"/>
              <w:left w:val="nil"/>
              <w:bottom w:val="single" w:sz="2" w:space="0" w:color="auto"/>
              <w:right w:val="nil"/>
            </w:tcBorders>
            <w:noWrap/>
            <w:vAlign w:val="center"/>
          </w:tcPr>
          <w:p w14:paraId="7496D126" w14:textId="77777777" w:rsidR="00F6717D" w:rsidRPr="00352146" w:rsidRDefault="00F6717D" w:rsidP="00F6717D">
            <w:pPr>
              <w:jc w:val="right"/>
              <w:rPr>
                <w:rFonts w:ascii="Arial Narrow" w:hAnsi="Arial Narrow" w:cs="Arial"/>
                <w:sz w:val="20"/>
                <w:szCs w:val="20"/>
                <w:lang w:eastAsia="en-US"/>
              </w:rPr>
            </w:pPr>
            <w:r>
              <w:rPr>
                <w:rFonts w:ascii="Arial Narrow" w:hAnsi="Arial Narrow" w:cs="Arial"/>
                <w:sz w:val="20"/>
                <w:szCs w:val="20"/>
                <w:lang w:eastAsia="en-US"/>
              </w:rPr>
              <w:t>91.101</w:t>
            </w:r>
          </w:p>
        </w:tc>
        <w:tc>
          <w:tcPr>
            <w:tcW w:w="1211" w:type="pct"/>
            <w:tcBorders>
              <w:top w:val="single" w:sz="2" w:space="0" w:color="auto"/>
              <w:left w:val="nil"/>
              <w:bottom w:val="single" w:sz="2" w:space="0" w:color="auto"/>
              <w:right w:val="nil"/>
            </w:tcBorders>
            <w:noWrap/>
            <w:vAlign w:val="center"/>
          </w:tcPr>
          <w:p w14:paraId="58E289E0" w14:textId="77777777" w:rsidR="00F6717D" w:rsidRPr="00352146" w:rsidRDefault="00F6717D" w:rsidP="00F6717D">
            <w:pPr>
              <w:keepLines/>
              <w:tabs>
                <w:tab w:val="right" w:pos="2835"/>
                <w:tab w:val="right" w:pos="3969"/>
                <w:tab w:val="right" w:pos="5103"/>
                <w:tab w:val="right" w:pos="6237"/>
                <w:tab w:val="right" w:pos="7371"/>
              </w:tabs>
              <w:jc w:val="right"/>
              <w:rPr>
                <w:rFonts w:ascii="Arial Narrow" w:hAnsi="Arial Narrow"/>
                <w:spacing w:val="6"/>
                <w:sz w:val="20"/>
                <w:szCs w:val="20"/>
                <w:lang w:val="es-ES_tradnl" w:eastAsia="en-US"/>
              </w:rPr>
            </w:pPr>
            <w:r>
              <w:rPr>
                <w:rFonts w:ascii="Arial Narrow" w:hAnsi="Arial Narrow"/>
                <w:spacing w:val="6"/>
                <w:sz w:val="20"/>
                <w:szCs w:val="20"/>
                <w:lang w:val="es-ES_tradnl" w:eastAsia="en-US"/>
              </w:rPr>
              <w:t>-27</w:t>
            </w:r>
          </w:p>
        </w:tc>
      </w:tr>
      <w:tr w:rsidR="00F6717D" w:rsidRPr="00352146" w14:paraId="62BAC6CA" w14:textId="77777777" w:rsidTr="00F6717D">
        <w:trPr>
          <w:trHeight w:val="198"/>
          <w:jc w:val="center"/>
        </w:trPr>
        <w:tc>
          <w:tcPr>
            <w:tcW w:w="2254" w:type="pct"/>
            <w:tcBorders>
              <w:top w:val="single" w:sz="2" w:space="0" w:color="auto"/>
              <w:left w:val="nil"/>
              <w:bottom w:val="single" w:sz="4" w:space="0" w:color="auto"/>
              <w:right w:val="nil"/>
            </w:tcBorders>
            <w:noWrap/>
            <w:vAlign w:val="center"/>
            <w:hideMark/>
          </w:tcPr>
          <w:p w14:paraId="22181A26" w14:textId="77777777" w:rsidR="00F6717D" w:rsidRPr="00352146" w:rsidRDefault="00F6717D" w:rsidP="00F6717D">
            <w:pPr>
              <w:keepLines/>
              <w:tabs>
                <w:tab w:val="right" w:pos="2835"/>
                <w:tab w:val="right" w:pos="3969"/>
                <w:tab w:val="right" w:pos="5103"/>
                <w:tab w:val="right" w:pos="6237"/>
                <w:tab w:val="right" w:pos="7371"/>
              </w:tabs>
              <w:rPr>
                <w:rFonts w:ascii="Arial Narrow" w:hAnsi="Arial Narrow"/>
                <w:spacing w:val="6"/>
                <w:sz w:val="20"/>
                <w:szCs w:val="20"/>
                <w:lang w:val="es-ES_tradnl" w:eastAsia="en-US"/>
              </w:rPr>
            </w:pPr>
            <w:r w:rsidRPr="00352146">
              <w:rPr>
                <w:rFonts w:ascii="Arial Narrow" w:hAnsi="Arial Narrow"/>
                <w:spacing w:val="6"/>
                <w:sz w:val="20"/>
                <w:szCs w:val="20"/>
                <w:lang w:val="es-ES_tradnl" w:eastAsia="en-US"/>
              </w:rPr>
              <w:t>Fianzas y depósitos a c/p</w:t>
            </w:r>
          </w:p>
        </w:tc>
        <w:tc>
          <w:tcPr>
            <w:tcW w:w="727" w:type="pct"/>
            <w:tcBorders>
              <w:top w:val="single" w:sz="2" w:space="0" w:color="auto"/>
              <w:left w:val="nil"/>
              <w:bottom w:val="single" w:sz="4" w:space="0" w:color="auto"/>
              <w:right w:val="nil"/>
            </w:tcBorders>
            <w:vAlign w:val="center"/>
          </w:tcPr>
          <w:p w14:paraId="11AFF75A" w14:textId="77777777" w:rsidR="00F6717D" w:rsidRPr="00352146" w:rsidRDefault="00F6717D" w:rsidP="00F6717D">
            <w:pPr>
              <w:jc w:val="right"/>
              <w:rPr>
                <w:rFonts w:ascii="Arial Narrow" w:hAnsi="Arial Narrow" w:cs="Arial"/>
                <w:sz w:val="20"/>
                <w:szCs w:val="20"/>
                <w:lang w:eastAsia="en-US"/>
              </w:rPr>
            </w:pPr>
            <w:r w:rsidRPr="00352146">
              <w:rPr>
                <w:rFonts w:ascii="Arial Narrow" w:hAnsi="Arial Narrow" w:cs="Arial"/>
                <w:sz w:val="20"/>
                <w:szCs w:val="20"/>
                <w:lang w:eastAsia="en-US"/>
              </w:rPr>
              <w:t>7.327</w:t>
            </w:r>
          </w:p>
        </w:tc>
        <w:tc>
          <w:tcPr>
            <w:tcW w:w="808" w:type="pct"/>
            <w:tcBorders>
              <w:top w:val="single" w:sz="2" w:space="0" w:color="auto"/>
              <w:left w:val="nil"/>
              <w:bottom w:val="single" w:sz="4" w:space="0" w:color="auto"/>
              <w:right w:val="nil"/>
            </w:tcBorders>
            <w:noWrap/>
            <w:vAlign w:val="center"/>
          </w:tcPr>
          <w:p w14:paraId="26B0FF7A" w14:textId="77777777" w:rsidR="00F6717D" w:rsidRPr="00352146" w:rsidRDefault="00F6717D" w:rsidP="00F6717D">
            <w:pPr>
              <w:jc w:val="right"/>
              <w:rPr>
                <w:rFonts w:ascii="Arial Narrow" w:hAnsi="Arial Narrow" w:cs="Arial"/>
                <w:sz w:val="20"/>
                <w:szCs w:val="20"/>
                <w:lang w:eastAsia="en-US"/>
              </w:rPr>
            </w:pPr>
            <w:r>
              <w:rPr>
                <w:rFonts w:ascii="Arial Narrow" w:hAnsi="Arial Narrow" w:cs="Arial"/>
                <w:sz w:val="20"/>
                <w:szCs w:val="20"/>
                <w:lang w:eastAsia="en-US"/>
              </w:rPr>
              <w:t>7.279</w:t>
            </w:r>
          </w:p>
        </w:tc>
        <w:tc>
          <w:tcPr>
            <w:tcW w:w="1211" w:type="pct"/>
            <w:tcBorders>
              <w:top w:val="single" w:sz="2" w:space="0" w:color="auto"/>
              <w:left w:val="nil"/>
              <w:bottom w:val="single" w:sz="4" w:space="0" w:color="auto"/>
              <w:right w:val="nil"/>
            </w:tcBorders>
            <w:noWrap/>
            <w:vAlign w:val="center"/>
          </w:tcPr>
          <w:p w14:paraId="6F45C59B" w14:textId="77777777" w:rsidR="00F6717D" w:rsidRPr="00352146" w:rsidRDefault="00F6717D" w:rsidP="00F6717D">
            <w:pPr>
              <w:keepLines/>
              <w:tabs>
                <w:tab w:val="right" w:pos="2835"/>
                <w:tab w:val="right" w:pos="3969"/>
                <w:tab w:val="right" w:pos="5103"/>
                <w:tab w:val="right" w:pos="6237"/>
                <w:tab w:val="right" w:pos="7371"/>
              </w:tabs>
              <w:jc w:val="right"/>
              <w:rPr>
                <w:rFonts w:ascii="Arial Narrow" w:hAnsi="Arial Narrow"/>
                <w:spacing w:val="6"/>
                <w:sz w:val="20"/>
                <w:szCs w:val="20"/>
                <w:lang w:val="es-ES_tradnl" w:eastAsia="en-US"/>
              </w:rPr>
            </w:pPr>
            <w:r>
              <w:rPr>
                <w:rFonts w:ascii="Arial Narrow" w:hAnsi="Arial Narrow"/>
                <w:spacing w:val="6"/>
                <w:sz w:val="20"/>
                <w:szCs w:val="20"/>
                <w:lang w:val="es-ES_tradnl" w:eastAsia="en-US"/>
              </w:rPr>
              <w:t>-1</w:t>
            </w:r>
          </w:p>
        </w:tc>
      </w:tr>
      <w:tr w:rsidR="00F6717D" w:rsidRPr="00352146" w14:paraId="369E1A2D" w14:textId="77777777" w:rsidTr="00F6717D">
        <w:trPr>
          <w:trHeight w:val="255"/>
          <w:jc w:val="center"/>
        </w:trPr>
        <w:tc>
          <w:tcPr>
            <w:tcW w:w="2254" w:type="pct"/>
            <w:tcBorders>
              <w:top w:val="single" w:sz="4" w:space="0" w:color="auto"/>
              <w:left w:val="nil"/>
              <w:bottom w:val="single" w:sz="4" w:space="0" w:color="auto"/>
              <w:right w:val="nil"/>
            </w:tcBorders>
            <w:shd w:val="clear" w:color="auto" w:fill="8DB3E2"/>
            <w:noWrap/>
            <w:vAlign w:val="center"/>
            <w:hideMark/>
          </w:tcPr>
          <w:p w14:paraId="32691A69" w14:textId="77777777" w:rsidR="00F6717D" w:rsidRPr="00352146" w:rsidRDefault="00F6717D" w:rsidP="00F6717D">
            <w:pPr>
              <w:keepLines/>
              <w:tabs>
                <w:tab w:val="right" w:pos="2835"/>
                <w:tab w:val="right" w:pos="3969"/>
                <w:tab w:val="right" w:pos="5103"/>
                <w:tab w:val="right" w:pos="6237"/>
                <w:tab w:val="right" w:pos="7371"/>
              </w:tabs>
              <w:rPr>
                <w:rFonts w:ascii="Arial" w:hAnsi="Arial" w:cs="Arial"/>
                <w:spacing w:val="6"/>
                <w:sz w:val="18"/>
                <w:lang w:val="es-ES_tradnl" w:eastAsia="en-US"/>
              </w:rPr>
            </w:pPr>
            <w:r w:rsidRPr="00352146">
              <w:rPr>
                <w:rFonts w:ascii="Arial" w:hAnsi="Arial" w:cs="Arial"/>
                <w:spacing w:val="6"/>
                <w:sz w:val="18"/>
                <w:lang w:val="es-ES_tradnl" w:eastAsia="en-US"/>
              </w:rPr>
              <w:t>Total</w:t>
            </w:r>
          </w:p>
        </w:tc>
        <w:tc>
          <w:tcPr>
            <w:tcW w:w="727" w:type="pct"/>
            <w:tcBorders>
              <w:top w:val="single" w:sz="4" w:space="0" w:color="auto"/>
              <w:left w:val="nil"/>
              <w:bottom w:val="single" w:sz="4" w:space="0" w:color="auto"/>
              <w:right w:val="nil"/>
            </w:tcBorders>
            <w:shd w:val="clear" w:color="auto" w:fill="8DB3E2"/>
            <w:vAlign w:val="center"/>
          </w:tcPr>
          <w:p w14:paraId="0526FE9F" w14:textId="77777777" w:rsidR="00F6717D" w:rsidRPr="00352146" w:rsidRDefault="00F6717D" w:rsidP="00F6717D">
            <w:pPr>
              <w:keepLines/>
              <w:tabs>
                <w:tab w:val="right" w:pos="2835"/>
                <w:tab w:val="right" w:pos="3969"/>
                <w:tab w:val="right" w:pos="5103"/>
                <w:tab w:val="right" w:pos="6237"/>
                <w:tab w:val="right" w:pos="7371"/>
              </w:tabs>
              <w:jc w:val="right"/>
              <w:rPr>
                <w:rFonts w:ascii="Arial" w:hAnsi="Arial" w:cs="Arial"/>
                <w:spacing w:val="6"/>
                <w:sz w:val="18"/>
                <w:lang w:val="es-ES_tradnl" w:eastAsia="en-US"/>
              </w:rPr>
            </w:pPr>
            <w:r w:rsidRPr="00352146">
              <w:rPr>
                <w:rFonts w:ascii="Arial" w:hAnsi="Arial" w:cs="Arial"/>
                <w:spacing w:val="6"/>
                <w:sz w:val="18"/>
                <w:lang w:val="es-ES_tradnl" w:eastAsia="en-US"/>
              </w:rPr>
              <w:t>499.745</w:t>
            </w:r>
          </w:p>
        </w:tc>
        <w:tc>
          <w:tcPr>
            <w:tcW w:w="808" w:type="pct"/>
            <w:tcBorders>
              <w:top w:val="single" w:sz="4" w:space="0" w:color="auto"/>
              <w:left w:val="nil"/>
              <w:bottom w:val="single" w:sz="4" w:space="0" w:color="auto"/>
              <w:right w:val="nil"/>
            </w:tcBorders>
            <w:shd w:val="clear" w:color="auto" w:fill="8DB3E2"/>
            <w:noWrap/>
            <w:vAlign w:val="center"/>
          </w:tcPr>
          <w:p w14:paraId="4402D062" w14:textId="77777777" w:rsidR="00F6717D" w:rsidRPr="00352146" w:rsidRDefault="00F6717D" w:rsidP="00F6717D">
            <w:pPr>
              <w:keepLines/>
              <w:tabs>
                <w:tab w:val="right" w:pos="2835"/>
                <w:tab w:val="right" w:pos="3969"/>
                <w:tab w:val="right" w:pos="5103"/>
                <w:tab w:val="right" w:pos="6237"/>
                <w:tab w:val="right" w:pos="7371"/>
              </w:tabs>
              <w:jc w:val="right"/>
              <w:rPr>
                <w:rFonts w:ascii="Arial" w:hAnsi="Arial" w:cs="Arial"/>
                <w:spacing w:val="6"/>
                <w:sz w:val="18"/>
                <w:lang w:val="es-ES_tradnl" w:eastAsia="en-US"/>
              </w:rPr>
            </w:pPr>
            <w:r>
              <w:rPr>
                <w:rFonts w:ascii="Arial" w:hAnsi="Arial" w:cs="Arial"/>
                <w:spacing w:val="6"/>
                <w:sz w:val="18"/>
                <w:lang w:val="es-ES_tradnl" w:eastAsia="en-US"/>
              </w:rPr>
              <w:t>452.628</w:t>
            </w:r>
          </w:p>
        </w:tc>
        <w:tc>
          <w:tcPr>
            <w:tcW w:w="1211" w:type="pct"/>
            <w:tcBorders>
              <w:top w:val="single" w:sz="4" w:space="0" w:color="auto"/>
              <w:left w:val="nil"/>
              <w:bottom w:val="single" w:sz="4" w:space="0" w:color="auto"/>
              <w:right w:val="nil"/>
            </w:tcBorders>
            <w:shd w:val="clear" w:color="auto" w:fill="8DB3E2"/>
            <w:noWrap/>
            <w:vAlign w:val="center"/>
          </w:tcPr>
          <w:p w14:paraId="3B012967" w14:textId="77777777" w:rsidR="00F6717D" w:rsidRPr="00352146" w:rsidRDefault="00F6717D" w:rsidP="00F6717D">
            <w:pPr>
              <w:keepLines/>
              <w:tabs>
                <w:tab w:val="right" w:pos="2835"/>
                <w:tab w:val="right" w:pos="3969"/>
                <w:tab w:val="right" w:pos="5103"/>
                <w:tab w:val="right" w:pos="6237"/>
                <w:tab w:val="right" w:pos="7371"/>
              </w:tabs>
              <w:jc w:val="right"/>
              <w:rPr>
                <w:rFonts w:ascii="Arial" w:hAnsi="Arial" w:cs="Arial"/>
                <w:spacing w:val="6"/>
                <w:sz w:val="18"/>
                <w:lang w:val="es-ES_tradnl" w:eastAsia="en-US"/>
              </w:rPr>
            </w:pPr>
            <w:r>
              <w:rPr>
                <w:rFonts w:ascii="Arial" w:hAnsi="Arial" w:cs="Arial"/>
                <w:spacing w:val="6"/>
                <w:sz w:val="18"/>
                <w:lang w:val="es-ES_tradnl" w:eastAsia="en-US"/>
              </w:rPr>
              <w:t>-9</w:t>
            </w:r>
          </w:p>
        </w:tc>
      </w:tr>
    </w:tbl>
    <w:p w14:paraId="6A5F0E4E" w14:textId="77777777" w:rsidR="00352146" w:rsidRPr="00352146" w:rsidRDefault="00352146" w:rsidP="00352146">
      <w:pPr>
        <w:tabs>
          <w:tab w:val="center" w:pos="2835"/>
          <w:tab w:val="center" w:pos="3969"/>
          <w:tab w:val="center" w:pos="5103"/>
          <w:tab w:val="center" w:pos="6237"/>
          <w:tab w:val="center" w:pos="7371"/>
        </w:tabs>
        <w:spacing w:before="240" w:after="140"/>
        <w:ind w:firstLine="284"/>
        <w:jc w:val="both"/>
        <w:rPr>
          <w:spacing w:val="6"/>
          <w:sz w:val="26"/>
          <w:lang w:eastAsia="en-US"/>
        </w:rPr>
      </w:pPr>
      <w:r w:rsidRPr="00352146">
        <w:rPr>
          <w:spacing w:val="6"/>
          <w:sz w:val="26"/>
          <w:lang w:eastAsia="en-US"/>
        </w:rPr>
        <w:t xml:space="preserve">Estos acreedores han </w:t>
      </w:r>
      <w:r w:rsidR="00F6717D">
        <w:rPr>
          <w:spacing w:val="6"/>
          <w:sz w:val="26"/>
          <w:lang w:eastAsia="en-US"/>
        </w:rPr>
        <w:t>disminuido un nueve por ciento (47</w:t>
      </w:r>
      <w:r w:rsidRPr="00352146">
        <w:rPr>
          <w:spacing w:val="6"/>
          <w:sz w:val="26"/>
          <w:lang w:eastAsia="en-US"/>
        </w:rPr>
        <w:t>,12 millones). El componente más relevante son los acreedores presupuestarios, que suponen el 7</w:t>
      </w:r>
      <w:r w:rsidR="00F6717D">
        <w:rPr>
          <w:spacing w:val="6"/>
          <w:sz w:val="26"/>
          <w:lang w:eastAsia="en-US"/>
        </w:rPr>
        <w:t>5</w:t>
      </w:r>
      <w:r w:rsidRPr="00352146">
        <w:rPr>
          <w:spacing w:val="6"/>
          <w:sz w:val="26"/>
          <w:lang w:eastAsia="en-US"/>
        </w:rPr>
        <w:t xml:space="preserve"> por ciento sobre el total y que </w:t>
      </w:r>
      <w:r w:rsidR="00F6717D">
        <w:rPr>
          <w:spacing w:val="6"/>
          <w:sz w:val="26"/>
          <w:lang w:eastAsia="en-US"/>
        </w:rPr>
        <w:t xml:space="preserve">disminuyen </w:t>
      </w:r>
      <w:r w:rsidRPr="00352146">
        <w:rPr>
          <w:spacing w:val="6"/>
          <w:sz w:val="26"/>
          <w:lang w:eastAsia="en-US"/>
        </w:rPr>
        <w:t xml:space="preserve">un </w:t>
      </w:r>
      <w:r w:rsidR="00F6717D">
        <w:rPr>
          <w:spacing w:val="6"/>
          <w:sz w:val="26"/>
          <w:lang w:eastAsia="en-US"/>
        </w:rPr>
        <w:t xml:space="preserve">cuatro </w:t>
      </w:r>
      <w:r w:rsidRPr="00352146">
        <w:rPr>
          <w:spacing w:val="6"/>
          <w:sz w:val="26"/>
          <w:lang w:eastAsia="en-US"/>
        </w:rPr>
        <w:t>por ciento respecto a 202</w:t>
      </w:r>
      <w:r w:rsidR="00F6717D">
        <w:rPr>
          <w:spacing w:val="6"/>
          <w:sz w:val="26"/>
          <w:lang w:eastAsia="en-US"/>
        </w:rPr>
        <w:t>2</w:t>
      </w:r>
      <w:r w:rsidRPr="00352146">
        <w:rPr>
          <w:spacing w:val="6"/>
          <w:sz w:val="26"/>
          <w:lang w:eastAsia="en-US"/>
        </w:rPr>
        <w:t xml:space="preserve"> (1</w:t>
      </w:r>
      <w:r w:rsidR="00F6717D">
        <w:rPr>
          <w:spacing w:val="6"/>
          <w:sz w:val="26"/>
          <w:lang w:eastAsia="en-US"/>
        </w:rPr>
        <w:t>2,45</w:t>
      </w:r>
      <w:r w:rsidRPr="00352146">
        <w:rPr>
          <w:spacing w:val="6"/>
          <w:sz w:val="26"/>
          <w:lang w:eastAsia="en-US"/>
        </w:rPr>
        <w:t xml:space="preserve"> millones)</w:t>
      </w:r>
    </w:p>
    <w:p w14:paraId="5BB4BDFF" w14:textId="77777777" w:rsidR="00352146" w:rsidRPr="00F6717D" w:rsidRDefault="00352146" w:rsidP="00F6717D">
      <w:pPr>
        <w:pStyle w:val="texto"/>
        <w:spacing w:before="240"/>
        <w:jc w:val="both"/>
      </w:pPr>
      <w:r w:rsidRPr="00F6717D">
        <w:t>Como ya hemos señalado, persiste el problema relacionado con el enlace entre CAT y SAPGE21 que motiva que el traspaso de información entre ambas aplicaciones no sea adecuado. Esto implica que el epígrafe de los acreedores presupuestarios por devolución de impuestos y en otros acreedores se obtenga de un ajuste extracontable con la información tributaria de CAT sobre deudores y acreedores. En 202</w:t>
      </w:r>
      <w:r w:rsidR="00F6717D">
        <w:t>3</w:t>
      </w:r>
      <w:r w:rsidRPr="00F6717D">
        <w:t xml:space="preserve">, el ajuste global ascendió a </w:t>
      </w:r>
      <w:r w:rsidR="00F6717D">
        <w:t>157</w:t>
      </w:r>
      <w:r w:rsidRPr="00F6717D">
        <w:t xml:space="preserve"> millones. </w:t>
      </w:r>
    </w:p>
    <w:p w14:paraId="3FE9BC8C" w14:textId="77777777" w:rsidR="00614DC4" w:rsidRPr="002F783F" w:rsidRDefault="00614DC4" w:rsidP="00614DC4">
      <w:pPr>
        <w:pStyle w:val="atitulo2"/>
        <w:spacing w:before="240"/>
        <w:rPr>
          <w:color w:val="auto"/>
        </w:rPr>
      </w:pPr>
      <w:bookmarkStart w:id="158" w:name="_Toc146471253"/>
      <w:bookmarkStart w:id="159" w:name="_Toc52267378"/>
      <w:bookmarkStart w:id="160" w:name="_Toc525907449"/>
      <w:bookmarkStart w:id="161" w:name="_Toc494270393"/>
      <w:bookmarkStart w:id="162" w:name="_Toc182464288"/>
      <w:r w:rsidRPr="002F783F">
        <w:rPr>
          <w:color w:val="auto"/>
        </w:rPr>
        <w:t>5.1</w:t>
      </w:r>
      <w:r w:rsidR="00A35015">
        <w:rPr>
          <w:color w:val="auto"/>
        </w:rPr>
        <w:t>0</w:t>
      </w:r>
      <w:r w:rsidRPr="002F783F">
        <w:rPr>
          <w:color w:val="auto"/>
        </w:rPr>
        <w:t xml:space="preserve"> Tesorería</w:t>
      </w:r>
      <w:bookmarkEnd w:id="156"/>
      <w:bookmarkEnd w:id="157"/>
      <w:bookmarkEnd w:id="158"/>
      <w:bookmarkEnd w:id="159"/>
      <w:bookmarkEnd w:id="160"/>
      <w:bookmarkEnd w:id="161"/>
      <w:bookmarkEnd w:id="162"/>
    </w:p>
    <w:p w14:paraId="04F329B2" w14:textId="77777777" w:rsidR="00CE1C15" w:rsidRPr="002F783F" w:rsidRDefault="00614DC4" w:rsidP="00BA5D19">
      <w:pPr>
        <w:pStyle w:val="texto"/>
        <w:spacing w:after="120"/>
        <w:jc w:val="both"/>
      </w:pPr>
      <w:r w:rsidRPr="002F783F">
        <w:t>La tesorería existente a 31 de diciembre de 202</w:t>
      </w:r>
      <w:r w:rsidR="00CE1C15" w:rsidRPr="002F783F">
        <w:t>3</w:t>
      </w:r>
      <w:r w:rsidRPr="002F783F">
        <w:t xml:space="preserve"> ascendía a 7</w:t>
      </w:r>
      <w:r w:rsidR="00CE1C15" w:rsidRPr="002F783F">
        <w:t>80</w:t>
      </w:r>
      <w:r w:rsidR="005F2B06">
        <w:t>,23</w:t>
      </w:r>
      <w:r w:rsidRPr="002F783F">
        <w:t xml:space="preserve"> millones y se encontraba en los siguientes tipos de cuentas:</w:t>
      </w:r>
    </w:p>
    <w:tbl>
      <w:tblPr>
        <w:tblW w:w="5002"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676"/>
        <w:gridCol w:w="19"/>
        <w:gridCol w:w="1686"/>
        <w:gridCol w:w="28"/>
        <w:gridCol w:w="1678"/>
        <w:gridCol w:w="37"/>
        <w:gridCol w:w="1669"/>
      </w:tblGrid>
      <w:tr w:rsidR="00CF00B6" w:rsidRPr="00CF00B6" w14:paraId="4D6C034C" w14:textId="77777777" w:rsidTr="0095496A">
        <w:trPr>
          <w:trHeight w:val="198"/>
          <w:jc w:val="center"/>
        </w:trPr>
        <w:tc>
          <w:tcPr>
            <w:tcW w:w="5000" w:type="pct"/>
            <w:gridSpan w:val="7"/>
            <w:tcBorders>
              <w:top w:val="nil"/>
              <w:left w:val="nil"/>
              <w:bottom w:val="single" w:sz="4" w:space="0" w:color="auto"/>
              <w:right w:val="nil"/>
            </w:tcBorders>
            <w:vAlign w:val="center"/>
            <w:hideMark/>
          </w:tcPr>
          <w:p w14:paraId="7F93352D" w14:textId="77777777" w:rsidR="00614DC4" w:rsidRPr="0095496A" w:rsidRDefault="0069768F">
            <w:pPr>
              <w:keepLines/>
              <w:tabs>
                <w:tab w:val="right" w:pos="2835"/>
                <w:tab w:val="right" w:pos="3969"/>
                <w:tab w:val="right" w:pos="5103"/>
                <w:tab w:val="right" w:pos="6237"/>
                <w:tab w:val="right" w:pos="7371"/>
              </w:tabs>
              <w:ind w:right="-78"/>
              <w:jc w:val="right"/>
              <w:rPr>
                <w:rFonts w:ascii="Arial Narrow" w:hAnsi="Arial Narrow" w:cs="Arial"/>
                <w:spacing w:val="6"/>
                <w:sz w:val="17"/>
                <w:szCs w:val="17"/>
              </w:rPr>
            </w:pPr>
            <w:r w:rsidRPr="00CF00B6">
              <w:rPr>
                <w:rFonts w:ascii="Arial Narrow" w:hAnsi="Arial Narrow" w:cs="Arial"/>
                <w:spacing w:val="6"/>
                <w:szCs w:val="17"/>
              </w:rPr>
              <w:t xml:space="preserve"> </w:t>
            </w:r>
            <w:r w:rsidR="00614DC4" w:rsidRPr="0095496A">
              <w:rPr>
                <w:rFonts w:ascii="Arial Narrow" w:hAnsi="Arial Narrow" w:cs="Arial"/>
                <w:spacing w:val="6"/>
                <w:sz w:val="17"/>
                <w:szCs w:val="17"/>
              </w:rPr>
              <w:t>(en miles)</w:t>
            </w:r>
          </w:p>
        </w:tc>
      </w:tr>
      <w:tr w:rsidR="00CF00B6" w:rsidRPr="00CF00B6" w14:paraId="074D2D49" w14:textId="77777777" w:rsidTr="0069768F">
        <w:trPr>
          <w:trHeight w:val="255"/>
          <w:jc w:val="center"/>
        </w:trPr>
        <w:tc>
          <w:tcPr>
            <w:tcW w:w="2101" w:type="pct"/>
            <w:gridSpan w:val="2"/>
            <w:tcBorders>
              <w:top w:val="single" w:sz="4" w:space="0" w:color="auto"/>
              <w:left w:val="nil"/>
              <w:bottom w:val="single" w:sz="4" w:space="0" w:color="auto"/>
              <w:right w:val="nil"/>
            </w:tcBorders>
            <w:shd w:val="clear" w:color="auto" w:fill="8DB3E2"/>
            <w:vAlign w:val="center"/>
            <w:hideMark/>
          </w:tcPr>
          <w:p w14:paraId="43C74F81" w14:textId="77777777" w:rsidR="00614DC4" w:rsidRPr="00CF00B6" w:rsidRDefault="00614DC4" w:rsidP="00EA72EA">
            <w:pPr>
              <w:pStyle w:val="cuadroCabe"/>
            </w:pPr>
            <w:bookmarkStart w:id="163" w:name="OLE_LINK2"/>
            <w:bookmarkStart w:id="164" w:name="OLE_LINK5"/>
            <w:r w:rsidRPr="00CF00B6">
              <w:t>Concepto</w:t>
            </w:r>
          </w:p>
        </w:tc>
        <w:tc>
          <w:tcPr>
            <w:tcW w:w="975" w:type="pct"/>
            <w:gridSpan w:val="2"/>
            <w:tcBorders>
              <w:top w:val="single" w:sz="4" w:space="0" w:color="auto"/>
              <w:left w:val="nil"/>
              <w:bottom w:val="single" w:sz="4" w:space="0" w:color="auto"/>
              <w:right w:val="nil"/>
            </w:tcBorders>
            <w:shd w:val="clear" w:color="auto" w:fill="8DB3E2"/>
            <w:vAlign w:val="center"/>
            <w:hideMark/>
          </w:tcPr>
          <w:p w14:paraId="5041D9FC" w14:textId="77777777" w:rsidR="00614DC4" w:rsidRPr="00CF00B6" w:rsidRDefault="00614DC4" w:rsidP="00B8117E">
            <w:pPr>
              <w:pStyle w:val="cuadroCabe"/>
              <w:jc w:val="right"/>
            </w:pPr>
            <w:r w:rsidRPr="00CF00B6">
              <w:t>Saldo a</w:t>
            </w:r>
          </w:p>
          <w:p w14:paraId="09547563" w14:textId="77777777" w:rsidR="00614DC4" w:rsidRPr="00CF00B6" w:rsidRDefault="00614DC4" w:rsidP="00B8117E">
            <w:pPr>
              <w:pStyle w:val="cuadroCabe"/>
              <w:jc w:val="right"/>
            </w:pPr>
            <w:r w:rsidRPr="00CF00B6">
              <w:t>31/12/202</w:t>
            </w:r>
            <w:r w:rsidR="005C3208" w:rsidRPr="00CF00B6">
              <w:t>2</w:t>
            </w:r>
          </w:p>
        </w:tc>
        <w:tc>
          <w:tcPr>
            <w:tcW w:w="975" w:type="pct"/>
            <w:gridSpan w:val="2"/>
            <w:tcBorders>
              <w:top w:val="single" w:sz="4" w:space="0" w:color="auto"/>
              <w:left w:val="nil"/>
              <w:bottom w:val="single" w:sz="4" w:space="0" w:color="auto"/>
              <w:right w:val="nil"/>
            </w:tcBorders>
            <w:shd w:val="clear" w:color="auto" w:fill="8DB3E2"/>
            <w:vAlign w:val="center"/>
            <w:hideMark/>
          </w:tcPr>
          <w:p w14:paraId="08280C78" w14:textId="77777777" w:rsidR="00614DC4" w:rsidRPr="00CF00B6" w:rsidRDefault="00614DC4" w:rsidP="00B8117E">
            <w:pPr>
              <w:pStyle w:val="cuadroCabe"/>
              <w:jc w:val="right"/>
            </w:pPr>
            <w:r w:rsidRPr="00CF00B6">
              <w:t>Saldo a</w:t>
            </w:r>
          </w:p>
          <w:p w14:paraId="0372FF3C" w14:textId="77777777" w:rsidR="00614DC4" w:rsidRPr="00CF00B6" w:rsidRDefault="00614DC4" w:rsidP="00B8117E">
            <w:pPr>
              <w:pStyle w:val="cuadroCabe"/>
              <w:jc w:val="right"/>
            </w:pPr>
            <w:r w:rsidRPr="00CF00B6">
              <w:t>31/12/202</w:t>
            </w:r>
            <w:r w:rsidR="005C3208" w:rsidRPr="00CF00B6">
              <w:t>3</w:t>
            </w:r>
          </w:p>
        </w:tc>
        <w:tc>
          <w:tcPr>
            <w:tcW w:w="949" w:type="pct"/>
            <w:tcBorders>
              <w:top w:val="single" w:sz="4" w:space="0" w:color="auto"/>
              <w:left w:val="nil"/>
              <w:bottom w:val="single" w:sz="4" w:space="0" w:color="auto"/>
              <w:right w:val="nil"/>
            </w:tcBorders>
            <w:shd w:val="clear" w:color="auto" w:fill="8DB3E2"/>
            <w:vAlign w:val="center"/>
            <w:hideMark/>
          </w:tcPr>
          <w:p w14:paraId="6DB657A4" w14:textId="77777777" w:rsidR="00614DC4" w:rsidRPr="00CF00B6" w:rsidRDefault="00614DC4" w:rsidP="00B8117E">
            <w:pPr>
              <w:pStyle w:val="cuadroCabe"/>
              <w:jc w:val="right"/>
            </w:pPr>
            <w:r w:rsidRPr="00CF00B6">
              <w:t>% Variación 202</w:t>
            </w:r>
            <w:r w:rsidR="005C3208" w:rsidRPr="00CF00B6">
              <w:t>3</w:t>
            </w:r>
            <w:r w:rsidRPr="00CF00B6">
              <w:t>/202</w:t>
            </w:r>
            <w:r w:rsidR="005C3208" w:rsidRPr="00CF00B6">
              <w:t>2</w:t>
            </w:r>
          </w:p>
        </w:tc>
      </w:tr>
      <w:tr w:rsidR="00CF00B6" w:rsidRPr="00CF00B6" w14:paraId="40BEC167" w14:textId="77777777" w:rsidTr="0095496A">
        <w:trPr>
          <w:trHeight w:val="198"/>
          <w:jc w:val="center"/>
        </w:trPr>
        <w:tc>
          <w:tcPr>
            <w:tcW w:w="2090" w:type="pct"/>
            <w:tcBorders>
              <w:top w:val="single" w:sz="2" w:space="0" w:color="auto"/>
              <w:left w:val="nil"/>
              <w:bottom w:val="single" w:sz="2" w:space="0" w:color="auto"/>
              <w:right w:val="nil"/>
            </w:tcBorders>
            <w:noWrap/>
            <w:vAlign w:val="center"/>
            <w:hideMark/>
          </w:tcPr>
          <w:p w14:paraId="36CF02FE" w14:textId="77777777" w:rsidR="005C3208" w:rsidRPr="00CF00B6" w:rsidRDefault="005C3208" w:rsidP="00EA72EA">
            <w:pPr>
              <w:pStyle w:val="cuatexto"/>
            </w:pPr>
            <w:r w:rsidRPr="00CF00B6">
              <w:t>Cuentas especiales de ingresos</w:t>
            </w:r>
          </w:p>
        </w:tc>
        <w:tc>
          <w:tcPr>
            <w:tcW w:w="970" w:type="pct"/>
            <w:gridSpan w:val="2"/>
            <w:tcBorders>
              <w:top w:val="single" w:sz="2" w:space="0" w:color="auto"/>
              <w:left w:val="nil"/>
              <w:bottom w:val="single" w:sz="2" w:space="0" w:color="auto"/>
              <w:right w:val="nil"/>
            </w:tcBorders>
            <w:vAlign w:val="center"/>
          </w:tcPr>
          <w:p w14:paraId="3EB289F7" w14:textId="77777777" w:rsidR="005C3208" w:rsidRPr="00CF00B6" w:rsidRDefault="009919AC" w:rsidP="00CF00B6">
            <w:pPr>
              <w:pStyle w:val="cuatexto"/>
              <w:jc w:val="right"/>
            </w:pPr>
            <w:r>
              <w:t>14.055</w:t>
            </w:r>
          </w:p>
        </w:tc>
        <w:tc>
          <w:tcPr>
            <w:tcW w:w="970" w:type="pct"/>
            <w:gridSpan w:val="2"/>
            <w:tcBorders>
              <w:top w:val="single" w:sz="2" w:space="0" w:color="auto"/>
              <w:left w:val="nil"/>
              <w:bottom w:val="single" w:sz="2" w:space="0" w:color="auto"/>
              <w:right w:val="nil"/>
            </w:tcBorders>
            <w:vAlign w:val="center"/>
          </w:tcPr>
          <w:p w14:paraId="62638B57" w14:textId="77777777" w:rsidR="005C3208" w:rsidRPr="00CF00B6" w:rsidRDefault="00CE1C15" w:rsidP="00EA72EA">
            <w:pPr>
              <w:pStyle w:val="cuatexto"/>
              <w:jc w:val="right"/>
            </w:pPr>
            <w:r w:rsidRPr="00CF00B6">
              <w:t>19.259</w:t>
            </w:r>
          </w:p>
        </w:tc>
        <w:tc>
          <w:tcPr>
            <w:tcW w:w="970" w:type="pct"/>
            <w:gridSpan w:val="2"/>
            <w:tcBorders>
              <w:top w:val="single" w:sz="2" w:space="0" w:color="auto"/>
              <w:left w:val="nil"/>
              <w:bottom w:val="single" w:sz="2" w:space="0" w:color="auto"/>
              <w:right w:val="nil"/>
            </w:tcBorders>
            <w:vAlign w:val="center"/>
          </w:tcPr>
          <w:p w14:paraId="1FE574CE" w14:textId="77777777" w:rsidR="005C3208" w:rsidRPr="00CF00B6" w:rsidRDefault="009919AC" w:rsidP="00EA72EA">
            <w:pPr>
              <w:pStyle w:val="cuatexto"/>
              <w:jc w:val="right"/>
            </w:pPr>
            <w:r>
              <w:t>7</w:t>
            </w:r>
          </w:p>
        </w:tc>
      </w:tr>
      <w:tr w:rsidR="00CF00B6" w:rsidRPr="00CF00B6" w14:paraId="5F92951C" w14:textId="77777777" w:rsidTr="005C3208">
        <w:trPr>
          <w:trHeight w:val="198"/>
          <w:jc w:val="center"/>
        </w:trPr>
        <w:tc>
          <w:tcPr>
            <w:tcW w:w="2090" w:type="pct"/>
            <w:tcBorders>
              <w:top w:val="single" w:sz="2" w:space="0" w:color="auto"/>
              <w:left w:val="nil"/>
              <w:bottom w:val="single" w:sz="2" w:space="0" w:color="auto"/>
              <w:right w:val="nil"/>
            </w:tcBorders>
            <w:noWrap/>
            <w:vAlign w:val="center"/>
            <w:hideMark/>
          </w:tcPr>
          <w:p w14:paraId="710E5997" w14:textId="77777777" w:rsidR="005C3208" w:rsidRPr="00CF00B6" w:rsidRDefault="005C3208" w:rsidP="00EA72EA">
            <w:pPr>
              <w:pStyle w:val="cuatexto"/>
            </w:pPr>
            <w:r w:rsidRPr="00CF00B6">
              <w:t>Cuentas restringidas de recaudación</w:t>
            </w:r>
          </w:p>
        </w:tc>
        <w:tc>
          <w:tcPr>
            <w:tcW w:w="970" w:type="pct"/>
            <w:gridSpan w:val="2"/>
            <w:tcBorders>
              <w:top w:val="single" w:sz="2" w:space="0" w:color="auto"/>
              <w:left w:val="nil"/>
              <w:bottom w:val="single" w:sz="2" w:space="0" w:color="auto"/>
              <w:right w:val="nil"/>
            </w:tcBorders>
            <w:vAlign w:val="center"/>
          </w:tcPr>
          <w:p w14:paraId="4E8FF981" w14:textId="77777777" w:rsidR="005C3208" w:rsidRPr="00CF00B6" w:rsidRDefault="005C3208" w:rsidP="00EA72EA">
            <w:pPr>
              <w:pStyle w:val="cuatexto"/>
              <w:jc w:val="right"/>
            </w:pPr>
            <w:r w:rsidRPr="00CF00B6">
              <w:t>48.904</w:t>
            </w:r>
          </w:p>
        </w:tc>
        <w:tc>
          <w:tcPr>
            <w:tcW w:w="970" w:type="pct"/>
            <w:gridSpan w:val="2"/>
            <w:tcBorders>
              <w:top w:val="single" w:sz="2" w:space="0" w:color="auto"/>
              <w:left w:val="nil"/>
              <w:bottom w:val="single" w:sz="2" w:space="0" w:color="auto"/>
              <w:right w:val="nil"/>
            </w:tcBorders>
            <w:vAlign w:val="center"/>
          </w:tcPr>
          <w:p w14:paraId="0463A940" w14:textId="77777777" w:rsidR="005C3208" w:rsidRPr="00CF00B6" w:rsidRDefault="00CE1C15" w:rsidP="00EA72EA">
            <w:pPr>
              <w:pStyle w:val="cuatexto"/>
              <w:jc w:val="right"/>
            </w:pPr>
            <w:r w:rsidRPr="00CF00B6">
              <w:t>19.809</w:t>
            </w:r>
          </w:p>
        </w:tc>
        <w:tc>
          <w:tcPr>
            <w:tcW w:w="970" w:type="pct"/>
            <w:gridSpan w:val="2"/>
            <w:tcBorders>
              <w:top w:val="single" w:sz="2" w:space="0" w:color="auto"/>
              <w:left w:val="nil"/>
              <w:bottom w:val="single" w:sz="2" w:space="0" w:color="auto"/>
              <w:right w:val="nil"/>
            </w:tcBorders>
            <w:vAlign w:val="center"/>
          </w:tcPr>
          <w:p w14:paraId="7E60B87D" w14:textId="77777777" w:rsidR="005C3208" w:rsidRPr="00CF00B6" w:rsidRDefault="00CF00B6" w:rsidP="00EA72EA">
            <w:pPr>
              <w:pStyle w:val="cuatexto"/>
              <w:jc w:val="right"/>
            </w:pPr>
            <w:r w:rsidRPr="00CF00B6">
              <w:t>-59</w:t>
            </w:r>
          </w:p>
        </w:tc>
      </w:tr>
      <w:tr w:rsidR="00CF00B6" w:rsidRPr="00CF00B6" w14:paraId="5CC9FAD9" w14:textId="77777777" w:rsidTr="0095496A">
        <w:trPr>
          <w:trHeight w:val="198"/>
          <w:jc w:val="center"/>
        </w:trPr>
        <w:tc>
          <w:tcPr>
            <w:tcW w:w="2090" w:type="pct"/>
            <w:tcBorders>
              <w:top w:val="single" w:sz="2" w:space="0" w:color="auto"/>
              <w:left w:val="nil"/>
              <w:bottom w:val="single" w:sz="4" w:space="0" w:color="auto"/>
              <w:right w:val="nil"/>
            </w:tcBorders>
            <w:noWrap/>
            <w:vAlign w:val="center"/>
            <w:hideMark/>
          </w:tcPr>
          <w:p w14:paraId="156F3D33" w14:textId="77777777" w:rsidR="005C3208" w:rsidRPr="00CF00B6" w:rsidRDefault="005C3208" w:rsidP="00EA72EA">
            <w:pPr>
              <w:pStyle w:val="cuatexto"/>
            </w:pPr>
            <w:r w:rsidRPr="00CF00B6">
              <w:t>Cuentas corrientes operativas</w:t>
            </w:r>
          </w:p>
        </w:tc>
        <w:tc>
          <w:tcPr>
            <w:tcW w:w="970" w:type="pct"/>
            <w:gridSpan w:val="2"/>
            <w:tcBorders>
              <w:top w:val="single" w:sz="2" w:space="0" w:color="auto"/>
              <w:left w:val="nil"/>
              <w:bottom w:val="single" w:sz="4" w:space="0" w:color="auto"/>
              <w:right w:val="nil"/>
            </w:tcBorders>
            <w:vAlign w:val="center"/>
          </w:tcPr>
          <w:p w14:paraId="678B81D3" w14:textId="77777777" w:rsidR="005C3208" w:rsidRPr="00CF00B6" w:rsidRDefault="005C3208" w:rsidP="00EA72EA">
            <w:pPr>
              <w:pStyle w:val="cuatexto"/>
              <w:jc w:val="right"/>
            </w:pPr>
            <w:r w:rsidRPr="00CF00B6">
              <w:t>659.006</w:t>
            </w:r>
          </w:p>
        </w:tc>
        <w:tc>
          <w:tcPr>
            <w:tcW w:w="970" w:type="pct"/>
            <w:gridSpan w:val="2"/>
            <w:tcBorders>
              <w:top w:val="single" w:sz="2" w:space="0" w:color="auto"/>
              <w:left w:val="nil"/>
              <w:bottom w:val="single" w:sz="4" w:space="0" w:color="auto"/>
              <w:right w:val="nil"/>
            </w:tcBorders>
            <w:vAlign w:val="center"/>
          </w:tcPr>
          <w:p w14:paraId="6E00739C" w14:textId="77777777" w:rsidR="005C3208" w:rsidRPr="00CF00B6" w:rsidRDefault="00CE1C15" w:rsidP="00EA72EA">
            <w:pPr>
              <w:pStyle w:val="cuatexto"/>
              <w:jc w:val="right"/>
            </w:pPr>
            <w:r w:rsidRPr="00CF00B6">
              <w:t>741.159</w:t>
            </w:r>
          </w:p>
        </w:tc>
        <w:tc>
          <w:tcPr>
            <w:tcW w:w="970" w:type="pct"/>
            <w:gridSpan w:val="2"/>
            <w:tcBorders>
              <w:top w:val="single" w:sz="2" w:space="0" w:color="auto"/>
              <w:left w:val="nil"/>
              <w:bottom w:val="single" w:sz="4" w:space="0" w:color="auto"/>
              <w:right w:val="nil"/>
            </w:tcBorders>
            <w:vAlign w:val="center"/>
          </w:tcPr>
          <w:p w14:paraId="22602075" w14:textId="77777777" w:rsidR="005C3208" w:rsidRPr="00CF00B6" w:rsidRDefault="00CF00B6" w:rsidP="00EA72EA">
            <w:pPr>
              <w:pStyle w:val="cuatexto"/>
              <w:jc w:val="right"/>
            </w:pPr>
            <w:r w:rsidRPr="00CF00B6">
              <w:t>12</w:t>
            </w:r>
          </w:p>
        </w:tc>
      </w:tr>
      <w:tr w:rsidR="00CF00B6" w:rsidRPr="00CF00B6" w14:paraId="45F69DD4" w14:textId="77777777" w:rsidTr="005C3208">
        <w:trPr>
          <w:trHeight w:hRule="exact" w:val="255"/>
          <w:jc w:val="center"/>
        </w:trPr>
        <w:tc>
          <w:tcPr>
            <w:tcW w:w="2090" w:type="pct"/>
            <w:tcBorders>
              <w:top w:val="single" w:sz="4" w:space="0" w:color="auto"/>
              <w:left w:val="nil"/>
              <w:bottom w:val="single" w:sz="4" w:space="0" w:color="auto"/>
              <w:right w:val="nil"/>
            </w:tcBorders>
            <w:shd w:val="clear" w:color="auto" w:fill="8DB3E2"/>
            <w:noWrap/>
            <w:vAlign w:val="center"/>
            <w:hideMark/>
          </w:tcPr>
          <w:p w14:paraId="4BA94893" w14:textId="77777777" w:rsidR="005C3208" w:rsidRPr="00CF00B6" w:rsidRDefault="005C3208" w:rsidP="00EA72EA">
            <w:pPr>
              <w:pStyle w:val="cuadroCabe"/>
            </w:pPr>
            <w:r w:rsidRPr="00CF00B6">
              <w:t>Total</w:t>
            </w:r>
          </w:p>
        </w:tc>
        <w:tc>
          <w:tcPr>
            <w:tcW w:w="970" w:type="pct"/>
            <w:gridSpan w:val="2"/>
            <w:tcBorders>
              <w:top w:val="single" w:sz="4" w:space="0" w:color="auto"/>
              <w:left w:val="nil"/>
              <w:bottom w:val="single" w:sz="4" w:space="0" w:color="auto"/>
              <w:right w:val="nil"/>
            </w:tcBorders>
            <w:shd w:val="clear" w:color="auto" w:fill="8DB3E2"/>
            <w:vAlign w:val="center"/>
          </w:tcPr>
          <w:p w14:paraId="3851FEE7" w14:textId="77777777" w:rsidR="005C3208" w:rsidRPr="00CF00B6" w:rsidRDefault="009919AC" w:rsidP="00EA72EA">
            <w:pPr>
              <w:pStyle w:val="cuadroCabe"/>
              <w:jc w:val="right"/>
            </w:pPr>
            <w:r>
              <w:t>721.965</w:t>
            </w:r>
          </w:p>
        </w:tc>
        <w:tc>
          <w:tcPr>
            <w:tcW w:w="970" w:type="pct"/>
            <w:gridSpan w:val="2"/>
            <w:tcBorders>
              <w:top w:val="single" w:sz="4" w:space="0" w:color="auto"/>
              <w:left w:val="nil"/>
              <w:bottom w:val="single" w:sz="4" w:space="0" w:color="auto"/>
              <w:right w:val="nil"/>
            </w:tcBorders>
            <w:shd w:val="clear" w:color="auto" w:fill="8DB3E2"/>
            <w:vAlign w:val="center"/>
          </w:tcPr>
          <w:p w14:paraId="3CACB30B" w14:textId="77777777" w:rsidR="005C3208" w:rsidRPr="00CF00B6" w:rsidRDefault="00CE1C15" w:rsidP="00EA72EA">
            <w:pPr>
              <w:pStyle w:val="cuadroCabe"/>
              <w:jc w:val="right"/>
            </w:pPr>
            <w:r w:rsidRPr="00CF00B6">
              <w:t>780.228</w:t>
            </w:r>
          </w:p>
        </w:tc>
        <w:tc>
          <w:tcPr>
            <w:tcW w:w="970" w:type="pct"/>
            <w:gridSpan w:val="2"/>
            <w:tcBorders>
              <w:top w:val="single" w:sz="4" w:space="0" w:color="auto"/>
              <w:left w:val="nil"/>
              <w:bottom w:val="single" w:sz="4" w:space="0" w:color="auto"/>
              <w:right w:val="nil"/>
            </w:tcBorders>
            <w:shd w:val="clear" w:color="auto" w:fill="8DB3E2"/>
            <w:vAlign w:val="center"/>
          </w:tcPr>
          <w:p w14:paraId="485D7FA4" w14:textId="77777777" w:rsidR="005C3208" w:rsidRPr="00CF00B6" w:rsidRDefault="00CF00B6" w:rsidP="00EA72EA">
            <w:pPr>
              <w:pStyle w:val="cuadroCabe"/>
              <w:jc w:val="right"/>
            </w:pPr>
            <w:r w:rsidRPr="00CF00B6">
              <w:t>8</w:t>
            </w:r>
          </w:p>
        </w:tc>
      </w:tr>
    </w:tbl>
    <w:bookmarkEnd w:id="163"/>
    <w:bookmarkEnd w:id="164"/>
    <w:p w14:paraId="2111B365" w14:textId="77777777" w:rsidR="00614DC4" w:rsidRPr="00B87777" w:rsidRDefault="00614DC4" w:rsidP="007D37B5">
      <w:pPr>
        <w:pStyle w:val="texto"/>
        <w:spacing w:before="240" w:after="120"/>
        <w:jc w:val="both"/>
      </w:pPr>
      <w:r w:rsidRPr="00B87777">
        <w:t xml:space="preserve">Los saldos de tesorería han aumentado un </w:t>
      </w:r>
      <w:r w:rsidR="00CF00B6" w:rsidRPr="00B87777">
        <w:t xml:space="preserve">ocho </w:t>
      </w:r>
      <w:r w:rsidRPr="00B87777">
        <w:t>por ciento (</w:t>
      </w:r>
      <w:r w:rsidR="009919AC">
        <w:t>58,26</w:t>
      </w:r>
      <w:r w:rsidR="00CF00B6" w:rsidRPr="00B87777">
        <w:t xml:space="preserve"> </w:t>
      </w:r>
      <w:r w:rsidRPr="00B87777">
        <w:t>millones) debido en su práctica totalidad al aumento del saldo de las cuentas operativas, en un 1</w:t>
      </w:r>
      <w:r w:rsidR="00B87777" w:rsidRPr="00B87777">
        <w:t xml:space="preserve">2 por ciento (82,15 </w:t>
      </w:r>
      <w:r w:rsidRPr="00B87777">
        <w:t xml:space="preserve">millones). </w:t>
      </w:r>
    </w:p>
    <w:p w14:paraId="3F1BFA51" w14:textId="77777777" w:rsidR="00AE3855" w:rsidRDefault="00614DC4" w:rsidP="009A38AE">
      <w:pPr>
        <w:pStyle w:val="texto"/>
        <w:spacing w:after="120"/>
        <w:jc w:val="both"/>
        <w:rPr>
          <w:szCs w:val="20"/>
        </w:rPr>
      </w:pPr>
      <w:r w:rsidRPr="00AE3855">
        <w:t>Por o</w:t>
      </w:r>
      <w:r w:rsidR="00D712BA" w:rsidRPr="00AE3855">
        <w:t xml:space="preserve">tro lado, </w:t>
      </w:r>
      <w:r w:rsidR="00AE3855">
        <w:t xml:space="preserve">se observa una </w:t>
      </w:r>
      <w:r w:rsidR="00D712BA" w:rsidRPr="00AE3855">
        <w:t>disminución en un 59 por ciento (29,09</w:t>
      </w:r>
      <w:r w:rsidRPr="00AE3855">
        <w:t xml:space="preserve"> millones) en las cuent</w:t>
      </w:r>
      <w:r w:rsidR="00512FD7" w:rsidRPr="00AE3855">
        <w:t>as restringidas de recaudación.</w:t>
      </w:r>
      <w:r w:rsidR="00AE3855" w:rsidRPr="00AE3855">
        <w:t xml:space="preserve"> </w:t>
      </w:r>
      <w:r w:rsidR="00512FD7" w:rsidRPr="00AE3855">
        <w:rPr>
          <w:szCs w:val="20"/>
        </w:rPr>
        <w:t xml:space="preserve">Anualmente se publica una orden foral, </w:t>
      </w:r>
      <w:r w:rsidR="00D0632C">
        <w:rPr>
          <w:szCs w:val="20"/>
        </w:rPr>
        <w:t xml:space="preserve">en la que </w:t>
      </w:r>
      <w:r w:rsidR="00512FD7">
        <w:rPr>
          <w:szCs w:val="20"/>
        </w:rPr>
        <w:t xml:space="preserve">se fijan los plazos y fechas para el ingreso de fondos, presentación de documentos y envíos telemáticos por las entidades colaboradoras en la recaudación de la Hacienda Pública de Navarra. </w:t>
      </w:r>
      <w:r w:rsidR="00AE3855">
        <w:rPr>
          <w:szCs w:val="20"/>
        </w:rPr>
        <w:t xml:space="preserve">La fijación de estos plazos varía de </w:t>
      </w:r>
      <w:r w:rsidR="00AE3855">
        <w:rPr>
          <w:szCs w:val="20"/>
        </w:rPr>
        <w:lastRenderedPageBreak/>
        <w:t>un ejercicio a otro, lo que justifica la diferencia de saldos al cierre de cada ejercicio.</w:t>
      </w:r>
    </w:p>
    <w:p w14:paraId="2F5EB9FD" w14:textId="77777777" w:rsidR="00614DC4" w:rsidRPr="00B87777" w:rsidRDefault="00614DC4" w:rsidP="009A38AE">
      <w:pPr>
        <w:pStyle w:val="texto"/>
        <w:spacing w:before="120"/>
        <w:jc w:val="both"/>
      </w:pPr>
      <w:r w:rsidRPr="00B87777">
        <w:t>Del análisis de la circularización bancaria</w:t>
      </w:r>
      <w:r w:rsidR="00140076">
        <w:rPr>
          <w:rStyle w:val="Refdenotaalpie"/>
        </w:rPr>
        <w:footnoteReference w:id="35"/>
      </w:r>
      <w:r w:rsidRPr="00B87777">
        <w:t xml:space="preserve"> realizada podemos concluir que los saldos están justificados y las firmas autorizadas son en general correctas.</w:t>
      </w:r>
    </w:p>
    <w:p w14:paraId="6011DA1A" w14:textId="77777777" w:rsidR="00614DC4" w:rsidRPr="001C3B92" w:rsidRDefault="00614DC4" w:rsidP="00614DC4">
      <w:pPr>
        <w:pStyle w:val="atitulo2"/>
        <w:spacing w:before="240"/>
        <w:rPr>
          <w:color w:val="auto"/>
        </w:rPr>
      </w:pPr>
      <w:bookmarkStart w:id="165" w:name="_Toc52267379"/>
      <w:bookmarkStart w:id="166" w:name="_Toc525907450"/>
      <w:bookmarkStart w:id="167" w:name="_Toc494270394"/>
      <w:bookmarkStart w:id="168" w:name="_Toc146471254"/>
      <w:bookmarkStart w:id="169" w:name="_Toc182464289"/>
      <w:r w:rsidRPr="001C3B92">
        <w:rPr>
          <w:color w:val="auto"/>
        </w:rPr>
        <w:t>5.1</w:t>
      </w:r>
      <w:r w:rsidR="00A35015">
        <w:rPr>
          <w:color w:val="auto"/>
        </w:rPr>
        <w:t>1</w:t>
      </w:r>
      <w:r w:rsidRPr="001C3B92">
        <w:rPr>
          <w:color w:val="auto"/>
        </w:rPr>
        <w:t xml:space="preserve"> Endeudamiento y otras operaciones financieras</w:t>
      </w:r>
      <w:bookmarkEnd w:id="165"/>
      <w:bookmarkEnd w:id="166"/>
      <w:bookmarkEnd w:id="167"/>
      <w:bookmarkEnd w:id="168"/>
      <w:bookmarkEnd w:id="169"/>
    </w:p>
    <w:p w14:paraId="27E90451" w14:textId="77777777" w:rsidR="00614DC4" w:rsidRPr="0017053D" w:rsidRDefault="00614DC4" w:rsidP="0017053D">
      <w:pPr>
        <w:pStyle w:val="atitulo3"/>
        <w:spacing w:before="240"/>
      </w:pPr>
      <w:r w:rsidRPr="0017053D">
        <w:t>Endeudamiento</w:t>
      </w:r>
    </w:p>
    <w:p w14:paraId="31576E58" w14:textId="77777777" w:rsidR="00614DC4" w:rsidRPr="001C3B92" w:rsidRDefault="00614DC4" w:rsidP="009A38AE">
      <w:pPr>
        <w:pStyle w:val="texto"/>
        <w:jc w:val="both"/>
      </w:pPr>
      <w:r w:rsidRPr="001C3B92">
        <w:t>El endeudamiento de la ACFN y sus OOAA a 31 de diciembre de 202</w:t>
      </w:r>
      <w:r w:rsidR="009C7586" w:rsidRPr="001C3B92">
        <w:t>3</w:t>
      </w:r>
      <w:r w:rsidRPr="001C3B92">
        <w:t xml:space="preserve"> a coste amortizado </w:t>
      </w:r>
      <w:r w:rsidRPr="003B66E5">
        <w:t xml:space="preserve">ascendía a </w:t>
      </w:r>
      <w:r w:rsidR="0083468B" w:rsidRPr="003B66E5">
        <w:t>2.69</w:t>
      </w:r>
      <w:r w:rsidR="009919AC">
        <w:t>5, 27</w:t>
      </w:r>
      <w:r w:rsidR="003B66E5" w:rsidRPr="003B66E5">
        <w:t xml:space="preserve"> </w:t>
      </w:r>
      <w:r w:rsidRPr="003B66E5">
        <w:t xml:space="preserve">millones y </w:t>
      </w:r>
      <w:r w:rsidRPr="001C3B92">
        <w:t>correspondía a las siguientes modalidades:</w:t>
      </w:r>
    </w:p>
    <w:tbl>
      <w:tblPr>
        <w:tblW w:w="5090" w:type="pct"/>
        <w:jc w:val="center"/>
        <w:tblCellMar>
          <w:left w:w="70" w:type="dxa"/>
          <w:right w:w="70" w:type="dxa"/>
        </w:tblCellMar>
        <w:tblLook w:val="04A0" w:firstRow="1" w:lastRow="0" w:firstColumn="1" w:lastColumn="0" w:noHBand="0" w:noVBand="1"/>
      </w:tblPr>
      <w:tblGrid>
        <w:gridCol w:w="4643"/>
        <w:gridCol w:w="25"/>
        <w:gridCol w:w="1483"/>
        <w:gridCol w:w="34"/>
        <w:gridCol w:w="1474"/>
        <w:gridCol w:w="43"/>
        <w:gridCol w:w="1245"/>
      </w:tblGrid>
      <w:tr w:rsidR="00614DC4" w:rsidRPr="0095496A" w14:paraId="2B1D8D88" w14:textId="77777777" w:rsidTr="0095496A">
        <w:trPr>
          <w:trHeight w:val="198"/>
          <w:jc w:val="center"/>
        </w:trPr>
        <w:tc>
          <w:tcPr>
            <w:tcW w:w="5000" w:type="pct"/>
            <w:gridSpan w:val="7"/>
            <w:tcBorders>
              <w:top w:val="nil"/>
              <w:left w:val="nil"/>
              <w:bottom w:val="single" w:sz="4" w:space="0" w:color="auto"/>
              <w:right w:val="nil"/>
            </w:tcBorders>
            <w:vAlign w:val="center"/>
            <w:hideMark/>
          </w:tcPr>
          <w:p w14:paraId="0230F46C" w14:textId="77777777" w:rsidR="00614DC4" w:rsidRPr="0095496A" w:rsidRDefault="00614DC4">
            <w:pPr>
              <w:keepLines/>
              <w:tabs>
                <w:tab w:val="right" w:pos="2835"/>
                <w:tab w:val="right" w:pos="3969"/>
                <w:tab w:val="right" w:pos="5103"/>
                <w:tab w:val="right" w:pos="6237"/>
                <w:tab w:val="right" w:pos="7371"/>
              </w:tabs>
              <w:ind w:right="-53"/>
              <w:jc w:val="right"/>
              <w:rPr>
                <w:rFonts w:ascii="Arial Narrow" w:hAnsi="Arial Narrow" w:cs="Arial"/>
                <w:spacing w:val="6"/>
                <w:sz w:val="17"/>
                <w:szCs w:val="17"/>
              </w:rPr>
            </w:pPr>
            <w:r w:rsidRPr="0095496A">
              <w:rPr>
                <w:rFonts w:ascii="Arial Narrow" w:hAnsi="Arial Narrow" w:cs="Arial"/>
                <w:spacing w:val="6"/>
                <w:sz w:val="17"/>
                <w:szCs w:val="17"/>
              </w:rPr>
              <w:t xml:space="preserve"> (en miles)</w:t>
            </w:r>
          </w:p>
        </w:tc>
      </w:tr>
      <w:tr w:rsidR="0083468B" w:rsidRPr="0083468B" w14:paraId="6D314A4E" w14:textId="77777777" w:rsidTr="003B66E5">
        <w:trPr>
          <w:trHeight w:val="255"/>
          <w:jc w:val="center"/>
        </w:trPr>
        <w:tc>
          <w:tcPr>
            <w:tcW w:w="2608" w:type="pct"/>
            <w:gridSpan w:val="2"/>
            <w:tcBorders>
              <w:top w:val="single" w:sz="4" w:space="0" w:color="auto"/>
              <w:left w:val="nil"/>
              <w:bottom w:val="single" w:sz="4" w:space="0" w:color="auto"/>
              <w:right w:val="nil"/>
            </w:tcBorders>
            <w:shd w:val="clear" w:color="auto" w:fill="8DB3E2"/>
            <w:vAlign w:val="center"/>
            <w:hideMark/>
          </w:tcPr>
          <w:p w14:paraId="27CB5A06" w14:textId="77777777" w:rsidR="00614DC4" w:rsidRPr="00B27710" w:rsidRDefault="00614DC4" w:rsidP="00B8117E">
            <w:pPr>
              <w:pStyle w:val="cuadroCabe"/>
            </w:pPr>
            <w:r w:rsidRPr="00B27710">
              <w:t xml:space="preserve">Deuda </w:t>
            </w:r>
          </w:p>
        </w:tc>
        <w:tc>
          <w:tcPr>
            <w:tcW w:w="848" w:type="pct"/>
            <w:gridSpan w:val="2"/>
            <w:tcBorders>
              <w:top w:val="single" w:sz="4" w:space="0" w:color="auto"/>
              <w:left w:val="nil"/>
              <w:bottom w:val="single" w:sz="4" w:space="0" w:color="auto"/>
              <w:right w:val="nil"/>
            </w:tcBorders>
            <w:shd w:val="clear" w:color="auto" w:fill="8DB3E2"/>
            <w:noWrap/>
            <w:vAlign w:val="center"/>
            <w:hideMark/>
          </w:tcPr>
          <w:p w14:paraId="3F496AD3" w14:textId="77777777" w:rsidR="00614DC4" w:rsidRPr="00B27710" w:rsidRDefault="00614DC4" w:rsidP="00EA72EA">
            <w:pPr>
              <w:pStyle w:val="cuadroCabe"/>
              <w:jc w:val="right"/>
            </w:pPr>
            <w:r w:rsidRPr="00B27710">
              <w:t xml:space="preserve"> 31/12/202</w:t>
            </w:r>
            <w:r w:rsidR="005C3208" w:rsidRPr="00B27710">
              <w:t>2</w:t>
            </w:r>
          </w:p>
        </w:tc>
        <w:tc>
          <w:tcPr>
            <w:tcW w:w="848" w:type="pct"/>
            <w:gridSpan w:val="2"/>
            <w:tcBorders>
              <w:top w:val="single" w:sz="4" w:space="0" w:color="auto"/>
              <w:left w:val="nil"/>
              <w:bottom w:val="single" w:sz="4" w:space="0" w:color="auto"/>
              <w:right w:val="nil"/>
            </w:tcBorders>
            <w:shd w:val="clear" w:color="auto" w:fill="8DB3E2"/>
            <w:vAlign w:val="center"/>
            <w:hideMark/>
          </w:tcPr>
          <w:p w14:paraId="7E9407E6" w14:textId="77777777" w:rsidR="00614DC4" w:rsidRPr="00B27710" w:rsidRDefault="00614DC4" w:rsidP="00EA72EA">
            <w:pPr>
              <w:pStyle w:val="cuadroCabe"/>
              <w:jc w:val="right"/>
            </w:pPr>
            <w:r w:rsidRPr="00B27710">
              <w:t>31/12/202</w:t>
            </w:r>
            <w:r w:rsidR="005C3208" w:rsidRPr="00B27710">
              <w:t>3</w:t>
            </w:r>
          </w:p>
        </w:tc>
        <w:tc>
          <w:tcPr>
            <w:tcW w:w="695" w:type="pct"/>
            <w:tcBorders>
              <w:top w:val="single" w:sz="4" w:space="0" w:color="auto"/>
              <w:left w:val="nil"/>
              <w:bottom w:val="single" w:sz="4" w:space="0" w:color="auto"/>
              <w:right w:val="nil"/>
            </w:tcBorders>
            <w:shd w:val="clear" w:color="auto" w:fill="8DB3E2"/>
            <w:vAlign w:val="center"/>
            <w:hideMark/>
          </w:tcPr>
          <w:p w14:paraId="10000E4D" w14:textId="77777777" w:rsidR="00614DC4" w:rsidRPr="00B27710" w:rsidRDefault="00614DC4" w:rsidP="00EA72EA">
            <w:pPr>
              <w:pStyle w:val="cuadroCabe"/>
              <w:jc w:val="right"/>
            </w:pPr>
            <w:r w:rsidRPr="00B27710">
              <w:t>% Variación 202</w:t>
            </w:r>
            <w:r w:rsidR="005C3208" w:rsidRPr="00B27710">
              <w:t>3</w:t>
            </w:r>
            <w:r w:rsidRPr="00B27710">
              <w:t>/202</w:t>
            </w:r>
            <w:r w:rsidR="005C3208" w:rsidRPr="00B27710">
              <w:t>2</w:t>
            </w:r>
          </w:p>
        </w:tc>
      </w:tr>
      <w:tr w:rsidR="003B66E5" w:rsidRPr="00725ABE" w14:paraId="17C287A1" w14:textId="77777777" w:rsidTr="0095496A">
        <w:trPr>
          <w:trHeight w:val="198"/>
          <w:jc w:val="center"/>
        </w:trPr>
        <w:tc>
          <w:tcPr>
            <w:tcW w:w="2594" w:type="pct"/>
            <w:tcBorders>
              <w:top w:val="single" w:sz="2" w:space="0" w:color="auto"/>
              <w:left w:val="nil"/>
              <w:bottom w:val="single" w:sz="2" w:space="0" w:color="auto"/>
              <w:right w:val="nil"/>
            </w:tcBorders>
            <w:vAlign w:val="center"/>
            <w:hideMark/>
          </w:tcPr>
          <w:p w14:paraId="16FC843B" w14:textId="77777777" w:rsidR="003B66E5" w:rsidRPr="00B27710" w:rsidRDefault="003B66E5" w:rsidP="003B66E5">
            <w:pPr>
              <w:pStyle w:val="cuatexto"/>
            </w:pPr>
            <w:r w:rsidRPr="00B27710">
              <w:t>Deuda Pública de Navarra</w:t>
            </w:r>
          </w:p>
        </w:tc>
        <w:tc>
          <w:tcPr>
            <w:tcW w:w="843" w:type="pct"/>
            <w:gridSpan w:val="2"/>
            <w:tcBorders>
              <w:top w:val="single" w:sz="2" w:space="0" w:color="auto"/>
              <w:left w:val="nil"/>
              <w:bottom w:val="single" w:sz="2" w:space="0" w:color="auto"/>
              <w:right w:val="nil"/>
            </w:tcBorders>
            <w:noWrap/>
            <w:vAlign w:val="center"/>
          </w:tcPr>
          <w:p w14:paraId="70698281" w14:textId="77777777" w:rsidR="003B66E5" w:rsidRPr="00B27710" w:rsidRDefault="003B66E5" w:rsidP="003B66E5">
            <w:pPr>
              <w:pStyle w:val="cuatexto"/>
              <w:jc w:val="right"/>
              <w:rPr>
                <w:rFonts w:cs="Calibri"/>
              </w:rPr>
            </w:pPr>
            <w:r w:rsidRPr="00B27710">
              <w:rPr>
                <w:rFonts w:cs="Calibri"/>
              </w:rPr>
              <w:t>1.060.323</w:t>
            </w:r>
          </w:p>
        </w:tc>
        <w:tc>
          <w:tcPr>
            <w:tcW w:w="843" w:type="pct"/>
            <w:gridSpan w:val="2"/>
            <w:tcBorders>
              <w:top w:val="single" w:sz="2" w:space="0" w:color="auto"/>
              <w:left w:val="nil"/>
              <w:bottom w:val="single" w:sz="2" w:space="0" w:color="auto"/>
              <w:right w:val="nil"/>
            </w:tcBorders>
            <w:vAlign w:val="center"/>
          </w:tcPr>
          <w:p w14:paraId="1AC07C1D" w14:textId="77777777" w:rsidR="003B66E5" w:rsidRPr="00B27710" w:rsidRDefault="003B66E5" w:rsidP="003B66E5">
            <w:pPr>
              <w:pStyle w:val="cuatexto"/>
              <w:jc w:val="right"/>
              <w:rPr>
                <w:rFonts w:cs="Calibri"/>
              </w:rPr>
            </w:pPr>
            <w:r w:rsidRPr="00B27710">
              <w:rPr>
                <w:rFonts w:cs="Calibri"/>
              </w:rPr>
              <w:t>956.718</w:t>
            </w:r>
          </w:p>
        </w:tc>
        <w:tc>
          <w:tcPr>
            <w:tcW w:w="720" w:type="pct"/>
            <w:gridSpan w:val="2"/>
            <w:tcBorders>
              <w:top w:val="single" w:sz="2" w:space="0" w:color="auto"/>
              <w:left w:val="nil"/>
              <w:bottom w:val="single" w:sz="2" w:space="0" w:color="auto"/>
              <w:right w:val="nil"/>
            </w:tcBorders>
            <w:vAlign w:val="center"/>
          </w:tcPr>
          <w:p w14:paraId="656611B7" w14:textId="77777777" w:rsidR="003B66E5" w:rsidRPr="00B27710" w:rsidRDefault="003B66E5" w:rsidP="003B66E5">
            <w:pPr>
              <w:pStyle w:val="cuatexto"/>
              <w:jc w:val="right"/>
              <w:rPr>
                <w:rFonts w:cs="Calibri"/>
              </w:rPr>
            </w:pPr>
            <w:r w:rsidRPr="00B27710">
              <w:rPr>
                <w:rFonts w:cs="Calibri"/>
              </w:rPr>
              <w:t>-10</w:t>
            </w:r>
          </w:p>
        </w:tc>
      </w:tr>
      <w:tr w:rsidR="003B66E5" w:rsidRPr="00D0632C" w14:paraId="0110A370" w14:textId="77777777" w:rsidTr="005C3208">
        <w:trPr>
          <w:trHeight w:val="198"/>
          <w:jc w:val="center"/>
        </w:trPr>
        <w:tc>
          <w:tcPr>
            <w:tcW w:w="2594" w:type="pct"/>
            <w:tcBorders>
              <w:top w:val="single" w:sz="2" w:space="0" w:color="auto"/>
              <w:left w:val="nil"/>
              <w:bottom w:val="single" w:sz="2" w:space="0" w:color="auto"/>
              <w:right w:val="nil"/>
            </w:tcBorders>
            <w:vAlign w:val="center"/>
            <w:hideMark/>
          </w:tcPr>
          <w:p w14:paraId="1CD9DF6B" w14:textId="77777777" w:rsidR="003B66E5" w:rsidRPr="00B27710" w:rsidRDefault="003B66E5" w:rsidP="003B66E5">
            <w:pPr>
              <w:pStyle w:val="cuatexto"/>
            </w:pPr>
            <w:r w:rsidRPr="00B27710">
              <w:t>Préstamos largo plazo entidades financieras</w:t>
            </w:r>
          </w:p>
        </w:tc>
        <w:tc>
          <w:tcPr>
            <w:tcW w:w="843" w:type="pct"/>
            <w:gridSpan w:val="2"/>
            <w:tcBorders>
              <w:top w:val="single" w:sz="2" w:space="0" w:color="auto"/>
              <w:left w:val="nil"/>
              <w:bottom w:val="single" w:sz="2" w:space="0" w:color="auto"/>
              <w:right w:val="nil"/>
            </w:tcBorders>
            <w:noWrap/>
            <w:vAlign w:val="center"/>
          </w:tcPr>
          <w:p w14:paraId="6D5CBAA0" w14:textId="77777777" w:rsidR="003B66E5" w:rsidRPr="00B27710" w:rsidRDefault="003B66E5" w:rsidP="003B66E5">
            <w:pPr>
              <w:pStyle w:val="cuatexto"/>
              <w:jc w:val="right"/>
              <w:rPr>
                <w:rFonts w:cs="Calibri"/>
              </w:rPr>
            </w:pPr>
            <w:r w:rsidRPr="00B27710">
              <w:rPr>
                <w:rFonts w:cs="Calibri"/>
              </w:rPr>
              <w:t>1.551.500</w:t>
            </w:r>
          </w:p>
        </w:tc>
        <w:tc>
          <w:tcPr>
            <w:tcW w:w="843" w:type="pct"/>
            <w:gridSpan w:val="2"/>
            <w:tcBorders>
              <w:top w:val="single" w:sz="2" w:space="0" w:color="auto"/>
              <w:left w:val="nil"/>
              <w:bottom w:val="single" w:sz="2" w:space="0" w:color="auto"/>
              <w:right w:val="nil"/>
            </w:tcBorders>
            <w:vAlign w:val="center"/>
          </w:tcPr>
          <w:p w14:paraId="19707327" w14:textId="77777777" w:rsidR="003B66E5" w:rsidRPr="00B27710" w:rsidRDefault="003B66E5" w:rsidP="003B66E5">
            <w:pPr>
              <w:pStyle w:val="cuatexto"/>
              <w:jc w:val="right"/>
              <w:rPr>
                <w:rFonts w:cs="Calibri"/>
              </w:rPr>
            </w:pPr>
            <w:r w:rsidRPr="00B27710">
              <w:rPr>
                <w:rFonts w:cs="Calibri"/>
              </w:rPr>
              <w:t>1.471.100</w:t>
            </w:r>
          </w:p>
        </w:tc>
        <w:tc>
          <w:tcPr>
            <w:tcW w:w="720" w:type="pct"/>
            <w:gridSpan w:val="2"/>
            <w:tcBorders>
              <w:top w:val="single" w:sz="2" w:space="0" w:color="auto"/>
              <w:left w:val="nil"/>
              <w:bottom w:val="single" w:sz="2" w:space="0" w:color="auto"/>
              <w:right w:val="nil"/>
            </w:tcBorders>
            <w:vAlign w:val="center"/>
          </w:tcPr>
          <w:p w14:paraId="09FE6FB8" w14:textId="77777777" w:rsidR="003B66E5" w:rsidRPr="00B27710" w:rsidRDefault="003B66E5" w:rsidP="003B66E5">
            <w:pPr>
              <w:pStyle w:val="cuatexto"/>
              <w:jc w:val="right"/>
              <w:rPr>
                <w:rFonts w:cs="Calibri"/>
              </w:rPr>
            </w:pPr>
            <w:r w:rsidRPr="00B27710">
              <w:rPr>
                <w:rFonts w:cs="Calibri"/>
              </w:rPr>
              <w:t>-5</w:t>
            </w:r>
          </w:p>
        </w:tc>
      </w:tr>
      <w:tr w:rsidR="003B66E5" w:rsidRPr="00D0632C" w14:paraId="16571974" w14:textId="77777777" w:rsidTr="00B81AF3">
        <w:trPr>
          <w:trHeight w:val="198"/>
          <w:jc w:val="center"/>
        </w:trPr>
        <w:tc>
          <w:tcPr>
            <w:tcW w:w="2594" w:type="pct"/>
            <w:tcBorders>
              <w:top w:val="single" w:sz="2" w:space="0" w:color="auto"/>
              <w:left w:val="nil"/>
              <w:bottom w:val="single" w:sz="4" w:space="0" w:color="auto"/>
              <w:right w:val="nil"/>
            </w:tcBorders>
            <w:vAlign w:val="center"/>
            <w:hideMark/>
          </w:tcPr>
          <w:p w14:paraId="765ABF00" w14:textId="77777777" w:rsidR="003B66E5" w:rsidRPr="00B27710" w:rsidRDefault="003B66E5" w:rsidP="003B66E5">
            <w:pPr>
              <w:pStyle w:val="cuatexto"/>
            </w:pPr>
            <w:r w:rsidRPr="00B27710">
              <w:t>Préstamos largo plazo sector público</w:t>
            </w:r>
          </w:p>
        </w:tc>
        <w:tc>
          <w:tcPr>
            <w:tcW w:w="843" w:type="pct"/>
            <w:gridSpan w:val="2"/>
            <w:tcBorders>
              <w:top w:val="single" w:sz="2" w:space="0" w:color="auto"/>
              <w:left w:val="nil"/>
              <w:bottom w:val="single" w:sz="4" w:space="0" w:color="auto"/>
              <w:right w:val="nil"/>
            </w:tcBorders>
            <w:noWrap/>
            <w:vAlign w:val="center"/>
          </w:tcPr>
          <w:p w14:paraId="125E4F80" w14:textId="77777777" w:rsidR="003B66E5" w:rsidRPr="00B27710" w:rsidRDefault="003B66E5" w:rsidP="003B66E5">
            <w:pPr>
              <w:pStyle w:val="cuatexto"/>
              <w:jc w:val="right"/>
              <w:rPr>
                <w:rFonts w:cs="Calibri"/>
              </w:rPr>
            </w:pPr>
            <w:r w:rsidRPr="00B27710">
              <w:rPr>
                <w:rFonts w:cs="Calibri"/>
              </w:rPr>
              <w:t>10.120</w:t>
            </w:r>
          </w:p>
        </w:tc>
        <w:tc>
          <w:tcPr>
            <w:tcW w:w="843" w:type="pct"/>
            <w:gridSpan w:val="2"/>
            <w:tcBorders>
              <w:top w:val="single" w:sz="2" w:space="0" w:color="auto"/>
              <w:left w:val="nil"/>
              <w:bottom w:val="single" w:sz="4" w:space="0" w:color="auto"/>
              <w:right w:val="nil"/>
            </w:tcBorders>
            <w:vAlign w:val="center"/>
          </w:tcPr>
          <w:p w14:paraId="471CA11D" w14:textId="77777777" w:rsidR="003B66E5" w:rsidRPr="00B27710" w:rsidRDefault="003B66E5" w:rsidP="003B66E5">
            <w:pPr>
              <w:pStyle w:val="cuatexto"/>
              <w:jc w:val="right"/>
              <w:rPr>
                <w:rFonts w:cs="Calibri"/>
              </w:rPr>
            </w:pPr>
            <w:r w:rsidRPr="002B0EE5">
              <w:rPr>
                <w:rFonts w:cs="Calibri"/>
              </w:rPr>
              <w:t>9.690</w:t>
            </w:r>
          </w:p>
        </w:tc>
        <w:tc>
          <w:tcPr>
            <w:tcW w:w="720" w:type="pct"/>
            <w:gridSpan w:val="2"/>
            <w:tcBorders>
              <w:top w:val="single" w:sz="2" w:space="0" w:color="auto"/>
              <w:left w:val="nil"/>
              <w:bottom w:val="single" w:sz="4" w:space="0" w:color="auto"/>
              <w:right w:val="nil"/>
            </w:tcBorders>
            <w:vAlign w:val="center"/>
          </w:tcPr>
          <w:p w14:paraId="305DB78B" w14:textId="77777777" w:rsidR="003B66E5" w:rsidRPr="00B27710" w:rsidRDefault="003B66E5" w:rsidP="003B66E5">
            <w:pPr>
              <w:pStyle w:val="cuatexto"/>
              <w:jc w:val="right"/>
              <w:rPr>
                <w:rFonts w:cs="Calibri"/>
              </w:rPr>
            </w:pPr>
            <w:r w:rsidRPr="00B27710">
              <w:rPr>
                <w:rFonts w:cs="Calibri"/>
              </w:rPr>
              <w:t>-4</w:t>
            </w:r>
          </w:p>
        </w:tc>
      </w:tr>
      <w:tr w:rsidR="003B66E5" w:rsidRPr="00B81AF3" w14:paraId="082CF976" w14:textId="77777777" w:rsidTr="00B81AF3">
        <w:trPr>
          <w:trHeight w:val="198"/>
          <w:jc w:val="center"/>
        </w:trPr>
        <w:tc>
          <w:tcPr>
            <w:tcW w:w="2594" w:type="pct"/>
            <w:tcBorders>
              <w:top w:val="single" w:sz="4" w:space="0" w:color="auto"/>
              <w:left w:val="nil"/>
              <w:bottom w:val="single" w:sz="4" w:space="0" w:color="auto"/>
              <w:right w:val="nil"/>
            </w:tcBorders>
            <w:vAlign w:val="center"/>
            <w:hideMark/>
          </w:tcPr>
          <w:p w14:paraId="26783555" w14:textId="77777777" w:rsidR="003B66E5" w:rsidRPr="00B81AF3" w:rsidRDefault="003B66E5" w:rsidP="003B66E5">
            <w:pPr>
              <w:pStyle w:val="cuatexto"/>
              <w:rPr>
                <w:b/>
              </w:rPr>
            </w:pPr>
            <w:r w:rsidRPr="00B81AF3">
              <w:rPr>
                <w:b/>
              </w:rPr>
              <w:t>Endeudamiento a largo plazo (A)</w:t>
            </w:r>
          </w:p>
        </w:tc>
        <w:tc>
          <w:tcPr>
            <w:tcW w:w="843" w:type="pct"/>
            <w:gridSpan w:val="2"/>
            <w:tcBorders>
              <w:top w:val="single" w:sz="4" w:space="0" w:color="auto"/>
              <w:left w:val="nil"/>
              <w:bottom w:val="single" w:sz="4" w:space="0" w:color="auto"/>
              <w:right w:val="nil"/>
            </w:tcBorders>
            <w:noWrap/>
            <w:vAlign w:val="center"/>
          </w:tcPr>
          <w:p w14:paraId="6CA2CE93" w14:textId="77777777" w:rsidR="003B66E5" w:rsidRPr="00B81AF3" w:rsidRDefault="003B66E5" w:rsidP="003B66E5">
            <w:pPr>
              <w:pStyle w:val="cuatexto"/>
              <w:jc w:val="right"/>
              <w:rPr>
                <w:rFonts w:cs="Calibri"/>
                <w:b/>
                <w:iCs/>
              </w:rPr>
            </w:pPr>
            <w:r w:rsidRPr="00B81AF3">
              <w:rPr>
                <w:rFonts w:cs="Calibri"/>
                <w:b/>
                <w:iCs/>
              </w:rPr>
              <w:t>2.621.943</w:t>
            </w:r>
          </w:p>
        </w:tc>
        <w:tc>
          <w:tcPr>
            <w:tcW w:w="843" w:type="pct"/>
            <w:gridSpan w:val="2"/>
            <w:tcBorders>
              <w:top w:val="single" w:sz="4" w:space="0" w:color="auto"/>
              <w:left w:val="nil"/>
              <w:bottom w:val="single" w:sz="4" w:space="0" w:color="auto"/>
              <w:right w:val="nil"/>
            </w:tcBorders>
            <w:vAlign w:val="center"/>
          </w:tcPr>
          <w:p w14:paraId="3CDBCF4B" w14:textId="77777777" w:rsidR="003B66E5" w:rsidRPr="00B81AF3" w:rsidRDefault="003B66E5" w:rsidP="003B66E5">
            <w:pPr>
              <w:pStyle w:val="cuatexto"/>
              <w:jc w:val="right"/>
              <w:rPr>
                <w:rFonts w:cs="Calibri"/>
                <w:b/>
                <w:iCs/>
              </w:rPr>
            </w:pPr>
            <w:r w:rsidRPr="00B81AF3">
              <w:rPr>
                <w:rFonts w:cs="Calibri"/>
                <w:b/>
                <w:iCs/>
              </w:rPr>
              <w:t>2.437.508</w:t>
            </w:r>
          </w:p>
        </w:tc>
        <w:tc>
          <w:tcPr>
            <w:tcW w:w="720" w:type="pct"/>
            <w:gridSpan w:val="2"/>
            <w:tcBorders>
              <w:top w:val="single" w:sz="4" w:space="0" w:color="auto"/>
              <w:left w:val="nil"/>
              <w:bottom w:val="single" w:sz="4" w:space="0" w:color="auto"/>
              <w:right w:val="nil"/>
            </w:tcBorders>
            <w:vAlign w:val="center"/>
          </w:tcPr>
          <w:p w14:paraId="57AC4DAE" w14:textId="77777777" w:rsidR="003B66E5" w:rsidRPr="00B81AF3" w:rsidRDefault="003B66E5" w:rsidP="003B66E5">
            <w:pPr>
              <w:pStyle w:val="cuatexto"/>
              <w:jc w:val="right"/>
              <w:rPr>
                <w:rFonts w:cs="Calibri"/>
                <w:b/>
              </w:rPr>
            </w:pPr>
            <w:r w:rsidRPr="00B81AF3">
              <w:rPr>
                <w:rFonts w:cs="Calibri"/>
                <w:b/>
              </w:rPr>
              <w:t>-7</w:t>
            </w:r>
          </w:p>
        </w:tc>
      </w:tr>
      <w:tr w:rsidR="003B66E5" w:rsidRPr="00D0632C" w14:paraId="512A2BCF" w14:textId="77777777" w:rsidTr="00B81AF3">
        <w:trPr>
          <w:trHeight w:val="198"/>
          <w:jc w:val="center"/>
        </w:trPr>
        <w:tc>
          <w:tcPr>
            <w:tcW w:w="2594" w:type="pct"/>
            <w:tcBorders>
              <w:top w:val="single" w:sz="4" w:space="0" w:color="auto"/>
              <w:left w:val="nil"/>
              <w:bottom w:val="single" w:sz="2" w:space="0" w:color="auto"/>
              <w:right w:val="nil"/>
            </w:tcBorders>
            <w:vAlign w:val="center"/>
            <w:hideMark/>
          </w:tcPr>
          <w:p w14:paraId="406AD0E6" w14:textId="77777777" w:rsidR="003B66E5" w:rsidRPr="00B27710" w:rsidRDefault="003B66E5" w:rsidP="003B66E5">
            <w:pPr>
              <w:pStyle w:val="cuatexto"/>
            </w:pPr>
            <w:r w:rsidRPr="00B27710">
              <w:t>Deuda Pública de Navarra a corto plazo</w:t>
            </w:r>
          </w:p>
        </w:tc>
        <w:tc>
          <w:tcPr>
            <w:tcW w:w="843" w:type="pct"/>
            <w:gridSpan w:val="2"/>
            <w:tcBorders>
              <w:top w:val="single" w:sz="4" w:space="0" w:color="auto"/>
              <w:left w:val="nil"/>
              <w:bottom w:val="single" w:sz="2" w:space="0" w:color="auto"/>
              <w:right w:val="nil"/>
            </w:tcBorders>
            <w:noWrap/>
            <w:vAlign w:val="center"/>
          </w:tcPr>
          <w:p w14:paraId="5CDCE7C3" w14:textId="77777777" w:rsidR="003B66E5" w:rsidRPr="00B27710" w:rsidRDefault="003B66E5" w:rsidP="003B66E5">
            <w:pPr>
              <w:pStyle w:val="cuatexto"/>
              <w:jc w:val="right"/>
              <w:rPr>
                <w:rFonts w:cs="Calibri"/>
              </w:rPr>
            </w:pPr>
            <w:r w:rsidRPr="00B27710">
              <w:rPr>
                <w:rFonts w:cs="Calibri"/>
              </w:rPr>
              <w:t>121.000</w:t>
            </w:r>
          </w:p>
        </w:tc>
        <w:tc>
          <w:tcPr>
            <w:tcW w:w="843" w:type="pct"/>
            <w:gridSpan w:val="2"/>
            <w:tcBorders>
              <w:top w:val="single" w:sz="4" w:space="0" w:color="auto"/>
              <w:left w:val="nil"/>
              <w:bottom w:val="single" w:sz="2" w:space="0" w:color="auto"/>
              <w:right w:val="nil"/>
            </w:tcBorders>
            <w:vAlign w:val="center"/>
          </w:tcPr>
          <w:p w14:paraId="21B4065F" w14:textId="77777777" w:rsidR="003B66E5" w:rsidRPr="00B27710" w:rsidRDefault="003B66E5" w:rsidP="003B66E5">
            <w:pPr>
              <w:pStyle w:val="cuatexto"/>
              <w:jc w:val="right"/>
              <w:rPr>
                <w:rFonts w:cs="Calibri"/>
              </w:rPr>
            </w:pPr>
            <w:r>
              <w:rPr>
                <w:rFonts w:cs="Calibri"/>
              </w:rPr>
              <w:t>103.796</w:t>
            </w:r>
          </w:p>
        </w:tc>
        <w:tc>
          <w:tcPr>
            <w:tcW w:w="720" w:type="pct"/>
            <w:gridSpan w:val="2"/>
            <w:tcBorders>
              <w:top w:val="single" w:sz="4" w:space="0" w:color="auto"/>
              <w:left w:val="nil"/>
              <w:bottom w:val="single" w:sz="2" w:space="0" w:color="auto"/>
              <w:right w:val="nil"/>
            </w:tcBorders>
            <w:vAlign w:val="center"/>
          </w:tcPr>
          <w:p w14:paraId="12653EE2" w14:textId="77777777" w:rsidR="003B66E5" w:rsidRPr="00B27710" w:rsidRDefault="003B66E5" w:rsidP="003B66E5">
            <w:pPr>
              <w:pStyle w:val="cuatexto"/>
              <w:jc w:val="right"/>
              <w:rPr>
                <w:rFonts w:cs="Calibri"/>
              </w:rPr>
            </w:pPr>
            <w:r w:rsidRPr="00B27710">
              <w:rPr>
                <w:rFonts w:cs="Calibri"/>
              </w:rPr>
              <w:t>-14</w:t>
            </w:r>
          </w:p>
        </w:tc>
      </w:tr>
      <w:tr w:rsidR="003B66E5" w:rsidRPr="00D0632C" w14:paraId="611CC980" w14:textId="77777777" w:rsidTr="005C3208">
        <w:trPr>
          <w:trHeight w:val="198"/>
          <w:jc w:val="center"/>
        </w:trPr>
        <w:tc>
          <w:tcPr>
            <w:tcW w:w="2594" w:type="pct"/>
            <w:tcBorders>
              <w:top w:val="single" w:sz="2" w:space="0" w:color="auto"/>
              <w:left w:val="nil"/>
              <w:bottom w:val="single" w:sz="2" w:space="0" w:color="auto"/>
              <w:right w:val="nil"/>
            </w:tcBorders>
            <w:vAlign w:val="center"/>
            <w:hideMark/>
          </w:tcPr>
          <w:p w14:paraId="59DF7785" w14:textId="77777777" w:rsidR="003B66E5" w:rsidRPr="00B27710" w:rsidRDefault="003B66E5" w:rsidP="003B66E5">
            <w:pPr>
              <w:pStyle w:val="cuatexto"/>
            </w:pPr>
            <w:r w:rsidRPr="00B27710">
              <w:t>Préstamos corto plazo entidades financieras</w:t>
            </w:r>
          </w:p>
        </w:tc>
        <w:tc>
          <w:tcPr>
            <w:tcW w:w="843" w:type="pct"/>
            <w:gridSpan w:val="2"/>
            <w:tcBorders>
              <w:top w:val="single" w:sz="2" w:space="0" w:color="auto"/>
              <w:left w:val="nil"/>
              <w:bottom w:val="single" w:sz="2" w:space="0" w:color="auto"/>
              <w:right w:val="nil"/>
            </w:tcBorders>
            <w:noWrap/>
            <w:vAlign w:val="center"/>
          </w:tcPr>
          <w:p w14:paraId="6CF9028E" w14:textId="77777777" w:rsidR="003B66E5" w:rsidRPr="00B27710" w:rsidRDefault="003B66E5" w:rsidP="003B66E5">
            <w:pPr>
              <w:pStyle w:val="cuatexto"/>
              <w:jc w:val="right"/>
              <w:rPr>
                <w:rFonts w:cs="Calibri"/>
              </w:rPr>
            </w:pPr>
            <w:r w:rsidRPr="00B27710">
              <w:rPr>
                <w:rFonts w:cs="Calibri"/>
              </w:rPr>
              <w:t>101.260</w:t>
            </w:r>
          </w:p>
        </w:tc>
        <w:tc>
          <w:tcPr>
            <w:tcW w:w="843" w:type="pct"/>
            <w:gridSpan w:val="2"/>
            <w:tcBorders>
              <w:top w:val="single" w:sz="2" w:space="0" w:color="auto"/>
              <w:left w:val="nil"/>
              <w:bottom w:val="single" w:sz="2" w:space="0" w:color="auto"/>
              <w:right w:val="nil"/>
            </w:tcBorders>
            <w:vAlign w:val="center"/>
          </w:tcPr>
          <w:p w14:paraId="27E3E83D" w14:textId="77777777" w:rsidR="003B66E5" w:rsidRPr="00B27710" w:rsidRDefault="003B66E5" w:rsidP="003B66E5">
            <w:pPr>
              <w:pStyle w:val="cuatexto"/>
              <w:jc w:val="right"/>
              <w:rPr>
                <w:rFonts w:cs="Calibri"/>
              </w:rPr>
            </w:pPr>
            <w:r w:rsidRPr="00B27710">
              <w:rPr>
                <w:rFonts w:cs="Calibri"/>
              </w:rPr>
              <w:t>130.400</w:t>
            </w:r>
          </w:p>
        </w:tc>
        <w:tc>
          <w:tcPr>
            <w:tcW w:w="720" w:type="pct"/>
            <w:gridSpan w:val="2"/>
            <w:tcBorders>
              <w:top w:val="single" w:sz="2" w:space="0" w:color="auto"/>
              <w:left w:val="nil"/>
              <w:bottom w:val="single" w:sz="2" w:space="0" w:color="auto"/>
              <w:right w:val="nil"/>
            </w:tcBorders>
            <w:vAlign w:val="center"/>
          </w:tcPr>
          <w:p w14:paraId="6D51404D" w14:textId="77777777" w:rsidR="003B66E5" w:rsidRPr="00B27710" w:rsidRDefault="003B66E5" w:rsidP="003B66E5">
            <w:pPr>
              <w:pStyle w:val="cuatexto"/>
              <w:jc w:val="right"/>
              <w:rPr>
                <w:rFonts w:cs="Calibri"/>
              </w:rPr>
            </w:pPr>
            <w:r w:rsidRPr="00B27710">
              <w:rPr>
                <w:rFonts w:cs="Calibri"/>
              </w:rPr>
              <w:t>29</w:t>
            </w:r>
          </w:p>
        </w:tc>
      </w:tr>
      <w:tr w:rsidR="003B66E5" w:rsidRPr="00D0632C" w14:paraId="42BB813F" w14:textId="77777777" w:rsidTr="005C3208">
        <w:trPr>
          <w:trHeight w:val="198"/>
          <w:jc w:val="center"/>
        </w:trPr>
        <w:tc>
          <w:tcPr>
            <w:tcW w:w="2594" w:type="pct"/>
            <w:tcBorders>
              <w:top w:val="single" w:sz="2" w:space="0" w:color="auto"/>
              <w:left w:val="nil"/>
              <w:bottom w:val="single" w:sz="2" w:space="0" w:color="auto"/>
              <w:right w:val="nil"/>
            </w:tcBorders>
            <w:vAlign w:val="center"/>
            <w:hideMark/>
          </w:tcPr>
          <w:p w14:paraId="286B1356" w14:textId="77777777" w:rsidR="003B66E5" w:rsidRPr="00B27710" w:rsidRDefault="003B66E5" w:rsidP="003B66E5">
            <w:pPr>
              <w:pStyle w:val="cuatexto"/>
            </w:pPr>
            <w:r w:rsidRPr="00B27710">
              <w:t>Deudas corto plazo con sector público</w:t>
            </w:r>
          </w:p>
        </w:tc>
        <w:tc>
          <w:tcPr>
            <w:tcW w:w="843" w:type="pct"/>
            <w:gridSpan w:val="2"/>
            <w:tcBorders>
              <w:top w:val="single" w:sz="2" w:space="0" w:color="auto"/>
              <w:left w:val="nil"/>
              <w:bottom w:val="single" w:sz="2" w:space="0" w:color="auto"/>
              <w:right w:val="nil"/>
            </w:tcBorders>
            <w:noWrap/>
            <w:vAlign w:val="center"/>
          </w:tcPr>
          <w:p w14:paraId="2ED189EF" w14:textId="77777777" w:rsidR="003B66E5" w:rsidRPr="00B27710" w:rsidRDefault="003B66E5" w:rsidP="003B66E5">
            <w:pPr>
              <w:pStyle w:val="cuatexto"/>
              <w:jc w:val="right"/>
              <w:rPr>
                <w:rFonts w:cs="Calibri"/>
              </w:rPr>
            </w:pPr>
            <w:r w:rsidRPr="00B27710">
              <w:rPr>
                <w:rFonts w:cs="Calibri"/>
              </w:rPr>
              <w:t>1.955</w:t>
            </w:r>
          </w:p>
        </w:tc>
        <w:tc>
          <w:tcPr>
            <w:tcW w:w="843" w:type="pct"/>
            <w:gridSpan w:val="2"/>
            <w:tcBorders>
              <w:top w:val="single" w:sz="2" w:space="0" w:color="auto"/>
              <w:left w:val="nil"/>
              <w:bottom w:val="single" w:sz="2" w:space="0" w:color="auto"/>
              <w:right w:val="nil"/>
            </w:tcBorders>
            <w:vAlign w:val="center"/>
          </w:tcPr>
          <w:p w14:paraId="37A55870" w14:textId="77777777" w:rsidR="003B66E5" w:rsidRPr="00B27710" w:rsidRDefault="003B66E5" w:rsidP="003B66E5">
            <w:pPr>
              <w:pStyle w:val="cuatexto"/>
              <w:jc w:val="right"/>
              <w:rPr>
                <w:rFonts w:cs="Calibri"/>
              </w:rPr>
            </w:pPr>
            <w:r>
              <w:rPr>
                <w:rFonts w:cs="Calibri"/>
              </w:rPr>
              <w:t>329</w:t>
            </w:r>
          </w:p>
        </w:tc>
        <w:tc>
          <w:tcPr>
            <w:tcW w:w="720" w:type="pct"/>
            <w:gridSpan w:val="2"/>
            <w:tcBorders>
              <w:top w:val="single" w:sz="2" w:space="0" w:color="auto"/>
              <w:left w:val="nil"/>
              <w:bottom w:val="single" w:sz="2" w:space="0" w:color="auto"/>
              <w:right w:val="nil"/>
            </w:tcBorders>
            <w:vAlign w:val="center"/>
          </w:tcPr>
          <w:p w14:paraId="5D3E8685" w14:textId="77777777" w:rsidR="003B66E5" w:rsidRPr="00B27710" w:rsidRDefault="003B66E5" w:rsidP="003B66E5">
            <w:pPr>
              <w:pStyle w:val="cuatexto"/>
              <w:jc w:val="right"/>
              <w:rPr>
                <w:rFonts w:cs="Calibri"/>
              </w:rPr>
            </w:pPr>
            <w:r>
              <w:rPr>
                <w:rFonts w:cs="Calibri"/>
              </w:rPr>
              <w:t>-83</w:t>
            </w:r>
          </w:p>
        </w:tc>
      </w:tr>
      <w:tr w:rsidR="003B66E5" w:rsidRPr="00725ABE" w14:paraId="21FC6631" w14:textId="77777777" w:rsidTr="005C3208">
        <w:trPr>
          <w:trHeight w:val="198"/>
          <w:jc w:val="center"/>
        </w:trPr>
        <w:tc>
          <w:tcPr>
            <w:tcW w:w="2594" w:type="pct"/>
            <w:tcBorders>
              <w:top w:val="single" w:sz="2" w:space="0" w:color="auto"/>
              <w:left w:val="nil"/>
              <w:bottom w:val="single" w:sz="2" w:space="0" w:color="auto"/>
              <w:right w:val="nil"/>
            </w:tcBorders>
            <w:vAlign w:val="center"/>
            <w:hideMark/>
          </w:tcPr>
          <w:p w14:paraId="2E5A1B10" w14:textId="77777777" w:rsidR="003B66E5" w:rsidRPr="00B27710" w:rsidRDefault="003B66E5" w:rsidP="003B66E5">
            <w:pPr>
              <w:pStyle w:val="cuatexto"/>
            </w:pPr>
            <w:r w:rsidRPr="00B27710">
              <w:t>Intereses a corto plazo deuda pública</w:t>
            </w:r>
          </w:p>
        </w:tc>
        <w:tc>
          <w:tcPr>
            <w:tcW w:w="843" w:type="pct"/>
            <w:gridSpan w:val="2"/>
            <w:tcBorders>
              <w:top w:val="single" w:sz="2" w:space="0" w:color="auto"/>
              <w:left w:val="nil"/>
              <w:bottom w:val="single" w:sz="2" w:space="0" w:color="auto"/>
              <w:right w:val="nil"/>
            </w:tcBorders>
            <w:noWrap/>
            <w:vAlign w:val="center"/>
          </w:tcPr>
          <w:p w14:paraId="51CD1219" w14:textId="77777777" w:rsidR="003B66E5" w:rsidRPr="00B27710" w:rsidRDefault="003B66E5" w:rsidP="003B66E5">
            <w:pPr>
              <w:pStyle w:val="cuatexto"/>
              <w:jc w:val="right"/>
              <w:rPr>
                <w:rFonts w:cs="Calibri"/>
              </w:rPr>
            </w:pPr>
            <w:r w:rsidRPr="00B27710">
              <w:rPr>
                <w:rFonts w:cs="Calibri"/>
              </w:rPr>
              <w:t>13.686</w:t>
            </w:r>
          </w:p>
        </w:tc>
        <w:tc>
          <w:tcPr>
            <w:tcW w:w="843" w:type="pct"/>
            <w:gridSpan w:val="2"/>
            <w:tcBorders>
              <w:top w:val="single" w:sz="2" w:space="0" w:color="auto"/>
              <w:left w:val="nil"/>
              <w:bottom w:val="single" w:sz="2" w:space="0" w:color="auto"/>
              <w:right w:val="nil"/>
            </w:tcBorders>
            <w:vAlign w:val="center"/>
          </w:tcPr>
          <w:p w14:paraId="433C2864" w14:textId="77777777" w:rsidR="003B66E5" w:rsidRPr="00B27710" w:rsidRDefault="003B66E5" w:rsidP="003B66E5">
            <w:pPr>
              <w:pStyle w:val="cuatexto"/>
              <w:jc w:val="right"/>
              <w:rPr>
                <w:rFonts w:cs="Calibri"/>
              </w:rPr>
            </w:pPr>
            <w:r w:rsidRPr="00B27710">
              <w:rPr>
                <w:rFonts w:cs="Calibri"/>
              </w:rPr>
              <w:t>13.457</w:t>
            </w:r>
          </w:p>
        </w:tc>
        <w:tc>
          <w:tcPr>
            <w:tcW w:w="720" w:type="pct"/>
            <w:gridSpan w:val="2"/>
            <w:tcBorders>
              <w:top w:val="single" w:sz="2" w:space="0" w:color="auto"/>
              <w:left w:val="nil"/>
              <w:bottom w:val="single" w:sz="2" w:space="0" w:color="auto"/>
              <w:right w:val="nil"/>
            </w:tcBorders>
            <w:vAlign w:val="center"/>
          </w:tcPr>
          <w:p w14:paraId="75E65FF6" w14:textId="77777777" w:rsidR="003B66E5" w:rsidRPr="00B27710" w:rsidRDefault="003B66E5" w:rsidP="003B66E5">
            <w:pPr>
              <w:pStyle w:val="cuatexto"/>
              <w:jc w:val="right"/>
              <w:rPr>
                <w:rFonts w:cs="Calibri"/>
              </w:rPr>
            </w:pPr>
            <w:r w:rsidRPr="00B27710">
              <w:rPr>
                <w:rFonts w:cs="Calibri"/>
              </w:rPr>
              <w:t>-2</w:t>
            </w:r>
          </w:p>
        </w:tc>
      </w:tr>
      <w:tr w:rsidR="003B66E5" w:rsidRPr="00725ABE" w14:paraId="7FECB0D1" w14:textId="77777777" w:rsidTr="00B81AF3">
        <w:trPr>
          <w:trHeight w:val="198"/>
          <w:jc w:val="center"/>
        </w:trPr>
        <w:tc>
          <w:tcPr>
            <w:tcW w:w="2594" w:type="pct"/>
            <w:tcBorders>
              <w:top w:val="single" w:sz="2" w:space="0" w:color="auto"/>
              <w:left w:val="nil"/>
              <w:bottom w:val="single" w:sz="4" w:space="0" w:color="auto"/>
              <w:right w:val="nil"/>
            </w:tcBorders>
            <w:vAlign w:val="center"/>
            <w:hideMark/>
          </w:tcPr>
          <w:p w14:paraId="6AE92929" w14:textId="77777777" w:rsidR="003B66E5" w:rsidRPr="00B27710" w:rsidRDefault="003B66E5" w:rsidP="003B66E5">
            <w:pPr>
              <w:pStyle w:val="cuatexto"/>
            </w:pPr>
            <w:r w:rsidRPr="00B27710">
              <w:t>Intereses a corto plazo préstamos</w:t>
            </w:r>
          </w:p>
        </w:tc>
        <w:tc>
          <w:tcPr>
            <w:tcW w:w="843" w:type="pct"/>
            <w:gridSpan w:val="2"/>
            <w:tcBorders>
              <w:top w:val="single" w:sz="2" w:space="0" w:color="auto"/>
              <w:left w:val="nil"/>
              <w:bottom w:val="single" w:sz="4" w:space="0" w:color="auto"/>
              <w:right w:val="nil"/>
            </w:tcBorders>
            <w:noWrap/>
            <w:vAlign w:val="center"/>
          </w:tcPr>
          <w:p w14:paraId="0DDCEF0D" w14:textId="77777777" w:rsidR="003B66E5" w:rsidRPr="00B27710" w:rsidRDefault="003B66E5" w:rsidP="003B66E5">
            <w:pPr>
              <w:pStyle w:val="cuatexto"/>
              <w:jc w:val="right"/>
              <w:rPr>
                <w:rFonts w:cs="Calibri"/>
              </w:rPr>
            </w:pPr>
            <w:r w:rsidRPr="00B27710">
              <w:rPr>
                <w:rFonts w:cs="Calibri"/>
              </w:rPr>
              <w:t>7.888</w:t>
            </w:r>
          </w:p>
        </w:tc>
        <w:tc>
          <w:tcPr>
            <w:tcW w:w="843" w:type="pct"/>
            <w:gridSpan w:val="2"/>
            <w:tcBorders>
              <w:top w:val="single" w:sz="2" w:space="0" w:color="auto"/>
              <w:left w:val="nil"/>
              <w:bottom w:val="single" w:sz="4" w:space="0" w:color="auto"/>
              <w:right w:val="nil"/>
            </w:tcBorders>
            <w:vAlign w:val="center"/>
          </w:tcPr>
          <w:p w14:paraId="6FCB8196" w14:textId="77777777" w:rsidR="003B66E5" w:rsidRPr="00B27710" w:rsidRDefault="003B66E5" w:rsidP="003B66E5">
            <w:pPr>
              <w:pStyle w:val="cuatexto"/>
              <w:jc w:val="right"/>
              <w:rPr>
                <w:rFonts w:cs="Calibri"/>
              </w:rPr>
            </w:pPr>
            <w:r w:rsidRPr="00B27710">
              <w:rPr>
                <w:rFonts w:cs="Calibri"/>
              </w:rPr>
              <w:t>9.778</w:t>
            </w:r>
          </w:p>
        </w:tc>
        <w:tc>
          <w:tcPr>
            <w:tcW w:w="720" w:type="pct"/>
            <w:gridSpan w:val="2"/>
            <w:tcBorders>
              <w:top w:val="single" w:sz="2" w:space="0" w:color="auto"/>
              <w:left w:val="nil"/>
              <w:bottom w:val="single" w:sz="4" w:space="0" w:color="auto"/>
              <w:right w:val="nil"/>
            </w:tcBorders>
            <w:vAlign w:val="center"/>
          </w:tcPr>
          <w:p w14:paraId="6D375CB6" w14:textId="77777777" w:rsidR="003B66E5" w:rsidRPr="00B27710" w:rsidRDefault="003B66E5" w:rsidP="003B66E5">
            <w:pPr>
              <w:pStyle w:val="cuatexto"/>
              <w:jc w:val="right"/>
              <w:rPr>
                <w:rFonts w:cs="Calibri"/>
              </w:rPr>
            </w:pPr>
            <w:r w:rsidRPr="00B27710">
              <w:rPr>
                <w:rFonts w:cs="Calibri"/>
              </w:rPr>
              <w:t>24</w:t>
            </w:r>
          </w:p>
        </w:tc>
      </w:tr>
      <w:tr w:rsidR="003B66E5" w:rsidRPr="00B81AF3" w14:paraId="061D305E" w14:textId="77777777" w:rsidTr="00B81AF3">
        <w:trPr>
          <w:trHeight w:val="198"/>
          <w:jc w:val="center"/>
        </w:trPr>
        <w:tc>
          <w:tcPr>
            <w:tcW w:w="2594" w:type="pct"/>
            <w:tcBorders>
              <w:top w:val="single" w:sz="4" w:space="0" w:color="auto"/>
              <w:left w:val="nil"/>
              <w:bottom w:val="single" w:sz="4" w:space="0" w:color="auto"/>
              <w:right w:val="nil"/>
            </w:tcBorders>
            <w:vAlign w:val="center"/>
            <w:hideMark/>
          </w:tcPr>
          <w:p w14:paraId="36484820" w14:textId="77777777" w:rsidR="003B66E5" w:rsidRPr="00B81AF3" w:rsidRDefault="003B66E5" w:rsidP="003B66E5">
            <w:pPr>
              <w:pStyle w:val="cuatexto"/>
              <w:rPr>
                <w:b/>
              </w:rPr>
            </w:pPr>
            <w:r w:rsidRPr="00B81AF3">
              <w:rPr>
                <w:b/>
              </w:rPr>
              <w:t>Endeudamiento a corto plazo (B)</w:t>
            </w:r>
          </w:p>
        </w:tc>
        <w:tc>
          <w:tcPr>
            <w:tcW w:w="843" w:type="pct"/>
            <w:gridSpan w:val="2"/>
            <w:tcBorders>
              <w:top w:val="single" w:sz="4" w:space="0" w:color="auto"/>
              <w:left w:val="nil"/>
              <w:bottom w:val="single" w:sz="4" w:space="0" w:color="auto"/>
              <w:right w:val="nil"/>
            </w:tcBorders>
            <w:noWrap/>
            <w:vAlign w:val="center"/>
          </w:tcPr>
          <w:p w14:paraId="0E03B364" w14:textId="77777777" w:rsidR="003B66E5" w:rsidRPr="00B81AF3" w:rsidRDefault="003B66E5" w:rsidP="003B66E5">
            <w:pPr>
              <w:pStyle w:val="cuatexto"/>
              <w:jc w:val="right"/>
              <w:rPr>
                <w:rFonts w:cs="Calibri"/>
                <w:b/>
                <w:iCs/>
              </w:rPr>
            </w:pPr>
            <w:r w:rsidRPr="00B81AF3">
              <w:rPr>
                <w:rFonts w:cs="Calibri"/>
                <w:b/>
                <w:iCs/>
              </w:rPr>
              <w:t>245.789</w:t>
            </w:r>
          </w:p>
        </w:tc>
        <w:tc>
          <w:tcPr>
            <w:tcW w:w="843" w:type="pct"/>
            <w:gridSpan w:val="2"/>
            <w:tcBorders>
              <w:top w:val="single" w:sz="4" w:space="0" w:color="auto"/>
              <w:left w:val="nil"/>
              <w:bottom w:val="single" w:sz="4" w:space="0" w:color="auto"/>
              <w:right w:val="nil"/>
            </w:tcBorders>
            <w:vAlign w:val="center"/>
          </w:tcPr>
          <w:p w14:paraId="3F05CCE8" w14:textId="77777777" w:rsidR="003B66E5" w:rsidRPr="00B81AF3" w:rsidRDefault="003B66E5" w:rsidP="003B66E5">
            <w:pPr>
              <w:pStyle w:val="cuatexto"/>
              <w:jc w:val="right"/>
              <w:rPr>
                <w:rFonts w:cs="Calibri"/>
                <w:b/>
                <w:iCs/>
              </w:rPr>
            </w:pPr>
            <w:r w:rsidRPr="00B81AF3">
              <w:rPr>
                <w:rFonts w:cs="Calibri"/>
                <w:b/>
                <w:iCs/>
              </w:rPr>
              <w:t>257.760</w:t>
            </w:r>
          </w:p>
        </w:tc>
        <w:tc>
          <w:tcPr>
            <w:tcW w:w="720" w:type="pct"/>
            <w:gridSpan w:val="2"/>
            <w:tcBorders>
              <w:top w:val="single" w:sz="4" w:space="0" w:color="auto"/>
              <w:left w:val="nil"/>
              <w:bottom w:val="single" w:sz="4" w:space="0" w:color="auto"/>
              <w:right w:val="nil"/>
            </w:tcBorders>
            <w:vAlign w:val="center"/>
          </w:tcPr>
          <w:p w14:paraId="5C92C85B" w14:textId="77777777" w:rsidR="003B66E5" w:rsidRPr="00B81AF3" w:rsidRDefault="003B66E5" w:rsidP="003B66E5">
            <w:pPr>
              <w:pStyle w:val="cuatexto"/>
              <w:jc w:val="right"/>
              <w:rPr>
                <w:rFonts w:cs="Calibri"/>
                <w:b/>
              </w:rPr>
            </w:pPr>
            <w:r w:rsidRPr="00B81AF3">
              <w:rPr>
                <w:rFonts w:cs="Calibri"/>
                <w:b/>
              </w:rPr>
              <w:t>5</w:t>
            </w:r>
          </w:p>
        </w:tc>
      </w:tr>
      <w:tr w:rsidR="003B66E5" w:rsidRPr="0083468B" w14:paraId="2CE2029F" w14:textId="77777777" w:rsidTr="005C3208">
        <w:trPr>
          <w:trHeight w:hRule="exact" w:val="255"/>
          <w:jc w:val="center"/>
        </w:trPr>
        <w:tc>
          <w:tcPr>
            <w:tcW w:w="2594" w:type="pct"/>
            <w:tcBorders>
              <w:top w:val="single" w:sz="4" w:space="0" w:color="auto"/>
              <w:left w:val="nil"/>
              <w:bottom w:val="single" w:sz="4" w:space="0" w:color="auto"/>
              <w:right w:val="nil"/>
            </w:tcBorders>
            <w:shd w:val="clear" w:color="auto" w:fill="8DB3E2"/>
            <w:vAlign w:val="center"/>
            <w:hideMark/>
          </w:tcPr>
          <w:p w14:paraId="28D52971" w14:textId="77777777" w:rsidR="003B66E5" w:rsidRPr="00B27710" w:rsidRDefault="003B66E5" w:rsidP="003B66E5">
            <w:pPr>
              <w:pStyle w:val="cuadroCabe"/>
            </w:pPr>
            <w:r w:rsidRPr="00B27710">
              <w:t>Total endeudamiento (A+B)</w:t>
            </w:r>
          </w:p>
        </w:tc>
        <w:tc>
          <w:tcPr>
            <w:tcW w:w="843" w:type="pct"/>
            <w:gridSpan w:val="2"/>
            <w:tcBorders>
              <w:top w:val="single" w:sz="4" w:space="0" w:color="auto"/>
              <w:left w:val="nil"/>
              <w:bottom w:val="single" w:sz="4" w:space="0" w:color="auto"/>
              <w:right w:val="nil"/>
            </w:tcBorders>
            <w:shd w:val="clear" w:color="auto" w:fill="8DB3E2"/>
            <w:noWrap/>
            <w:vAlign w:val="center"/>
          </w:tcPr>
          <w:p w14:paraId="14A39CBC" w14:textId="77777777" w:rsidR="003B66E5" w:rsidRPr="00B27710" w:rsidRDefault="003B66E5" w:rsidP="003B66E5">
            <w:pPr>
              <w:pStyle w:val="cuadroCabe"/>
              <w:jc w:val="right"/>
              <w:rPr>
                <w:szCs w:val="18"/>
              </w:rPr>
            </w:pPr>
            <w:r w:rsidRPr="00B27710">
              <w:rPr>
                <w:szCs w:val="18"/>
              </w:rPr>
              <w:t>2.867.732</w:t>
            </w:r>
          </w:p>
        </w:tc>
        <w:tc>
          <w:tcPr>
            <w:tcW w:w="843" w:type="pct"/>
            <w:gridSpan w:val="2"/>
            <w:tcBorders>
              <w:top w:val="single" w:sz="4" w:space="0" w:color="auto"/>
              <w:left w:val="nil"/>
              <w:bottom w:val="single" w:sz="4" w:space="0" w:color="auto"/>
              <w:right w:val="nil"/>
            </w:tcBorders>
            <w:shd w:val="clear" w:color="auto" w:fill="8DB3E2"/>
            <w:vAlign w:val="center"/>
          </w:tcPr>
          <w:p w14:paraId="63C0931D" w14:textId="77777777" w:rsidR="003B66E5" w:rsidRPr="00B27710" w:rsidRDefault="003B66E5" w:rsidP="003B66E5">
            <w:pPr>
              <w:pStyle w:val="cuadroCabe"/>
              <w:jc w:val="right"/>
              <w:rPr>
                <w:szCs w:val="18"/>
              </w:rPr>
            </w:pPr>
            <w:r>
              <w:rPr>
                <w:szCs w:val="18"/>
              </w:rPr>
              <w:t>2.695.268</w:t>
            </w:r>
          </w:p>
        </w:tc>
        <w:tc>
          <w:tcPr>
            <w:tcW w:w="720" w:type="pct"/>
            <w:gridSpan w:val="2"/>
            <w:tcBorders>
              <w:top w:val="single" w:sz="4" w:space="0" w:color="auto"/>
              <w:left w:val="nil"/>
              <w:bottom w:val="single" w:sz="4" w:space="0" w:color="auto"/>
              <w:right w:val="nil"/>
            </w:tcBorders>
            <w:shd w:val="clear" w:color="auto" w:fill="8DB3E2"/>
            <w:vAlign w:val="center"/>
          </w:tcPr>
          <w:p w14:paraId="6DD8AFED" w14:textId="77777777" w:rsidR="003B66E5" w:rsidRPr="00B27710" w:rsidRDefault="003B66E5" w:rsidP="003B66E5">
            <w:pPr>
              <w:pStyle w:val="cuadroCabe"/>
              <w:jc w:val="right"/>
              <w:rPr>
                <w:szCs w:val="18"/>
              </w:rPr>
            </w:pPr>
            <w:r w:rsidRPr="00B27710">
              <w:rPr>
                <w:szCs w:val="18"/>
              </w:rPr>
              <w:t>-6</w:t>
            </w:r>
          </w:p>
        </w:tc>
      </w:tr>
    </w:tbl>
    <w:p w14:paraId="758B5A69" w14:textId="77777777" w:rsidR="00614DC4" w:rsidRPr="001C3B92" w:rsidRDefault="00614DC4" w:rsidP="0069768F">
      <w:pPr>
        <w:pStyle w:val="texto"/>
        <w:spacing w:before="240"/>
        <w:jc w:val="both"/>
      </w:pPr>
      <w:r w:rsidRPr="001C3B92">
        <w:t xml:space="preserve">De la revisión efectuada destacamos los siguientes </w:t>
      </w:r>
      <w:r w:rsidR="00140076">
        <w:t>aspectos</w:t>
      </w:r>
      <w:r w:rsidRPr="001C3B92">
        <w:t>:</w:t>
      </w:r>
    </w:p>
    <w:p w14:paraId="7E186760" w14:textId="77777777" w:rsidR="00614DC4" w:rsidRPr="001C3B92" w:rsidRDefault="00D13429" w:rsidP="008C2B8E">
      <w:pPr>
        <w:pStyle w:val="texto"/>
        <w:numPr>
          <w:ilvl w:val="0"/>
          <w:numId w:val="6"/>
        </w:numPr>
        <w:tabs>
          <w:tab w:val="clear" w:pos="360"/>
          <w:tab w:val="num" w:pos="300"/>
          <w:tab w:val="left" w:pos="480"/>
          <w:tab w:val="num" w:pos="600"/>
        </w:tabs>
        <w:spacing w:before="120"/>
        <w:ind w:firstLine="289"/>
        <w:jc w:val="both"/>
        <w:rPr>
          <w:rFonts w:cs="Arial"/>
        </w:rPr>
      </w:pPr>
      <w:r w:rsidRPr="001C3B92">
        <w:rPr>
          <w:rFonts w:cs="Arial"/>
        </w:rPr>
        <w:t xml:space="preserve">El volumen de </w:t>
      </w:r>
      <w:proofErr w:type="gramStart"/>
      <w:r w:rsidRPr="001C3B92">
        <w:rPr>
          <w:rFonts w:cs="Arial"/>
        </w:rPr>
        <w:t>endeudamiento,</w:t>
      </w:r>
      <w:proofErr w:type="gramEnd"/>
      <w:r w:rsidRPr="001C3B92">
        <w:rPr>
          <w:rFonts w:cs="Arial"/>
        </w:rPr>
        <w:t xml:space="preserve"> ha disminuido</w:t>
      </w:r>
      <w:r w:rsidR="00140076">
        <w:rPr>
          <w:rFonts w:cs="Arial"/>
        </w:rPr>
        <w:t xml:space="preserve"> en un seis por ciento, es decir </w:t>
      </w:r>
      <w:r w:rsidR="003B66E5" w:rsidRPr="002B0EE5">
        <w:rPr>
          <w:rFonts w:cs="Arial"/>
        </w:rPr>
        <w:t xml:space="preserve">172,46 </w:t>
      </w:r>
      <w:r w:rsidR="00140076">
        <w:rPr>
          <w:rFonts w:cs="Arial"/>
        </w:rPr>
        <w:t xml:space="preserve">millones, menos. </w:t>
      </w:r>
    </w:p>
    <w:p w14:paraId="0942CA2F" w14:textId="77777777" w:rsidR="00614DC4" w:rsidRDefault="00614DC4" w:rsidP="008C2B8E">
      <w:pPr>
        <w:pStyle w:val="texto"/>
        <w:numPr>
          <w:ilvl w:val="0"/>
          <w:numId w:val="6"/>
        </w:numPr>
        <w:tabs>
          <w:tab w:val="clear" w:pos="360"/>
          <w:tab w:val="num" w:pos="300"/>
          <w:tab w:val="left" w:pos="480"/>
          <w:tab w:val="num" w:pos="600"/>
        </w:tabs>
        <w:spacing w:before="120"/>
        <w:ind w:firstLine="289"/>
        <w:jc w:val="both"/>
        <w:rPr>
          <w:rFonts w:cs="Arial"/>
        </w:rPr>
      </w:pPr>
      <w:r w:rsidRPr="001C3B92">
        <w:rPr>
          <w:rFonts w:cs="Arial"/>
        </w:rPr>
        <w:t>En 202</w:t>
      </w:r>
      <w:r w:rsidR="001C3B92" w:rsidRPr="001C3B92">
        <w:rPr>
          <w:rFonts w:cs="Arial"/>
        </w:rPr>
        <w:t>3</w:t>
      </w:r>
      <w:r w:rsidRPr="001C3B92">
        <w:rPr>
          <w:rFonts w:cs="Arial"/>
        </w:rPr>
        <w:t xml:space="preserve">, la deuda pública representa el </w:t>
      </w:r>
      <w:r w:rsidR="00140076">
        <w:rPr>
          <w:rFonts w:cs="Arial"/>
        </w:rPr>
        <w:t xml:space="preserve">40 </w:t>
      </w:r>
      <w:r w:rsidRPr="001C3B92">
        <w:rPr>
          <w:rFonts w:cs="Arial"/>
        </w:rPr>
        <w:t xml:space="preserve">por ciento del endeudamiento total, </w:t>
      </w:r>
      <w:r w:rsidR="001C3B92" w:rsidRPr="001C3B92">
        <w:rPr>
          <w:rFonts w:cs="Arial"/>
        </w:rPr>
        <w:t xml:space="preserve">con una ligera variación </w:t>
      </w:r>
      <w:r w:rsidRPr="001C3B92">
        <w:rPr>
          <w:rFonts w:cs="Arial"/>
        </w:rPr>
        <w:t>frente al 4</w:t>
      </w:r>
      <w:r w:rsidR="00140076">
        <w:rPr>
          <w:rFonts w:cs="Arial"/>
        </w:rPr>
        <w:t>2</w:t>
      </w:r>
      <w:r w:rsidRPr="001C3B92">
        <w:rPr>
          <w:rFonts w:cs="Arial"/>
        </w:rPr>
        <w:t xml:space="preserve"> por ciento que suponía en 202</w:t>
      </w:r>
      <w:r w:rsidR="001C3B92" w:rsidRPr="001C3B92">
        <w:rPr>
          <w:rFonts w:cs="Arial"/>
        </w:rPr>
        <w:t>2</w:t>
      </w:r>
      <w:r w:rsidRPr="001C3B92">
        <w:rPr>
          <w:rFonts w:cs="Arial"/>
        </w:rPr>
        <w:t xml:space="preserve">. </w:t>
      </w:r>
      <w:r w:rsidR="00140076">
        <w:rPr>
          <w:rFonts w:cs="Arial"/>
        </w:rPr>
        <w:t xml:space="preserve">Por otro lado, los préstamos con entidades financieras (incluido el BEI) supone 60 por ciento, frente al 58 por ciento del ejercicio anterior. </w:t>
      </w:r>
    </w:p>
    <w:p w14:paraId="62532DBC" w14:textId="77777777" w:rsidR="005F2B06" w:rsidRDefault="00614DC4" w:rsidP="008C2B8E">
      <w:pPr>
        <w:pStyle w:val="texto"/>
        <w:numPr>
          <w:ilvl w:val="0"/>
          <w:numId w:val="6"/>
        </w:numPr>
        <w:tabs>
          <w:tab w:val="clear" w:pos="360"/>
          <w:tab w:val="num" w:pos="300"/>
          <w:tab w:val="left" w:pos="480"/>
          <w:tab w:val="num" w:pos="600"/>
        </w:tabs>
        <w:spacing w:before="120"/>
        <w:ind w:firstLine="289"/>
        <w:jc w:val="both"/>
        <w:rPr>
          <w:rFonts w:cs="Arial"/>
        </w:rPr>
      </w:pPr>
      <w:r w:rsidRPr="001C3B92">
        <w:rPr>
          <w:rFonts w:cs="Arial"/>
        </w:rPr>
        <w:t xml:space="preserve">Los préstamos a largo plazo con entidades financieras </w:t>
      </w:r>
      <w:r w:rsidR="001C3B92" w:rsidRPr="001C3B92">
        <w:rPr>
          <w:rFonts w:cs="Arial"/>
        </w:rPr>
        <w:t xml:space="preserve">disminuyen un cinco por ciento, pasando de 1.551,5 </w:t>
      </w:r>
      <w:r w:rsidRPr="001C3B92">
        <w:rPr>
          <w:rFonts w:cs="Arial"/>
        </w:rPr>
        <w:t>millones en 202</w:t>
      </w:r>
      <w:r w:rsidR="001C3B92" w:rsidRPr="001C3B92">
        <w:rPr>
          <w:rFonts w:cs="Arial"/>
        </w:rPr>
        <w:t>2</w:t>
      </w:r>
      <w:r w:rsidRPr="001C3B92">
        <w:rPr>
          <w:rFonts w:cs="Arial"/>
        </w:rPr>
        <w:t xml:space="preserve"> a 1.</w:t>
      </w:r>
      <w:r w:rsidR="001C3B92" w:rsidRPr="001C3B92">
        <w:rPr>
          <w:rFonts w:cs="Arial"/>
        </w:rPr>
        <w:t xml:space="preserve">471,1 </w:t>
      </w:r>
      <w:r w:rsidRPr="001C3B92">
        <w:rPr>
          <w:rFonts w:cs="Arial"/>
        </w:rPr>
        <w:t>en 202</w:t>
      </w:r>
      <w:r w:rsidR="001C3B92" w:rsidRPr="001C3B92">
        <w:rPr>
          <w:rFonts w:cs="Arial"/>
        </w:rPr>
        <w:t>3</w:t>
      </w:r>
      <w:r w:rsidRPr="001C3B92">
        <w:rPr>
          <w:rFonts w:cs="Arial"/>
        </w:rPr>
        <w:t xml:space="preserve"> (</w:t>
      </w:r>
      <w:r w:rsidR="005F2B06">
        <w:rPr>
          <w:rFonts w:cs="Arial"/>
        </w:rPr>
        <w:t>80,4</w:t>
      </w:r>
      <w:r w:rsidR="001C3B92" w:rsidRPr="001C3B92">
        <w:rPr>
          <w:rFonts w:cs="Arial"/>
        </w:rPr>
        <w:t xml:space="preserve"> </w:t>
      </w:r>
      <w:r w:rsidRPr="001C3B92">
        <w:rPr>
          <w:rFonts w:cs="Arial"/>
        </w:rPr>
        <w:t>millones).</w:t>
      </w:r>
    </w:p>
    <w:p w14:paraId="2C0E7C22" w14:textId="77777777" w:rsidR="00614DC4" w:rsidRPr="005F2B06" w:rsidRDefault="005F2B06" w:rsidP="005F2B06">
      <w:pPr>
        <w:rPr>
          <w:rFonts w:cs="Arial"/>
          <w:spacing w:val="6"/>
          <w:sz w:val="26"/>
        </w:rPr>
      </w:pPr>
      <w:r>
        <w:rPr>
          <w:rFonts w:cs="Arial"/>
        </w:rPr>
        <w:br w:type="page"/>
      </w:r>
    </w:p>
    <w:p w14:paraId="42BD0156" w14:textId="77777777" w:rsidR="00CE1C15" w:rsidRPr="003B66E5" w:rsidRDefault="00614DC4" w:rsidP="008C2B8E">
      <w:pPr>
        <w:pStyle w:val="texto"/>
        <w:numPr>
          <w:ilvl w:val="0"/>
          <w:numId w:val="6"/>
        </w:numPr>
        <w:tabs>
          <w:tab w:val="clear" w:pos="360"/>
          <w:tab w:val="num" w:pos="300"/>
          <w:tab w:val="left" w:pos="480"/>
          <w:tab w:val="num" w:pos="600"/>
        </w:tabs>
        <w:spacing w:before="120"/>
        <w:ind w:firstLine="289"/>
        <w:jc w:val="both"/>
        <w:rPr>
          <w:rFonts w:cs="Arial"/>
        </w:rPr>
      </w:pPr>
      <w:r w:rsidRPr="003B66E5">
        <w:rPr>
          <w:rFonts w:cs="Arial"/>
        </w:rPr>
        <w:lastRenderedPageBreak/>
        <w:t>El tipo de interés medio por tipología de endeudamiento concertado en 202</w:t>
      </w:r>
      <w:r w:rsidR="00B27710" w:rsidRPr="003B66E5">
        <w:rPr>
          <w:rFonts w:cs="Arial"/>
        </w:rPr>
        <w:t>3</w:t>
      </w:r>
      <w:r w:rsidRPr="003B66E5">
        <w:rPr>
          <w:rFonts w:cs="Arial"/>
        </w:rPr>
        <w:t xml:space="preserve"> y del endeudamiento total, es el siguiente: </w:t>
      </w:r>
    </w:p>
    <w:p w14:paraId="67E92A0A" w14:textId="77777777" w:rsidR="00614DC4" w:rsidRPr="0095496A" w:rsidRDefault="00614DC4" w:rsidP="00614DC4">
      <w:pPr>
        <w:tabs>
          <w:tab w:val="center" w:pos="2835"/>
          <w:tab w:val="center" w:pos="3969"/>
          <w:tab w:val="center" w:pos="5103"/>
          <w:tab w:val="center" w:pos="6237"/>
          <w:tab w:val="center" w:pos="7371"/>
        </w:tabs>
        <w:spacing w:after="80"/>
        <w:ind w:right="-44" w:firstLine="284"/>
        <w:jc w:val="right"/>
        <w:rPr>
          <w:rFonts w:ascii="Arial" w:hAnsi="Arial" w:cs="Arial"/>
          <w:spacing w:val="6"/>
          <w:sz w:val="17"/>
          <w:szCs w:val="17"/>
        </w:rPr>
      </w:pPr>
      <w:r w:rsidRPr="0095496A">
        <w:rPr>
          <w:rFonts w:ascii="Arial" w:hAnsi="Arial" w:cs="Arial"/>
          <w:spacing w:val="6"/>
          <w:sz w:val="17"/>
          <w:szCs w:val="17"/>
        </w:rPr>
        <w:t>(en miles)</w:t>
      </w:r>
    </w:p>
    <w:tbl>
      <w:tblPr>
        <w:tblW w:w="5000" w:type="pct"/>
        <w:tblLook w:val="01E0" w:firstRow="1" w:lastRow="1" w:firstColumn="1" w:lastColumn="1" w:noHBand="0" w:noVBand="0"/>
      </w:tblPr>
      <w:tblGrid>
        <w:gridCol w:w="2868"/>
        <w:gridCol w:w="1811"/>
        <w:gridCol w:w="1415"/>
        <w:gridCol w:w="1419"/>
        <w:gridCol w:w="1276"/>
      </w:tblGrid>
      <w:tr w:rsidR="003B66E5" w:rsidRPr="0095496A" w14:paraId="6097BE7E" w14:textId="77777777" w:rsidTr="0095496A">
        <w:trPr>
          <w:trHeight w:val="255"/>
        </w:trPr>
        <w:tc>
          <w:tcPr>
            <w:tcW w:w="1632" w:type="pct"/>
            <w:tcBorders>
              <w:top w:val="single" w:sz="4" w:space="0" w:color="auto"/>
              <w:left w:val="nil"/>
              <w:bottom w:val="single" w:sz="4" w:space="0" w:color="auto"/>
              <w:right w:val="nil"/>
            </w:tcBorders>
            <w:shd w:val="clear" w:color="auto" w:fill="8DB3E2"/>
            <w:vAlign w:val="center"/>
            <w:hideMark/>
          </w:tcPr>
          <w:p w14:paraId="76FEADC0" w14:textId="77777777" w:rsidR="00614DC4" w:rsidRPr="0095496A" w:rsidRDefault="00614DC4" w:rsidP="00EA72EA">
            <w:pPr>
              <w:pStyle w:val="cuadroCabe"/>
              <w:rPr>
                <w:sz w:val="16"/>
                <w:szCs w:val="16"/>
              </w:rPr>
            </w:pPr>
            <w:r w:rsidRPr="0095496A">
              <w:rPr>
                <w:sz w:val="16"/>
                <w:szCs w:val="16"/>
              </w:rPr>
              <w:t>Modalidad de endeudamiento</w:t>
            </w:r>
          </w:p>
        </w:tc>
        <w:tc>
          <w:tcPr>
            <w:tcW w:w="1030" w:type="pct"/>
            <w:tcBorders>
              <w:top w:val="single" w:sz="4" w:space="0" w:color="auto"/>
              <w:left w:val="nil"/>
              <w:bottom w:val="single" w:sz="4" w:space="0" w:color="auto"/>
              <w:right w:val="nil"/>
            </w:tcBorders>
            <w:shd w:val="clear" w:color="auto" w:fill="8DB3E2"/>
            <w:vAlign w:val="center"/>
            <w:hideMark/>
          </w:tcPr>
          <w:p w14:paraId="235CA313" w14:textId="77777777" w:rsidR="00614DC4" w:rsidRPr="0095496A" w:rsidRDefault="00614DC4" w:rsidP="00D13429">
            <w:pPr>
              <w:pStyle w:val="cuadroCabe"/>
              <w:jc w:val="right"/>
              <w:rPr>
                <w:sz w:val="16"/>
                <w:szCs w:val="16"/>
              </w:rPr>
            </w:pPr>
            <w:r w:rsidRPr="0095496A">
              <w:rPr>
                <w:sz w:val="16"/>
                <w:szCs w:val="16"/>
              </w:rPr>
              <w:t xml:space="preserve">Endeudamiento </w:t>
            </w:r>
          </w:p>
          <w:p w14:paraId="33E8E15A" w14:textId="77777777" w:rsidR="00614DC4" w:rsidRPr="0095496A" w:rsidRDefault="00614DC4" w:rsidP="00D13429">
            <w:pPr>
              <w:pStyle w:val="cuadroCabe"/>
              <w:jc w:val="right"/>
              <w:rPr>
                <w:sz w:val="16"/>
                <w:szCs w:val="16"/>
              </w:rPr>
            </w:pPr>
            <w:r w:rsidRPr="0095496A">
              <w:rPr>
                <w:sz w:val="16"/>
                <w:szCs w:val="16"/>
              </w:rPr>
              <w:t>concertado 202</w:t>
            </w:r>
            <w:r w:rsidR="0069768F" w:rsidRPr="0095496A">
              <w:rPr>
                <w:sz w:val="16"/>
                <w:szCs w:val="16"/>
              </w:rPr>
              <w:t>3</w:t>
            </w:r>
          </w:p>
        </w:tc>
        <w:tc>
          <w:tcPr>
            <w:tcW w:w="805" w:type="pct"/>
            <w:tcBorders>
              <w:top w:val="single" w:sz="4" w:space="0" w:color="auto"/>
              <w:left w:val="nil"/>
              <w:bottom w:val="single" w:sz="4" w:space="0" w:color="auto"/>
              <w:right w:val="nil"/>
            </w:tcBorders>
            <w:shd w:val="clear" w:color="auto" w:fill="8DB3E2"/>
            <w:vAlign w:val="center"/>
            <w:hideMark/>
          </w:tcPr>
          <w:p w14:paraId="0819FE2F" w14:textId="77777777" w:rsidR="00614DC4" w:rsidRPr="0095496A" w:rsidRDefault="00614DC4" w:rsidP="00D13429">
            <w:pPr>
              <w:pStyle w:val="cuadroCabe"/>
              <w:jc w:val="right"/>
              <w:rPr>
                <w:sz w:val="16"/>
                <w:szCs w:val="16"/>
              </w:rPr>
            </w:pPr>
            <w:r w:rsidRPr="0095496A">
              <w:rPr>
                <w:sz w:val="16"/>
                <w:szCs w:val="16"/>
              </w:rPr>
              <w:t>Tipo interés medio 202</w:t>
            </w:r>
            <w:r w:rsidR="0069768F" w:rsidRPr="0095496A">
              <w:rPr>
                <w:sz w:val="16"/>
                <w:szCs w:val="16"/>
              </w:rPr>
              <w:t>3</w:t>
            </w:r>
          </w:p>
        </w:tc>
        <w:tc>
          <w:tcPr>
            <w:tcW w:w="807" w:type="pct"/>
            <w:tcBorders>
              <w:top w:val="single" w:sz="4" w:space="0" w:color="auto"/>
              <w:left w:val="nil"/>
              <w:bottom w:val="single" w:sz="4" w:space="0" w:color="auto"/>
              <w:right w:val="nil"/>
            </w:tcBorders>
            <w:shd w:val="clear" w:color="auto" w:fill="8DB3E2"/>
            <w:vAlign w:val="center"/>
            <w:hideMark/>
          </w:tcPr>
          <w:p w14:paraId="6839054C" w14:textId="77777777" w:rsidR="0095496A" w:rsidRDefault="00614DC4" w:rsidP="00D13429">
            <w:pPr>
              <w:pStyle w:val="cuadroCabe"/>
              <w:jc w:val="right"/>
              <w:rPr>
                <w:sz w:val="16"/>
                <w:szCs w:val="16"/>
              </w:rPr>
            </w:pPr>
            <w:r w:rsidRPr="0095496A">
              <w:rPr>
                <w:sz w:val="16"/>
                <w:szCs w:val="16"/>
              </w:rPr>
              <w:t xml:space="preserve">Total </w:t>
            </w:r>
          </w:p>
          <w:p w14:paraId="6E8D2599" w14:textId="77777777" w:rsidR="00614DC4" w:rsidRPr="0095496A" w:rsidRDefault="00614DC4" w:rsidP="00D13429">
            <w:pPr>
              <w:pStyle w:val="cuadroCabe"/>
              <w:jc w:val="right"/>
              <w:rPr>
                <w:sz w:val="16"/>
                <w:szCs w:val="16"/>
              </w:rPr>
            </w:pPr>
            <w:proofErr w:type="spellStart"/>
            <w:r w:rsidRPr="0095496A">
              <w:rPr>
                <w:sz w:val="16"/>
                <w:szCs w:val="16"/>
              </w:rPr>
              <w:t>endeudam</w:t>
            </w:r>
            <w:proofErr w:type="spellEnd"/>
            <w:r w:rsidRPr="0095496A">
              <w:rPr>
                <w:sz w:val="16"/>
                <w:szCs w:val="16"/>
              </w:rPr>
              <w:t>. 31/12/202</w:t>
            </w:r>
            <w:r w:rsidR="0069768F" w:rsidRPr="0095496A">
              <w:rPr>
                <w:sz w:val="16"/>
                <w:szCs w:val="16"/>
              </w:rPr>
              <w:t>3</w:t>
            </w:r>
          </w:p>
        </w:tc>
        <w:tc>
          <w:tcPr>
            <w:tcW w:w="726" w:type="pct"/>
            <w:tcBorders>
              <w:top w:val="single" w:sz="4" w:space="0" w:color="auto"/>
              <w:left w:val="nil"/>
              <w:bottom w:val="single" w:sz="4" w:space="0" w:color="auto"/>
              <w:right w:val="nil"/>
            </w:tcBorders>
            <w:shd w:val="clear" w:color="auto" w:fill="8DB3E2"/>
            <w:vAlign w:val="center"/>
            <w:hideMark/>
          </w:tcPr>
          <w:p w14:paraId="37E85B7D" w14:textId="77777777" w:rsidR="0095496A" w:rsidRPr="0095496A" w:rsidRDefault="00614DC4" w:rsidP="0095496A">
            <w:pPr>
              <w:pStyle w:val="cuadroCabe"/>
              <w:jc w:val="right"/>
              <w:rPr>
                <w:sz w:val="16"/>
                <w:szCs w:val="16"/>
              </w:rPr>
            </w:pPr>
            <w:r w:rsidRPr="0095496A">
              <w:rPr>
                <w:sz w:val="16"/>
                <w:szCs w:val="16"/>
              </w:rPr>
              <w:t xml:space="preserve">Tipo </w:t>
            </w:r>
          </w:p>
          <w:p w14:paraId="680A9C74" w14:textId="77777777" w:rsidR="00BA5D19" w:rsidRPr="0095496A" w:rsidRDefault="00614DC4" w:rsidP="0095496A">
            <w:pPr>
              <w:pStyle w:val="cuadroCabe"/>
              <w:jc w:val="right"/>
              <w:rPr>
                <w:sz w:val="16"/>
                <w:szCs w:val="16"/>
              </w:rPr>
            </w:pPr>
            <w:r w:rsidRPr="0095496A">
              <w:rPr>
                <w:sz w:val="16"/>
                <w:szCs w:val="16"/>
              </w:rPr>
              <w:t>interés</w:t>
            </w:r>
          </w:p>
          <w:p w14:paraId="7A210A5E" w14:textId="77777777" w:rsidR="00614DC4" w:rsidRPr="0095496A" w:rsidRDefault="00614DC4" w:rsidP="0095496A">
            <w:pPr>
              <w:pStyle w:val="cuadroCabe"/>
              <w:jc w:val="right"/>
              <w:rPr>
                <w:sz w:val="16"/>
                <w:szCs w:val="16"/>
              </w:rPr>
            </w:pPr>
            <w:r w:rsidRPr="0095496A">
              <w:rPr>
                <w:sz w:val="16"/>
                <w:szCs w:val="16"/>
              </w:rPr>
              <w:t>medio</w:t>
            </w:r>
          </w:p>
        </w:tc>
      </w:tr>
      <w:tr w:rsidR="003B66E5" w:rsidRPr="003B66E5" w14:paraId="143AF89C" w14:textId="77777777" w:rsidTr="0095496A">
        <w:trPr>
          <w:trHeight w:val="198"/>
        </w:trPr>
        <w:tc>
          <w:tcPr>
            <w:tcW w:w="1632" w:type="pct"/>
            <w:tcBorders>
              <w:top w:val="single" w:sz="4" w:space="0" w:color="auto"/>
              <w:left w:val="nil"/>
              <w:bottom w:val="single" w:sz="2" w:space="0" w:color="auto"/>
              <w:right w:val="nil"/>
            </w:tcBorders>
            <w:vAlign w:val="center"/>
            <w:hideMark/>
          </w:tcPr>
          <w:p w14:paraId="3873DBD7" w14:textId="77777777" w:rsidR="003B66E5" w:rsidRPr="003B66E5" w:rsidRDefault="003B66E5" w:rsidP="003B66E5">
            <w:pPr>
              <w:pStyle w:val="cuatexto"/>
            </w:pPr>
            <w:r w:rsidRPr="003B66E5">
              <w:t>Deuda Pública de Navarra</w:t>
            </w:r>
          </w:p>
        </w:tc>
        <w:tc>
          <w:tcPr>
            <w:tcW w:w="1030" w:type="pct"/>
            <w:tcBorders>
              <w:top w:val="single" w:sz="4" w:space="0" w:color="auto"/>
              <w:left w:val="nil"/>
              <w:bottom w:val="single" w:sz="2" w:space="0" w:color="auto"/>
              <w:right w:val="nil"/>
            </w:tcBorders>
            <w:vAlign w:val="center"/>
            <w:hideMark/>
          </w:tcPr>
          <w:p w14:paraId="4FC58871" w14:textId="77777777" w:rsidR="003B66E5" w:rsidRPr="003B66E5" w:rsidRDefault="003B66E5" w:rsidP="003B66E5">
            <w:pPr>
              <w:pStyle w:val="cuatexto"/>
              <w:jc w:val="right"/>
              <w:rPr>
                <w:rFonts w:cs="Calibri"/>
              </w:rPr>
            </w:pPr>
            <w:r w:rsidRPr="003B66E5">
              <w:rPr>
                <w:rFonts w:cs="Calibri"/>
              </w:rPr>
              <w:t>-</w:t>
            </w:r>
          </w:p>
        </w:tc>
        <w:tc>
          <w:tcPr>
            <w:tcW w:w="805" w:type="pct"/>
            <w:tcBorders>
              <w:top w:val="single" w:sz="4" w:space="0" w:color="auto"/>
              <w:left w:val="nil"/>
              <w:bottom w:val="single" w:sz="2" w:space="0" w:color="auto"/>
              <w:right w:val="nil"/>
            </w:tcBorders>
            <w:vAlign w:val="center"/>
          </w:tcPr>
          <w:p w14:paraId="68103FE0" w14:textId="77777777" w:rsidR="003B66E5" w:rsidRPr="003B66E5" w:rsidRDefault="003B66E5" w:rsidP="003B66E5">
            <w:pPr>
              <w:pStyle w:val="cuatexto"/>
              <w:jc w:val="right"/>
              <w:rPr>
                <w:rFonts w:cs="Calibri"/>
              </w:rPr>
            </w:pPr>
            <w:r w:rsidRPr="003B66E5">
              <w:rPr>
                <w:rFonts w:cs="Calibri"/>
              </w:rPr>
              <w:t>-</w:t>
            </w:r>
          </w:p>
        </w:tc>
        <w:tc>
          <w:tcPr>
            <w:tcW w:w="807" w:type="pct"/>
            <w:tcBorders>
              <w:top w:val="single" w:sz="4" w:space="0" w:color="auto"/>
              <w:left w:val="nil"/>
              <w:bottom w:val="single" w:sz="2" w:space="0" w:color="auto"/>
              <w:right w:val="nil"/>
            </w:tcBorders>
            <w:vAlign w:val="center"/>
          </w:tcPr>
          <w:p w14:paraId="526F52A2" w14:textId="77777777" w:rsidR="003B66E5" w:rsidRPr="003B66E5" w:rsidRDefault="003B66E5" w:rsidP="003B66E5">
            <w:pPr>
              <w:pStyle w:val="cuatexto"/>
              <w:jc w:val="right"/>
              <w:rPr>
                <w:rFonts w:cs="Calibri"/>
              </w:rPr>
            </w:pPr>
            <w:r w:rsidRPr="003B66E5">
              <w:rPr>
                <w:rFonts w:cs="Calibri"/>
              </w:rPr>
              <w:t>1.060.518</w:t>
            </w:r>
          </w:p>
        </w:tc>
        <w:tc>
          <w:tcPr>
            <w:tcW w:w="726" w:type="pct"/>
            <w:tcBorders>
              <w:top w:val="single" w:sz="4" w:space="0" w:color="auto"/>
              <w:left w:val="nil"/>
              <w:bottom w:val="single" w:sz="2" w:space="0" w:color="auto"/>
              <w:right w:val="nil"/>
            </w:tcBorders>
            <w:vAlign w:val="center"/>
          </w:tcPr>
          <w:p w14:paraId="13C1FE06" w14:textId="77777777" w:rsidR="003B66E5" w:rsidRPr="003B66E5" w:rsidRDefault="003B66E5" w:rsidP="003B66E5">
            <w:pPr>
              <w:pStyle w:val="cuatexto"/>
              <w:jc w:val="right"/>
              <w:rPr>
                <w:rFonts w:cs="Calibri"/>
              </w:rPr>
            </w:pPr>
            <w:r w:rsidRPr="003B66E5">
              <w:rPr>
                <w:rFonts w:cs="Calibri"/>
              </w:rPr>
              <w:t>1,74</w:t>
            </w:r>
          </w:p>
        </w:tc>
      </w:tr>
      <w:tr w:rsidR="003B66E5" w:rsidRPr="003B66E5" w14:paraId="2791532A" w14:textId="77777777" w:rsidTr="0095496A">
        <w:trPr>
          <w:trHeight w:val="198"/>
        </w:trPr>
        <w:tc>
          <w:tcPr>
            <w:tcW w:w="1632" w:type="pct"/>
            <w:tcBorders>
              <w:top w:val="single" w:sz="2" w:space="0" w:color="auto"/>
              <w:left w:val="nil"/>
              <w:bottom w:val="single" w:sz="2" w:space="0" w:color="auto"/>
              <w:right w:val="nil"/>
            </w:tcBorders>
            <w:vAlign w:val="center"/>
            <w:hideMark/>
          </w:tcPr>
          <w:p w14:paraId="356036A3" w14:textId="77777777" w:rsidR="003B66E5" w:rsidRPr="003B66E5" w:rsidRDefault="003B66E5" w:rsidP="003B66E5">
            <w:pPr>
              <w:pStyle w:val="cuatexto"/>
            </w:pPr>
            <w:r w:rsidRPr="003B66E5">
              <w:t>Préstamos entidades financieras</w:t>
            </w:r>
          </w:p>
        </w:tc>
        <w:tc>
          <w:tcPr>
            <w:tcW w:w="1030" w:type="pct"/>
            <w:tcBorders>
              <w:top w:val="single" w:sz="2" w:space="0" w:color="auto"/>
              <w:left w:val="nil"/>
              <w:bottom w:val="single" w:sz="2" w:space="0" w:color="auto"/>
              <w:right w:val="nil"/>
            </w:tcBorders>
            <w:vAlign w:val="center"/>
            <w:hideMark/>
          </w:tcPr>
          <w:p w14:paraId="471CED5F" w14:textId="77777777" w:rsidR="003B66E5" w:rsidRPr="003B66E5" w:rsidRDefault="003B66E5" w:rsidP="003B66E5">
            <w:pPr>
              <w:pStyle w:val="cuatexto"/>
              <w:jc w:val="right"/>
              <w:rPr>
                <w:rFonts w:cs="Calibri"/>
              </w:rPr>
            </w:pPr>
            <w:r w:rsidRPr="003B66E5">
              <w:rPr>
                <w:rFonts w:cs="Calibri"/>
              </w:rPr>
              <w:t>50.000</w:t>
            </w:r>
          </w:p>
        </w:tc>
        <w:tc>
          <w:tcPr>
            <w:tcW w:w="805" w:type="pct"/>
            <w:tcBorders>
              <w:top w:val="single" w:sz="2" w:space="0" w:color="auto"/>
              <w:left w:val="nil"/>
              <w:bottom w:val="single" w:sz="2" w:space="0" w:color="auto"/>
              <w:right w:val="nil"/>
            </w:tcBorders>
            <w:vAlign w:val="center"/>
          </w:tcPr>
          <w:p w14:paraId="3BCB2D67" w14:textId="77777777" w:rsidR="003B66E5" w:rsidRPr="003B66E5" w:rsidRDefault="003B66E5" w:rsidP="003B66E5">
            <w:pPr>
              <w:pStyle w:val="cuatexto"/>
              <w:jc w:val="right"/>
              <w:rPr>
                <w:rFonts w:cs="Calibri"/>
              </w:rPr>
            </w:pPr>
            <w:r w:rsidRPr="003B66E5">
              <w:rPr>
                <w:rFonts w:cs="Calibri"/>
              </w:rPr>
              <w:t>3,07</w:t>
            </w:r>
          </w:p>
        </w:tc>
        <w:tc>
          <w:tcPr>
            <w:tcW w:w="807" w:type="pct"/>
            <w:tcBorders>
              <w:top w:val="single" w:sz="2" w:space="0" w:color="auto"/>
              <w:left w:val="nil"/>
              <w:bottom w:val="single" w:sz="2" w:space="0" w:color="auto"/>
              <w:right w:val="nil"/>
            </w:tcBorders>
            <w:vAlign w:val="center"/>
          </w:tcPr>
          <w:p w14:paraId="7C99A4BA" w14:textId="77777777" w:rsidR="003B66E5" w:rsidRPr="003B66E5" w:rsidRDefault="003B66E5" w:rsidP="003B66E5">
            <w:pPr>
              <w:pStyle w:val="cuatexto"/>
              <w:jc w:val="right"/>
              <w:rPr>
                <w:rFonts w:cs="Calibri"/>
              </w:rPr>
            </w:pPr>
            <w:r w:rsidRPr="003B66E5">
              <w:rPr>
                <w:rFonts w:cs="Calibri"/>
              </w:rPr>
              <w:t>1.251.500</w:t>
            </w:r>
          </w:p>
        </w:tc>
        <w:tc>
          <w:tcPr>
            <w:tcW w:w="726" w:type="pct"/>
            <w:tcBorders>
              <w:top w:val="single" w:sz="2" w:space="0" w:color="auto"/>
              <w:left w:val="nil"/>
              <w:bottom w:val="single" w:sz="2" w:space="0" w:color="auto"/>
              <w:right w:val="nil"/>
            </w:tcBorders>
            <w:vAlign w:val="center"/>
          </w:tcPr>
          <w:p w14:paraId="2D516B62" w14:textId="77777777" w:rsidR="003B66E5" w:rsidRPr="003B66E5" w:rsidRDefault="003B66E5" w:rsidP="003B66E5">
            <w:pPr>
              <w:pStyle w:val="cuatexto"/>
              <w:jc w:val="right"/>
              <w:rPr>
                <w:rFonts w:cs="Calibri"/>
              </w:rPr>
            </w:pPr>
            <w:r w:rsidRPr="003B66E5">
              <w:rPr>
                <w:rFonts w:cs="Calibri"/>
              </w:rPr>
              <w:t>1,29</w:t>
            </w:r>
          </w:p>
        </w:tc>
      </w:tr>
      <w:tr w:rsidR="003B66E5" w:rsidRPr="003B66E5" w14:paraId="7194BF5C" w14:textId="77777777" w:rsidTr="0095496A">
        <w:trPr>
          <w:trHeight w:val="198"/>
        </w:trPr>
        <w:tc>
          <w:tcPr>
            <w:tcW w:w="1632" w:type="pct"/>
            <w:tcBorders>
              <w:top w:val="single" w:sz="2" w:space="0" w:color="auto"/>
              <w:left w:val="nil"/>
              <w:bottom w:val="single" w:sz="2" w:space="0" w:color="auto"/>
              <w:right w:val="nil"/>
            </w:tcBorders>
            <w:vAlign w:val="center"/>
            <w:hideMark/>
          </w:tcPr>
          <w:p w14:paraId="0D302D74" w14:textId="77777777" w:rsidR="003B66E5" w:rsidRPr="003B66E5" w:rsidRDefault="003B66E5" w:rsidP="003B66E5">
            <w:pPr>
              <w:pStyle w:val="cuatexto"/>
            </w:pPr>
            <w:r>
              <w:t>Préstamos Banco Europeo Inv.</w:t>
            </w:r>
          </w:p>
        </w:tc>
        <w:tc>
          <w:tcPr>
            <w:tcW w:w="1030" w:type="pct"/>
            <w:tcBorders>
              <w:top w:val="single" w:sz="2" w:space="0" w:color="auto"/>
              <w:left w:val="nil"/>
              <w:bottom w:val="single" w:sz="2" w:space="0" w:color="auto"/>
              <w:right w:val="nil"/>
            </w:tcBorders>
            <w:vAlign w:val="center"/>
            <w:hideMark/>
          </w:tcPr>
          <w:p w14:paraId="0C4C81A7" w14:textId="77777777" w:rsidR="003B66E5" w:rsidRPr="003B66E5" w:rsidRDefault="003B66E5" w:rsidP="003B66E5">
            <w:pPr>
              <w:pStyle w:val="cuatexto"/>
              <w:jc w:val="right"/>
              <w:rPr>
                <w:rFonts w:cs="Calibri"/>
              </w:rPr>
            </w:pPr>
            <w:r w:rsidRPr="003B66E5">
              <w:rPr>
                <w:rFonts w:cs="Calibri"/>
              </w:rPr>
              <w:t>- </w:t>
            </w:r>
          </w:p>
        </w:tc>
        <w:tc>
          <w:tcPr>
            <w:tcW w:w="805" w:type="pct"/>
            <w:tcBorders>
              <w:top w:val="single" w:sz="2" w:space="0" w:color="auto"/>
              <w:left w:val="nil"/>
              <w:bottom w:val="single" w:sz="2" w:space="0" w:color="auto"/>
              <w:right w:val="nil"/>
            </w:tcBorders>
            <w:vAlign w:val="center"/>
          </w:tcPr>
          <w:p w14:paraId="6E169438" w14:textId="77777777" w:rsidR="003B66E5" w:rsidRPr="003B66E5" w:rsidRDefault="003B66E5" w:rsidP="003B66E5">
            <w:pPr>
              <w:pStyle w:val="cuatexto"/>
              <w:jc w:val="right"/>
              <w:rPr>
                <w:rFonts w:cs="Calibri"/>
              </w:rPr>
            </w:pPr>
            <w:r w:rsidRPr="003B66E5">
              <w:rPr>
                <w:rFonts w:cs="Calibri"/>
              </w:rPr>
              <w:t>-</w:t>
            </w:r>
          </w:p>
        </w:tc>
        <w:tc>
          <w:tcPr>
            <w:tcW w:w="807" w:type="pct"/>
            <w:tcBorders>
              <w:top w:val="single" w:sz="2" w:space="0" w:color="auto"/>
              <w:left w:val="nil"/>
              <w:bottom w:val="single" w:sz="2" w:space="0" w:color="auto"/>
              <w:right w:val="nil"/>
            </w:tcBorders>
            <w:vAlign w:val="center"/>
          </w:tcPr>
          <w:p w14:paraId="73411D27" w14:textId="77777777" w:rsidR="003B66E5" w:rsidRPr="003B66E5" w:rsidRDefault="003B66E5" w:rsidP="003B66E5">
            <w:pPr>
              <w:pStyle w:val="cuatexto"/>
              <w:jc w:val="right"/>
              <w:rPr>
                <w:rFonts w:cs="Calibri"/>
              </w:rPr>
            </w:pPr>
            <w:r w:rsidRPr="003B66E5">
              <w:rPr>
                <w:rFonts w:cs="Calibri"/>
              </w:rPr>
              <w:t>350.000</w:t>
            </w:r>
          </w:p>
        </w:tc>
        <w:tc>
          <w:tcPr>
            <w:tcW w:w="726" w:type="pct"/>
            <w:tcBorders>
              <w:top w:val="single" w:sz="2" w:space="0" w:color="auto"/>
              <w:left w:val="nil"/>
              <w:bottom w:val="single" w:sz="2" w:space="0" w:color="auto"/>
              <w:right w:val="nil"/>
            </w:tcBorders>
            <w:vAlign w:val="center"/>
          </w:tcPr>
          <w:p w14:paraId="24086844" w14:textId="77777777" w:rsidR="003B66E5" w:rsidRPr="003B66E5" w:rsidRDefault="003B66E5" w:rsidP="003B66E5">
            <w:pPr>
              <w:pStyle w:val="cuatexto"/>
              <w:jc w:val="right"/>
              <w:rPr>
                <w:rFonts w:cs="Calibri"/>
              </w:rPr>
            </w:pPr>
            <w:r w:rsidRPr="003B66E5">
              <w:rPr>
                <w:rFonts w:cs="Calibri"/>
              </w:rPr>
              <w:t>1,23</w:t>
            </w:r>
          </w:p>
        </w:tc>
      </w:tr>
      <w:tr w:rsidR="003B66E5" w:rsidRPr="003B66E5" w14:paraId="50715F38" w14:textId="77777777" w:rsidTr="0095496A">
        <w:trPr>
          <w:trHeight w:val="198"/>
        </w:trPr>
        <w:tc>
          <w:tcPr>
            <w:tcW w:w="1632" w:type="pct"/>
            <w:tcBorders>
              <w:top w:val="single" w:sz="2" w:space="0" w:color="auto"/>
              <w:left w:val="nil"/>
              <w:bottom w:val="single" w:sz="2" w:space="0" w:color="auto"/>
              <w:right w:val="nil"/>
            </w:tcBorders>
            <w:vAlign w:val="center"/>
            <w:hideMark/>
          </w:tcPr>
          <w:p w14:paraId="727E1146" w14:textId="77777777" w:rsidR="003B66E5" w:rsidRPr="003B66E5" w:rsidRDefault="003B66E5" w:rsidP="003B66E5">
            <w:pPr>
              <w:pStyle w:val="cuatexto"/>
            </w:pPr>
            <w:r w:rsidRPr="003B66E5">
              <w:t>Préstamo Seguridad Social</w:t>
            </w:r>
          </w:p>
        </w:tc>
        <w:tc>
          <w:tcPr>
            <w:tcW w:w="1030" w:type="pct"/>
            <w:tcBorders>
              <w:top w:val="single" w:sz="2" w:space="0" w:color="auto"/>
              <w:left w:val="nil"/>
              <w:bottom w:val="single" w:sz="2" w:space="0" w:color="auto"/>
              <w:right w:val="nil"/>
            </w:tcBorders>
            <w:vAlign w:val="center"/>
            <w:hideMark/>
          </w:tcPr>
          <w:p w14:paraId="69699726" w14:textId="77777777" w:rsidR="003B66E5" w:rsidRPr="003B66E5" w:rsidRDefault="003B66E5" w:rsidP="003B66E5">
            <w:pPr>
              <w:pStyle w:val="cuatexto"/>
              <w:jc w:val="right"/>
              <w:rPr>
                <w:rFonts w:cs="Calibri"/>
              </w:rPr>
            </w:pPr>
            <w:r w:rsidRPr="003B66E5">
              <w:rPr>
                <w:rFonts w:cs="Calibri"/>
              </w:rPr>
              <w:t>- </w:t>
            </w:r>
          </w:p>
        </w:tc>
        <w:tc>
          <w:tcPr>
            <w:tcW w:w="805" w:type="pct"/>
            <w:tcBorders>
              <w:top w:val="single" w:sz="2" w:space="0" w:color="auto"/>
              <w:left w:val="nil"/>
              <w:bottom w:val="single" w:sz="2" w:space="0" w:color="auto"/>
              <w:right w:val="nil"/>
            </w:tcBorders>
            <w:vAlign w:val="center"/>
          </w:tcPr>
          <w:p w14:paraId="12D87C3A" w14:textId="77777777" w:rsidR="003B66E5" w:rsidRPr="003B66E5" w:rsidRDefault="003B66E5" w:rsidP="003B66E5">
            <w:pPr>
              <w:pStyle w:val="cuatexto"/>
              <w:jc w:val="right"/>
              <w:rPr>
                <w:rFonts w:cs="Calibri"/>
              </w:rPr>
            </w:pPr>
            <w:r w:rsidRPr="003B66E5">
              <w:rPr>
                <w:rFonts w:cs="Calibri"/>
              </w:rPr>
              <w:t>-</w:t>
            </w:r>
          </w:p>
        </w:tc>
        <w:tc>
          <w:tcPr>
            <w:tcW w:w="807" w:type="pct"/>
            <w:tcBorders>
              <w:top w:val="single" w:sz="2" w:space="0" w:color="auto"/>
              <w:left w:val="nil"/>
              <w:bottom w:val="single" w:sz="2" w:space="0" w:color="auto"/>
              <w:right w:val="nil"/>
            </w:tcBorders>
            <w:vAlign w:val="center"/>
          </w:tcPr>
          <w:p w14:paraId="1622745F" w14:textId="77777777" w:rsidR="003B66E5" w:rsidRPr="003B66E5" w:rsidRDefault="003B66E5" w:rsidP="003B66E5">
            <w:pPr>
              <w:pStyle w:val="cuatexto"/>
              <w:jc w:val="right"/>
              <w:rPr>
                <w:rFonts w:cs="Calibri"/>
              </w:rPr>
            </w:pPr>
            <w:r w:rsidRPr="003B66E5">
              <w:rPr>
                <w:rFonts w:cs="Calibri"/>
              </w:rPr>
              <w:t>9.160</w:t>
            </w:r>
          </w:p>
        </w:tc>
        <w:tc>
          <w:tcPr>
            <w:tcW w:w="726" w:type="pct"/>
            <w:tcBorders>
              <w:top w:val="single" w:sz="2" w:space="0" w:color="auto"/>
              <w:left w:val="nil"/>
              <w:bottom w:val="single" w:sz="2" w:space="0" w:color="auto"/>
              <w:right w:val="nil"/>
            </w:tcBorders>
            <w:vAlign w:val="center"/>
          </w:tcPr>
          <w:p w14:paraId="42D715F0" w14:textId="77777777" w:rsidR="003B66E5" w:rsidRPr="003B66E5" w:rsidRDefault="003B66E5" w:rsidP="003B66E5">
            <w:pPr>
              <w:pStyle w:val="cuatexto"/>
              <w:jc w:val="right"/>
              <w:rPr>
                <w:rFonts w:cs="Calibri"/>
              </w:rPr>
            </w:pPr>
            <w:r w:rsidRPr="003B66E5">
              <w:rPr>
                <w:rFonts w:cs="Calibri"/>
              </w:rPr>
              <w:t>-</w:t>
            </w:r>
          </w:p>
        </w:tc>
      </w:tr>
      <w:tr w:rsidR="003B66E5" w:rsidRPr="003B66E5" w14:paraId="57D77429" w14:textId="77777777" w:rsidTr="0095496A">
        <w:trPr>
          <w:trHeight w:val="198"/>
        </w:trPr>
        <w:tc>
          <w:tcPr>
            <w:tcW w:w="1632" w:type="pct"/>
            <w:tcBorders>
              <w:top w:val="single" w:sz="2" w:space="0" w:color="auto"/>
              <w:left w:val="nil"/>
              <w:bottom w:val="single" w:sz="4" w:space="0" w:color="auto"/>
              <w:right w:val="nil"/>
            </w:tcBorders>
            <w:vAlign w:val="center"/>
            <w:hideMark/>
          </w:tcPr>
          <w:p w14:paraId="285EC8AD" w14:textId="77777777" w:rsidR="003B66E5" w:rsidRPr="003B66E5" w:rsidRDefault="003B66E5" w:rsidP="003B66E5">
            <w:pPr>
              <w:pStyle w:val="cuatexto"/>
            </w:pPr>
            <w:r w:rsidRPr="003B66E5">
              <w:t>Préstamos otro Sector Público</w:t>
            </w:r>
          </w:p>
        </w:tc>
        <w:tc>
          <w:tcPr>
            <w:tcW w:w="1030" w:type="pct"/>
            <w:tcBorders>
              <w:top w:val="single" w:sz="2" w:space="0" w:color="auto"/>
              <w:left w:val="nil"/>
              <w:bottom w:val="single" w:sz="4" w:space="0" w:color="auto"/>
              <w:right w:val="nil"/>
            </w:tcBorders>
            <w:vAlign w:val="center"/>
            <w:hideMark/>
          </w:tcPr>
          <w:p w14:paraId="57456CD0" w14:textId="77777777" w:rsidR="003B66E5" w:rsidRPr="003B66E5" w:rsidRDefault="003B66E5" w:rsidP="003B66E5">
            <w:pPr>
              <w:pStyle w:val="cuatexto"/>
              <w:jc w:val="right"/>
              <w:rPr>
                <w:rFonts w:cs="Calibri"/>
              </w:rPr>
            </w:pPr>
            <w:r w:rsidRPr="003B66E5">
              <w:rPr>
                <w:rFonts w:cs="Calibri"/>
              </w:rPr>
              <w:t>- </w:t>
            </w:r>
          </w:p>
        </w:tc>
        <w:tc>
          <w:tcPr>
            <w:tcW w:w="805" w:type="pct"/>
            <w:tcBorders>
              <w:top w:val="single" w:sz="2" w:space="0" w:color="auto"/>
              <w:left w:val="nil"/>
              <w:bottom w:val="single" w:sz="4" w:space="0" w:color="auto"/>
              <w:right w:val="nil"/>
            </w:tcBorders>
            <w:vAlign w:val="center"/>
          </w:tcPr>
          <w:p w14:paraId="1D6C4AD8" w14:textId="77777777" w:rsidR="003B66E5" w:rsidRPr="003B66E5" w:rsidRDefault="003B66E5" w:rsidP="003B66E5">
            <w:pPr>
              <w:pStyle w:val="cuatexto"/>
              <w:jc w:val="right"/>
              <w:rPr>
                <w:rFonts w:cs="Calibri"/>
              </w:rPr>
            </w:pPr>
            <w:r w:rsidRPr="003B66E5">
              <w:rPr>
                <w:rFonts w:cs="Calibri"/>
              </w:rPr>
              <w:t>-</w:t>
            </w:r>
          </w:p>
        </w:tc>
        <w:tc>
          <w:tcPr>
            <w:tcW w:w="807" w:type="pct"/>
            <w:tcBorders>
              <w:top w:val="single" w:sz="2" w:space="0" w:color="auto"/>
              <w:left w:val="nil"/>
              <w:bottom w:val="single" w:sz="4" w:space="0" w:color="auto"/>
              <w:right w:val="nil"/>
            </w:tcBorders>
            <w:vAlign w:val="center"/>
          </w:tcPr>
          <w:p w14:paraId="5E800DCB" w14:textId="77777777" w:rsidR="003B66E5" w:rsidRPr="003B66E5" w:rsidRDefault="003B66E5" w:rsidP="003B66E5">
            <w:pPr>
              <w:pStyle w:val="cuatexto"/>
              <w:jc w:val="right"/>
              <w:rPr>
                <w:rFonts w:cs="Calibri"/>
              </w:rPr>
            </w:pPr>
            <w:r w:rsidRPr="003B66E5">
              <w:rPr>
                <w:rFonts w:cs="Calibri"/>
              </w:rPr>
              <w:t>408</w:t>
            </w:r>
          </w:p>
        </w:tc>
        <w:tc>
          <w:tcPr>
            <w:tcW w:w="726" w:type="pct"/>
            <w:tcBorders>
              <w:top w:val="single" w:sz="2" w:space="0" w:color="auto"/>
              <w:left w:val="nil"/>
              <w:bottom w:val="single" w:sz="4" w:space="0" w:color="auto"/>
              <w:right w:val="nil"/>
            </w:tcBorders>
            <w:vAlign w:val="center"/>
          </w:tcPr>
          <w:p w14:paraId="719E0FF7" w14:textId="77777777" w:rsidR="003B66E5" w:rsidRPr="003B66E5" w:rsidRDefault="003B66E5" w:rsidP="003B66E5">
            <w:pPr>
              <w:pStyle w:val="cuatexto"/>
              <w:jc w:val="right"/>
              <w:rPr>
                <w:rFonts w:cs="Calibri"/>
              </w:rPr>
            </w:pPr>
            <w:r w:rsidRPr="003B66E5">
              <w:rPr>
                <w:rFonts w:cs="Calibri"/>
              </w:rPr>
              <w:t>0,82</w:t>
            </w:r>
          </w:p>
        </w:tc>
      </w:tr>
      <w:tr w:rsidR="003B66E5" w:rsidRPr="003B66E5" w14:paraId="5C15F5D4" w14:textId="77777777" w:rsidTr="0095496A">
        <w:trPr>
          <w:trHeight w:val="255"/>
        </w:trPr>
        <w:tc>
          <w:tcPr>
            <w:tcW w:w="1632" w:type="pct"/>
            <w:tcBorders>
              <w:top w:val="single" w:sz="4" w:space="0" w:color="auto"/>
              <w:left w:val="nil"/>
              <w:bottom w:val="single" w:sz="4" w:space="0" w:color="auto"/>
              <w:right w:val="nil"/>
            </w:tcBorders>
            <w:shd w:val="clear" w:color="auto" w:fill="8DB3E2"/>
            <w:vAlign w:val="center"/>
            <w:hideMark/>
          </w:tcPr>
          <w:p w14:paraId="7F90256D" w14:textId="77777777" w:rsidR="003B66E5" w:rsidRPr="003B66E5" w:rsidRDefault="003B66E5" w:rsidP="003B66E5">
            <w:pPr>
              <w:pStyle w:val="cuadroCabe"/>
              <w:rPr>
                <w:szCs w:val="16"/>
              </w:rPr>
            </w:pPr>
            <w:r w:rsidRPr="003B66E5">
              <w:t>Total endeudamiento</w:t>
            </w:r>
          </w:p>
        </w:tc>
        <w:tc>
          <w:tcPr>
            <w:tcW w:w="1030" w:type="pct"/>
            <w:tcBorders>
              <w:top w:val="single" w:sz="4" w:space="0" w:color="auto"/>
              <w:left w:val="nil"/>
              <w:bottom w:val="single" w:sz="4" w:space="0" w:color="auto"/>
              <w:right w:val="nil"/>
            </w:tcBorders>
            <w:shd w:val="clear" w:color="auto" w:fill="8DB3E2"/>
            <w:vAlign w:val="center"/>
            <w:hideMark/>
          </w:tcPr>
          <w:p w14:paraId="57F8D350" w14:textId="77777777" w:rsidR="003B66E5" w:rsidRPr="003B66E5" w:rsidRDefault="003B66E5" w:rsidP="003B66E5">
            <w:pPr>
              <w:pStyle w:val="cuadroCabe"/>
              <w:jc w:val="right"/>
              <w:rPr>
                <w:szCs w:val="18"/>
              </w:rPr>
            </w:pPr>
            <w:r w:rsidRPr="003B66E5">
              <w:rPr>
                <w:szCs w:val="18"/>
              </w:rPr>
              <w:t>50.000</w:t>
            </w:r>
          </w:p>
        </w:tc>
        <w:tc>
          <w:tcPr>
            <w:tcW w:w="805" w:type="pct"/>
            <w:tcBorders>
              <w:top w:val="single" w:sz="4" w:space="0" w:color="auto"/>
              <w:left w:val="nil"/>
              <w:bottom w:val="single" w:sz="4" w:space="0" w:color="auto"/>
              <w:right w:val="nil"/>
            </w:tcBorders>
            <w:shd w:val="clear" w:color="auto" w:fill="8DB3E2"/>
            <w:vAlign w:val="center"/>
          </w:tcPr>
          <w:p w14:paraId="7FCF82B2" w14:textId="77777777" w:rsidR="003B66E5" w:rsidRPr="003B66E5" w:rsidRDefault="003B66E5" w:rsidP="003B66E5">
            <w:pPr>
              <w:pStyle w:val="cuadroCabe"/>
              <w:jc w:val="right"/>
              <w:rPr>
                <w:szCs w:val="18"/>
              </w:rPr>
            </w:pPr>
            <w:r w:rsidRPr="003B66E5">
              <w:rPr>
                <w:szCs w:val="18"/>
              </w:rPr>
              <w:t>3,07</w:t>
            </w:r>
          </w:p>
        </w:tc>
        <w:tc>
          <w:tcPr>
            <w:tcW w:w="807" w:type="pct"/>
            <w:tcBorders>
              <w:top w:val="single" w:sz="4" w:space="0" w:color="auto"/>
              <w:left w:val="nil"/>
              <w:bottom w:val="single" w:sz="4" w:space="0" w:color="auto"/>
              <w:right w:val="nil"/>
            </w:tcBorders>
            <w:shd w:val="clear" w:color="auto" w:fill="8DB3E2"/>
            <w:vAlign w:val="center"/>
          </w:tcPr>
          <w:p w14:paraId="56D5D050" w14:textId="77777777" w:rsidR="003B66E5" w:rsidRPr="003B66E5" w:rsidRDefault="003B66E5" w:rsidP="003B66E5">
            <w:pPr>
              <w:pStyle w:val="cuadroCabe"/>
              <w:jc w:val="right"/>
              <w:rPr>
                <w:szCs w:val="18"/>
              </w:rPr>
            </w:pPr>
            <w:r w:rsidRPr="003B66E5">
              <w:rPr>
                <w:szCs w:val="18"/>
              </w:rPr>
              <w:t>2.671.586</w:t>
            </w:r>
          </w:p>
        </w:tc>
        <w:tc>
          <w:tcPr>
            <w:tcW w:w="726" w:type="pct"/>
            <w:tcBorders>
              <w:top w:val="single" w:sz="4" w:space="0" w:color="auto"/>
              <w:left w:val="nil"/>
              <w:bottom w:val="single" w:sz="4" w:space="0" w:color="auto"/>
              <w:right w:val="nil"/>
            </w:tcBorders>
            <w:shd w:val="clear" w:color="auto" w:fill="8DB3E2"/>
            <w:vAlign w:val="center"/>
          </w:tcPr>
          <w:p w14:paraId="63A56B65" w14:textId="77777777" w:rsidR="003B66E5" w:rsidRPr="003B66E5" w:rsidRDefault="003B66E5" w:rsidP="003B66E5">
            <w:pPr>
              <w:pStyle w:val="cuadroCabe"/>
              <w:jc w:val="right"/>
              <w:rPr>
                <w:szCs w:val="18"/>
              </w:rPr>
            </w:pPr>
            <w:r w:rsidRPr="003B66E5">
              <w:rPr>
                <w:szCs w:val="18"/>
              </w:rPr>
              <w:t>1,46</w:t>
            </w:r>
          </w:p>
        </w:tc>
      </w:tr>
    </w:tbl>
    <w:p w14:paraId="5184B4AF" w14:textId="77777777" w:rsidR="003B66E5" w:rsidRPr="00DA5722" w:rsidRDefault="003B66E5" w:rsidP="003B66E5">
      <w:pPr>
        <w:pStyle w:val="texto"/>
        <w:spacing w:before="240" w:after="120"/>
        <w:jc w:val="both"/>
      </w:pPr>
      <w:r w:rsidRPr="00DA5722">
        <w:t xml:space="preserve">El tipo de interés medio global de la deuda en 2023, que es de un 1,46 por ciento, ha aumentado una décima respecto al 1,36 por ciento del ejercicio anterior. </w:t>
      </w:r>
    </w:p>
    <w:p w14:paraId="6B148247" w14:textId="77777777" w:rsidR="00834039" w:rsidRPr="002C33F0" w:rsidRDefault="00614DC4" w:rsidP="00A963CA">
      <w:pPr>
        <w:pStyle w:val="texto"/>
        <w:numPr>
          <w:ilvl w:val="0"/>
          <w:numId w:val="6"/>
        </w:numPr>
        <w:tabs>
          <w:tab w:val="clear" w:pos="360"/>
          <w:tab w:val="num" w:pos="300"/>
          <w:tab w:val="left" w:pos="480"/>
          <w:tab w:val="num" w:pos="600"/>
        </w:tabs>
        <w:ind w:firstLine="289"/>
        <w:jc w:val="both"/>
        <w:rPr>
          <w:rFonts w:cs="Arial"/>
          <w:i/>
        </w:rPr>
      </w:pPr>
      <w:r w:rsidRPr="002C33F0">
        <w:rPr>
          <w:rFonts w:cs="Arial"/>
        </w:rPr>
        <w:t>La evolución de la carga financiera (capítulos 3 y 9 de presupuesto) derivada del conjunto de la deuda de la ACFN se muestra en el cuadro siguiente junto al porcentaje que representa sobre los ingresos corrientes:</w:t>
      </w:r>
    </w:p>
    <w:p w14:paraId="0CD6BC6E" w14:textId="77777777" w:rsidR="002C33F0" w:rsidRPr="002C33F0" w:rsidRDefault="002C33F0" w:rsidP="002C33F0">
      <w:pPr>
        <w:pStyle w:val="texto"/>
        <w:tabs>
          <w:tab w:val="left" w:pos="480"/>
          <w:tab w:val="num" w:pos="600"/>
        </w:tabs>
        <w:spacing w:before="120"/>
        <w:ind w:left="289" w:firstLine="0"/>
        <w:jc w:val="both"/>
        <w:rPr>
          <w:rFonts w:cs="Arial"/>
          <w:i/>
        </w:rPr>
      </w:pPr>
    </w:p>
    <w:tbl>
      <w:tblPr>
        <w:tblW w:w="5081" w:type="pct"/>
        <w:jc w:val="center"/>
        <w:tblCellMar>
          <w:left w:w="70" w:type="dxa"/>
          <w:right w:w="70" w:type="dxa"/>
        </w:tblCellMar>
        <w:tblLook w:val="04A0" w:firstRow="1" w:lastRow="0" w:firstColumn="1" w:lastColumn="0" w:noHBand="0" w:noVBand="1"/>
      </w:tblPr>
      <w:tblGrid>
        <w:gridCol w:w="3670"/>
        <w:gridCol w:w="678"/>
        <w:gridCol w:w="974"/>
        <w:gridCol w:w="972"/>
        <w:gridCol w:w="831"/>
        <w:gridCol w:w="831"/>
        <w:gridCol w:w="975"/>
      </w:tblGrid>
      <w:tr w:rsidR="004528C1" w:rsidRPr="00603CF1" w14:paraId="03A01CE9" w14:textId="77777777" w:rsidTr="004528C1">
        <w:trPr>
          <w:trHeight w:val="255"/>
          <w:jc w:val="center"/>
        </w:trPr>
        <w:tc>
          <w:tcPr>
            <w:tcW w:w="2065" w:type="pct"/>
            <w:tcBorders>
              <w:top w:val="single" w:sz="4" w:space="0" w:color="auto"/>
              <w:left w:val="nil"/>
              <w:bottom w:val="single" w:sz="4" w:space="0" w:color="auto"/>
              <w:right w:val="nil"/>
            </w:tcBorders>
            <w:shd w:val="clear" w:color="auto" w:fill="8DB3E2"/>
            <w:noWrap/>
            <w:vAlign w:val="center"/>
          </w:tcPr>
          <w:p w14:paraId="25078B53" w14:textId="77777777" w:rsidR="00614DC4" w:rsidRPr="00603CF1" w:rsidRDefault="00614DC4" w:rsidP="00EA72EA">
            <w:pPr>
              <w:pStyle w:val="cuadroCabe"/>
            </w:pPr>
          </w:p>
        </w:tc>
        <w:tc>
          <w:tcPr>
            <w:tcW w:w="316" w:type="pct"/>
            <w:tcBorders>
              <w:top w:val="single" w:sz="4" w:space="0" w:color="auto"/>
              <w:left w:val="nil"/>
              <w:bottom w:val="single" w:sz="4" w:space="0" w:color="auto"/>
              <w:right w:val="nil"/>
            </w:tcBorders>
            <w:shd w:val="clear" w:color="auto" w:fill="8DB3E2"/>
            <w:vAlign w:val="center"/>
            <w:hideMark/>
          </w:tcPr>
          <w:p w14:paraId="2D78ADF2" w14:textId="77777777" w:rsidR="00614DC4" w:rsidRPr="00603CF1" w:rsidRDefault="00614DC4" w:rsidP="004528C1">
            <w:pPr>
              <w:pStyle w:val="cuadroCabe"/>
              <w:jc w:val="right"/>
              <w:rPr>
                <w:szCs w:val="16"/>
              </w:rPr>
            </w:pPr>
            <w:r w:rsidRPr="00603CF1">
              <w:rPr>
                <w:szCs w:val="16"/>
              </w:rPr>
              <w:t>201</w:t>
            </w:r>
            <w:r w:rsidR="001C3B92" w:rsidRPr="00603CF1">
              <w:rPr>
                <w:szCs w:val="16"/>
              </w:rPr>
              <w:t>8</w:t>
            </w:r>
          </w:p>
        </w:tc>
        <w:tc>
          <w:tcPr>
            <w:tcW w:w="556" w:type="pct"/>
            <w:tcBorders>
              <w:top w:val="single" w:sz="4" w:space="0" w:color="auto"/>
              <w:left w:val="nil"/>
              <w:bottom w:val="single" w:sz="4" w:space="0" w:color="auto"/>
              <w:right w:val="nil"/>
            </w:tcBorders>
            <w:shd w:val="clear" w:color="auto" w:fill="8DB3E2"/>
            <w:vAlign w:val="center"/>
            <w:hideMark/>
          </w:tcPr>
          <w:p w14:paraId="09B5D8A3" w14:textId="77777777" w:rsidR="00614DC4" w:rsidRPr="00603CF1" w:rsidRDefault="001C3B92" w:rsidP="004528C1">
            <w:pPr>
              <w:pStyle w:val="cuadroCabe"/>
              <w:jc w:val="right"/>
              <w:rPr>
                <w:szCs w:val="16"/>
              </w:rPr>
            </w:pPr>
            <w:r w:rsidRPr="00603CF1">
              <w:rPr>
                <w:szCs w:val="16"/>
              </w:rPr>
              <w:t>2019</w:t>
            </w:r>
          </w:p>
        </w:tc>
        <w:tc>
          <w:tcPr>
            <w:tcW w:w="555" w:type="pct"/>
            <w:tcBorders>
              <w:top w:val="single" w:sz="4" w:space="0" w:color="auto"/>
              <w:left w:val="nil"/>
              <w:bottom w:val="single" w:sz="4" w:space="0" w:color="auto"/>
              <w:right w:val="nil"/>
            </w:tcBorders>
            <w:shd w:val="clear" w:color="auto" w:fill="8DB3E2" w:themeFill="text2" w:themeFillTint="66"/>
            <w:noWrap/>
            <w:vAlign w:val="center"/>
            <w:hideMark/>
          </w:tcPr>
          <w:p w14:paraId="20448FC7" w14:textId="77777777" w:rsidR="00614DC4" w:rsidRPr="00603CF1" w:rsidRDefault="001C3B92" w:rsidP="004528C1">
            <w:pPr>
              <w:pStyle w:val="cuadroCabe"/>
              <w:jc w:val="right"/>
              <w:rPr>
                <w:szCs w:val="16"/>
              </w:rPr>
            </w:pPr>
            <w:r w:rsidRPr="00603CF1">
              <w:rPr>
                <w:szCs w:val="16"/>
              </w:rPr>
              <w:t>2020</w:t>
            </w:r>
          </w:p>
        </w:tc>
        <w:tc>
          <w:tcPr>
            <w:tcW w:w="476" w:type="pct"/>
            <w:tcBorders>
              <w:top w:val="single" w:sz="4" w:space="0" w:color="auto"/>
              <w:left w:val="nil"/>
              <w:bottom w:val="single" w:sz="4" w:space="0" w:color="auto"/>
              <w:right w:val="nil"/>
            </w:tcBorders>
            <w:shd w:val="clear" w:color="auto" w:fill="8DB3E2" w:themeFill="text2" w:themeFillTint="66"/>
            <w:noWrap/>
            <w:vAlign w:val="center"/>
            <w:hideMark/>
          </w:tcPr>
          <w:p w14:paraId="014C7F5E" w14:textId="77777777" w:rsidR="00614DC4" w:rsidRPr="00603CF1" w:rsidRDefault="001C3B92" w:rsidP="004528C1">
            <w:pPr>
              <w:pStyle w:val="cuadroCabe"/>
              <w:jc w:val="right"/>
              <w:rPr>
                <w:szCs w:val="16"/>
              </w:rPr>
            </w:pPr>
            <w:r w:rsidRPr="00603CF1">
              <w:rPr>
                <w:szCs w:val="16"/>
              </w:rPr>
              <w:t>2021</w:t>
            </w:r>
          </w:p>
        </w:tc>
        <w:tc>
          <w:tcPr>
            <w:tcW w:w="476" w:type="pct"/>
            <w:tcBorders>
              <w:top w:val="single" w:sz="4" w:space="0" w:color="auto"/>
              <w:left w:val="nil"/>
              <w:bottom w:val="single" w:sz="4" w:space="0" w:color="auto"/>
              <w:right w:val="nil"/>
            </w:tcBorders>
            <w:shd w:val="clear" w:color="auto" w:fill="8DB3E2" w:themeFill="text2" w:themeFillTint="66"/>
            <w:vAlign w:val="center"/>
            <w:hideMark/>
          </w:tcPr>
          <w:p w14:paraId="6EBEE3DB" w14:textId="77777777" w:rsidR="00614DC4" w:rsidRPr="00603CF1" w:rsidRDefault="001C3B92" w:rsidP="004528C1">
            <w:pPr>
              <w:pStyle w:val="cuadroCabe"/>
              <w:jc w:val="right"/>
              <w:rPr>
                <w:szCs w:val="16"/>
              </w:rPr>
            </w:pPr>
            <w:r w:rsidRPr="00603CF1">
              <w:rPr>
                <w:szCs w:val="16"/>
              </w:rPr>
              <w:t>2022</w:t>
            </w:r>
          </w:p>
        </w:tc>
        <w:tc>
          <w:tcPr>
            <w:tcW w:w="556" w:type="pct"/>
            <w:tcBorders>
              <w:top w:val="single" w:sz="4" w:space="0" w:color="auto"/>
              <w:left w:val="nil"/>
              <w:bottom w:val="single" w:sz="4" w:space="0" w:color="auto"/>
              <w:right w:val="nil"/>
            </w:tcBorders>
            <w:shd w:val="clear" w:color="auto" w:fill="8DB3E2"/>
            <w:vAlign w:val="center"/>
            <w:hideMark/>
          </w:tcPr>
          <w:p w14:paraId="2C3836EE" w14:textId="77777777" w:rsidR="00614DC4" w:rsidRPr="00603CF1" w:rsidRDefault="001C3B92" w:rsidP="004528C1">
            <w:pPr>
              <w:pStyle w:val="cuadroCabe"/>
              <w:jc w:val="right"/>
              <w:rPr>
                <w:szCs w:val="16"/>
              </w:rPr>
            </w:pPr>
            <w:r w:rsidRPr="00603CF1">
              <w:rPr>
                <w:szCs w:val="16"/>
              </w:rPr>
              <w:t>2023</w:t>
            </w:r>
          </w:p>
        </w:tc>
      </w:tr>
      <w:tr w:rsidR="004528C1" w:rsidRPr="00603CF1" w14:paraId="3BA1FD9C" w14:textId="77777777" w:rsidTr="004528C1">
        <w:trPr>
          <w:trHeight w:val="198"/>
          <w:jc w:val="center"/>
        </w:trPr>
        <w:tc>
          <w:tcPr>
            <w:tcW w:w="2065" w:type="pct"/>
            <w:tcBorders>
              <w:top w:val="single" w:sz="4" w:space="0" w:color="auto"/>
              <w:left w:val="nil"/>
              <w:bottom w:val="single" w:sz="2" w:space="0" w:color="auto"/>
              <w:right w:val="nil"/>
            </w:tcBorders>
            <w:noWrap/>
            <w:vAlign w:val="center"/>
            <w:hideMark/>
          </w:tcPr>
          <w:p w14:paraId="3081BEF5" w14:textId="77777777" w:rsidR="001C3B92" w:rsidRPr="00603CF1" w:rsidRDefault="001C3B92" w:rsidP="001C3B92">
            <w:pPr>
              <w:pStyle w:val="cuatexto"/>
            </w:pPr>
            <w:r w:rsidRPr="00603CF1">
              <w:t>Carga financiera (en millones)</w:t>
            </w:r>
          </w:p>
        </w:tc>
        <w:tc>
          <w:tcPr>
            <w:tcW w:w="316" w:type="pct"/>
            <w:tcBorders>
              <w:top w:val="single" w:sz="4" w:space="0" w:color="auto"/>
              <w:left w:val="nil"/>
              <w:bottom w:val="single" w:sz="2" w:space="0" w:color="auto"/>
              <w:right w:val="nil"/>
            </w:tcBorders>
            <w:vAlign w:val="center"/>
          </w:tcPr>
          <w:p w14:paraId="7C878C33" w14:textId="77777777" w:rsidR="001C3B92" w:rsidRPr="00603CF1" w:rsidRDefault="001C3B92" w:rsidP="004528C1">
            <w:pPr>
              <w:pStyle w:val="cuatexto"/>
              <w:jc w:val="right"/>
              <w:rPr>
                <w:rFonts w:cs="Calibri"/>
              </w:rPr>
            </w:pPr>
            <w:r w:rsidRPr="00603CF1">
              <w:rPr>
                <w:rFonts w:cs="Calibri"/>
              </w:rPr>
              <w:t>469,45</w:t>
            </w:r>
          </w:p>
        </w:tc>
        <w:tc>
          <w:tcPr>
            <w:tcW w:w="556" w:type="pct"/>
            <w:tcBorders>
              <w:top w:val="single" w:sz="4" w:space="0" w:color="auto"/>
              <w:left w:val="nil"/>
              <w:bottom w:val="single" w:sz="2" w:space="0" w:color="auto"/>
              <w:right w:val="nil"/>
            </w:tcBorders>
            <w:vAlign w:val="center"/>
          </w:tcPr>
          <w:p w14:paraId="771A8080" w14:textId="77777777" w:rsidR="001C3B92" w:rsidRPr="00603CF1" w:rsidRDefault="001C3B92" w:rsidP="004528C1">
            <w:pPr>
              <w:pStyle w:val="cuatexto"/>
              <w:jc w:val="right"/>
              <w:rPr>
                <w:rFonts w:cs="Calibri"/>
              </w:rPr>
            </w:pPr>
            <w:r w:rsidRPr="00603CF1">
              <w:rPr>
                <w:rFonts w:cs="Calibri"/>
              </w:rPr>
              <w:t>412,05</w:t>
            </w:r>
          </w:p>
        </w:tc>
        <w:tc>
          <w:tcPr>
            <w:tcW w:w="555" w:type="pct"/>
            <w:tcBorders>
              <w:top w:val="single" w:sz="4" w:space="0" w:color="auto"/>
              <w:left w:val="nil"/>
              <w:bottom w:val="single" w:sz="2" w:space="0" w:color="auto"/>
              <w:right w:val="nil"/>
            </w:tcBorders>
            <w:shd w:val="clear" w:color="auto" w:fill="auto"/>
            <w:noWrap/>
            <w:vAlign w:val="center"/>
          </w:tcPr>
          <w:p w14:paraId="4EC0B7FE" w14:textId="77777777" w:rsidR="001C3B92" w:rsidRPr="00603CF1" w:rsidRDefault="001C3B92" w:rsidP="004528C1">
            <w:pPr>
              <w:pStyle w:val="cuatexto"/>
              <w:jc w:val="right"/>
              <w:rPr>
                <w:rFonts w:cs="Calibri"/>
              </w:rPr>
            </w:pPr>
            <w:r w:rsidRPr="00603CF1">
              <w:rPr>
                <w:rFonts w:cs="Calibri"/>
              </w:rPr>
              <w:t>355,57</w:t>
            </w:r>
          </w:p>
        </w:tc>
        <w:tc>
          <w:tcPr>
            <w:tcW w:w="476" w:type="pct"/>
            <w:tcBorders>
              <w:top w:val="single" w:sz="4" w:space="0" w:color="auto"/>
              <w:left w:val="nil"/>
              <w:bottom w:val="single" w:sz="2" w:space="0" w:color="auto"/>
              <w:right w:val="nil"/>
            </w:tcBorders>
            <w:noWrap/>
            <w:vAlign w:val="center"/>
          </w:tcPr>
          <w:p w14:paraId="525F711A" w14:textId="77777777" w:rsidR="001C3B92" w:rsidRPr="00603CF1" w:rsidRDefault="001C3B92" w:rsidP="004528C1">
            <w:pPr>
              <w:pStyle w:val="cuatexto"/>
              <w:jc w:val="right"/>
              <w:rPr>
                <w:rFonts w:cs="Calibri"/>
              </w:rPr>
            </w:pPr>
            <w:r w:rsidRPr="00603CF1">
              <w:rPr>
                <w:rFonts w:cs="Calibri"/>
              </w:rPr>
              <w:t>681,37</w:t>
            </w:r>
          </w:p>
        </w:tc>
        <w:tc>
          <w:tcPr>
            <w:tcW w:w="476" w:type="pct"/>
            <w:tcBorders>
              <w:top w:val="single" w:sz="4" w:space="0" w:color="auto"/>
              <w:left w:val="nil"/>
              <w:bottom w:val="single" w:sz="2" w:space="0" w:color="auto"/>
              <w:right w:val="nil"/>
            </w:tcBorders>
            <w:vAlign w:val="center"/>
          </w:tcPr>
          <w:p w14:paraId="3282C684" w14:textId="77777777" w:rsidR="001C3B92" w:rsidRPr="00603CF1" w:rsidRDefault="001C3B92" w:rsidP="004528C1">
            <w:pPr>
              <w:pStyle w:val="cuatexto"/>
              <w:jc w:val="right"/>
              <w:rPr>
                <w:rFonts w:cs="Calibri"/>
              </w:rPr>
            </w:pPr>
            <w:r w:rsidRPr="00603CF1">
              <w:rPr>
                <w:rFonts w:cs="Calibri"/>
              </w:rPr>
              <w:t>425,11</w:t>
            </w:r>
          </w:p>
        </w:tc>
        <w:tc>
          <w:tcPr>
            <w:tcW w:w="556" w:type="pct"/>
            <w:tcBorders>
              <w:top w:val="single" w:sz="4" w:space="0" w:color="auto"/>
              <w:left w:val="nil"/>
              <w:bottom w:val="single" w:sz="2" w:space="0" w:color="auto"/>
              <w:right w:val="nil"/>
            </w:tcBorders>
            <w:vAlign w:val="center"/>
          </w:tcPr>
          <w:p w14:paraId="5E068826" w14:textId="77777777" w:rsidR="001C3B92" w:rsidRPr="00603CF1" w:rsidRDefault="00603CF1" w:rsidP="004528C1">
            <w:pPr>
              <w:pStyle w:val="cuatexto"/>
              <w:jc w:val="right"/>
              <w:rPr>
                <w:rFonts w:cs="Calibri"/>
              </w:rPr>
            </w:pPr>
            <w:r w:rsidRPr="00603CF1">
              <w:rPr>
                <w:rFonts w:cs="Calibri"/>
              </w:rPr>
              <w:t>266,35</w:t>
            </w:r>
          </w:p>
        </w:tc>
      </w:tr>
      <w:tr w:rsidR="004528C1" w:rsidRPr="00603CF1" w14:paraId="6C189A4D" w14:textId="77777777" w:rsidTr="004528C1">
        <w:trPr>
          <w:trHeight w:val="198"/>
          <w:jc w:val="center"/>
        </w:trPr>
        <w:tc>
          <w:tcPr>
            <w:tcW w:w="2065" w:type="pct"/>
            <w:tcBorders>
              <w:top w:val="single" w:sz="2" w:space="0" w:color="auto"/>
              <w:left w:val="nil"/>
              <w:bottom w:val="single" w:sz="2" w:space="0" w:color="auto"/>
              <w:right w:val="nil"/>
            </w:tcBorders>
            <w:noWrap/>
            <w:vAlign w:val="center"/>
            <w:hideMark/>
          </w:tcPr>
          <w:p w14:paraId="508B216A" w14:textId="77777777" w:rsidR="001C3B92" w:rsidRPr="00603CF1" w:rsidRDefault="001C3B92" w:rsidP="001C3B92">
            <w:pPr>
              <w:pStyle w:val="cuatexto"/>
            </w:pPr>
            <w:r w:rsidRPr="00603CF1">
              <w:t>Índice</w:t>
            </w:r>
          </w:p>
        </w:tc>
        <w:tc>
          <w:tcPr>
            <w:tcW w:w="316" w:type="pct"/>
            <w:tcBorders>
              <w:top w:val="single" w:sz="2" w:space="0" w:color="auto"/>
              <w:left w:val="nil"/>
              <w:bottom w:val="single" w:sz="2" w:space="0" w:color="auto"/>
              <w:right w:val="nil"/>
            </w:tcBorders>
            <w:vAlign w:val="center"/>
          </w:tcPr>
          <w:p w14:paraId="048DADE3" w14:textId="77777777" w:rsidR="001C3B92" w:rsidRPr="00603CF1" w:rsidRDefault="001C3B92" w:rsidP="004528C1">
            <w:pPr>
              <w:pStyle w:val="cuatexto"/>
              <w:jc w:val="right"/>
              <w:rPr>
                <w:rFonts w:cs="Calibri"/>
              </w:rPr>
            </w:pPr>
            <w:r w:rsidRPr="00603CF1">
              <w:rPr>
                <w:rFonts w:cs="Calibri"/>
              </w:rPr>
              <w:t>100</w:t>
            </w:r>
          </w:p>
        </w:tc>
        <w:tc>
          <w:tcPr>
            <w:tcW w:w="556" w:type="pct"/>
            <w:tcBorders>
              <w:top w:val="single" w:sz="2" w:space="0" w:color="auto"/>
              <w:left w:val="nil"/>
              <w:bottom w:val="single" w:sz="2" w:space="0" w:color="auto"/>
              <w:right w:val="nil"/>
            </w:tcBorders>
            <w:vAlign w:val="center"/>
          </w:tcPr>
          <w:p w14:paraId="4A5490CA" w14:textId="77777777" w:rsidR="001C3B92" w:rsidRPr="00603CF1" w:rsidRDefault="00603CF1" w:rsidP="004528C1">
            <w:pPr>
              <w:pStyle w:val="cuatexto"/>
              <w:jc w:val="right"/>
              <w:rPr>
                <w:rFonts w:cs="Calibri"/>
              </w:rPr>
            </w:pPr>
            <w:r w:rsidRPr="00603CF1">
              <w:rPr>
                <w:rFonts w:cs="Calibri"/>
              </w:rPr>
              <w:t>88</w:t>
            </w:r>
          </w:p>
        </w:tc>
        <w:tc>
          <w:tcPr>
            <w:tcW w:w="555" w:type="pct"/>
            <w:tcBorders>
              <w:top w:val="single" w:sz="2" w:space="0" w:color="auto"/>
              <w:left w:val="nil"/>
              <w:bottom w:val="single" w:sz="2" w:space="0" w:color="auto"/>
              <w:right w:val="nil"/>
            </w:tcBorders>
            <w:shd w:val="clear" w:color="auto" w:fill="auto"/>
            <w:noWrap/>
            <w:vAlign w:val="center"/>
          </w:tcPr>
          <w:p w14:paraId="29437F7C" w14:textId="77777777" w:rsidR="001C3B92" w:rsidRPr="00603CF1" w:rsidRDefault="00603CF1" w:rsidP="004528C1">
            <w:pPr>
              <w:pStyle w:val="cuatexto"/>
              <w:jc w:val="right"/>
              <w:rPr>
                <w:rFonts w:cs="Calibri"/>
              </w:rPr>
            </w:pPr>
            <w:r w:rsidRPr="00603CF1">
              <w:rPr>
                <w:rFonts w:cs="Calibri"/>
              </w:rPr>
              <w:t>76</w:t>
            </w:r>
          </w:p>
        </w:tc>
        <w:tc>
          <w:tcPr>
            <w:tcW w:w="476" w:type="pct"/>
            <w:tcBorders>
              <w:top w:val="single" w:sz="2" w:space="0" w:color="auto"/>
              <w:left w:val="nil"/>
              <w:bottom w:val="single" w:sz="2" w:space="0" w:color="auto"/>
              <w:right w:val="nil"/>
            </w:tcBorders>
            <w:noWrap/>
            <w:vAlign w:val="center"/>
          </w:tcPr>
          <w:p w14:paraId="1D7E7351" w14:textId="77777777" w:rsidR="001C3B92" w:rsidRPr="00603CF1" w:rsidRDefault="00603CF1" w:rsidP="004528C1">
            <w:pPr>
              <w:pStyle w:val="cuatexto"/>
              <w:jc w:val="right"/>
              <w:rPr>
                <w:rFonts w:cs="Calibri"/>
              </w:rPr>
            </w:pPr>
            <w:r w:rsidRPr="00603CF1">
              <w:rPr>
                <w:rFonts w:cs="Calibri"/>
              </w:rPr>
              <w:t>145</w:t>
            </w:r>
          </w:p>
        </w:tc>
        <w:tc>
          <w:tcPr>
            <w:tcW w:w="476" w:type="pct"/>
            <w:tcBorders>
              <w:top w:val="single" w:sz="2" w:space="0" w:color="auto"/>
              <w:left w:val="nil"/>
              <w:bottom w:val="single" w:sz="2" w:space="0" w:color="auto"/>
              <w:right w:val="nil"/>
            </w:tcBorders>
            <w:vAlign w:val="center"/>
          </w:tcPr>
          <w:p w14:paraId="171AB7E8" w14:textId="77777777" w:rsidR="001C3B92" w:rsidRPr="00603CF1" w:rsidRDefault="00603CF1" w:rsidP="004528C1">
            <w:pPr>
              <w:pStyle w:val="cuatexto"/>
              <w:jc w:val="right"/>
              <w:rPr>
                <w:rFonts w:cs="Calibri"/>
              </w:rPr>
            </w:pPr>
            <w:r w:rsidRPr="00603CF1">
              <w:rPr>
                <w:rFonts w:cs="Calibri"/>
              </w:rPr>
              <w:t>91</w:t>
            </w:r>
          </w:p>
        </w:tc>
        <w:tc>
          <w:tcPr>
            <w:tcW w:w="556" w:type="pct"/>
            <w:tcBorders>
              <w:top w:val="single" w:sz="2" w:space="0" w:color="auto"/>
              <w:left w:val="nil"/>
              <w:bottom w:val="single" w:sz="2" w:space="0" w:color="auto"/>
              <w:right w:val="nil"/>
            </w:tcBorders>
            <w:vAlign w:val="center"/>
          </w:tcPr>
          <w:p w14:paraId="770DEBB6" w14:textId="77777777" w:rsidR="001C3B92" w:rsidRPr="00603CF1" w:rsidRDefault="00603CF1" w:rsidP="004528C1">
            <w:pPr>
              <w:pStyle w:val="cuatexto"/>
              <w:jc w:val="right"/>
              <w:rPr>
                <w:rFonts w:cs="Calibri"/>
              </w:rPr>
            </w:pPr>
            <w:r w:rsidRPr="00603CF1">
              <w:rPr>
                <w:rFonts w:cs="Calibri"/>
              </w:rPr>
              <w:t>57</w:t>
            </w:r>
          </w:p>
        </w:tc>
      </w:tr>
      <w:tr w:rsidR="004528C1" w:rsidRPr="00603CF1" w14:paraId="1A46B8DF" w14:textId="77777777" w:rsidTr="004528C1">
        <w:trPr>
          <w:trHeight w:val="198"/>
          <w:jc w:val="center"/>
        </w:trPr>
        <w:tc>
          <w:tcPr>
            <w:tcW w:w="2065" w:type="pct"/>
            <w:tcBorders>
              <w:top w:val="single" w:sz="2" w:space="0" w:color="auto"/>
              <w:left w:val="nil"/>
              <w:bottom w:val="single" w:sz="4" w:space="0" w:color="auto"/>
              <w:right w:val="nil"/>
            </w:tcBorders>
            <w:noWrap/>
            <w:vAlign w:val="center"/>
            <w:hideMark/>
          </w:tcPr>
          <w:p w14:paraId="06E47F7A" w14:textId="77777777" w:rsidR="001C3B92" w:rsidRPr="00603CF1" w:rsidRDefault="001C3B92" w:rsidP="001C3B92">
            <w:pPr>
              <w:pStyle w:val="cuatexto"/>
              <w:rPr>
                <w:rFonts w:ascii="Arial" w:hAnsi="Arial"/>
                <w:sz w:val="18"/>
              </w:rPr>
            </w:pPr>
            <w:r w:rsidRPr="00603CF1">
              <w:rPr>
                <w:rFonts w:ascii="Arial" w:hAnsi="Arial"/>
                <w:sz w:val="18"/>
              </w:rPr>
              <w:t>% s/ ingresos corrientes</w:t>
            </w:r>
          </w:p>
        </w:tc>
        <w:tc>
          <w:tcPr>
            <w:tcW w:w="316" w:type="pct"/>
            <w:tcBorders>
              <w:top w:val="single" w:sz="2" w:space="0" w:color="auto"/>
              <w:left w:val="nil"/>
              <w:bottom w:val="single" w:sz="4" w:space="0" w:color="auto"/>
              <w:right w:val="nil"/>
            </w:tcBorders>
            <w:shd w:val="clear" w:color="auto" w:fill="FFFFFF"/>
            <w:vAlign w:val="center"/>
          </w:tcPr>
          <w:p w14:paraId="06FB1668" w14:textId="77777777" w:rsidR="001C3B92" w:rsidRPr="00603CF1" w:rsidRDefault="001C3B92" w:rsidP="004528C1">
            <w:pPr>
              <w:pStyle w:val="cuatexto"/>
              <w:jc w:val="right"/>
              <w:rPr>
                <w:rFonts w:cs="Calibri"/>
              </w:rPr>
            </w:pPr>
            <w:r w:rsidRPr="00603CF1">
              <w:rPr>
                <w:rFonts w:cs="Calibri"/>
              </w:rPr>
              <w:t>12</w:t>
            </w:r>
          </w:p>
        </w:tc>
        <w:tc>
          <w:tcPr>
            <w:tcW w:w="556" w:type="pct"/>
            <w:tcBorders>
              <w:top w:val="single" w:sz="2" w:space="0" w:color="auto"/>
              <w:left w:val="nil"/>
              <w:bottom w:val="single" w:sz="4" w:space="0" w:color="auto"/>
              <w:right w:val="nil"/>
            </w:tcBorders>
            <w:vAlign w:val="center"/>
          </w:tcPr>
          <w:p w14:paraId="69975843" w14:textId="77777777" w:rsidR="001C3B92" w:rsidRPr="00603CF1" w:rsidRDefault="001C3B92" w:rsidP="004528C1">
            <w:pPr>
              <w:pStyle w:val="cuatexto"/>
              <w:jc w:val="right"/>
              <w:rPr>
                <w:rFonts w:cs="Calibri"/>
              </w:rPr>
            </w:pPr>
            <w:r w:rsidRPr="00603CF1">
              <w:rPr>
                <w:rFonts w:cs="Calibri"/>
              </w:rPr>
              <w:t>10</w:t>
            </w:r>
          </w:p>
        </w:tc>
        <w:tc>
          <w:tcPr>
            <w:tcW w:w="555" w:type="pct"/>
            <w:tcBorders>
              <w:top w:val="single" w:sz="2" w:space="0" w:color="auto"/>
              <w:left w:val="nil"/>
              <w:bottom w:val="single" w:sz="4" w:space="0" w:color="auto"/>
              <w:right w:val="nil"/>
            </w:tcBorders>
            <w:noWrap/>
            <w:vAlign w:val="center"/>
          </w:tcPr>
          <w:p w14:paraId="6E22034A" w14:textId="77777777" w:rsidR="001C3B92" w:rsidRPr="00603CF1" w:rsidRDefault="001C3B92" w:rsidP="004528C1">
            <w:pPr>
              <w:pStyle w:val="cuatexto"/>
              <w:jc w:val="right"/>
              <w:rPr>
                <w:rFonts w:cs="Calibri"/>
              </w:rPr>
            </w:pPr>
            <w:r w:rsidRPr="00603CF1">
              <w:rPr>
                <w:rFonts w:cs="Calibri"/>
              </w:rPr>
              <w:t>9</w:t>
            </w:r>
          </w:p>
        </w:tc>
        <w:tc>
          <w:tcPr>
            <w:tcW w:w="476" w:type="pct"/>
            <w:tcBorders>
              <w:top w:val="single" w:sz="2" w:space="0" w:color="auto"/>
              <w:left w:val="nil"/>
              <w:bottom w:val="single" w:sz="4" w:space="0" w:color="auto"/>
              <w:right w:val="nil"/>
            </w:tcBorders>
            <w:noWrap/>
            <w:vAlign w:val="center"/>
          </w:tcPr>
          <w:p w14:paraId="29E51EE0" w14:textId="77777777" w:rsidR="001C3B92" w:rsidRPr="00603CF1" w:rsidRDefault="001C3B92" w:rsidP="004528C1">
            <w:pPr>
              <w:pStyle w:val="cuatexto"/>
              <w:jc w:val="right"/>
              <w:rPr>
                <w:rFonts w:cs="Calibri"/>
              </w:rPr>
            </w:pPr>
            <w:r w:rsidRPr="00603CF1">
              <w:rPr>
                <w:rFonts w:cs="Calibri"/>
              </w:rPr>
              <w:t>14</w:t>
            </w:r>
          </w:p>
        </w:tc>
        <w:tc>
          <w:tcPr>
            <w:tcW w:w="476" w:type="pct"/>
            <w:tcBorders>
              <w:top w:val="single" w:sz="2" w:space="0" w:color="auto"/>
              <w:left w:val="nil"/>
              <w:bottom w:val="single" w:sz="4" w:space="0" w:color="auto"/>
              <w:right w:val="nil"/>
            </w:tcBorders>
            <w:vAlign w:val="center"/>
          </w:tcPr>
          <w:p w14:paraId="55DE4DEB" w14:textId="77777777" w:rsidR="001C3B92" w:rsidRPr="00603CF1" w:rsidRDefault="001C3B92" w:rsidP="004528C1">
            <w:pPr>
              <w:pStyle w:val="cuatexto"/>
              <w:jc w:val="right"/>
              <w:rPr>
                <w:rFonts w:cs="Calibri"/>
              </w:rPr>
            </w:pPr>
            <w:r w:rsidRPr="00603CF1">
              <w:rPr>
                <w:rFonts w:cs="Calibri"/>
              </w:rPr>
              <w:t>8</w:t>
            </w:r>
          </w:p>
        </w:tc>
        <w:tc>
          <w:tcPr>
            <w:tcW w:w="556" w:type="pct"/>
            <w:tcBorders>
              <w:top w:val="single" w:sz="2" w:space="0" w:color="auto"/>
              <w:left w:val="nil"/>
              <w:bottom w:val="single" w:sz="4" w:space="0" w:color="auto"/>
              <w:right w:val="nil"/>
            </w:tcBorders>
            <w:vAlign w:val="center"/>
          </w:tcPr>
          <w:p w14:paraId="4C600258" w14:textId="77777777" w:rsidR="001C3B92" w:rsidRPr="00603CF1" w:rsidRDefault="00603CF1" w:rsidP="004528C1">
            <w:pPr>
              <w:pStyle w:val="cuatexto"/>
              <w:jc w:val="right"/>
              <w:rPr>
                <w:rFonts w:cs="Calibri"/>
              </w:rPr>
            </w:pPr>
            <w:r w:rsidRPr="00603CF1">
              <w:rPr>
                <w:rFonts w:cs="Calibri"/>
              </w:rPr>
              <w:t>5</w:t>
            </w:r>
          </w:p>
        </w:tc>
      </w:tr>
    </w:tbl>
    <w:p w14:paraId="262F00C1" w14:textId="77777777" w:rsidR="00614DC4" w:rsidRPr="00603CF1" w:rsidRDefault="00614DC4" w:rsidP="00CA053A">
      <w:pPr>
        <w:pStyle w:val="texto"/>
        <w:spacing w:before="240" w:after="100"/>
        <w:jc w:val="both"/>
      </w:pPr>
      <w:r w:rsidRPr="00603CF1">
        <w:t xml:space="preserve">La carga financiera se ha </w:t>
      </w:r>
      <w:r w:rsidR="00603CF1" w:rsidRPr="00603CF1">
        <w:t xml:space="preserve">disminuido </w:t>
      </w:r>
      <w:r w:rsidRPr="00603CF1">
        <w:t xml:space="preserve">en el periodo analizado un </w:t>
      </w:r>
      <w:r w:rsidR="00603CF1" w:rsidRPr="00603CF1">
        <w:t xml:space="preserve">43 </w:t>
      </w:r>
      <w:r w:rsidRPr="00603CF1">
        <w:t xml:space="preserve">por ciento y el peso relativo sobre los ingresos corrientes en el conjunto del periodo analizado ha pasado del </w:t>
      </w:r>
      <w:r w:rsidR="00603CF1" w:rsidRPr="00603CF1">
        <w:t xml:space="preserve">doce </w:t>
      </w:r>
      <w:r w:rsidRPr="00603CF1">
        <w:t xml:space="preserve">al </w:t>
      </w:r>
      <w:r w:rsidR="00603CF1" w:rsidRPr="00603CF1">
        <w:t xml:space="preserve">cinco </w:t>
      </w:r>
      <w:r w:rsidRPr="00603CF1">
        <w:t xml:space="preserve">por ciento. </w:t>
      </w:r>
    </w:p>
    <w:p w14:paraId="743CB95D" w14:textId="77777777" w:rsidR="009919AC" w:rsidRDefault="00614DC4" w:rsidP="00BB258D">
      <w:pPr>
        <w:pStyle w:val="texto"/>
        <w:spacing w:before="100" w:after="100"/>
        <w:jc w:val="both"/>
      </w:pPr>
      <w:r w:rsidRPr="00603CF1">
        <w:t>No obstante, es necesario destacar que la carga financiera anual, es una variable sometida a múltiples factores, que depende en gran medida de la posibilidad de realizar amortizaciones anticipadas (como la que se realizó en 2021</w:t>
      </w:r>
      <w:r w:rsidR="00603CF1" w:rsidRPr="00603CF1">
        <w:t xml:space="preserve"> y 2022</w:t>
      </w:r>
      <w:r w:rsidRPr="00603CF1">
        <w:t>), así como de las variaciones del tipo de interés, lo que pueden provocar variaciones significativas, que no siempre respondan a un comportamiento lineal.</w:t>
      </w:r>
      <w:r w:rsidR="00BB258D">
        <w:t xml:space="preserve"> </w:t>
      </w:r>
    </w:p>
    <w:p w14:paraId="58A0090A" w14:textId="77777777" w:rsidR="009919AC" w:rsidRDefault="009919AC">
      <w:pPr>
        <w:rPr>
          <w:spacing w:val="6"/>
          <w:sz w:val="26"/>
        </w:rPr>
      </w:pPr>
      <w:r>
        <w:br w:type="page"/>
      </w:r>
    </w:p>
    <w:p w14:paraId="0E879FF9" w14:textId="77777777" w:rsidR="00614DC4" w:rsidRPr="00B87777" w:rsidRDefault="00614DC4" w:rsidP="00BB258D">
      <w:pPr>
        <w:pStyle w:val="texto"/>
        <w:spacing w:before="100" w:after="100"/>
        <w:jc w:val="both"/>
      </w:pPr>
      <w:r w:rsidRPr="00B87777">
        <w:lastRenderedPageBreak/>
        <w:t>En el cuadro siguiente se indican las previsiones de amortización del conjunto de la deuda en los próximos ejercicios:</w:t>
      </w:r>
    </w:p>
    <w:tbl>
      <w:tblPr>
        <w:tblW w:w="4841" w:type="pct"/>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1097"/>
        <w:gridCol w:w="36"/>
        <w:gridCol w:w="2298"/>
        <w:gridCol w:w="114"/>
        <w:gridCol w:w="2551"/>
        <w:gridCol w:w="75"/>
        <w:gridCol w:w="208"/>
        <w:gridCol w:w="2131"/>
      </w:tblGrid>
      <w:tr w:rsidR="00B87777" w:rsidRPr="00595492" w14:paraId="151694B2" w14:textId="77777777" w:rsidTr="00595492">
        <w:trPr>
          <w:trHeight w:val="198"/>
          <w:jc w:val="center"/>
        </w:trPr>
        <w:tc>
          <w:tcPr>
            <w:tcW w:w="5000" w:type="pct"/>
            <w:gridSpan w:val="8"/>
            <w:tcBorders>
              <w:top w:val="nil"/>
              <w:left w:val="nil"/>
              <w:bottom w:val="single" w:sz="4" w:space="0" w:color="auto"/>
              <w:right w:val="nil"/>
            </w:tcBorders>
            <w:noWrap/>
            <w:vAlign w:val="center"/>
            <w:hideMark/>
          </w:tcPr>
          <w:p w14:paraId="0410D70C" w14:textId="77777777" w:rsidR="00614DC4" w:rsidRPr="00595492" w:rsidRDefault="00595492">
            <w:pPr>
              <w:keepLines/>
              <w:tabs>
                <w:tab w:val="right" w:pos="2835"/>
                <w:tab w:val="right" w:pos="3969"/>
                <w:tab w:val="right" w:pos="5103"/>
                <w:tab w:val="right" w:pos="6237"/>
                <w:tab w:val="right" w:pos="7371"/>
              </w:tabs>
              <w:ind w:right="-42"/>
              <w:jc w:val="right"/>
              <w:rPr>
                <w:rFonts w:ascii="Arial" w:hAnsi="Arial" w:cs="Arial"/>
                <w:spacing w:val="6"/>
                <w:sz w:val="17"/>
                <w:szCs w:val="17"/>
              </w:rPr>
            </w:pPr>
            <w:r w:rsidRPr="00595492">
              <w:rPr>
                <w:rFonts w:ascii="Arial" w:hAnsi="Arial" w:cs="Arial"/>
                <w:spacing w:val="6"/>
                <w:sz w:val="17"/>
                <w:szCs w:val="17"/>
              </w:rPr>
              <w:t>(</w:t>
            </w:r>
            <w:r w:rsidR="00614DC4" w:rsidRPr="00595492">
              <w:rPr>
                <w:rFonts w:ascii="Arial" w:hAnsi="Arial" w:cs="Arial"/>
                <w:spacing w:val="6"/>
                <w:sz w:val="17"/>
                <w:szCs w:val="17"/>
              </w:rPr>
              <w:t>en miles)</w:t>
            </w:r>
          </w:p>
        </w:tc>
      </w:tr>
      <w:tr w:rsidR="00616D71" w:rsidRPr="00616D71" w14:paraId="5FB6C689" w14:textId="77777777" w:rsidTr="004528C1">
        <w:trPr>
          <w:trHeight w:val="255"/>
          <w:jc w:val="center"/>
        </w:trPr>
        <w:tc>
          <w:tcPr>
            <w:tcW w:w="666" w:type="pct"/>
            <w:gridSpan w:val="2"/>
            <w:tcBorders>
              <w:top w:val="single" w:sz="4" w:space="0" w:color="auto"/>
              <w:left w:val="nil"/>
              <w:bottom w:val="single" w:sz="4" w:space="0" w:color="auto"/>
              <w:right w:val="nil"/>
            </w:tcBorders>
            <w:shd w:val="clear" w:color="auto" w:fill="8DB3E2"/>
            <w:noWrap/>
            <w:vAlign w:val="center"/>
            <w:hideMark/>
          </w:tcPr>
          <w:p w14:paraId="1E532005" w14:textId="77777777" w:rsidR="00F54435" w:rsidRPr="00616D71" w:rsidRDefault="00614DC4" w:rsidP="00EA72EA">
            <w:pPr>
              <w:pStyle w:val="cuadroCabe"/>
            </w:pPr>
            <w:r w:rsidRPr="00616D71">
              <w:t>Ejercicio</w:t>
            </w:r>
          </w:p>
        </w:tc>
        <w:tc>
          <w:tcPr>
            <w:tcW w:w="1417" w:type="pct"/>
            <w:gridSpan w:val="2"/>
            <w:tcBorders>
              <w:top w:val="single" w:sz="4" w:space="0" w:color="auto"/>
              <w:left w:val="nil"/>
              <w:bottom w:val="single" w:sz="4" w:space="0" w:color="auto"/>
              <w:right w:val="nil"/>
            </w:tcBorders>
            <w:shd w:val="clear" w:color="auto" w:fill="8DB3E2"/>
            <w:noWrap/>
            <w:vAlign w:val="center"/>
            <w:hideMark/>
          </w:tcPr>
          <w:p w14:paraId="760031DC" w14:textId="77777777" w:rsidR="00614DC4" w:rsidRPr="00616D71" w:rsidRDefault="00614DC4" w:rsidP="00D12353">
            <w:pPr>
              <w:pStyle w:val="cuadroCabe"/>
              <w:jc w:val="right"/>
            </w:pPr>
            <w:proofErr w:type="gramStart"/>
            <w:r w:rsidRPr="00616D71">
              <w:t>Importe total a amortizar</w:t>
            </w:r>
            <w:proofErr w:type="gramEnd"/>
          </w:p>
        </w:tc>
        <w:tc>
          <w:tcPr>
            <w:tcW w:w="1499" w:type="pct"/>
            <w:tcBorders>
              <w:top w:val="single" w:sz="4" w:space="0" w:color="auto"/>
              <w:left w:val="nil"/>
              <w:bottom w:val="single" w:sz="4" w:space="0" w:color="auto"/>
              <w:right w:val="nil"/>
            </w:tcBorders>
            <w:shd w:val="clear" w:color="auto" w:fill="8DB3E2"/>
            <w:noWrap/>
            <w:vAlign w:val="center"/>
            <w:hideMark/>
          </w:tcPr>
          <w:p w14:paraId="0085C128" w14:textId="77777777" w:rsidR="00614DC4" w:rsidRPr="00616D71" w:rsidRDefault="00614DC4" w:rsidP="004528C1">
            <w:pPr>
              <w:pStyle w:val="cuadroCabe"/>
              <w:jc w:val="right"/>
            </w:pPr>
            <w:r w:rsidRPr="00616D71">
              <w:t>Porcentaje</w:t>
            </w:r>
          </w:p>
        </w:tc>
        <w:tc>
          <w:tcPr>
            <w:tcW w:w="1418" w:type="pct"/>
            <w:gridSpan w:val="3"/>
            <w:tcBorders>
              <w:top w:val="single" w:sz="4" w:space="0" w:color="auto"/>
              <w:left w:val="nil"/>
              <w:bottom w:val="single" w:sz="4" w:space="0" w:color="auto"/>
              <w:right w:val="nil"/>
            </w:tcBorders>
            <w:shd w:val="clear" w:color="auto" w:fill="8DB3E2"/>
            <w:noWrap/>
            <w:vAlign w:val="center"/>
            <w:hideMark/>
          </w:tcPr>
          <w:p w14:paraId="264FD54E" w14:textId="77777777" w:rsidR="00614DC4" w:rsidRPr="00616D71" w:rsidRDefault="00614DC4" w:rsidP="00D12353">
            <w:pPr>
              <w:pStyle w:val="cuadroCabe"/>
              <w:jc w:val="right"/>
            </w:pPr>
            <w:r w:rsidRPr="00616D71">
              <w:t>Porcentaje acumulado</w:t>
            </w:r>
          </w:p>
        </w:tc>
      </w:tr>
      <w:tr w:rsidR="00616D71" w:rsidRPr="00616D71" w14:paraId="0732AFF5" w14:textId="77777777" w:rsidTr="00616D71">
        <w:trPr>
          <w:trHeight w:val="198"/>
          <w:jc w:val="center"/>
        </w:trPr>
        <w:tc>
          <w:tcPr>
            <w:tcW w:w="645" w:type="pct"/>
            <w:tcBorders>
              <w:top w:val="single" w:sz="4" w:space="0" w:color="auto"/>
              <w:left w:val="nil"/>
              <w:bottom w:val="single" w:sz="2" w:space="0" w:color="auto"/>
              <w:right w:val="nil"/>
            </w:tcBorders>
            <w:noWrap/>
            <w:vAlign w:val="center"/>
            <w:hideMark/>
          </w:tcPr>
          <w:p w14:paraId="01EB59C4" w14:textId="77777777" w:rsidR="00616D71" w:rsidRPr="00595492" w:rsidRDefault="00616D71" w:rsidP="00616D71">
            <w:pPr>
              <w:pStyle w:val="cuatexto"/>
              <w:rPr>
                <w:szCs w:val="20"/>
              </w:rPr>
            </w:pPr>
            <w:r w:rsidRPr="00595492">
              <w:rPr>
                <w:szCs w:val="20"/>
              </w:rPr>
              <w:t>2024</w:t>
            </w:r>
          </w:p>
        </w:tc>
        <w:tc>
          <w:tcPr>
            <w:tcW w:w="1371" w:type="pct"/>
            <w:gridSpan w:val="2"/>
            <w:tcBorders>
              <w:top w:val="single" w:sz="4" w:space="0" w:color="auto"/>
              <w:left w:val="nil"/>
              <w:bottom w:val="single" w:sz="2" w:space="0" w:color="auto"/>
              <w:right w:val="nil"/>
            </w:tcBorders>
            <w:shd w:val="clear" w:color="auto" w:fill="auto"/>
            <w:noWrap/>
            <w:vAlign w:val="bottom"/>
          </w:tcPr>
          <w:p w14:paraId="3CDF63DC" w14:textId="77777777" w:rsidR="00616D71" w:rsidRPr="00595492" w:rsidRDefault="00616D71" w:rsidP="00616D71">
            <w:pPr>
              <w:jc w:val="right"/>
              <w:rPr>
                <w:rFonts w:ascii="Arial Narrow" w:hAnsi="Arial Narrow" w:cs="Calibri"/>
                <w:sz w:val="20"/>
                <w:szCs w:val="20"/>
              </w:rPr>
            </w:pPr>
            <w:r w:rsidRPr="00595492">
              <w:rPr>
                <w:rFonts w:ascii="Arial Narrow" w:hAnsi="Arial Narrow" w:cs="Calibri"/>
                <w:sz w:val="20"/>
                <w:szCs w:val="20"/>
              </w:rPr>
              <w:t>234.529</w:t>
            </w:r>
          </w:p>
        </w:tc>
        <w:tc>
          <w:tcPr>
            <w:tcW w:w="1610" w:type="pct"/>
            <w:gridSpan w:val="3"/>
            <w:tcBorders>
              <w:top w:val="single" w:sz="4" w:space="0" w:color="auto"/>
              <w:left w:val="nil"/>
              <w:bottom w:val="single" w:sz="2" w:space="0" w:color="auto"/>
              <w:right w:val="nil"/>
            </w:tcBorders>
            <w:shd w:val="clear" w:color="auto" w:fill="auto"/>
            <w:noWrap/>
            <w:vAlign w:val="bottom"/>
          </w:tcPr>
          <w:p w14:paraId="6106B67B"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9%</w:t>
            </w:r>
          </w:p>
        </w:tc>
        <w:tc>
          <w:tcPr>
            <w:tcW w:w="1374" w:type="pct"/>
            <w:gridSpan w:val="2"/>
            <w:tcBorders>
              <w:top w:val="single" w:sz="4" w:space="0" w:color="auto"/>
              <w:left w:val="nil"/>
              <w:bottom w:val="single" w:sz="2" w:space="0" w:color="auto"/>
              <w:right w:val="nil"/>
            </w:tcBorders>
            <w:shd w:val="clear" w:color="auto" w:fill="auto"/>
            <w:noWrap/>
            <w:vAlign w:val="bottom"/>
          </w:tcPr>
          <w:p w14:paraId="59936912" w14:textId="77777777" w:rsidR="00616D71" w:rsidRPr="00595492" w:rsidRDefault="00616D71" w:rsidP="004528C1">
            <w:pPr>
              <w:jc w:val="right"/>
              <w:rPr>
                <w:rFonts w:ascii="Arial Narrow" w:hAnsi="Arial Narrow" w:cs="Calibri"/>
                <w:sz w:val="20"/>
                <w:szCs w:val="20"/>
              </w:rPr>
            </w:pPr>
          </w:p>
        </w:tc>
      </w:tr>
      <w:tr w:rsidR="00616D71" w:rsidRPr="00616D71" w14:paraId="12E75075" w14:textId="77777777" w:rsidTr="00616D71">
        <w:trPr>
          <w:trHeight w:val="198"/>
          <w:jc w:val="center"/>
        </w:trPr>
        <w:tc>
          <w:tcPr>
            <w:tcW w:w="645" w:type="pct"/>
            <w:tcBorders>
              <w:top w:val="single" w:sz="2" w:space="0" w:color="auto"/>
              <w:left w:val="nil"/>
              <w:bottom w:val="single" w:sz="2" w:space="0" w:color="auto"/>
              <w:right w:val="nil"/>
            </w:tcBorders>
            <w:noWrap/>
            <w:vAlign w:val="center"/>
            <w:hideMark/>
          </w:tcPr>
          <w:p w14:paraId="3E950A5E" w14:textId="77777777" w:rsidR="00616D71" w:rsidRPr="00595492" w:rsidRDefault="00616D71" w:rsidP="00616D71">
            <w:pPr>
              <w:pStyle w:val="cuatexto"/>
              <w:rPr>
                <w:szCs w:val="20"/>
              </w:rPr>
            </w:pPr>
            <w:r w:rsidRPr="00595492">
              <w:rPr>
                <w:szCs w:val="20"/>
              </w:rPr>
              <w:t>2025</w:t>
            </w:r>
          </w:p>
        </w:tc>
        <w:tc>
          <w:tcPr>
            <w:tcW w:w="1371" w:type="pct"/>
            <w:gridSpan w:val="2"/>
            <w:tcBorders>
              <w:top w:val="single" w:sz="2" w:space="0" w:color="auto"/>
              <w:left w:val="nil"/>
              <w:bottom w:val="single" w:sz="2" w:space="0" w:color="auto"/>
              <w:right w:val="nil"/>
            </w:tcBorders>
            <w:shd w:val="clear" w:color="auto" w:fill="auto"/>
            <w:noWrap/>
            <w:vAlign w:val="bottom"/>
          </w:tcPr>
          <w:p w14:paraId="76BB931C" w14:textId="77777777" w:rsidR="00616D71" w:rsidRPr="00595492" w:rsidRDefault="00616D71" w:rsidP="00616D71">
            <w:pPr>
              <w:jc w:val="right"/>
              <w:rPr>
                <w:rFonts w:ascii="Arial Narrow" w:hAnsi="Arial Narrow" w:cs="Calibri"/>
                <w:sz w:val="20"/>
                <w:szCs w:val="20"/>
              </w:rPr>
            </w:pPr>
            <w:r w:rsidRPr="00595492">
              <w:rPr>
                <w:rFonts w:ascii="Arial Narrow" w:hAnsi="Arial Narrow" w:cs="Calibri"/>
                <w:sz w:val="20"/>
                <w:szCs w:val="20"/>
              </w:rPr>
              <w:t>261.340</w:t>
            </w:r>
          </w:p>
        </w:tc>
        <w:tc>
          <w:tcPr>
            <w:tcW w:w="1610" w:type="pct"/>
            <w:gridSpan w:val="3"/>
            <w:tcBorders>
              <w:top w:val="single" w:sz="2" w:space="0" w:color="auto"/>
              <w:left w:val="nil"/>
              <w:bottom w:val="single" w:sz="2" w:space="0" w:color="auto"/>
              <w:right w:val="nil"/>
            </w:tcBorders>
            <w:shd w:val="clear" w:color="auto" w:fill="auto"/>
            <w:noWrap/>
            <w:vAlign w:val="bottom"/>
          </w:tcPr>
          <w:p w14:paraId="150786A5"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10%</w:t>
            </w:r>
          </w:p>
        </w:tc>
        <w:tc>
          <w:tcPr>
            <w:tcW w:w="1374" w:type="pct"/>
            <w:gridSpan w:val="2"/>
            <w:tcBorders>
              <w:top w:val="single" w:sz="2" w:space="0" w:color="auto"/>
              <w:left w:val="nil"/>
              <w:bottom w:val="single" w:sz="2" w:space="0" w:color="auto"/>
              <w:right w:val="nil"/>
            </w:tcBorders>
            <w:shd w:val="clear" w:color="auto" w:fill="auto"/>
            <w:noWrap/>
            <w:vAlign w:val="bottom"/>
          </w:tcPr>
          <w:p w14:paraId="5CC529F4"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19%</w:t>
            </w:r>
          </w:p>
        </w:tc>
      </w:tr>
      <w:tr w:rsidR="00616D71" w:rsidRPr="00616D71" w14:paraId="29AA43A9" w14:textId="77777777" w:rsidTr="00616D71">
        <w:trPr>
          <w:trHeight w:val="198"/>
          <w:jc w:val="center"/>
        </w:trPr>
        <w:tc>
          <w:tcPr>
            <w:tcW w:w="645" w:type="pct"/>
            <w:tcBorders>
              <w:top w:val="single" w:sz="2" w:space="0" w:color="auto"/>
              <w:left w:val="nil"/>
              <w:bottom w:val="single" w:sz="2" w:space="0" w:color="auto"/>
              <w:right w:val="nil"/>
            </w:tcBorders>
            <w:noWrap/>
            <w:vAlign w:val="center"/>
            <w:hideMark/>
          </w:tcPr>
          <w:p w14:paraId="4F0651AC" w14:textId="77777777" w:rsidR="00616D71" w:rsidRPr="00595492" w:rsidRDefault="00616D71" w:rsidP="00616D71">
            <w:pPr>
              <w:pStyle w:val="cuatexto"/>
              <w:rPr>
                <w:szCs w:val="20"/>
              </w:rPr>
            </w:pPr>
            <w:r w:rsidRPr="00595492">
              <w:rPr>
                <w:szCs w:val="20"/>
              </w:rPr>
              <w:t>2026</w:t>
            </w:r>
          </w:p>
        </w:tc>
        <w:tc>
          <w:tcPr>
            <w:tcW w:w="1371" w:type="pct"/>
            <w:gridSpan w:val="2"/>
            <w:tcBorders>
              <w:top w:val="single" w:sz="2" w:space="0" w:color="auto"/>
              <w:left w:val="nil"/>
              <w:bottom w:val="single" w:sz="2" w:space="0" w:color="auto"/>
              <w:right w:val="nil"/>
            </w:tcBorders>
            <w:shd w:val="clear" w:color="auto" w:fill="auto"/>
            <w:noWrap/>
            <w:vAlign w:val="bottom"/>
          </w:tcPr>
          <w:p w14:paraId="40782407" w14:textId="77777777" w:rsidR="00616D71" w:rsidRPr="00595492" w:rsidRDefault="00616D71" w:rsidP="00616D71">
            <w:pPr>
              <w:jc w:val="right"/>
              <w:rPr>
                <w:rFonts w:ascii="Arial Narrow" w:hAnsi="Arial Narrow" w:cs="Calibri"/>
                <w:sz w:val="20"/>
                <w:szCs w:val="20"/>
              </w:rPr>
            </w:pPr>
            <w:r w:rsidRPr="00595492">
              <w:rPr>
                <w:rFonts w:ascii="Arial Narrow" w:hAnsi="Arial Narrow" w:cs="Calibri"/>
                <w:sz w:val="20"/>
                <w:szCs w:val="20"/>
              </w:rPr>
              <w:t>213.690</w:t>
            </w:r>
          </w:p>
        </w:tc>
        <w:tc>
          <w:tcPr>
            <w:tcW w:w="1610" w:type="pct"/>
            <w:gridSpan w:val="3"/>
            <w:tcBorders>
              <w:top w:val="single" w:sz="2" w:space="0" w:color="auto"/>
              <w:left w:val="nil"/>
              <w:bottom w:val="single" w:sz="2" w:space="0" w:color="auto"/>
              <w:right w:val="nil"/>
            </w:tcBorders>
            <w:shd w:val="clear" w:color="auto" w:fill="auto"/>
            <w:noWrap/>
            <w:vAlign w:val="bottom"/>
          </w:tcPr>
          <w:p w14:paraId="5C0AF3A3"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8%</w:t>
            </w:r>
          </w:p>
        </w:tc>
        <w:tc>
          <w:tcPr>
            <w:tcW w:w="1374" w:type="pct"/>
            <w:gridSpan w:val="2"/>
            <w:tcBorders>
              <w:top w:val="single" w:sz="2" w:space="0" w:color="auto"/>
              <w:left w:val="nil"/>
              <w:bottom w:val="single" w:sz="2" w:space="0" w:color="auto"/>
              <w:right w:val="nil"/>
            </w:tcBorders>
            <w:shd w:val="clear" w:color="auto" w:fill="auto"/>
            <w:noWrap/>
            <w:vAlign w:val="bottom"/>
          </w:tcPr>
          <w:p w14:paraId="2B319EEA"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27%</w:t>
            </w:r>
          </w:p>
        </w:tc>
      </w:tr>
      <w:tr w:rsidR="00616D71" w:rsidRPr="00616D71" w14:paraId="49982A5E" w14:textId="77777777" w:rsidTr="00616D71">
        <w:trPr>
          <w:trHeight w:val="198"/>
          <w:jc w:val="center"/>
        </w:trPr>
        <w:tc>
          <w:tcPr>
            <w:tcW w:w="645" w:type="pct"/>
            <w:tcBorders>
              <w:top w:val="single" w:sz="2" w:space="0" w:color="auto"/>
              <w:left w:val="nil"/>
              <w:bottom w:val="single" w:sz="2" w:space="0" w:color="auto"/>
              <w:right w:val="nil"/>
            </w:tcBorders>
            <w:noWrap/>
            <w:vAlign w:val="center"/>
            <w:hideMark/>
          </w:tcPr>
          <w:p w14:paraId="03F27D45" w14:textId="77777777" w:rsidR="00616D71" w:rsidRPr="00595492" w:rsidRDefault="00616D71" w:rsidP="00616D71">
            <w:pPr>
              <w:pStyle w:val="cuatexto"/>
              <w:rPr>
                <w:szCs w:val="20"/>
              </w:rPr>
            </w:pPr>
            <w:r w:rsidRPr="00595492">
              <w:rPr>
                <w:szCs w:val="20"/>
              </w:rPr>
              <w:t>2027</w:t>
            </w:r>
          </w:p>
        </w:tc>
        <w:tc>
          <w:tcPr>
            <w:tcW w:w="1371" w:type="pct"/>
            <w:gridSpan w:val="2"/>
            <w:tcBorders>
              <w:top w:val="single" w:sz="2" w:space="0" w:color="auto"/>
              <w:left w:val="nil"/>
              <w:bottom w:val="single" w:sz="2" w:space="0" w:color="auto"/>
              <w:right w:val="nil"/>
            </w:tcBorders>
            <w:shd w:val="clear" w:color="auto" w:fill="auto"/>
            <w:noWrap/>
            <w:vAlign w:val="bottom"/>
          </w:tcPr>
          <w:p w14:paraId="08BC6F80" w14:textId="77777777" w:rsidR="00616D71" w:rsidRPr="00595492" w:rsidRDefault="00616D71" w:rsidP="00616D71">
            <w:pPr>
              <w:jc w:val="right"/>
              <w:rPr>
                <w:rFonts w:ascii="Arial Narrow" w:hAnsi="Arial Narrow" w:cs="Calibri"/>
                <w:sz w:val="20"/>
                <w:szCs w:val="20"/>
              </w:rPr>
            </w:pPr>
            <w:r w:rsidRPr="00595492">
              <w:rPr>
                <w:rFonts w:ascii="Arial Narrow" w:hAnsi="Arial Narrow" w:cs="Calibri"/>
                <w:sz w:val="20"/>
                <w:szCs w:val="20"/>
              </w:rPr>
              <w:t>232.420</w:t>
            </w:r>
          </w:p>
        </w:tc>
        <w:tc>
          <w:tcPr>
            <w:tcW w:w="1610" w:type="pct"/>
            <w:gridSpan w:val="3"/>
            <w:tcBorders>
              <w:top w:val="single" w:sz="2" w:space="0" w:color="auto"/>
              <w:left w:val="nil"/>
              <w:bottom w:val="single" w:sz="2" w:space="0" w:color="auto"/>
              <w:right w:val="nil"/>
            </w:tcBorders>
            <w:shd w:val="clear" w:color="auto" w:fill="auto"/>
            <w:noWrap/>
            <w:vAlign w:val="bottom"/>
          </w:tcPr>
          <w:p w14:paraId="400E3427"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9%</w:t>
            </w:r>
          </w:p>
        </w:tc>
        <w:tc>
          <w:tcPr>
            <w:tcW w:w="1374" w:type="pct"/>
            <w:gridSpan w:val="2"/>
            <w:tcBorders>
              <w:top w:val="single" w:sz="2" w:space="0" w:color="auto"/>
              <w:left w:val="nil"/>
              <w:bottom w:val="single" w:sz="2" w:space="0" w:color="auto"/>
              <w:right w:val="nil"/>
            </w:tcBorders>
            <w:shd w:val="clear" w:color="auto" w:fill="auto"/>
            <w:noWrap/>
            <w:vAlign w:val="bottom"/>
          </w:tcPr>
          <w:p w14:paraId="7BF38DE9"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35%</w:t>
            </w:r>
          </w:p>
        </w:tc>
      </w:tr>
      <w:tr w:rsidR="00616D71" w:rsidRPr="00616D71" w14:paraId="3495C048" w14:textId="77777777" w:rsidTr="00616D71">
        <w:trPr>
          <w:trHeight w:val="198"/>
          <w:jc w:val="center"/>
        </w:trPr>
        <w:tc>
          <w:tcPr>
            <w:tcW w:w="645" w:type="pct"/>
            <w:tcBorders>
              <w:top w:val="single" w:sz="2" w:space="0" w:color="auto"/>
              <w:left w:val="nil"/>
              <w:bottom w:val="single" w:sz="2" w:space="0" w:color="auto"/>
              <w:right w:val="nil"/>
            </w:tcBorders>
            <w:noWrap/>
            <w:vAlign w:val="center"/>
            <w:hideMark/>
          </w:tcPr>
          <w:p w14:paraId="6D9E2266" w14:textId="77777777" w:rsidR="00616D71" w:rsidRPr="00595492" w:rsidRDefault="00616D71" w:rsidP="00616D71">
            <w:pPr>
              <w:pStyle w:val="cuatexto"/>
              <w:rPr>
                <w:szCs w:val="20"/>
              </w:rPr>
            </w:pPr>
            <w:r w:rsidRPr="00595492">
              <w:rPr>
                <w:szCs w:val="20"/>
              </w:rPr>
              <w:t>2028</w:t>
            </w:r>
          </w:p>
        </w:tc>
        <w:tc>
          <w:tcPr>
            <w:tcW w:w="1371" w:type="pct"/>
            <w:gridSpan w:val="2"/>
            <w:tcBorders>
              <w:top w:val="single" w:sz="2" w:space="0" w:color="auto"/>
              <w:left w:val="nil"/>
              <w:bottom w:val="single" w:sz="2" w:space="0" w:color="auto"/>
              <w:right w:val="nil"/>
            </w:tcBorders>
            <w:shd w:val="clear" w:color="auto" w:fill="auto"/>
            <w:noWrap/>
            <w:vAlign w:val="bottom"/>
          </w:tcPr>
          <w:p w14:paraId="669AA37B" w14:textId="77777777" w:rsidR="00616D71" w:rsidRPr="00595492" w:rsidRDefault="00616D71" w:rsidP="00616D71">
            <w:pPr>
              <w:jc w:val="right"/>
              <w:rPr>
                <w:rFonts w:ascii="Arial Narrow" w:hAnsi="Arial Narrow" w:cs="Calibri"/>
                <w:sz w:val="20"/>
                <w:szCs w:val="20"/>
              </w:rPr>
            </w:pPr>
            <w:r w:rsidRPr="00595492">
              <w:rPr>
                <w:rFonts w:ascii="Arial Narrow" w:hAnsi="Arial Narrow" w:cs="Calibri"/>
                <w:sz w:val="20"/>
                <w:szCs w:val="20"/>
              </w:rPr>
              <w:t>286.545</w:t>
            </w:r>
          </w:p>
        </w:tc>
        <w:tc>
          <w:tcPr>
            <w:tcW w:w="1610" w:type="pct"/>
            <w:gridSpan w:val="3"/>
            <w:tcBorders>
              <w:top w:val="single" w:sz="2" w:space="0" w:color="auto"/>
              <w:left w:val="nil"/>
              <w:bottom w:val="single" w:sz="2" w:space="0" w:color="auto"/>
              <w:right w:val="nil"/>
            </w:tcBorders>
            <w:shd w:val="clear" w:color="auto" w:fill="auto"/>
            <w:noWrap/>
            <w:vAlign w:val="bottom"/>
          </w:tcPr>
          <w:p w14:paraId="557E8C69"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11%</w:t>
            </w:r>
          </w:p>
        </w:tc>
        <w:tc>
          <w:tcPr>
            <w:tcW w:w="1374" w:type="pct"/>
            <w:gridSpan w:val="2"/>
            <w:tcBorders>
              <w:top w:val="single" w:sz="2" w:space="0" w:color="auto"/>
              <w:left w:val="nil"/>
              <w:bottom w:val="single" w:sz="2" w:space="0" w:color="auto"/>
              <w:right w:val="nil"/>
            </w:tcBorders>
            <w:shd w:val="clear" w:color="auto" w:fill="auto"/>
            <w:noWrap/>
            <w:vAlign w:val="bottom"/>
          </w:tcPr>
          <w:p w14:paraId="72DD731B"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46%</w:t>
            </w:r>
          </w:p>
        </w:tc>
      </w:tr>
      <w:tr w:rsidR="00616D71" w:rsidRPr="00616D71" w14:paraId="14D4038B" w14:textId="77777777" w:rsidTr="00616D71">
        <w:trPr>
          <w:trHeight w:val="198"/>
          <w:jc w:val="center"/>
        </w:trPr>
        <w:tc>
          <w:tcPr>
            <w:tcW w:w="645" w:type="pct"/>
            <w:tcBorders>
              <w:top w:val="single" w:sz="2" w:space="0" w:color="auto"/>
              <w:left w:val="nil"/>
              <w:bottom w:val="single" w:sz="2" w:space="0" w:color="auto"/>
              <w:right w:val="nil"/>
            </w:tcBorders>
            <w:noWrap/>
            <w:vAlign w:val="center"/>
            <w:hideMark/>
          </w:tcPr>
          <w:p w14:paraId="6FFE4C2A" w14:textId="77777777" w:rsidR="00616D71" w:rsidRPr="00595492" w:rsidRDefault="00616D71" w:rsidP="00616D71">
            <w:pPr>
              <w:pStyle w:val="cuatexto"/>
              <w:rPr>
                <w:szCs w:val="20"/>
              </w:rPr>
            </w:pPr>
            <w:r w:rsidRPr="00595492">
              <w:rPr>
                <w:szCs w:val="20"/>
              </w:rPr>
              <w:t>2029</w:t>
            </w:r>
          </w:p>
        </w:tc>
        <w:tc>
          <w:tcPr>
            <w:tcW w:w="1371" w:type="pct"/>
            <w:gridSpan w:val="2"/>
            <w:tcBorders>
              <w:top w:val="single" w:sz="2" w:space="0" w:color="auto"/>
              <w:left w:val="nil"/>
              <w:bottom w:val="single" w:sz="2" w:space="0" w:color="auto"/>
              <w:right w:val="nil"/>
            </w:tcBorders>
            <w:shd w:val="clear" w:color="auto" w:fill="auto"/>
            <w:noWrap/>
            <w:vAlign w:val="bottom"/>
          </w:tcPr>
          <w:p w14:paraId="09BCE870" w14:textId="77777777" w:rsidR="00616D71" w:rsidRPr="00595492" w:rsidRDefault="00616D71" w:rsidP="00616D71">
            <w:pPr>
              <w:jc w:val="right"/>
              <w:rPr>
                <w:rFonts w:ascii="Arial Narrow" w:hAnsi="Arial Narrow" w:cs="Calibri"/>
                <w:sz w:val="20"/>
                <w:szCs w:val="20"/>
              </w:rPr>
            </w:pPr>
            <w:r w:rsidRPr="00595492">
              <w:rPr>
                <w:rFonts w:ascii="Arial Narrow" w:hAnsi="Arial Narrow" w:cs="Calibri"/>
                <w:sz w:val="20"/>
                <w:szCs w:val="20"/>
              </w:rPr>
              <w:t>241.700</w:t>
            </w:r>
          </w:p>
        </w:tc>
        <w:tc>
          <w:tcPr>
            <w:tcW w:w="1610" w:type="pct"/>
            <w:gridSpan w:val="3"/>
            <w:tcBorders>
              <w:top w:val="single" w:sz="2" w:space="0" w:color="auto"/>
              <w:left w:val="nil"/>
              <w:bottom w:val="single" w:sz="2" w:space="0" w:color="auto"/>
              <w:right w:val="nil"/>
            </w:tcBorders>
            <w:shd w:val="clear" w:color="auto" w:fill="auto"/>
            <w:noWrap/>
            <w:vAlign w:val="bottom"/>
          </w:tcPr>
          <w:p w14:paraId="2F2DC9DC"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9%</w:t>
            </w:r>
          </w:p>
        </w:tc>
        <w:tc>
          <w:tcPr>
            <w:tcW w:w="1374" w:type="pct"/>
            <w:gridSpan w:val="2"/>
            <w:tcBorders>
              <w:top w:val="single" w:sz="2" w:space="0" w:color="auto"/>
              <w:left w:val="nil"/>
              <w:bottom w:val="single" w:sz="2" w:space="0" w:color="auto"/>
              <w:right w:val="nil"/>
            </w:tcBorders>
            <w:shd w:val="clear" w:color="auto" w:fill="auto"/>
            <w:noWrap/>
            <w:vAlign w:val="bottom"/>
          </w:tcPr>
          <w:p w14:paraId="0AA5C71B"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55%</w:t>
            </w:r>
          </w:p>
        </w:tc>
      </w:tr>
      <w:tr w:rsidR="00616D71" w:rsidRPr="00616D71" w14:paraId="6FE19101" w14:textId="77777777" w:rsidTr="00616D71">
        <w:trPr>
          <w:trHeight w:val="198"/>
          <w:jc w:val="center"/>
        </w:trPr>
        <w:tc>
          <w:tcPr>
            <w:tcW w:w="645" w:type="pct"/>
            <w:tcBorders>
              <w:top w:val="single" w:sz="2" w:space="0" w:color="auto"/>
              <w:left w:val="nil"/>
              <w:bottom w:val="single" w:sz="2" w:space="0" w:color="auto"/>
              <w:right w:val="nil"/>
            </w:tcBorders>
            <w:noWrap/>
            <w:vAlign w:val="center"/>
            <w:hideMark/>
          </w:tcPr>
          <w:p w14:paraId="2498AFD5" w14:textId="77777777" w:rsidR="00616D71" w:rsidRPr="00595492" w:rsidRDefault="00616D71" w:rsidP="00616D71">
            <w:pPr>
              <w:pStyle w:val="cuatexto"/>
              <w:rPr>
                <w:szCs w:val="20"/>
              </w:rPr>
            </w:pPr>
            <w:r w:rsidRPr="00595492">
              <w:rPr>
                <w:szCs w:val="20"/>
              </w:rPr>
              <w:t>2030</w:t>
            </w:r>
          </w:p>
        </w:tc>
        <w:tc>
          <w:tcPr>
            <w:tcW w:w="1371" w:type="pct"/>
            <w:gridSpan w:val="2"/>
            <w:tcBorders>
              <w:top w:val="single" w:sz="2" w:space="0" w:color="auto"/>
              <w:left w:val="nil"/>
              <w:bottom w:val="single" w:sz="2" w:space="0" w:color="auto"/>
              <w:right w:val="nil"/>
            </w:tcBorders>
            <w:shd w:val="clear" w:color="auto" w:fill="auto"/>
            <w:noWrap/>
            <w:vAlign w:val="bottom"/>
          </w:tcPr>
          <w:p w14:paraId="109E4B09" w14:textId="77777777" w:rsidR="00616D71" w:rsidRPr="00595492" w:rsidRDefault="00616D71" w:rsidP="00616D71">
            <w:pPr>
              <w:jc w:val="right"/>
              <w:rPr>
                <w:rFonts w:ascii="Arial Narrow" w:hAnsi="Arial Narrow" w:cs="Calibri"/>
                <w:sz w:val="20"/>
                <w:szCs w:val="20"/>
              </w:rPr>
            </w:pPr>
            <w:r w:rsidRPr="00595492">
              <w:rPr>
                <w:rFonts w:ascii="Arial Narrow" w:hAnsi="Arial Narrow" w:cs="Calibri"/>
                <w:sz w:val="20"/>
                <w:szCs w:val="20"/>
              </w:rPr>
              <w:t>212.700</w:t>
            </w:r>
          </w:p>
        </w:tc>
        <w:tc>
          <w:tcPr>
            <w:tcW w:w="1610" w:type="pct"/>
            <w:gridSpan w:val="3"/>
            <w:tcBorders>
              <w:top w:val="single" w:sz="2" w:space="0" w:color="auto"/>
              <w:left w:val="nil"/>
              <w:bottom w:val="single" w:sz="2" w:space="0" w:color="auto"/>
              <w:right w:val="nil"/>
            </w:tcBorders>
            <w:shd w:val="clear" w:color="auto" w:fill="auto"/>
            <w:noWrap/>
            <w:vAlign w:val="bottom"/>
          </w:tcPr>
          <w:p w14:paraId="23B144C7"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8%</w:t>
            </w:r>
          </w:p>
        </w:tc>
        <w:tc>
          <w:tcPr>
            <w:tcW w:w="1374" w:type="pct"/>
            <w:gridSpan w:val="2"/>
            <w:tcBorders>
              <w:top w:val="single" w:sz="2" w:space="0" w:color="auto"/>
              <w:left w:val="nil"/>
              <w:bottom w:val="single" w:sz="2" w:space="0" w:color="auto"/>
              <w:right w:val="nil"/>
            </w:tcBorders>
            <w:shd w:val="clear" w:color="auto" w:fill="auto"/>
            <w:noWrap/>
            <w:vAlign w:val="bottom"/>
          </w:tcPr>
          <w:p w14:paraId="62A85C16"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63%</w:t>
            </w:r>
          </w:p>
        </w:tc>
      </w:tr>
      <w:tr w:rsidR="00616D71" w:rsidRPr="00616D71" w14:paraId="32FB932C" w14:textId="77777777" w:rsidTr="00616D71">
        <w:trPr>
          <w:trHeight w:val="198"/>
          <w:jc w:val="center"/>
        </w:trPr>
        <w:tc>
          <w:tcPr>
            <w:tcW w:w="645" w:type="pct"/>
            <w:tcBorders>
              <w:top w:val="single" w:sz="2" w:space="0" w:color="auto"/>
              <w:left w:val="nil"/>
              <w:bottom w:val="single" w:sz="2" w:space="0" w:color="auto"/>
              <w:right w:val="nil"/>
            </w:tcBorders>
            <w:noWrap/>
            <w:vAlign w:val="center"/>
            <w:hideMark/>
          </w:tcPr>
          <w:p w14:paraId="3B84CB79" w14:textId="77777777" w:rsidR="00616D71" w:rsidRPr="00595492" w:rsidRDefault="00616D71" w:rsidP="00616D71">
            <w:pPr>
              <w:pStyle w:val="cuatexto"/>
              <w:rPr>
                <w:szCs w:val="20"/>
              </w:rPr>
            </w:pPr>
            <w:r w:rsidRPr="00595492">
              <w:rPr>
                <w:szCs w:val="20"/>
              </w:rPr>
              <w:t>2031</w:t>
            </w:r>
          </w:p>
        </w:tc>
        <w:tc>
          <w:tcPr>
            <w:tcW w:w="1371" w:type="pct"/>
            <w:gridSpan w:val="2"/>
            <w:tcBorders>
              <w:top w:val="single" w:sz="2" w:space="0" w:color="auto"/>
              <w:left w:val="nil"/>
              <w:bottom w:val="single" w:sz="2" w:space="0" w:color="auto"/>
              <w:right w:val="nil"/>
            </w:tcBorders>
            <w:shd w:val="clear" w:color="auto" w:fill="auto"/>
            <w:noWrap/>
            <w:vAlign w:val="bottom"/>
          </w:tcPr>
          <w:p w14:paraId="707EC163" w14:textId="77777777" w:rsidR="00616D71" w:rsidRPr="00595492" w:rsidRDefault="00616D71" w:rsidP="00616D71">
            <w:pPr>
              <w:jc w:val="right"/>
              <w:rPr>
                <w:rFonts w:ascii="Arial Narrow" w:hAnsi="Arial Narrow" w:cs="Calibri"/>
                <w:sz w:val="20"/>
                <w:szCs w:val="20"/>
              </w:rPr>
            </w:pPr>
            <w:r w:rsidRPr="00595492">
              <w:rPr>
                <w:rFonts w:ascii="Arial Narrow" w:hAnsi="Arial Narrow" w:cs="Calibri"/>
                <w:sz w:val="20"/>
                <w:szCs w:val="20"/>
              </w:rPr>
              <w:t>189.537</w:t>
            </w:r>
          </w:p>
        </w:tc>
        <w:tc>
          <w:tcPr>
            <w:tcW w:w="1610" w:type="pct"/>
            <w:gridSpan w:val="3"/>
            <w:tcBorders>
              <w:top w:val="single" w:sz="2" w:space="0" w:color="auto"/>
              <w:left w:val="nil"/>
              <w:bottom w:val="single" w:sz="2" w:space="0" w:color="auto"/>
              <w:right w:val="nil"/>
            </w:tcBorders>
            <w:shd w:val="clear" w:color="auto" w:fill="auto"/>
            <w:noWrap/>
            <w:vAlign w:val="bottom"/>
          </w:tcPr>
          <w:p w14:paraId="49CDEA66"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7%</w:t>
            </w:r>
          </w:p>
        </w:tc>
        <w:tc>
          <w:tcPr>
            <w:tcW w:w="1374" w:type="pct"/>
            <w:gridSpan w:val="2"/>
            <w:tcBorders>
              <w:top w:val="single" w:sz="2" w:space="0" w:color="auto"/>
              <w:left w:val="nil"/>
              <w:bottom w:val="single" w:sz="2" w:space="0" w:color="auto"/>
              <w:right w:val="nil"/>
            </w:tcBorders>
            <w:shd w:val="clear" w:color="auto" w:fill="auto"/>
            <w:noWrap/>
            <w:vAlign w:val="bottom"/>
          </w:tcPr>
          <w:p w14:paraId="7BA63992"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70%</w:t>
            </w:r>
          </w:p>
        </w:tc>
      </w:tr>
      <w:tr w:rsidR="00616D71" w:rsidRPr="00616D71" w14:paraId="002D5FEA" w14:textId="77777777" w:rsidTr="00616D71">
        <w:trPr>
          <w:trHeight w:val="198"/>
          <w:jc w:val="center"/>
        </w:trPr>
        <w:tc>
          <w:tcPr>
            <w:tcW w:w="645" w:type="pct"/>
            <w:tcBorders>
              <w:top w:val="single" w:sz="2" w:space="0" w:color="auto"/>
              <w:left w:val="nil"/>
              <w:bottom w:val="single" w:sz="2" w:space="0" w:color="auto"/>
              <w:right w:val="nil"/>
            </w:tcBorders>
            <w:noWrap/>
            <w:vAlign w:val="center"/>
            <w:hideMark/>
          </w:tcPr>
          <w:p w14:paraId="7849BFA5" w14:textId="77777777" w:rsidR="00616D71" w:rsidRPr="00595492" w:rsidRDefault="00616D71" w:rsidP="00616D71">
            <w:pPr>
              <w:pStyle w:val="cuatexto"/>
              <w:rPr>
                <w:szCs w:val="20"/>
              </w:rPr>
            </w:pPr>
            <w:r w:rsidRPr="00595492">
              <w:rPr>
                <w:szCs w:val="20"/>
              </w:rPr>
              <w:t>2032</w:t>
            </w:r>
          </w:p>
        </w:tc>
        <w:tc>
          <w:tcPr>
            <w:tcW w:w="1371" w:type="pct"/>
            <w:gridSpan w:val="2"/>
            <w:tcBorders>
              <w:top w:val="single" w:sz="2" w:space="0" w:color="auto"/>
              <w:left w:val="nil"/>
              <w:bottom w:val="single" w:sz="2" w:space="0" w:color="auto"/>
              <w:right w:val="nil"/>
            </w:tcBorders>
            <w:shd w:val="clear" w:color="auto" w:fill="auto"/>
            <w:noWrap/>
            <w:vAlign w:val="bottom"/>
          </w:tcPr>
          <w:p w14:paraId="404A13C7" w14:textId="77777777" w:rsidR="00616D71" w:rsidRPr="00595492" w:rsidRDefault="00616D71" w:rsidP="00616D71">
            <w:pPr>
              <w:jc w:val="right"/>
              <w:rPr>
                <w:rFonts w:ascii="Arial Narrow" w:hAnsi="Arial Narrow" w:cs="Calibri"/>
                <w:sz w:val="20"/>
                <w:szCs w:val="20"/>
              </w:rPr>
            </w:pPr>
            <w:r w:rsidRPr="00595492">
              <w:rPr>
                <w:rFonts w:ascii="Arial Narrow" w:hAnsi="Arial Narrow" w:cs="Calibri"/>
                <w:sz w:val="20"/>
                <w:szCs w:val="20"/>
              </w:rPr>
              <w:t>114.000</w:t>
            </w:r>
          </w:p>
        </w:tc>
        <w:tc>
          <w:tcPr>
            <w:tcW w:w="1610" w:type="pct"/>
            <w:gridSpan w:val="3"/>
            <w:tcBorders>
              <w:top w:val="single" w:sz="2" w:space="0" w:color="auto"/>
              <w:left w:val="nil"/>
              <w:bottom w:val="single" w:sz="2" w:space="0" w:color="auto"/>
              <w:right w:val="nil"/>
            </w:tcBorders>
            <w:shd w:val="clear" w:color="auto" w:fill="auto"/>
            <w:noWrap/>
            <w:vAlign w:val="bottom"/>
          </w:tcPr>
          <w:p w14:paraId="74E5966D"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4%</w:t>
            </w:r>
          </w:p>
        </w:tc>
        <w:tc>
          <w:tcPr>
            <w:tcW w:w="1374" w:type="pct"/>
            <w:gridSpan w:val="2"/>
            <w:tcBorders>
              <w:top w:val="single" w:sz="2" w:space="0" w:color="auto"/>
              <w:left w:val="nil"/>
              <w:bottom w:val="single" w:sz="2" w:space="0" w:color="auto"/>
              <w:right w:val="nil"/>
            </w:tcBorders>
            <w:shd w:val="clear" w:color="auto" w:fill="auto"/>
            <w:noWrap/>
            <w:vAlign w:val="bottom"/>
          </w:tcPr>
          <w:p w14:paraId="26C8CB56"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75%</w:t>
            </w:r>
          </w:p>
        </w:tc>
      </w:tr>
      <w:tr w:rsidR="00616D71" w:rsidRPr="00616D71" w14:paraId="787A66A1" w14:textId="77777777" w:rsidTr="00616D71">
        <w:trPr>
          <w:trHeight w:val="198"/>
          <w:jc w:val="center"/>
        </w:trPr>
        <w:tc>
          <w:tcPr>
            <w:tcW w:w="645" w:type="pct"/>
            <w:tcBorders>
              <w:top w:val="single" w:sz="2" w:space="0" w:color="auto"/>
              <w:left w:val="nil"/>
              <w:bottom w:val="single" w:sz="2" w:space="0" w:color="auto"/>
              <w:right w:val="nil"/>
            </w:tcBorders>
            <w:noWrap/>
            <w:vAlign w:val="center"/>
            <w:hideMark/>
          </w:tcPr>
          <w:p w14:paraId="67C533ED" w14:textId="77777777" w:rsidR="00616D71" w:rsidRPr="00595492" w:rsidRDefault="00616D71" w:rsidP="00616D71">
            <w:pPr>
              <w:pStyle w:val="cuatexto"/>
              <w:rPr>
                <w:szCs w:val="20"/>
              </w:rPr>
            </w:pPr>
            <w:r w:rsidRPr="00595492">
              <w:rPr>
                <w:szCs w:val="20"/>
              </w:rPr>
              <w:t>2033</w:t>
            </w:r>
          </w:p>
        </w:tc>
        <w:tc>
          <w:tcPr>
            <w:tcW w:w="1371" w:type="pct"/>
            <w:gridSpan w:val="2"/>
            <w:tcBorders>
              <w:top w:val="single" w:sz="2" w:space="0" w:color="auto"/>
              <w:left w:val="nil"/>
              <w:bottom w:val="single" w:sz="2" w:space="0" w:color="auto"/>
              <w:right w:val="nil"/>
            </w:tcBorders>
            <w:shd w:val="clear" w:color="auto" w:fill="auto"/>
            <w:noWrap/>
            <w:vAlign w:val="bottom"/>
          </w:tcPr>
          <w:p w14:paraId="1365F37A" w14:textId="77777777" w:rsidR="00616D71" w:rsidRPr="00595492" w:rsidRDefault="00616D71" w:rsidP="00616D71">
            <w:pPr>
              <w:jc w:val="right"/>
              <w:rPr>
                <w:rFonts w:ascii="Arial Narrow" w:hAnsi="Arial Narrow" w:cs="Calibri"/>
                <w:sz w:val="20"/>
                <w:szCs w:val="20"/>
              </w:rPr>
            </w:pPr>
            <w:r w:rsidRPr="00595492">
              <w:rPr>
                <w:rFonts w:ascii="Arial Narrow" w:hAnsi="Arial Narrow" w:cs="Calibri"/>
                <w:sz w:val="20"/>
                <w:szCs w:val="20"/>
              </w:rPr>
              <w:t>126.987</w:t>
            </w:r>
          </w:p>
        </w:tc>
        <w:tc>
          <w:tcPr>
            <w:tcW w:w="1610" w:type="pct"/>
            <w:gridSpan w:val="3"/>
            <w:tcBorders>
              <w:top w:val="single" w:sz="2" w:space="0" w:color="auto"/>
              <w:left w:val="nil"/>
              <w:bottom w:val="single" w:sz="2" w:space="0" w:color="auto"/>
              <w:right w:val="nil"/>
            </w:tcBorders>
            <w:shd w:val="clear" w:color="auto" w:fill="auto"/>
            <w:noWrap/>
            <w:vAlign w:val="bottom"/>
          </w:tcPr>
          <w:p w14:paraId="493A5228"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5%</w:t>
            </w:r>
          </w:p>
        </w:tc>
        <w:tc>
          <w:tcPr>
            <w:tcW w:w="1374" w:type="pct"/>
            <w:gridSpan w:val="2"/>
            <w:tcBorders>
              <w:top w:val="single" w:sz="2" w:space="0" w:color="auto"/>
              <w:left w:val="nil"/>
              <w:bottom w:val="single" w:sz="2" w:space="0" w:color="auto"/>
              <w:right w:val="nil"/>
            </w:tcBorders>
            <w:shd w:val="clear" w:color="auto" w:fill="auto"/>
            <w:noWrap/>
            <w:vAlign w:val="bottom"/>
          </w:tcPr>
          <w:p w14:paraId="5D6EA345"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80%</w:t>
            </w:r>
          </w:p>
        </w:tc>
      </w:tr>
      <w:tr w:rsidR="00616D71" w:rsidRPr="00616D71" w14:paraId="072E6595" w14:textId="77777777" w:rsidTr="00616D71">
        <w:trPr>
          <w:trHeight w:val="198"/>
          <w:jc w:val="center"/>
        </w:trPr>
        <w:tc>
          <w:tcPr>
            <w:tcW w:w="645" w:type="pct"/>
            <w:tcBorders>
              <w:top w:val="single" w:sz="2" w:space="0" w:color="auto"/>
              <w:left w:val="nil"/>
              <w:bottom w:val="single" w:sz="2" w:space="0" w:color="auto"/>
              <w:right w:val="nil"/>
            </w:tcBorders>
            <w:noWrap/>
            <w:vAlign w:val="center"/>
            <w:hideMark/>
          </w:tcPr>
          <w:p w14:paraId="0AC02328" w14:textId="77777777" w:rsidR="00616D71" w:rsidRPr="00595492" w:rsidRDefault="00616D71" w:rsidP="00616D71">
            <w:pPr>
              <w:pStyle w:val="cuatexto"/>
              <w:rPr>
                <w:szCs w:val="20"/>
              </w:rPr>
            </w:pPr>
            <w:r w:rsidRPr="00595492">
              <w:rPr>
                <w:szCs w:val="20"/>
              </w:rPr>
              <w:t>2034</w:t>
            </w:r>
          </w:p>
        </w:tc>
        <w:tc>
          <w:tcPr>
            <w:tcW w:w="1371" w:type="pct"/>
            <w:gridSpan w:val="2"/>
            <w:tcBorders>
              <w:top w:val="single" w:sz="2" w:space="0" w:color="auto"/>
              <w:left w:val="nil"/>
              <w:bottom w:val="single" w:sz="2" w:space="0" w:color="auto"/>
              <w:right w:val="nil"/>
            </w:tcBorders>
            <w:shd w:val="clear" w:color="auto" w:fill="auto"/>
            <w:noWrap/>
            <w:vAlign w:val="bottom"/>
          </w:tcPr>
          <w:p w14:paraId="081161F8" w14:textId="77777777" w:rsidR="00616D71" w:rsidRPr="00595492" w:rsidRDefault="00616D71" w:rsidP="00616D71">
            <w:pPr>
              <w:jc w:val="right"/>
              <w:rPr>
                <w:rFonts w:ascii="Arial Narrow" w:hAnsi="Arial Narrow" w:cs="Calibri"/>
                <w:sz w:val="20"/>
                <w:szCs w:val="20"/>
              </w:rPr>
            </w:pPr>
            <w:r w:rsidRPr="00595492">
              <w:rPr>
                <w:rFonts w:ascii="Arial Narrow" w:hAnsi="Arial Narrow" w:cs="Calibri"/>
                <w:sz w:val="20"/>
                <w:szCs w:val="20"/>
              </w:rPr>
              <w:t>32.000</w:t>
            </w:r>
          </w:p>
        </w:tc>
        <w:tc>
          <w:tcPr>
            <w:tcW w:w="1610" w:type="pct"/>
            <w:gridSpan w:val="3"/>
            <w:tcBorders>
              <w:top w:val="single" w:sz="2" w:space="0" w:color="auto"/>
              <w:left w:val="nil"/>
              <w:bottom w:val="single" w:sz="2" w:space="0" w:color="auto"/>
              <w:right w:val="nil"/>
            </w:tcBorders>
            <w:shd w:val="clear" w:color="auto" w:fill="auto"/>
            <w:noWrap/>
            <w:vAlign w:val="bottom"/>
          </w:tcPr>
          <w:p w14:paraId="1DE80F8F"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1%</w:t>
            </w:r>
          </w:p>
        </w:tc>
        <w:tc>
          <w:tcPr>
            <w:tcW w:w="1374" w:type="pct"/>
            <w:gridSpan w:val="2"/>
            <w:tcBorders>
              <w:top w:val="single" w:sz="2" w:space="0" w:color="auto"/>
              <w:left w:val="nil"/>
              <w:bottom w:val="single" w:sz="2" w:space="0" w:color="auto"/>
              <w:right w:val="nil"/>
            </w:tcBorders>
            <w:shd w:val="clear" w:color="auto" w:fill="auto"/>
            <w:noWrap/>
            <w:vAlign w:val="bottom"/>
          </w:tcPr>
          <w:p w14:paraId="6AA997B8"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81%</w:t>
            </w:r>
          </w:p>
        </w:tc>
      </w:tr>
      <w:tr w:rsidR="00616D71" w:rsidRPr="00616D71" w14:paraId="7F2D1DAF" w14:textId="77777777" w:rsidTr="00616D71">
        <w:trPr>
          <w:trHeight w:val="198"/>
          <w:jc w:val="center"/>
        </w:trPr>
        <w:tc>
          <w:tcPr>
            <w:tcW w:w="645" w:type="pct"/>
            <w:tcBorders>
              <w:top w:val="single" w:sz="2" w:space="0" w:color="auto"/>
              <w:left w:val="nil"/>
              <w:bottom w:val="single" w:sz="2" w:space="0" w:color="auto"/>
              <w:right w:val="nil"/>
            </w:tcBorders>
            <w:noWrap/>
            <w:vAlign w:val="center"/>
            <w:hideMark/>
          </w:tcPr>
          <w:p w14:paraId="19FBC2A6" w14:textId="77777777" w:rsidR="00616D71" w:rsidRPr="00595492" w:rsidRDefault="00616D71" w:rsidP="00616D71">
            <w:pPr>
              <w:pStyle w:val="cuatexto"/>
              <w:rPr>
                <w:szCs w:val="20"/>
              </w:rPr>
            </w:pPr>
            <w:r w:rsidRPr="00595492">
              <w:rPr>
                <w:szCs w:val="20"/>
              </w:rPr>
              <w:t>2035</w:t>
            </w:r>
          </w:p>
        </w:tc>
        <w:tc>
          <w:tcPr>
            <w:tcW w:w="1371" w:type="pct"/>
            <w:gridSpan w:val="2"/>
            <w:tcBorders>
              <w:top w:val="single" w:sz="2" w:space="0" w:color="auto"/>
              <w:left w:val="nil"/>
              <w:bottom w:val="single" w:sz="2" w:space="0" w:color="auto"/>
              <w:right w:val="nil"/>
            </w:tcBorders>
            <w:shd w:val="clear" w:color="auto" w:fill="auto"/>
            <w:noWrap/>
            <w:vAlign w:val="bottom"/>
          </w:tcPr>
          <w:p w14:paraId="6A6712A6" w14:textId="77777777" w:rsidR="00616D71" w:rsidRPr="00595492" w:rsidRDefault="00616D71" w:rsidP="00616D71">
            <w:pPr>
              <w:jc w:val="right"/>
              <w:rPr>
                <w:rFonts w:ascii="Arial Narrow" w:hAnsi="Arial Narrow" w:cs="Calibri"/>
                <w:sz w:val="20"/>
                <w:szCs w:val="20"/>
              </w:rPr>
            </w:pPr>
            <w:r w:rsidRPr="00595492">
              <w:rPr>
                <w:rFonts w:ascii="Arial Narrow" w:hAnsi="Arial Narrow" w:cs="Calibri"/>
                <w:sz w:val="20"/>
                <w:szCs w:val="20"/>
              </w:rPr>
              <w:t>159.871</w:t>
            </w:r>
          </w:p>
        </w:tc>
        <w:tc>
          <w:tcPr>
            <w:tcW w:w="1610" w:type="pct"/>
            <w:gridSpan w:val="3"/>
            <w:tcBorders>
              <w:top w:val="single" w:sz="2" w:space="0" w:color="auto"/>
              <w:left w:val="nil"/>
              <w:bottom w:val="single" w:sz="2" w:space="0" w:color="auto"/>
              <w:right w:val="nil"/>
            </w:tcBorders>
            <w:shd w:val="clear" w:color="auto" w:fill="auto"/>
            <w:noWrap/>
            <w:vAlign w:val="bottom"/>
          </w:tcPr>
          <w:p w14:paraId="0F435AED"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6%</w:t>
            </w:r>
          </w:p>
        </w:tc>
        <w:tc>
          <w:tcPr>
            <w:tcW w:w="1374" w:type="pct"/>
            <w:gridSpan w:val="2"/>
            <w:tcBorders>
              <w:top w:val="single" w:sz="2" w:space="0" w:color="auto"/>
              <w:left w:val="nil"/>
              <w:bottom w:val="single" w:sz="2" w:space="0" w:color="auto"/>
              <w:right w:val="nil"/>
            </w:tcBorders>
            <w:shd w:val="clear" w:color="auto" w:fill="auto"/>
            <w:noWrap/>
            <w:vAlign w:val="bottom"/>
          </w:tcPr>
          <w:p w14:paraId="2603E9CD"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87%</w:t>
            </w:r>
          </w:p>
        </w:tc>
      </w:tr>
      <w:tr w:rsidR="00616D71" w:rsidRPr="00616D71" w14:paraId="0052C438" w14:textId="77777777" w:rsidTr="00616D71">
        <w:trPr>
          <w:trHeight w:val="198"/>
          <w:jc w:val="center"/>
        </w:trPr>
        <w:tc>
          <w:tcPr>
            <w:tcW w:w="645" w:type="pct"/>
            <w:tcBorders>
              <w:top w:val="single" w:sz="2" w:space="0" w:color="auto"/>
              <w:left w:val="nil"/>
              <w:bottom w:val="single" w:sz="2" w:space="0" w:color="auto"/>
              <w:right w:val="nil"/>
            </w:tcBorders>
            <w:noWrap/>
            <w:vAlign w:val="center"/>
            <w:hideMark/>
          </w:tcPr>
          <w:p w14:paraId="00D8B5F8" w14:textId="77777777" w:rsidR="00616D71" w:rsidRPr="00595492" w:rsidRDefault="00616D71" w:rsidP="00616D71">
            <w:pPr>
              <w:pStyle w:val="cuatexto"/>
              <w:rPr>
                <w:szCs w:val="20"/>
              </w:rPr>
            </w:pPr>
            <w:r w:rsidRPr="00595492">
              <w:rPr>
                <w:szCs w:val="20"/>
              </w:rPr>
              <w:t>2036</w:t>
            </w:r>
          </w:p>
        </w:tc>
        <w:tc>
          <w:tcPr>
            <w:tcW w:w="1371" w:type="pct"/>
            <w:gridSpan w:val="2"/>
            <w:tcBorders>
              <w:top w:val="single" w:sz="2" w:space="0" w:color="auto"/>
              <w:left w:val="nil"/>
              <w:bottom w:val="single" w:sz="2" w:space="0" w:color="auto"/>
              <w:right w:val="nil"/>
            </w:tcBorders>
            <w:shd w:val="clear" w:color="auto" w:fill="auto"/>
            <w:noWrap/>
            <w:vAlign w:val="bottom"/>
          </w:tcPr>
          <w:p w14:paraId="14C99415" w14:textId="77777777" w:rsidR="00616D71" w:rsidRPr="00595492" w:rsidRDefault="00616D71" w:rsidP="00616D71">
            <w:pPr>
              <w:jc w:val="right"/>
              <w:rPr>
                <w:rFonts w:ascii="Arial Narrow" w:hAnsi="Arial Narrow" w:cs="Calibri"/>
                <w:sz w:val="20"/>
                <w:szCs w:val="20"/>
              </w:rPr>
            </w:pPr>
            <w:r w:rsidRPr="00595492">
              <w:rPr>
                <w:rFonts w:ascii="Arial Narrow" w:hAnsi="Arial Narrow" w:cs="Calibri"/>
                <w:sz w:val="20"/>
                <w:szCs w:val="20"/>
              </w:rPr>
              <w:t>0</w:t>
            </w:r>
          </w:p>
        </w:tc>
        <w:tc>
          <w:tcPr>
            <w:tcW w:w="1610" w:type="pct"/>
            <w:gridSpan w:val="3"/>
            <w:tcBorders>
              <w:top w:val="single" w:sz="2" w:space="0" w:color="auto"/>
              <w:left w:val="nil"/>
              <w:bottom w:val="single" w:sz="2" w:space="0" w:color="auto"/>
              <w:right w:val="nil"/>
            </w:tcBorders>
            <w:shd w:val="clear" w:color="auto" w:fill="auto"/>
            <w:noWrap/>
            <w:vAlign w:val="bottom"/>
          </w:tcPr>
          <w:p w14:paraId="1442AAD2"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0%</w:t>
            </w:r>
          </w:p>
        </w:tc>
        <w:tc>
          <w:tcPr>
            <w:tcW w:w="1374" w:type="pct"/>
            <w:gridSpan w:val="2"/>
            <w:tcBorders>
              <w:top w:val="single" w:sz="2" w:space="0" w:color="auto"/>
              <w:left w:val="nil"/>
              <w:bottom w:val="single" w:sz="2" w:space="0" w:color="auto"/>
              <w:right w:val="nil"/>
            </w:tcBorders>
            <w:shd w:val="clear" w:color="auto" w:fill="auto"/>
            <w:noWrap/>
            <w:vAlign w:val="bottom"/>
          </w:tcPr>
          <w:p w14:paraId="5C9FFA50"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87%</w:t>
            </w:r>
          </w:p>
        </w:tc>
      </w:tr>
      <w:tr w:rsidR="00616D71" w:rsidRPr="00616D71" w14:paraId="07CC5009" w14:textId="77777777" w:rsidTr="00616D71">
        <w:trPr>
          <w:trHeight w:val="198"/>
          <w:jc w:val="center"/>
        </w:trPr>
        <w:tc>
          <w:tcPr>
            <w:tcW w:w="645" w:type="pct"/>
            <w:tcBorders>
              <w:top w:val="single" w:sz="2" w:space="0" w:color="auto"/>
              <w:left w:val="nil"/>
              <w:bottom w:val="single" w:sz="2" w:space="0" w:color="auto"/>
              <w:right w:val="nil"/>
            </w:tcBorders>
            <w:noWrap/>
            <w:vAlign w:val="center"/>
            <w:hideMark/>
          </w:tcPr>
          <w:p w14:paraId="023E386B" w14:textId="77777777" w:rsidR="00616D71" w:rsidRPr="00595492" w:rsidRDefault="00616D71" w:rsidP="00616D71">
            <w:pPr>
              <w:pStyle w:val="cuatexto"/>
              <w:rPr>
                <w:szCs w:val="20"/>
              </w:rPr>
            </w:pPr>
            <w:r w:rsidRPr="00595492">
              <w:rPr>
                <w:szCs w:val="20"/>
              </w:rPr>
              <w:t>2037</w:t>
            </w:r>
          </w:p>
        </w:tc>
        <w:tc>
          <w:tcPr>
            <w:tcW w:w="1371" w:type="pct"/>
            <w:gridSpan w:val="2"/>
            <w:tcBorders>
              <w:top w:val="single" w:sz="2" w:space="0" w:color="auto"/>
              <w:left w:val="nil"/>
              <w:bottom w:val="single" w:sz="2" w:space="0" w:color="auto"/>
              <w:right w:val="nil"/>
            </w:tcBorders>
            <w:shd w:val="clear" w:color="auto" w:fill="auto"/>
            <w:noWrap/>
            <w:vAlign w:val="bottom"/>
          </w:tcPr>
          <w:p w14:paraId="28070A76" w14:textId="77777777" w:rsidR="00616D71" w:rsidRPr="00595492" w:rsidRDefault="00616D71" w:rsidP="00616D71">
            <w:pPr>
              <w:jc w:val="right"/>
              <w:rPr>
                <w:rFonts w:ascii="Arial Narrow" w:hAnsi="Arial Narrow" w:cs="Calibri"/>
                <w:sz w:val="20"/>
                <w:szCs w:val="20"/>
              </w:rPr>
            </w:pPr>
            <w:r w:rsidRPr="00595492">
              <w:rPr>
                <w:rFonts w:ascii="Arial Narrow" w:hAnsi="Arial Narrow" w:cs="Calibri"/>
                <w:sz w:val="20"/>
                <w:szCs w:val="20"/>
              </w:rPr>
              <w:t>65.709</w:t>
            </w:r>
          </w:p>
        </w:tc>
        <w:tc>
          <w:tcPr>
            <w:tcW w:w="1610" w:type="pct"/>
            <w:gridSpan w:val="3"/>
            <w:tcBorders>
              <w:top w:val="single" w:sz="2" w:space="0" w:color="auto"/>
              <w:left w:val="nil"/>
              <w:bottom w:val="single" w:sz="2" w:space="0" w:color="auto"/>
              <w:right w:val="nil"/>
            </w:tcBorders>
            <w:shd w:val="clear" w:color="auto" w:fill="auto"/>
            <w:noWrap/>
            <w:vAlign w:val="bottom"/>
          </w:tcPr>
          <w:p w14:paraId="31290B73"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2%</w:t>
            </w:r>
          </w:p>
        </w:tc>
        <w:tc>
          <w:tcPr>
            <w:tcW w:w="1374" w:type="pct"/>
            <w:gridSpan w:val="2"/>
            <w:tcBorders>
              <w:top w:val="single" w:sz="2" w:space="0" w:color="auto"/>
              <w:left w:val="nil"/>
              <w:bottom w:val="single" w:sz="2" w:space="0" w:color="auto"/>
              <w:right w:val="nil"/>
            </w:tcBorders>
            <w:shd w:val="clear" w:color="auto" w:fill="auto"/>
            <w:noWrap/>
            <w:vAlign w:val="bottom"/>
          </w:tcPr>
          <w:p w14:paraId="0EA91661"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89%</w:t>
            </w:r>
          </w:p>
        </w:tc>
      </w:tr>
      <w:tr w:rsidR="00616D71" w:rsidRPr="00616D71" w14:paraId="2E70DA70" w14:textId="77777777" w:rsidTr="00616D71">
        <w:trPr>
          <w:trHeight w:val="198"/>
          <w:jc w:val="center"/>
        </w:trPr>
        <w:tc>
          <w:tcPr>
            <w:tcW w:w="645" w:type="pct"/>
            <w:tcBorders>
              <w:top w:val="single" w:sz="2" w:space="0" w:color="auto"/>
              <w:left w:val="nil"/>
              <w:bottom w:val="single" w:sz="2" w:space="0" w:color="auto"/>
              <w:right w:val="nil"/>
            </w:tcBorders>
            <w:noWrap/>
            <w:vAlign w:val="center"/>
            <w:hideMark/>
          </w:tcPr>
          <w:p w14:paraId="44271B5C" w14:textId="77777777" w:rsidR="00616D71" w:rsidRPr="00595492" w:rsidRDefault="00616D71" w:rsidP="00616D71">
            <w:pPr>
              <w:pStyle w:val="cuatexto"/>
              <w:rPr>
                <w:szCs w:val="20"/>
              </w:rPr>
            </w:pPr>
            <w:r w:rsidRPr="00595492">
              <w:rPr>
                <w:szCs w:val="20"/>
              </w:rPr>
              <w:t>2038</w:t>
            </w:r>
          </w:p>
        </w:tc>
        <w:tc>
          <w:tcPr>
            <w:tcW w:w="1371" w:type="pct"/>
            <w:gridSpan w:val="2"/>
            <w:tcBorders>
              <w:top w:val="single" w:sz="2" w:space="0" w:color="auto"/>
              <w:left w:val="nil"/>
              <w:bottom w:val="single" w:sz="2" w:space="0" w:color="auto"/>
              <w:right w:val="nil"/>
            </w:tcBorders>
            <w:shd w:val="clear" w:color="auto" w:fill="auto"/>
            <w:noWrap/>
            <w:vAlign w:val="bottom"/>
          </w:tcPr>
          <w:p w14:paraId="2B516F74" w14:textId="77777777" w:rsidR="00616D71" w:rsidRPr="00595492" w:rsidRDefault="00616D71" w:rsidP="00616D71">
            <w:pPr>
              <w:jc w:val="right"/>
              <w:rPr>
                <w:rFonts w:ascii="Arial Narrow" w:hAnsi="Arial Narrow" w:cs="Calibri"/>
                <w:sz w:val="20"/>
                <w:szCs w:val="20"/>
              </w:rPr>
            </w:pPr>
            <w:r w:rsidRPr="00595492">
              <w:rPr>
                <w:rFonts w:ascii="Arial Narrow" w:hAnsi="Arial Narrow" w:cs="Calibri"/>
                <w:sz w:val="20"/>
                <w:szCs w:val="20"/>
              </w:rPr>
              <w:t>43.000</w:t>
            </w:r>
          </w:p>
        </w:tc>
        <w:tc>
          <w:tcPr>
            <w:tcW w:w="1610" w:type="pct"/>
            <w:gridSpan w:val="3"/>
            <w:tcBorders>
              <w:top w:val="single" w:sz="2" w:space="0" w:color="auto"/>
              <w:left w:val="nil"/>
              <w:bottom w:val="single" w:sz="2" w:space="0" w:color="auto"/>
              <w:right w:val="nil"/>
            </w:tcBorders>
            <w:shd w:val="clear" w:color="auto" w:fill="auto"/>
            <w:noWrap/>
            <w:vAlign w:val="bottom"/>
          </w:tcPr>
          <w:p w14:paraId="6E2D7AD2"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2%</w:t>
            </w:r>
          </w:p>
        </w:tc>
        <w:tc>
          <w:tcPr>
            <w:tcW w:w="1374" w:type="pct"/>
            <w:gridSpan w:val="2"/>
            <w:tcBorders>
              <w:top w:val="single" w:sz="2" w:space="0" w:color="auto"/>
              <w:left w:val="nil"/>
              <w:bottom w:val="single" w:sz="2" w:space="0" w:color="auto"/>
              <w:right w:val="nil"/>
            </w:tcBorders>
            <w:shd w:val="clear" w:color="auto" w:fill="auto"/>
            <w:noWrap/>
            <w:vAlign w:val="bottom"/>
          </w:tcPr>
          <w:p w14:paraId="61CDC7A4"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91%</w:t>
            </w:r>
          </w:p>
        </w:tc>
      </w:tr>
      <w:tr w:rsidR="00616D71" w:rsidRPr="00616D71" w14:paraId="0C39EB97" w14:textId="77777777" w:rsidTr="00616D71">
        <w:trPr>
          <w:trHeight w:val="198"/>
          <w:jc w:val="center"/>
        </w:trPr>
        <w:tc>
          <w:tcPr>
            <w:tcW w:w="645" w:type="pct"/>
            <w:tcBorders>
              <w:top w:val="single" w:sz="2" w:space="0" w:color="auto"/>
              <w:left w:val="nil"/>
              <w:bottom w:val="single" w:sz="2" w:space="0" w:color="auto"/>
              <w:right w:val="nil"/>
            </w:tcBorders>
            <w:noWrap/>
            <w:vAlign w:val="center"/>
            <w:hideMark/>
          </w:tcPr>
          <w:p w14:paraId="3A78B7D4" w14:textId="77777777" w:rsidR="00616D71" w:rsidRPr="00595492" w:rsidRDefault="00616D71" w:rsidP="00616D71">
            <w:pPr>
              <w:pStyle w:val="cuatexto"/>
              <w:rPr>
                <w:szCs w:val="20"/>
              </w:rPr>
            </w:pPr>
            <w:r w:rsidRPr="00595492">
              <w:rPr>
                <w:szCs w:val="20"/>
              </w:rPr>
              <w:t>2039</w:t>
            </w:r>
          </w:p>
        </w:tc>
        <w:tc>
          <w:tcPr>
            <w:tcW w:w="1371" w:type="pct"/>
            <w:gridSpan w:val="2"/>
            <w:tcBorders>
              <w:top w:val="single" w:sz="2" w:space="0" w:color="auto"/>
              <w:left w:val="nil"/>
              <w:bottom w:val="single" w:sz="2" w:space="0" w:color="auto"/>
              <w:right w:val="nil"/>
            </w:tcBorders>
            <w:shd w:val="clear" w:color="auto" w:fill="auto"/>
            <w:noWrap/>
            <w:vAlign w:val="bottom"/>
          </w:tcPr>
          <w:p w14:paraId="4431223F" w14:textId="77777777" w:rsidR="00616D71" w:rsidRPr="00595492" w:rsidRDefault="00616D71" w:rsidP="00616D71">
            <w:pPr>
              <w:jc w:val="right"/>
              <w:rPr>
                <w:rFonts w:ascii="Arial Narrow" w:hAnsi="Arial Narrow" w:cs="Calibri"/>
                <w:sz w:val="20"/>
                <w:szCs w:val="20"/>
              </w:rPr>
            </w:pPr>
            <w:r w:rsidRPr="00595492">
              <w:rPr>
                <w:rFonts w:ascii="Arial Narrow" w:hAnsi="Arial Narrow" w:cs="Calibri"/>
                <w:sz w:val="20"/>
                <w:szCs w:val="20"/>
              </w:rPr>
              <w:t>0</w:t>
            </w:r>
          </w:p>
        </w:tc>
        <w:tc>
          <w:tcPr>
            <w:tcW w:w="1610" w:type="pct"/>
            <w:gridSpan w:val="3"/>
            <w:tcBorders>
              <w:top w:val="single" w:sz="2" w:space="0" w:color="auto"/>
              <w:left w:val="nil"/>
              <w:bottom w:val="single" w:sz="2" w:space="0" w:color="auto"/>
              <w:right w:val="nil"/>
            </w:tcBorders>
            <w:shd w:val="clear" w:color="auto" w:fill="auto"/>
            <w:noWrap/>
            <w:vAlign w:val="bottom"/>
          </w:tcPr>
          <w:p w14:paraId="2BFBA9BF"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0%</w:t>
            </w:r>
          </w:p>
        </w:tc>
        <w:tc>
          <w:tcPr>
            <w:tcW w:w="1374" w:type="pct"/>
            <w:gridSpan w:val="2"/>
            <w:tcBorders>
              <w:top w:val="single" w:sz="2" w:space="0" w:color="auto"/>
              <w:left w:val="nil"/>
              <w:bottom w:val="single" w:sz="2" w:space="0" w:color="auto"/>
              <w:right w:val="nil"/>
            </w:tcBorders>
            <w:shd w:val="clear" w:color="auto" w:fill="auto"/>
            <w:noWrap/>
            <w:vAlign w:val="bottom"/>
          </w:tcPr>
          <w:p w14:paraId="70ABDC93"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91%</w:t>
            </w:r>
          </w:p>
        </w:tc>
      </w:tr>
      <w:tr w:rsidR="00616D71" w:rsidRPr="00616D71" w14:paraId="69845882" w14:textId="77777777" w:rsidTr="00616D71">
        <w:trPr>
          <w:trHeight w:val="198"/>
          <w:jc w:val="center"/>
        </w:trPr>
        <w:tc>
          <w:tcPr>
            <w:tcW w:w="645" w:type="pct"/>
            <w:tcBorders>
              <w:top w:val="single" w:sz="2" w:space="0" w:color="auto"/>
              <w:left w:val="nil"/>
              <w:bottom w:val="single" w:sz="2" w:space="0" w:color="auto"/>
              <w:right w:val="nil"/>
            </w:tcBorders>
            <w:noWrap/>
            <w:vAlign w:val="bottom"/>
            <w:hideMark/>
          </w:tcPr>
          <w:p w14:paraId="250FC0D2" w14:textId="77777777" w:rsidR="00616D71" w:rsidRPr="00595492" w:rsidRDefault="00616D71" w:rsidP="00616D71">
            <w:pPr>
              <w:pStyle w:val="cuatexto"/>
              <w:rPr>
                <w:szCs w:val="20"/>
              </w:rPr>
            </w:pPr>
            <w:r w:rsidRPr="00595492">
              <w:rPr>
                <w:szCs w:val="20"/>
              </w:rPr>
              <w:t>2040</w:t>
            </w:r>
          </w:p>
        </w:tc>
        <w:tc>
          <w:tcPr>
            <w:tcW w:w="1371" w:type="pct"/>
            <w:gridSpan w:val="2"/>
            <w:tcBorders>
              <w:top w:val="single" w:sz="2" w:space="0" w:color="auto"/>
              <w:left w:val="nil"/>
              <w:bottom w:val="single" w:sz="2" w:space="0" w:color="auto"/>
              <w:right w:val="nil"/>
            </w:tcBorders>
            <w:shd w:val="clear" w:color="auto" w:fill="auto"/>
            <w:noWrap/>
            <w:vAlign w:val="bottom"/>
          </w:tcPr>
          <w:p w14:paraId="6864FE45" w14:textId="77777777" w:rsidR="00616D71" w:rsidRPr="00595492" w:rsidRDefault="00616D71" w:rsidP="00616D71">
            <w:pPr>
              <w:jc w:val="right"/>
              <w:rPr>
                <w:rFonts w:ascii="Arial Narrow" w:hAnsi="Arial Narrow" w:cs="Calibri"/>
                <w:sz w:val="20"/>
                <w:szCs w:val="20"/>
              </w:rPr>
            </w:pPr>
            <w:r w:rsidRPr="00595492">
              <w:rPr>
                <w:rFonts w:ascii="Arial Narrow" w:hAnsi="Arial Narrow" w:cs="Calibri"/>
                <w:sz w:val="20"/>
                <w:szCs w:val="20"/>
              </w:rPr>
              <w:t>74.620</w:t>
            </w:r>
          </w:p>
        </w:tc>
        <w:tc>
          <w:tcPr>
            <w:tcW w:w="1610" w:type="pct"/>
            <w:gridSpan w:val="3"/>
            <w:tcBorders>
              <w:top w:val="single" w:sz="2" w:space="0" w:color="auto"/>
              <w:left w:val="nil"/>
              <w:bottom w:val="single" w:sz="2" w:space="0" w:color="auto"/>
              <w:right w:val="nil"/>
            </w:tcBorders>
            <w:shd w:val="clear" w:color="auto" w:fill="auto"/>
            <w:noWrap/>
            <w:vAlign w:val="bottom"/>
          </w:tcPr>
          <w:p w14:paraId="057B8FEF"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3%</w:t>
            </w:r>
          </w:p>
        </w:tc>
        <w:tc>
          <w:tcPr>
            <w:tcW w:w="1374" w:type="pct"/>
            <w:gridSpan w:val="2"/>
            <w:tcBorders>
              <w:top w:val="single" w:sz="2" w:space="0" w:color="auto"/>
              <w:left w:val="nil"/>
              <w:bottom w:val="single" w:sz="2" w:space="0" w:color="auto"/>
              <w:right w:val="nil"/>
            </w:tcBorders>
            <w:shd w:val="clear" w:color="auto" w:fill="auto"/>
            <w:noWrap/>
            <w:vAlign w:val="bottom"/>
          </w:tcPr>
          <w:p w14:paraId="704D88C1"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94%</w:t>
            </w:r>
          </w:p>
        </w:tc>
      </w:tr>
      <w:tr w:rsidR="00616D71" w:rsidRPr="00616D71" w14:paraId="77D9D9FD" w14:textId="77777777" w:rsidTr="00616D71">
        <w:trPr>
          <w:cantSplit/>
          <w:trHeight w:val="198"/>
          <w:jc w:val="center"/>
        </w:trPr>
        <w:tc>
          <w:tcPr>
            <w:tcW w:w="645" w:type="pct"/>
            <w:tcBorders>
              <w:top w:val="single" w:sz="2" w:space="0" w:color="auto"/>
              <w:left w:val="nil"/>
              <w:bottom w:val="single" w:sz="2" w:space="0" w:color="auto"/>
              <w:right w:val="nil"/>
            </w:tcBorders>
            <w:noWrap/>
            <w:vAlign w:val="bottom"/>
            <w:hideMark/>
          </w:tcPr>
          <w:p w14:paraId="154471EF" w14:textId="77777777" w:rsidR="00616D71" w:rsidRPr="00595492" w:rsidRDefault="00616D71" w:rsidP="00616D71">
            <w:pPr>
              <w:pStyle w:val="cuatexto"/>
              <w:rPr>
                <w:szCs w:val="20"/>
              </w:rPr>
            </w:pPr>
            <w:r w:rsidRPr="00595492">
              <w:rPr>
                <w:szCs w:val="20"/>
              </w:rPr>
              <w:t>2041</w:t>
            </w:r>
          </w:p>
        </w:tc>
        <w:tc>
          <w:tcPr>
            <w:tcW w:w="1371" w:type="pct"/>
            <w:gridSpan w:val="2"/>
            <w:tcBorders>
              <w:top w:val="single" w:sz="2" w:space="0" w:color="auto"/>
              <w:left w:val="nil"/>
              <w:bottom w:val="single" w:sz="2" w:space="0" w:color="auto"/>
              <w:right w:val="nil"/>
            </w:tcBorders>
            <w:shd w:val="clear" w:color="auto" w:fill="auto"/>
            <w:noWrap/>
            <w:vAlign w:val="bottom"/>
          </w:tcPr>
          <w:p w14:paraId="7DD39737" w14:textId="77777777" w:rsidR="00616D71" w:rsidRPr="00595492" w:rsidRDefault="00616D71" w:rsidP="00616D71">
            <w:pPr>
              <w:jc w:val="right"/>
              <w:rPr>
                <w:rFonts w:ascii="Arial Narrow" w:hAnsi="Arial Narrow" w:cs="Calibri"/>
                <w:sz w:val="20"/>
                <w:szCs w:val="20"/>
              </w:rPr>
            </w:pPr>
            <w:r w:rsidRPr="00595492">
              <w:rPr>
                <w:rFonts w:ascii="Arial Narrow" w:hAnsi="Arial Narrow" w:cs="Calibri"/>
                <w:sz w:val="20"/>
                <w:szCs w:val="20"/>
              </w:rPr>
              <w:t>0</w:t>
            </w:r>
          </w:p>
        </w:tc>
        <w:tc>
          <w:tcPr>
            <w:tcW w:w="1610" w:type="pct"/>
            <w:gridSpan w:val="3"/>
            <w:tcBorders>
              <w:top w:val="single" w:sz="2" w:space="0" w:color="auto"/>
              <w:left w:val="nil"/>
              <w:bottom w:val="single" w:sz="2" w:space="0" w:color="auto"/>
              <w:right w:val="nil"/>
            </w:tcBorders>
            <w:shd w:val="clear" w:color="auto" w:fill="auto"/>
            <w:noWrap/>
            <w:vAlign w:val="bottom"/>
          </w:tcPr>
          <w:p w14:paraId="395D1E6E"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0%</w:t>
            </w:r>
          </w:p>
        </w:tc>
        <w:tc>
          <w:tcPr>
            <w:tcW w:w="1374" w:type="pct"/>
            <w:gridSpan w:val="2"/>
            <w:tcBorders>
              <w:top w:val="single" w:sz="2" w:space="0" w:color="auto"/>
              <w:left w:val="nil"/>
              <w:bottom w:val="single" w:sz="2" w:space="0" w:color="auto"/>
              <w:right w:val="nil"/>
            </w:tcBorders>
            <w:shd w:val="clear" w:color="auto" w:fill="auto"/>
            <w:noWrap/>
            <w:vAlign w:val="bottom"/>
          </w:tcPr>
          <w:p w14:paraId="446528C5"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94%</w:t>
            </w:r>
          </w:p>
        </w:tc>
      </w:tr>
      <w:tr w:rsidR="00616D71" w:rsidRPr="00616D71" w14:paraId="5AC98220" w14:textId="77777777" w:rsidTr="00616D71">
        <w:trPr>
          <w:cantSplit/>
          <w:trHeight w:val="198"/>
          <w:jc w:val="center"/>
        </w:trPr>
        <w:tc>
          <w:tcPr>
            <w:tcW w:w="645" w:type="pct"/>
            <w:tcBorders>
              <w:top w:val="single" w:sz="2" w:space="0" w:color="auto"/>
              <w:left w:val="nil"/>
              <w:bottom w:val="single" w:sz="2" w:space="0" w:color="auto"/>
              <w:right w:val="nil"/>
            </w:tcBorders>
            <w:noWrap/>
            <w:vAlign w:val="bottom"/>
            <w:hideMark/>
          </w:tcPr>
          <w:p w14:paraId="7B8CC999" w14:textId="77777777" w:rsidR="00616D71" w:rsidRPr="00595492" w:rsidRDefault="00616D71" w:rsidP="00616D71">
            <w:pPr>
              <w:pStyle w:val="cuatexto"/>
              <w:rPr>
                <w:szCs w:val="20"/>
              </w:rPr>
            </w:pPr>
            <w:r w:rsidRPr="00595492">
              <w:rPr>
                <w:szCs w:val="20"/>
              </w:rPr>
              <w:t>2042</w:t>
            </w:r>
          </w:p>
        </w:tc>
        <w:tc>
          <w:tcPr>
            <w:tcW w:w="1371" w:type="pct"/>
            <w:gridSpan w:val="2"/>
            <w:tcBorders>
              <w:top w:val="single" w:sz="2" w:space="0" w:color="auto"/>
              <w:left w:val="nil"/>
              <w:bottom w:val="single" w:sz="2" w:space="0" w:color="auto"/>
              <w:right w:val="nil"/>
            </w:tcBorders>
            <w:shd w:val="clear" w:color="auto" w:fill="auto"/>
            <w:noWrap/>
            <w:vAlign w:val="bottom"/>
          </w:tcPr>
          <w:p w14:paraId="631EFB2D" w14:textId="77777777" w:rsidR="00616D71" w:rsidRPr="00595492" w:rsidRDefault="00616D71" w:rsidP="00616D71">
            <w:pPr>
              <w:jc w:val="right"/>
              <w:rPr>
                <w:rFonts w:ascii="Arial Narrow" w:hAnsi="Arial Narrow" w:cs="Calibri"/>
                <w:sz w:val="20"/>
                <w:szCs w:val="20"/>
              </w:rPr>
            </w:pPr>
            <w:r w:rsidRPr="00595492">
              <w:rPr>
                <w:rFonts w:ascii="Arial Narrow" w:hAnsi="Arial Narrow" w:cs="Calibri"/>
                <w:sz w:val="20"/>
                <w:szCs w:val="20"/>
              </w:rPr>
              <w:t>124.262</w:t>
            </w:r>
          </w:p>
        </w:tc>
        <w:tc>
          <w:tcPr>
            <w:tcW w:w="1610" w:type="pct"/>
            <w:gridSpan w:val="3"/>
            <w:tcBorders>
              <w:top w:val="single" w:sz="2" w:space="0" w:color="auto"/>
              <w:left w:val="nil"/>
              <w:bottom w:val="single" w:sz="2" w:space="0" w:color="auto"/>
              <w:right w:val="nil"/>
            </w:tcBorders>
            <w:shd w:val="clear" w:color="auto" w:fill="auto"/>
            <w:noWrap/>
            <w:vAlign w:val="bottom"/>
          </w:tcPr>
          <w:p w14:paraId="3696CC48"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5%</w:t>
            </w:r>
          </w:p>
        </w:tc>
        <w:tc>
          <w:tcPr>
            <w:tcW w:w="1374" w:type="pct"/>
            <w:gridSpan w:val="2"/>
            <w:tcBorders>
              <w:top w:val="single" w:sz="2" w:space="0" w:color="auto"/>
              <w:left w:val="nil"/>
              <w:bottom w:val="single" w:sz="2" w:space="0" w:color="auto"/>
              <w:right w:val="nil"/>
            </w:tcBorders>
            <w:shd w:val="clear" w:color="auto" w:fill="auto"/>
            <w:noWrap/>
            <w:vAlign w:val="bottom"/>
          </w:tcPr>
          <w:p w14:paraId="5227C550"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98%</w:t>
            </w:r>
          </w:p>
        </w:tc>
      </w:tr>
      <w:tr w:rsidR="00616D71" w:rsidRPr="00616D71" w14:paraId="0236AD29" w14:textId="77777777" w:rsidTr="00616D71">
        <w:trPr>
          <w:cantSplit/>
          <w:trHeight w:val="198"/>
          <w:jc w:val="center"/>
        </w:trPr>
        <w:tc>
          <w:tcPr>
            <w:tcW w:w="645" w:type="pct"/>
            <w:tcBorders>
              <w:top w:val="single" w:sz="2" w:space="0" w:color="auto"/>
              <w:left w:val="nil"/>
              <w:bottom w:val="single" w:sz="2" w:space="0" w:color="auto"/>
              <w:right w:val="nil"/>
            </w:tcBorders>
            <w:noWrap/>
            <w:vAlign w:val="bottom"/>
            <w:hideMark/>
          </w:tcPr>
          <w:p w14:paraId="7F91ED52" w14:textId="77777777" w:rsidR="00616D71" w:rsidRPr="00595492" w:rsidRDefault="00616D71" w:rsidP="00616D71">
            <w:pPr>
              <w:pStyle w:val="cuatexto"/>
              <w:rPr>
                <w:szCs w:val="20"/>
              </w:rPr>
            </w:pPr>
            <w:r w:rsidRPr="00595492">
              <w:rPr>
                <w:szCs w:val="20"/>
              </w:rPr>
              <w:t>2043</w:t>
            </w:r>
          </w:p>
        </w:tc>
        <w:tc>
          <w:tcPr>
            <w:tcW w:w="1371" w:type="pct"/>
            <w:gridSpan w:val="2"/>
            <w:tcBorders>
              <w:top w:val="single" w:sz="2" w:space="0" w:color="auto"/>
              <w:left w:val="nil"/>
              <w:bottom w:val="single" w:sz="2" w:space="0" w:color="auto"/>
              <w:right w:val="nil"/>
            </w:tcBorders>
            <w:shd w:val="clear" w:color="auto" w:fill="auto"/>
            <w:noWrap/>
            <w:vAlign w:val="bottom"/>
          </w:tcPr>
          <w:p w14:paraId="1C4A71FB" w14:textId="77777777" w:rsidR="00616D71" w:rsidRPr="00595492" w:rsidRDefault="00616D71" w:rsidP="00616D71">
            <w:pPr>
              <w:jc w:val="right"/>
              <w:rPr>
                <w:rFonts w:ascii="Arial Narrow" w:hAnsi="Arial Narrow" w:cs="Calibri"/>
                <w:sz w:val="20"/>
                <w:szCs w:val="20"/>
              </w:rPr>
            </w:pPr>
            <w:r w:rsidRPr="00595492">
              <w:rPr>
                <w:rFonts w:ascii="Arial Narrow" w:hAnsi="Arial Narrow" w:cs="Calibri"/>
                <w:sz w:val="20"/>
                <w:szCs w:val="20"/>
              </w:rPr>
              <w:t>0</w:t>
            </w:r>
          </w:p>
        </w:tc>
        <w:tc>
          <w:tcPr>
            <w:tcW w:w="1610" w:type="pct"/>
            <w:gridSpan w:val="3"/>
            <w:tcBorders>
              <w:top w:val="single" w:sz="2" w:space="0" w:color="auto"/>
              <w:left w:val="nil"/>
              <w:bottom w:val="single" w:sz="2" w:space="0" w:color="auto"/>
              <w:right w:val="nil"/>
            </w:tcBorders>
            <w:shd w:val="clear" w:color="auto" w:fill="auto"/>
            <w:noWrap/>
            <w:vAlign w:val="bottom"/>
          </w:tcPr>
          <w:p w14:paraId="6F036227"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0%</w:t>
            </w:r>
          </w:p>
        </w:tc>
        <w:tc>
          <w:tcPr>
            <w:tcW w:w="1374" w:type="pct"/>
            <w:gridSpan w:val="2"/>
            <w:tcBorders>
              <w:top w:val="single" w:sz="2" w:space="0" w:color="auto"/>
              <w:left w:val="nil"/>
              <w:bottom w:val="single" w:sz="2" w:space="0" w:color="auto"/>
              <w:right w:val="nil"/>
            </w:tcBorders>
            <w:shd w:val="clear" w:color="auto" w:fill="auto"/>
            <w:noWrap/>
            <w:vAlign w:val="bottom"/>
          </w:tcPr>
          <w:p w14:paraId="6FD9664E" w14:textId="77777777" w:rsidR="00616D71" w:rsidRPr="00595492" w:rsidRDefault="00616D71" w:rsidP="004528C1">
            <w:pPr>
              <w:jc w:val="right"/>
              <w:rPr>
                <w:rFonts w:ascii="Arial Narrow" w:hAnsi="Arial Narrow" w:cs="Calibri"/>
                <w:sz w:val="20"/>
                <w:szCs w:val="20"/>
              </w:rPr>
            </w:pPr>
            <w:r w:rsidRPr="00595492">
              <w:rPr>
                <w:rFonts w:ascii="Arial Narrow" w:hAnsi="Arial Narrow" w:cs="Calibri"/>
                <w:sz w:val="20"/>
                <w:szCs w:val="20"/>
              </w:rPr>
              <w:t>98%</w:t>
            </w:r>
          </w:p>
        </w:tc>
      </w:tr>
      <w:tr w:rsidR="00616D71" w:rsidRPr="00616D71" w14:paraId="445F0315" w14:textId="77777777" w:rsidTr="00BA5D19">
        <w:trPr>
          <w:cantSplit/>
          <w:trHeight w:val="198"/>
          <w:jc w:val="center"/>
        </w:trPr>
        <w:tc>
          <w:tcPr>
            <w:tcW w:w="645" w:type="pct"/>
            <w:tcBorders>
              <w:top w:val="single" w:sz="2" w:space="0" w:color="auto"/>
              <w:left w:val="nil"/>
              <w:bottom w:val="single" w:sz="4" w:space="0" w:color="auto"/>
              <w:right w:val="nil"/>
            </w:tcBorders>
            <w:noWrap/>
            <w:vAlign w:val="bottom"/>
            <w:hideMark/>
          </w:tcPr>
          <w:p w14:paraId="069DA3E3" w14:textId="77777777" w:rsidR="00616D71" w:rsidRPr="00616D71" w:rsidRDefault="00616D71" w:rsidP="00616D71">
            <w:pPr>
              <w:pStyle w:val="cuatexto"/>
              <w:rPr>
                <w:szCs w:val="20"/>
              </w:rPr>
            </w:pPr>
            <w:r w:rsidRPr="00616D71">
              <w:rPr>
                <w:szCs w:val="20"/>
              </w:rPr>
              <w:t>2044</w:t>
            </w:r>
          </w:p>
        </w:tc>
        <w:tc>
          <w:tcPr>
            <w:tcW w:w="1371" w:type="pct"/>
            <w:gridSpan w:val="2"/>
            <w:tcBorders>
              <w:top w:val="single" w:sz="2" w:space="0" w:color="auto"/>
              <w:left w:val="nil"/>
              <w:bottom w:val="single" w:sz="4" w:space="0" w:color="auto"/>
              <w:right w:val="nil"/>
            </w:tcBorders>
            <w:shd w:val="clear" w:color="auto" w:fill="auto"/>
            <w:noWrap/>
            <w:vAlign w:val="bottom"/>
          </w:tcPr>
          <w:p w14:paraId="68A4F276" w14:textId="77777777" w:rsidR="00616D71" w:rsidRPr="00616D71" w:rsidRDefault="00616D71" w:rsidP="00616D71">
            <w:pPr>
              <w:jc w:val="right"/>
              <w:rPr>
                <w:rFonts w:ascii="Arial Narrow" w:hAnsi="Arial Narrow" w:cs="Calibri"/>
                <w:sz w:val="20"/>
                <w:szCs w:val="20"/>
              </w:rPr>
            </w:pPr>
            <w:r w:rsidRPr="00616D71">
              <w:rPr>
                <w:rFonts w:ascii="Arial Narrow" w:hAnsi="Arial Narrow" w:cs="Calibri"/>
                <w:sz w:val="20"/>
                <w:szCs w:val="20"/>
              </w:rPr>
              <w:t>49.516</w:t>
            </w:r>
          </w:p>
        </w:tc>
        <w:tc>
          <w:tcPr>
            <w:tcW w:w="1610" w:type="pct"/>
            <w:gridSpan w:val="3"/>
            <w:tcBorders>
              <w:top w:val="single" w:sz="2" w:space="0" w:color="auto"/>
              <w:left w:val="nil"/>
              <w:bottom w:val="single" w:sz="4" w:space="0" w:color="auto"/>
              <w:right w:val="nil"/>
            </w:tcBorders>
            <w:shd w:val="clear" w:color="auto" w:fill="auto"/>
            <w:noWrap/>
            <w:vAlign w:val="bottom"/>
          </w:tcPr>
          <w:p w14:paraId="1AF69624" w14:textId="77777777" w:rsidR="00616D71" w:rsidRPr="00616D71" w:rsidRDefault="00616D71" w:rsidP="004528C1">
            <w:pPr>
              <w:jc w:val="right"/>
              <w:rPr>
                <w:rFonts w:ascii="Arial Narrow" w:hAnsi="Arial Narrow" w:cs="Calibri"/>
                <w:sz w:val="20"/>
                <w:szCs w:val="20"/>
              </w:rPr>
            </w:pPr>
            <w:r w:rsidRPr="00616D71">
              <w:rPr>
                <w:rFonts w:ascii="Arial Narrow" w:hAnsi="Arial Narrow" w:cs="Calibri"/>
                <w:sz w:val="20"/>
                <w:szCs w:val="20"/>
              </w:rPr>
              <w:t>2%</w:t>
            </w:r>
          </w:p>
        </w:tc>
        <w:tc>
          <w:tcPr>
            <w:tcW w:w="1374" w:type="pct"/>
            <w:gridSpan w:val="2"/>
            <w:tcBorders>
              <w:top w:val="single" w:sz="2" w:space="0" w:color="auto"/>
              <w:left w:val="nil"/>
              <w:bottom w:val="single" w:sz="4" w:space="0" w:color="auto"/>
              <w:right w:val="nil"/>
            </w:tcBorders>
            <w:shd w:val="clear" w:color="auto" w:fill="auto"/>
            <w:noWrap/>
            <w:vAlign w:val="bottom"/>
          </w:tcPr>
          <w:p w14:paraId="00EAA23F" w14:textId="77777777" w:rsidR="00616D71" w:rsidRPr="00616D71" w:rsidRDefault="00616D71" w:rsidP="004528C1">
            <w:pPr>
              <w:jc w:val="right"/>
              <w:rPr>
                <w:rFonts w:ascii="Arial Narrow" w:hAnsi="Arial Narrow" w:cs="Calibri"/>
                <w:sz w:val="20"/>
                <w:szCs w:val="20"/>
              </w:rPr>
            </w:pPr>
            <w:r w:rsidRPr="00616D71">
              <w:rPr>
                <w:rFonts w:ascii="Arial Narrow" w:hAnsi="Arial Narrow" w:cs="Calibri"/>
                <w:sz w:val="20"/>
                <w:szCs w:val="20"/>
              </w:rPr>
              <w:t>100%</w:t>
            </w:r>
          </w:p>
        </w:tc>
      </w:tr>
      <w:tr w:rsidR="00616D71" w:rsidRPr="00616D71" w14:paraId="3616233B" w14:textId="77777777" w:rsidTr="00616D71">
        <w:trPr>
          <w:cantSplit/>
          <w:trHeight w:val="255"/>
          <w:jc w:val="center"/>
        </w:trPr>
        <w:tc>
          <w:tcPr>
            <w:tcW w:w="666" w:type="pct"/>
            <w:gridSpan w:val="2"/>
            <w:tcBorders>
              <w:top w:val="single" w:sz="4" w:space="0" w:color="auto"/>
              <w:left w:val="nil"/>
              <w:bottom w:val="single" w:sz="4" w:space="0" w:color="auto"/>
              <w:right w:val="nil"/>
            </w:tcBorders>
            <w:shd w:val="clear" w:color="auto" w:fill="8DB3E2"/>
            <w:noWrap/>
            <w:vAlign w:val="center"/>
            <w:hideMark/>
          </w:tcPr>
          <w:p w14:paraId="0C061F50" w14:textId="77777777" w:rsidR="00614DC4" w:rsidRPr="00616D71" w:rsidRDefault="00614DC4" w:rsidP="00EA72EA">
            <w:pPr>
              <w:pStyle w:val="cuadroCabe"/>
            </w:pPr>
            <w:r w:rsidRPr="00616D71">
              <w:t>Total</w:t>
            </w:r>
          </w:p>
        </w:tc>
        <w:tc>
          <w:tcPr>
            <w:tcW w:w="1417" w:type="pct"/>
            <w:gridSpan w:val="2"/>
            <w:tcBorders>
              <w:top w:val="single" w:sz="4" w:space="0" w:color="auto"/>
              <w:left w:val="nil"/>
              <w:bottom w:val="single" w:sz="4" w:space="0" w:color="auto"/>
              <w:right w:val="nil"/>
            </w:tcBorders>
            <w:shd w:val="clear" w:color="auto" w:fill="8DB3E2"/>
            <w:noWrap/>
            <w:vAlign w:val="center"/>
          </w:tcPr>
          <w:p w14:paraId="61EC0778" w14:textId="77777777" w:rsidR="00614DC4" w:rsidRPr="00616D71" w:rsidRDefault="00616D71" w:rsidP="00616D71">
            <w:pPr>
              <w:pStyle w:val="cuadroCabe"/>
              <w:jc w:val="right"/>
              <w:rPr>
                <w:rFonts w:ascii="Arial Narrow" w:hAnsi="Arial Narrow"/>
              </w:rPr>
            </w:pPr>
            <w:r>
              <w:rPr>
                <w:rFonts w:ascii="Arial Narrow" w:hAnsi="Arial Narrow"/>
              </w:rPr>
              <w:t>2.662.426</w:t>
            </w:r>
            <w:r w:rsidR="0034376E" w:rsidRPr="00616D71">
              <w:rPr>
                <w:rStyle w:val="Refdenotaalpie"/>
                <w:rFonts w:ascii="Arial Narrow" w:hAnsi="Arial Narrow"/>
              </w:rPr>
              <w:footnoteReference w:id="36"/>
            </w:r>
          </w:p>
        </w:tc>
        <w:tc>
          <w:tcPr>
            <w:tcW w:w="1665" w:type="pct"/>
            <w:gridSpan w:val="3"/>
            <w:tcBorders>
              <w:top w:val="single" w:sz="4" w:space="0" w:color="auto"/>
              <w:left w:val="nil"/>
              <w:bottom w:val="single" w:sz="4" w:space="0" w:color="auto"/>
              <w:right w:val="nil"/>
            </w:tcBorders>
            <w:shd w:val="clear" w:color="auto" w:fill="8DB3E2"/>
            <w:noWrap/>
            <w:vAlign w:val="center"/>
          </w:tcPr>
          <w:p w14:paraId="36E76468" w14:textId="77777777" w:rsidR="00614DC4" w:rsidRPr="00616D71" w:rsidRDefault="00614DC4" w:rsidP="00D12353">
            <w:pPr>
              <w:pStyle w:val="cuadroCabe"/>
              <w:jc w:val="right"/>
              <w:rPr>
                <w:rFonts w:ascii="Arial Narrow" w:hAnsi="Arial Narrow"/>
              </w:rPr>
            </w:pPr>
          </w:p>
        </w:tc>
        <w:tc>
          <w:tcPr>
            <w:tcW w:w="1252" w:type="pct"/>
            <w:tcBorders>
              <w:top w:val="single" w:sz="4" w:space="0" w:color="auto"/>
              <w:left w:val="nil"/>
              <w:bottom w:val="single" w:sz="4" w:space="0" w:color="auto"/>
              <w:right w:val="nil"/>
            </w:tcBorders>
            <w:shd w:val="clear" w:color="auto" w:fill="8DB3E2"/>
            <w:noWrap/>
            <w:vAlign w:val="center"/>
          </w:tcPr>
          <w:p w14:paraId="6603AD24" w14:textId="77777777" w:rsidR="00614DC4" w:rsidRPr="00616D71" w:rsidRDefault="00614DC4" w:rsidP="00D12353">
            <w:pPr>
              <w:pStyle w:val="cuadroCabe"/>
              <w:jc w:val="right"/>
              <w:rPr>
                <w:rFonts w:ascii="Arial Narrow" w:hAnsi="Arial Narrow"/>
              </w:rPr>
            </w:pPr>
          </w:p>
        </w:tc>
      </w:tr>
    </w:tbl>
    <w:p w14:paraId="0A527085" w14:textId="77777777" w:rsidR="00614DC4" w:rsidRPr="00B87777" w:rsidRDefault="00614DC4" w:rsidP="009A38AE">
      <w:pPr>
        <w:pStyle w:val="texto"/>
        <w:spacing w:before="240" w:after="120"/>
        <w:jc w:val="both"/>
      </w:pPr>
      <w:r w:rsidRPr="00B87777">
        <w:t>Como se o</w:t>
      </w:r>
      <w:r w:rsidR="00B87777" w:rsidRPr="00B87777">
        <w:t>bserva, la mitad de la deuda (5</w:t>
      </w:r>
      <w:r w:rsidR="0029030A">
        <w:t>5</w:t>
      </w:r>
      <w:r w:rsidRPr="00B87777">
        <w:t xml:space="preserve"> por ciento) se debe amortizar antes de 2029.</w:t>
      </w:r>
    </w:p>
    <w:p w14:paraId="17B348E1" w14:textId="77777777" w:rsidR="00614DC4" w:rsidRPr="00603CF1" w:rsidRDefault="00614DC4" w:rsidP="008C2B8E">
      <w:pPr>
        <w:pStyle w:val="texto"/>
        <w:numPr>
          <w:ilvl w:val="0"/>
          <w:numId w:val="6"/>
        </w:numPr>
        <w:tabs>
          <w:tab w:val="clear" w:pos="360"/>
          <w:tab w:val="num" w:pos="300"/>
          <w:tab w:val="left" w:pos="480"/>
          <w:tab w:val="num" w:pos="600"/>
        </w:tabs>
        <w:spacing w:before="120"/>
        <w:ind w:firstLine="289"/>
        <w:jc w:val="both"/>
        <w:rPr>
          <w:rFonts w:cs="Arial"/>
        </w:rPr>
      </w:pPr>
      <w:r w:rsidRPr="00603CF1">
        <w:rPr>
          <w:rFonts w:cs="Arial"/>
        </w:rPr>
        <w:t>Hemos fiscalizado la</w:t>
      </w:r>
      <w:r w:rsidR="009919AC">
        <w:rPr>
          <w:rFonts w:cs="Arial"/>
        </w:rPr>
        <w:t>s</w:t>
      </w:r>
      <w:r w:rsidRPr="00603CF1">
        <w:rPr>
          <w:rFonts w:cs="Arial"/>
        </w:rPr>
        <w:t xml:space="preserve"> </w:t>
      </w:r>
      <w:r w:rsidR="009919AC">
        <w:rPr>
          <w:rFonts w:cs="Arial"/>
        </w:rPr>
        <w:t>operaciones</w:t>
      </w:r>
      <w:r w:rsidR="00616D71">
        <w:rPr>
          <w:rFonts w:cs="Arial"/>
        </w:rPr>
        <w:t xml:space="preserve"> de endeudamiento </w:t>
      </w:r>
      <w:r w:rsidR="00603CF1" w:rsidRPr="00603CF1">
        <w:rPr>
          <w:rFonts w:cs="Arial"/>
        </w:rPr>
        <w:t>llevada</w:t>
      </w:r>
      <w:r w:rsidR="009919AC">
        <w:rPr>
          <w:rFonts w:cs="Arial"/>
        </w:rPr>
        <w:t>s</w:t>
      </w:r>
      <w:r w:rsidR="00603CF1" w:rsidRPr="00603CF1">
        <w:rPr>
          <w:rFonts w:cs="Arial"/>
        </w:rPr>
        <w:t xml:space="preserve"> a cabo por un total de 50 </w:t>
      </w:r>
      <w:r w:rsidRPr="00603CF1">
        <w:rPr>
          <w:rFonts w:cs="Arial"/>
        </w:rPr>
        <w:t xml:space="preserve">millones siendo el resultado de nuestra revisión satisfactorio. </w:t>
      </w:r>
    </w:p>
    <w:p w14:paraId="53FF99CF" w14:textId="77777777" w:rsidR="00714031" w:rsidRPr="00714031" w:rsidRDefault="00714031" w:rsidP="008C2B8E">
      <w:pPr>
        <w:pStyle w:val="texto"/>
        <w:numPr>
          <w:ilvl w:val="0"/>
          <w:numId w:val="6"/>
        </w:numPr>
        <w:tabs>
          <w:tab w:val="clear" w:pos="360"/>
          <w:tab w:val="num" w:pos="300"/>
          <w:tab w:val="left" w:pos="480"/>
          <w:tab w:val="num" w:pos="600"/>
        </w:tabs>
        <w:spacing w:before="120"/>
        <w:ind w:firstLine="289"/>
        <w:jc w:val="both"/>
        <w:rPr>
          <w:rFonts w:cs="Arial"/>
        </w:rPr>
      </w:pPr>
      <w:r w:rsidRPr="00714031">
        <w:rPr>
          <w:rFonts w:cs="Arial"/>
        </w:rPr>
        <w:t>La calificación crediticia (rating) de una agencia de rating, asignó a la deuda a largo plazo de Navarra, tras su última actualización, como “AA-, con perspectiva estable” (nivel máximo permitido teniendo en cuenta la valoración del Estado), manteniendo su calificación del ejercicio anterior.</w:t>
      </w:r>
    </w:p>
    <w:p w14:paraId="0FBC6B46" w14:textId="77777777" w:rsidR="000C4F65" w:rsidRDefault="000C4F65">
      <w:pPr>
        <w:rPr>
          <w:rFonts w:ascii="Arial" w:hAnsi="Arial"/>
          <w:i/>
          <w:iCs/>
          <w:spacing w:val="10"/>
          <w:kern w:val="28"/>
          <w:sz w:val="25"/>
          <w:szCs w:val="26"/>
        </w:rPr>
      </w:pPr>
      <w:r>
        <w:rPr>
          <w:rFonts w:ascii="Arial" w:hAnsi="Arial"/>
          <w:i/>
          <w:iCs/>
          <w:spacing w:val="10"/>
          <w:kern w:val="28"/>
          <w:sz w:val="25"/>
          <w:szCs w:val="26"/>
        </w:rPr>
        <w:br w:type="page"/>
      </w:r>
    </w:p>
    <w:p w14:paraId="4A6C246F" w14:textId="77777777" w:rsidR="00614DC4" w:rsidRPr="00603CF1" w:rsidRDefault="00614DC4" w:rsidP="009A38AE">
      <w:pPr>
        <w:spacing w:before="200" w:after="200"/>
        <w:ind w:firstLine="284"/>
        <w:jc w:val="both"/>
        <w:rPr>
          <w:rFonts w:ascii="Arial" w:hAnsi="Arial"/>
          <w:i/>
          <w:iCs/>
          <w:spacing w:val="10"/>
          <w:kern w:val="28"/>
          <w:sz w:val="25"/>
          <w:szCs w:val="26"/>
        </w:rPr>
      </w:pPr>
      <w:r w:rsidRPr="00603CF1">
        <w:rPr>
          <w:rFonts w:ascii="Arial" w:hAnsi="Arial"/>
          <w:i/>
          <w:iCs/>
          <w:spacing w:val="10"/>
          <w:kern w:val="28"/>
          <w:sz w:val="25"/>
          <w:szCs w:val="26"/>
        </w:rPr>
        <w:lastRenderedPageBreak/>
        <w:t>Avales concedidos</w:t>
      </w:r>
    </w:p>
    <w:p w14:paraId="31BEA585" w14:textId="77777777" w:rsidR="00614DC4" w:rsidRPr="00603CF1" w:rsidRDefault="00614DC4" w:rsidP="008C2B8E">
      <w:pPr>
        <w:pStyle w:val="texto"/>
        <w:numPr>
          <w:ilvl w:val="0"/>
          <w:numId w:val="6"/>
        </w:numPr>
        <w:tabs>
          <w:tab w:val="clear" w:pos="360"/>
          <w:tab w:val="num" w:pos="300"/>
          <w:tab w:val="left" w:pos="480"/>
          <w:tab w:val="num" w:pos="600"/>
        </w:tabs>
        <w:spacing w:before="120"/>
        <w:ind w:firstLine="289"/>
        <w:jc w:val="both"/>
        <w:rPr>
          <w:rFonts w:cs="Arial"/>
        </w:rPr>
      </w:pPr>
      <w:r w:rsidRPr="00603CF1">
        <w:rPr>
          <w:rFonts w:cs="Arial"/>
        </w:rPr>
        <w:t>El saldo a 31 de diciembre de los avales concedidos por la Comunidad Foral ascendía a 4</w:t>
      </w:r>
      <w:r w:rsidR="00603CF1" w:rsidRPr="00603CF1">
        <w:rPr>
          <w:rFonts w:cs="Arial"/>
        </w:rPr>
        <w:t>3,8</w:t>
      </w:r>
      <w:r w:rsidR="009919AC">
        <w:rPr>
          <w:rFonts w:cs="Arial"/>
        </w:rPr>
        <w:t>4</w:t>
      </w:r>
      <w:r w:rsidR="00603CF1" w:rsidRPr="00603CF1">
        <w:rPr>
          <w:rFonts w:cs="Arial"/>
        </w:rPr>
        <w:t xml:space="preserve"> </w:t>
      </w:r>
      <w:r w:rsidRPr="00603CF1">
        <w:rPr>
          <w:rFonts w:cs="Arial"/>
        </w:rPr>
        <w:t>millones y se corresponde con la siguiente clasificación:</w:t>
      </w:r>
    </w:p>
    <w:tbl>
      <w:tblPr>
        <w:tblW w:w="5028" w:type="pct"/>
        <w:jc w:val="center"/>
        <w:tblBorders>
          <w:top w:val="single" w:sz="4" w:space="0" w:color="000000"/>
          <w:bottom w:val="single" w:sz="4" w:space="0" w:color="000000"/>
        </w:tblBorders>
        <w:tblCellMar>
          <w:left w:w="70" w:type="dxa"/>
          <w:right w:w="70" w:type="dxa"/>
        </w:tblCellMar>
        <w:tblLook w:val="04A0" w:firstRow="1" w:lastRow="0" w:firstColumn="1" w:lastColumn="0" w:noHBand="0" w:noVBand="1"/>
      </w:tblPr>
      <w:tblGrid>
        <w:gridCol w:w="4629"/>
        <w:gridCol w:w="25"/>
        <w:gridCol w:w="1350"/>
        <w:gridCol w:w="34"/>
        <w:gridCol w:w="1363"/>
        <w:gridCol w:w="35"/>
        <w:gridCol w:w="7"/>
        <w:gridCol w:w="1347"/>
        <w:gridCol w:w="48"/>
      </w:tblGrid>
      <w:tr w:rsidR="00614DC4" w:rsidRPr="00603CF1" w14:paraId="3A9CA2B1" w14:textId="77777777" w:rsidTr="00595492">
        <w:trPr>
          <w:trHeight w:val="198"/>
          <w:jc w:val="center"/>
        </w:trPr>
        <w:tc>
          <w:tcPr>
            <w:tcW w:w="5000" w:type="pct"/>
            <w:gridSpan w:val="9"/>
            <w:tcBorders>
              <w:top w:val="nil"/>
              <w:left w:val="nil"/>
              <w:bottom w:val="single" w:sz="4" w:space="0" w:color="auto"/>
              <w:right w:val="nil"/>
            </w:tcBorders>
            <w:noWrap/>
            <w:vAlign w:val="center"/>
            <w:hideMark/>
          </w:tcPr>
          <w:p w14:paraId="79E0A812" w14:textId="77777777" w:rsidR="00614DC4" w:rsidRPr="00595492" w:rsidRDefault="00614DC4">
            <w:pPr>
              <w:keepLines/>
              <w:tabs>
                <w:tab w:val="right" w:pos="2835"/>
                <w:tab w:val="right" w:pos="3969"/>
                <w:tab w:val="right" w:pos="5103"/>
                <w:tab w:val="right" w:pos="6237"/>
                <w:tab w:val="right" w:pos="7371"/>
              </w:tabs>
              <w:jc w:val="right"/>
              <w:rPr>
                <w:rFonts w:ascii="Arial" w:hAnsi="Arial" w:cs="Arial"/>
                <w:spacing w:val="6"/>
                <w:sz w:val="17"/>
                <w:szCs w:val="17"/>
              </w:rPr>
            </w:pPr>
            <w:r w:rsidRPr="00595492">
              <w:rPr>
                <w:rFonts w:ascii="Arial" w:hAnsi="Arial" w:cs="Arial"/>
                <w:spacing w:val="6"/>
                <w:sz w:val="17"/>
                <w:szCs w:val="17"/>
              </w:rPr>
              <w:t>(en miles)</w:t>
            </w:r>
          </w:p>
        </w:tc>
      </w:tr>
      <w:tr w:rsidR="00614DC4" w:rsidRPr="008D7B3A" w14:paraId="65593908" w14:textId="77777777" w:rsidTr="00614DC4">
        <w:trPr>
          <w:trHeight w:val="255"/>
          <w:jc w:val="center"/>
        </w:trPr>
        <w:tc>
          <w:tcPr>
            <w:tcW w:w="2633" w:type="pct"/>
            <w:gridSpan w:val="2"/>
            <w:tcBorders>
              <w:top w:val="single" w:sz="4" w:space="0" w:color="auto"/>
              <w:left w:val="nil"/>
              <w:bottom w:val="single" w:sz="4" w:space="0" w:color="auto"/>
              <w:right w:val="nil"/>
            </w:tcBorders>
            <w:shd w:val="clear" w:color="auto" w:fill="8DB3E2"/>
            <w:noWrap/>
            <w:vAlign w:val="center"/>
            <w:hideMark/>
          </w:tcPr>
          <w:p w14:paraId="261A265C" w14:textId="77777777" w:rsidR="00614DC4" w:rsidRPr="008D7B3A" w:rsidRDefault="00614DC4" w:rsidP="00EA72EA">
            <w:pPr>
              <w:pStyle w:val="cuadroCabe"/>
            </w:pPr>
            <w:r w:rsidRPr="008D7B3A">
              <w:t>Avales concedidos</w:t>
            </w:r>
          </w:p>
        </w:tc>
        <w:tc>
          <w:tcPr>
            <w:tcW w:w="783" w:type="pct"/>
            <w:gridSpan w:val="2"/>
            <w:tcBorders>
              <w:top w:val="single" w:sz="4" w:space="0" w:color="auto"/>
              <w:left w:val="nil"/>
              <w:bottom w:val="single" w:sz="4" w:space="0" w:color="auto"/>
              <w:right w:val="nil"/>
            </w:tcBorders>
            <w:shd w:val="clear" w:color="auto" w:fill="8DB3E2"/>
            <w:vAlign w:val="center"/>
            <w:hideMark/>
          </w:tcPr>
          <w:p w14:paraId="543E6AE4" w14:textId="77777777" w:rsidR="00614DC4" w:rsidRPr="008D7B3A" w:rsidRDefault="00614DC4" w:rsidP="008F35BE">
            <w:pPr>
              <w:pStyle w:val="cuadroCabe"/>
              <w:jc w:val="right"/>
            </w:pPr>
            <w:r w:rsidRPr="008D7B3A">
              <w:t>Saldo 31/12/202</w:t>
            </w:r>
            <w:r w:rsidR="008F35BE">
              <w:t>2</w:t>
            </w:r>
          </w:p>
        </w:tc>
        <w:tc>
          <w:tcPr>
            <w:tcW w:w="795" w:type="pct"/>
            <w:gridSpan w:val="3"/>
            <w:tcBorders>
              <w:top w:val="single" w:sz="4" w:space="0" w:color="auto"/>
              <w:left w:val="nil"/>
              <w:bottom w:val="single" w:sz="4" w:space="0" w:color="auto"/>
              <w:right w:val="nil"/>
            </w:tcBorders>
            <w:shd w:val="clear" w:color="auto" w:fill="8DB3E2"/>
            <w:vAlign w:val="center"/>
            <w:hideMark/>
          </w:tcPr>
          <w:p w14:paraId="79979400" w14:textId="77777777" w:rsidR="00614DC4" w:rsidRPr="008D7B3A" w:rsidRDefault="00614DC4" w:rsidP="008F35BE">
            <w:pPr>
              <w:pStyle w:val="cuadroCabe"/>
              <w:jc w:val="right"/>
            </w:pPr>
            <w:r w:rsidRPr="008D7B3A">
              <w:t>Saldo 31/12/202</w:t>
            </w:r>
            <w:r w:rsidR="008F35BE">
              <w:t>3</w:t>
            </w:r>
          </w:p>
        </w:tc>
        <w:tc>
          <w:tcPr>
            <w:tcW w:w="789" w:type="pct"/>
            <w:gridSpan w:val="2"/>
            <w:tcBorders>
              <w:top w:val="single" w:sz="4" w:space="0" w:color="auto"/>
              <w:left w:val="nil"/>
              <w:bottom w:val="single" w:sz="4" w:space="0" w:color="auto"/>
              <w:right w:val="nil"/>
            </w:tcBorders>
            <w:shd w:val="clear" w:color="auto" w:fill="8DB3E2"/>
            <w:noWrap/>
            <w:vAlign w:val="center"/>
            <w:hideMark/>
          </w:tcPr>
          <w:p w14:paraId="4715C8C6" w14:textId="77777777" w:rsidR="00614DC4" w:rsidRPr="008D7B3A" w:rsidRDefault="00614DC4" w:rsidP="00D12353">
            <w:pPr>
              <w:pStyle w:val="cuadroCabe"/>
              <w:jc w:val="right"/>
            </w:pPr>
            <w:r w:rsidRPr="008D7B3A">
              <w:t>% Variación</w:t>
            </w:r>
          </w:p>
          <w:p w14:paraId="29C428AD" w14:textId="77777777" w:rsidR="00614DC4" w:rsidRPr="008D7B3A" w:rsidRDefault="00614DC4" w:rsidP="008F35BE">
            <w:pPr>
              <w:pStyle w:val="cuadroCabe"/>
              <w:jc w:val="right"/>
            </w:pPr>
            <w:r w:rsidRPr="008D7B3A">
              <w:t>202</w:t>
            </w:r>
            <w:r w:rsidR="008F35BE">
              <w:t>3</w:t>
            </w:r>
            <w:r w:rsidRPr="008D7B3A">
              <w:t>/202</w:t>
            </w:r>
            <w:r w:rsidR="008F35BE">
              <w:t>2</w:t>
            </w:r>
          </w:p>
        </w:tc>
      </w:tr>
      <w:tr w:rsidR="008F35BE" w:rsidRPr="008F35BE" w14:paraId="370465ED" w14:textId="77777777" w:rsidTr="00595492">
        <w:trPr>
          <w:gridAfter w:val="1"/>
          <w:wAfter w:w="27" w:type="pct"/>
          <w:trHeight w:val="198"/>
          <w:jc w:val="center"/>
        </w:trPr>
        <w:tc>
          <w:tcPr>
            <w:tcW w:w="2619" w:type="pct"/>
            <w:tcBorders>
              <w:top w:val="single" w:sz="2" w:space="0" w:color="auto"/>
              <w:left w:val="nil"/>
              <w:bottom w:val="single" w:sz="2" w:space="0" w:color="auto"/>
              <w:right w:val="nil"/>
            </w:tcBorders>
            <w:noWrap/>
            <w:vAlign w:val="center"/>
            <w:hideMark/>
          </w:tcPr>
          <w:p w14:paraId="2AEDCCFC" w14:textId="77777777" w:rsidR="008F35BE" w:rsidRPr="008F35BE" w:rsidRDefault="008F35BE" w:rsidP="008F35BE">
            <w:pPr>
              <w:pStyle w:val="cuatexto"/>
            </w:pPr>
            <w:r w:rsidRPr="008F35BE">
              <w:t>Empresas en dificultad y ayudas a la inversión</w:t>
            </w:r>
          </w:p>
        </w:tc>
        <w:tc>
          <w:tcPr>
            <w:tcW w:w="778" w:type="pct"/>
            <w:gridSpan w:val="2"/>
            <w:tcBorders>
              <w:top w:val="single" w:sz="2" w:space="0" w:color="auto"/>
              <w:left w:val="nil"/>
              <w:bottom w:val="single" w:sz="2" w:space="0" w:color="auto"/>
              <w:right w:val="nil"/>
            </w:tcBorders>
            <w:vAlign w:val="center"/>
          </w:tcPr>
          <w:p w14:paraId="7FDDBAA8" w14:textId="77777777" w:rsidR="008F35BE" w:rsidRPr="008F35BE" w:rsidRDefault="008F35BE" w:rsidP="008F35BE">
            <w:pPr>
              <w:pStyle w:val="cuatexto"/>
              <w:jc w:val="right"/>
            </w:pPr>
            <w:r w:rsidRPr="008F35BE">
              <w:t>789</w:t>
            </w:r>
          </w:p>
        </w:tc>
        <w:tc>
          <w:tcPr>
            <w:tcW w:w="790" w:type="pct"/>
            <w:gridSpan w:val="2"/>
            <w:tcBorders>
              <w:top w:val="single" w:sz="2" w:space="0" w:color="auto"/>
              <w:left w:val="nil"/>
              <w:bottom w:val="single" w:sz="2" w:space="0" w:color="auto"/>
              <w:right w:val="nil"/>
            </w:tcBorders>
            <w:vAlign w:val="center"/>
          </w:tcPr>
          <w:p w14:paraId="784EBA6F" w14:textId="77777777" w:rsidR="008F35BE" w:rsidRPr="008F35BE" w:rsidRDefault="008F35BE" w:rsidP="009919AC">
            <w:pPr>
              <w:pStyle w:val="cuatexto"/>
              <w:jc w:val="right"/>
            </w:pPr>
            <w:r w:rsidRPr="008F35BE">
              <w:t>6</w:t>
            </w:r>
            <w:r w:rsidR="009919AC">
              <w:t>48</w:t>
            </w:r>
          </w:p>
        </w:tc>
        <w:tc>
          <w:tcPr>
            <w:tcW w:w="786" w:type="pct"/>
            <w:gridSpan w:val="3"/>
            <w:tcBorders>
              <w:top w:val="single" w:sz="2" w:space="0" w:color="auto"/>
              <w:left w:val="nil"/>
              <w:bottom w:val="single" w:sz="2" w:space="0" w:color="auto"/>
              <w:right w:val="nil"/>
            </w:tcBorders>
            <w:noWrap/>
            <w:vAlign w:val="center"/>
          </w:tcPr>
          <w:p w14:paraId="7F533AD1" w14:textId="77777777" w:rsidR="008F35BE" w:rsidRPr="008F35BE" w:rsidRDefault="008F35BE" w:rsidP="009919AC">
            <w:pPr>
              <w:pStyle w:val="cuatexto"/>
              <w:jc w:val="right"/>
            </w:pPr>
            <w:r w:rsidRPr="008F35BE">
              <w:t>-1</w:t>
            </w:r>
            <w:r w:rsidR="009919AC">
              <w:t>8</w:t>
            </w:r>
          </w:p>
        </w:tc>
      </w:tr>
      <w:tr w:rsidR="008F35BE" w:rsidRPr="008F35BE" w14:paraId="459CE08D" w14:textId="77777777" w:rsidTr="008F35BE">
        <w:trPr>
          <w:gridAfter w:val="1"/>
          <w:wAfter w:w="27" w:type="pct"/>
          <w:trHeight w:val="198"/>
          <w:jc w:val="center"/>
        </w:trPr>
        <w:tc>
          <w:tcPr>
            <w:tcW w:w="2619" w:type="pct"/>
            <w:tcBorders>
              <w:top w:val="single" w:sz="2" w:space="0" w:color="auto"/>
              <w:left w:val="nil"/>
              <w:bottom w:val="single" w:sz="2" w:space="0" w:color="auto"/>
              <w:right w:val="nil"/>
            </w:tcBorders>
            <w:noWrap/>
            <w:vAlign w:val="center"/>
            <w:hideMark/>
          </w:tcPr>
          <w:p w14:paraId="3EC714A2" w14:textId="77777777" w:rsidR="008F35BE" w:rsidRPr="008F35BE" w:rsidRDefault="008F35BE" w:rsidP="008F35BE">
            <w:pPr>
              <w:pStyle w:val="cuatexto"/>
            </w:pPr>
            <w:r w:rsidRPr="008F35BE">
              <w:t>Programa “Aval Navarra”</w:t>
            </w:r>
          </w:p>
        </w:tc>
        <w:tc>
          <w:tcPr>
            <w:tcW w:w="778" w:type="pct"/>
            <w:gridSpan w:val="2"/>
            <w:tcBorders>
              <w:top w:val="single" w:sz="2" w:space="0" w:color="auto"/>
              <w:left w:val="nil"/>
              <w:bottom w:val="single" w:sz="2" w:space="0" w:color="auto"/>
              <w:right w:val="nil"/>
            </w:tcBorders>
            <w:vAlign w:val="center"/>
          </w:tcPr>
          <w:p w14:paraId="766F5507" w14:textId="77777777" w:rsidR="008F35BE" w:rsidRPr="008F35BE" w:rsidRDefault="008F35BE" w:rsidP="008F35BE">
            <w:pPr>
              <w:pStyle w:val="cuatexto"/>
              <w:jc w:val="right"/>
            </w:pPr>
            <w:r w:rsidRPr="008F35BE">
              <w:t>37</w:t>
            </w:r>
          </w:p>
        </w:tc>
        <w:tc>
          <w:tcPr>
            <w:tcW w:w="790" w:type="pct"/>
            <w:gridSpan w:val="2"/>
            <w:tcBorders>
              <w:top w:val="single" w:sz="2" w:space="0" w:color="auto"/>
              <w:left w:val="nil"/>
              <w:bottom w:val="single" w:sz="2" w:space="0" w:color="auto"/>
              <w:right w:val="nil"/>
            </w:tcBorders>
            <w:vAlign w:val="center"/>
          </w:tcPr>
          <w:p w14:paraId="281DE701" w14:textId="77777777" w:rsidR="008F35BE" w:rsidRPr="008F35BE" w:rsidRDefault="008F35BE" w:rsidP="008F35BE">
            <w:pPr>
              <w:pStyle w:val="cuatexto"/>
              <w:jc w:val="right"/>
            </w:pPr>
            <w:r w:rsidRPr="008F35BE">
              <w:t>-</w:t>
            </w:r>
          </w:p>
        </w:tc>
        <w:tc>
          <w:tcPr>
            <w:tcW w:w="786" w:type="pct"/>
            <w:gridSpan w:val="3"/>
            <w:tcBorders>
              <w:top w:val="single" w:sz="2" w:space="0" w:color="auto"/>
              <w:left w:val="nil"/>
              <w:bottom w:val="single" w:sz="2" w:space="0" w:color="auto"/>
              <w:right w:val="nil"/>
            </w:tcBorders>
            <w:noWrap/>
            <w:vAlign w:val="center"/>
          </w:tcPr>
          <w:p w14:paraId="1E33D5C6" w14:textId="77777777" w:rsidR="008F35BE" w:rsidRPr="008F35BE" w:rsidRDefault="008F35BE" w:rsidP="008F35BE">
            <w:pPr>
              <w:pStyle w:val="cuatexto"/>
              <w:jc w:val="right"/>
            </w:pPr>
          </w:p>
        </w:tc>
      </w:tr>
      <w:tr w:rsidR="008F35BE" w:rsidRPr="008F35BE" w14:paraId="6ED49425" w14:textId="77777777" w:rsidTr="008F35BE">
        <w:trPr>
          <w:gridAfter w:val="1"/>
          <w:wAfter w:w="27" w:type="pct"/>
          <w:trHeight w:val="198"/>
          <w:jc w:val="center"/>
        </w:trPr>
        <w:tc>
          <w:tcPr>
            <w:tcW w:w="2619" w:type="pct"/>
            <w:tcBorders>
              <w:top w:val="single" w:sz="2" w:space="0" w:color="auto"/>
              <w:left w:val="nil"/>
              <w:bottom w:val="single" w:sz="2" w:space="0" w:color="auto"/>
              <w:right w:val="nil"/>
            </w:tcBorders>
            <w:noWrap/>
            <w:vAlign w:val="center"/>
            <w:hideMark/>
          </w:tcPr>
          <w:p w14:paraId="2E5F4FF9" w14:textId="77777777" w:rsidR="008F35BE" w:rsidRPr="008F35BE" w:rsidRDefault="008F35BE" w:rsidP="008F35BE">
            <w:pPr>
              <w:pStyle w:val="cuatexto"/>
            </w:pPr>
            <w:r w:rsidRPr="008F35BE">
              <w:t>Club Atlético Osasuna</w:t>
            </w:r>
          </w:p>
        </w:tc>
        <w:tc>
          <w:tcPr>
            <w:tcW w:w="778" w:type="pct"/>
            <w:gridSpan w:val="2"/>
            <w:tcBorders>
              <w:top w:val="single" w:sz="2" w:space="0" w:color="auto"/>
              <w:left w:val="nil"/>
              <w:bottom w:val="single" w:sz="2" w:space="0" w:color="auto"/>
              <w:right w:val="nil"/>
            </w:tcBorders>
            <w:vAlign w:val="center"/>
          </w:tcPr>
          <w:p w14:paraId="198BD9A1" w14:textId="77777777" w:rsidR="008F35BE" w:rsidRPr="008F35BE" w:rsidRDefault="008F35BE" w:rsidP="008F35BE">
            <w:pPr>
              <w:pStyle w:val="cuatexto"/>
              <w:jc w:val="right"/>
            </w:pPr>
            <w:r w:rsidRPr="008F35BE">
              <w:t>9.594</w:t>
            </w:r>
          </w:p>
        </w:tc>
        <w:tc>
          <w:tcPr>
            <w:tcW w:w="790" w:type="pct"/>
            <w:gridSpan w:val="2"/>
            <w:tcBorders>
              <w:top w:val="single" w:sz="2" w:space="0" w:color="auto"/>
              <w:left w:val="nil"/>
              <w:bottom w:val="single" w:sz="2" w:space="0" w:color="auto"/>
              <w:right w:val="nil"/>
            </w:tcBorders>
            <w:vAlign w:val="center"/>
          </w:tcPr>
          <w:p w14:paraId="2528A49F" w14:textId="77777777" w:rsidR="008F35BE" w:rsidRPr="008F35BE" w:rsidRDefault="008F35BE" w:rsidP="008F35BE">
            <w:pPr>
              <w:pStyle w:val="cuatexto"/>
              <w:jc w:val="right"/>
            </w:pPr>
            <w:r w:rsidRPr="008F35BE">
              <w:t>5.766</w:t>
            </w:r>
          </w:p>
        </w:tc>
        <w:tc>
          <w:tcPr>
            <w:tcW w:w="786" w:type="pct"/>
            <w:gridSpan w:val="3"/>
            <w:tcBorders>
              <w:top w:val="single" w:sz="2" w:space="0" w:color="auto"/>
              <w:left w:val="nil"/>
              <w:bottom w:val="single" w:sz="2" w:space="0" w:color="auto"/>
              <w:right w:val="nil"/>
            </w:tcBorders>
            <w:noWrap/>
            <w:vAlign w:val="center"/>
          </w:tcPr>
          <w:p w14:paraId="234024E8" w14:textId="77777777" w:rsidR="008F35BE" w:rsidRPr="008F35BE" w:rsidRDefault="008F35BE" w:rsidP="008F35BE">
            <w:pPr>
              <w:pStyle w:val="cuatexto"/>
              <w:jc w:val="right"/>
            </w:pPr>
            <w:r w:rsidRPr="008F35BE">
              <w:t>-40</w:t>
            </w:r>
          </w:p>
        </w:tc>
      </w:tr>
      <w:tr w:rsidR="008F35BE" w:rsidRPr="008F35BE" w14:paraId="703C1F6C" w14:textId="77777777" w:rsidTr="008F35BE">
        <w:trPr>
          <w:gridAfter w:val="1"/>
          <w:wAfter w:w="27" w:type="pct"/>
          <w:trHeight w:val="198"/>
          <w:jc w:val="center"/>
        </w:trPr>
        <w:tc>
          <w:tcPr>
            <w:tcW w:w="2619" w:type="pct"/>
            <w:tcBorders>
              <w:top w:val="single" w:sz="2" w:space="0" w:color="auto"/>
              <w:left w:val="nil"/>
              <w:bottom w:val="single" w:sz="2" w:space="0" w:color="auto"/>
              <w:right w:val="nil"/>
            </w:tcBorders>
            <w:noWrap/>
            <w:vAlign w:val="center"/>
            <w:hideMark/>
          </w:tcPr>
          <w:p w14:paraId="6C4454A9" w14:textId="77777777" w:rsidR="008F35BE" w:rsidRPr="008F35BE" w:rsidRDefault="008F35BE" w:rsidP="008F35BE">
            <w:pPr>
              <w:pStyle w:val="cuatexto"/>
            </w:pPr>
            <w:r w:rsidRPr="008F35BE">
              <w:t xml:space="preserve">NICDO-Circuito de los Arcos </w:t>
            </w:r>
          </w:p>
        </w:tc>
        <w:tc>
          <w:tcPr>
            <w:tcW w:w="778" w:type="pct"/>
            <w:gridSpan w:val="2"/>
            <w:tcBorders>
              <w:top w:val="single" w:sz="2" w:space="0" w:color="auto"/>
              <w:left w:val="nil"/>
              <w:bottom w:val="single" w:sz="2" w:space="0" w:color="auto"/>
              <w:right w:val="nil"/>
            </w:tcBorders>
            <w:vAlign w:val="center"/>
          </w:tcPr>
          <w:p w14:paraId="1470D61A" w14:textId="77777777" w:rsidR="008F35BE" w:rsidRPr="008F35BE" w:rsidRDefault="008F35BE" w:rsidP="008F35BE">
            <w:pPr>
              <w:pStyle w:val="cuatexto"/>
              <w:jc w:val="right"/>
            </w:pPr>
            <w:r w:rsidRPr="008F35BE">
              <w:t>4.038</w:t>
            </w:r>
          </w:p>
        </w:tc>
        <w:tc>
          <w:tcPr>
            <w:tcW w:w="790" w:type="pct"/>
            <w:gridSpan w:val="2"/>
            <w:tcBorders>
              <w:top w:val="single" w:sz="2" w:space="0" w:color="auto"/>
              <w:left w:val="nil"/>
              <w:bottom w:val="single" w:sz="2" w:space="0" w:color="auto"/>
              <w:right w:val="nil"/>
            </w:tcBorders>
            <w:vAlign w:val="center"/>
          </w:tcPr>
          <w:p w14:paraId="47D25CEA" w14:textId="77777777" w:rsidR="008F35BE" w:rsidRPr="008F35BE" w:rsidRDefault="008F35BE" w:rsidP="008F35BE">
            <w:pPr>
              <w:pStyle w:val="cuatexto"/>
              <w:jc w:val="right"/>
            </w:pPr>
            <w:r>
              <w:t>-</w:t>
            </w:r>
          </w:p>
        </w:tc>
        <w:tc>
          <w:tcPr>
            <w:tcW w:w="786" w:type="pct"/>
            <w:gridSpan w:val="3"/>
            <w:tcBorders>
              <w:top w:val="single" w:sz="2" w:space="0" w:color="auto"/>
              <w:left w:val="nil"/>
              <w:bottom w:val="single" w:sz="2" w:space="0" w:color="auto"/>
              <w:right w:val="nil"/>
            </w:tcBorders>
            <w:noWrap/>
            <w:vAlign w:val="center"/>
          </w:tcPr>
          <w:p w14:paraId="6C43630F" w14:textId="77777777" w:rsidR="008F35BE" w:rsidRPr="008F35BE" w:rsidRDefault="008F35BE" w:rsidP="008F35BE">
            <w:pPr>
              <w:pStyle w:val="cuatexto"/>
              <w:jc w:val="right"/>
            </w:pPr>
          </w:p>
        </w:tc>
      </w:tr>
      <w:tr w:rsidR="008F35BE" w:rsidRPr="008F35BE" w14:paraId="67D7542F" w14:textId="77777777" w:rsidTr="00595492">
        <w:trPr>
          <w:gridAfter w:val="1"/>
          <w:wAfter w:w="27" w:type="pct"/>
          <w:trHeight w:val="198"/>
          <w:jc w:val="center"/>
        </w:trPr>
        <w:tc>
          <w:tcPr>
            <w:tcW w:w="2619" w:type="pct"/>
            <w:tcBorders>
              <w:top w:val="single" w:sz="2" w:space="0" w:color="auto"/>
              <w:left w:val="nil"/>
              <w:bottom w:val="single" w:sz="2" w:space="0" w:color="auto"/>
              <w:right w:val="nil"/>
            </w:tcBorders>
            <w:noWrap/>
            <w:vAlign w:val="center"/>
            <w:hideMark/>
          </w:tcPr>
          <w:p w14:paraId="4D8E5E81" w14:textId="77777777" w:rsidR="008F35BE" w:rsidRPr="008F35BE" w:rsidRDefault="008F35BE" w:rsidP="008F35BE">
            <w:pPr>
              <w:pStyle w:val="cuatexto"/>
            </w:pPr>
            <w:proofErr w:type="spellStart"/>
            <w:r w:rsidRPr="008F35BE">
              <w:t>Sodena</w:t>
            </w:r>
            <w:proofErr w:type="spellEnd"/>
            <w:r w:rsidRPr="008F35BE">
              <w:t>-Banco Europeo de Inversiones</w:t>
            </w:r>
          </w:p>
        </w:tc>
        <w:tc>
          <w:tcPr>
            <w:tcW w:w="778" w:type="pct"/>
            <w:gridSpan w:val="2"/>
            <w:tcBorders>
              <w:top w:val="single" w:sz="2" w:space="0" w:color="auto"/>
              <w:left w:val="nil"/>
              <w:bottom w:val="single" w:sz="2" w:space="0" w:color="auto"/>
              <w:right w:val="nil"/>
            </w:tcBorders>
            <w:vAlign w:val="center"/>
          </w:tcPr>
          <w:p w14:paraId="69CC66D5" w14:textId="77777777" w:rsidR="008F35BE" w:rsidRPr="008F35BE" w:rsidRDefault="008F35BE" w:rsidP="008F35BE">
            <w:pPr>
              <w:pStyle w:val="cuatexto"/>
              <w:jc w:val="right"/>
            </w:pPr>
            <w:r w:rsidRPr="008F35BE">
              <w:t>27.659</w:t>
            </w:r>
          </w:p>
        </w:tc>
        <w:tc>
          <w:tcPr>
            <w:tcW w:w="790" w:type="pct"/>
            <w:gridSpan w:val="2"/>
            <w:tcBorders>
              <w:top w:val="single" w:sz="2" w:space="0" w:color="auto"/>
              <w:left w:val="nil"/>
              <w:bottom w:val="single" w:sz="2" w:space="0" w:color="auto"/>
              <w:right w:val="nil"/>
            </w:tcBorders>
            <w:vAlign w:val="center"/>
          </w:tcPr>
          <w:p w14:paraId="6191EFC4" w14:textId="77777777" w:rsidR="008F35BE" w:rsidRPr="008F35BE" w:rsidRDefault="008F35BE" w:rsidP="008F35BE">
            <w:pPr>
              <w:pStyle w:val="cuatexto"/>
              <w:jc w:val="right"/>
            </w:pPr>
            <w:r w:rsidRPr="008F35BE">
              <w:t>13.830</w:t>
            </w:r>
          </w:p>
        </w:tc>
        <w:tc>
          <w:tcPr>
            <w:tcW w:w="786" w:type="pct"/>
            <w:gridSpan w:val="3"/>
            <w:tcBorders>
              <w:top w:val="single" w:sz="2" w:space="0" w:color="auto"/>
              <w:left w:val="nil"/>
              <w:bottom w:val="single" w:sz="2" w:space="0" w:color="auto"/>
              <w:right w:val="nil"/>
            </w:tcBorders>
            <w:noWrap/>
            <w:vAlign w:val="center"/>
          </w:tcPr>
          <w:p w14:paraId="36A80BBE" w14:textId="77777777" w:rsidR="008F35BE" w:rsidRPr="008F35BE" w:rsidRDefault="008F35BE" w:rsidP="008F35BE">
            <w:pPr>
              <w:pStyle w:val="cuatexto"/>
              <w:jc w:val="right"/>
            </w:pPr>
            <w:r w:rsidRPr="008F35BE">
              <w:t>-50</w:t>
            </w:r>
          </w:p>
        </w:tc>
      </w:tr>
      <w:tr w:rsidR="008F35BE" w:rsidRPr="008F35BE" w14:paraId="256924B4" w14:textId="77777777" w:rsidTr="00595492">
        <w:trPr>
          <w:gridAfter w:val="1"/>
          <w:wAfter w:w="27" w:type="pct"/>
          <w:trHeight w:val="198"/>
          <w:jc w:val="center"/>
        </w:trPr>
        <w:tc>
          <w:tcPr>
            <w:tcW w:w="2619" w:type="pct"/>
            <w:tcBorders>
              <w:top w:val="single" w:sz="2" w:space="0" w:color="auto"/>
              <w:left w:val="nil"/>
              <w:bottom w:val="single" w:sz="4" w:space="0" w:color="auto"/>
              <w:right w:val="nil"/>
            </w:tcBorders>
            <w:noWrap/>
            <w:vAlign w:val="center"/>
          </w:tcPr>
          <w:p w14:paraId="4AC578F3" w14:textId="77777777" w:rsidR="008F35BE" w:rsidRPr="008F35BE" w:rsidRDefault="008F35BE" w:rsidP="008F35BE">
            <w:pPr>
              <w:pStyle w:val="cuatexto"/>
            </w:pPr>
            <w:r w:rsidRPr="008F35BE">
              <w:t>Nasuvinsa-Banco Europeo de Inversiones</w:t>
            </w:r>
          </w:p>
        </w:tc>
        <w:tc>
          <w:tcPr>
            <w:tcW w:w="778" w:type="pct"/>
            <w:gridSpan w:val="2"/>
            <w:tcBorders>
              <w:top w:val="single" w:sz="2" w:space="0" w:color="auto"/>
              <w:left w:val="nil"/>
              <w:bottom w:val="single" w:sz="4" w:space="0" w:color="auto"/>
              <w:right w:val="nil"/>
            </w:tcBorders>
            <w:vAlign w:val="center"/>
          </w:tcPr>
          <w:p w14:paraId="14BDCF02" w14:textId="77777777" w:rsidR="008F35BE" w:rsidRPr="008F35BE" w:rsidRDefault="008F35BE" w:rsidP="008F35BE">
            <w:pPr>
              <w:pStyle w:val="cuatexto"/>
              <w:jc w:val="right"/>
            </w:pPr>
            <w:r>
              <w:t>-</w:t>
            </w:r>
          </w:p>
        </w:tc>
        <w:tc>
          <w:tcPr>
            <w:tcW w:w="790" w:type="pct"/>
            <w:gridSpan w:val="2"/>
            <w:tcBorders>
              <w:top w:val="single" w:sz="2" w:space="0" w:color="auto"/>
              <w:left w:val="nil"/>
              <w:bottom w:val="single" w:sz="4" w:space="0" w:color="auto"/>
              <w:right w:val="nil"/>
            </w:tcBorders>
            <w:vAlign w:val="center"/>
          </w:tcPr>
          <w:p w14:paraId="50BB3334" w14:textId="77777777" w:rsidR="008F35BE" w:rsidRPr="008F35BE" w:rsidRDefault="008F35BE" w:rsidP="008F35BE">
            <w:pPr>
              <w:pStyle w:val="cuatexto"/>
              <w:jc w:val="right"/>
            </w:pPr>
            <w:r w:rsidRPr="008F35BE">
              <w:t>23.592</w:t>
            </w:r>
          </w:p>
        </w:tc>
        <w:tc>
          <w:tcPr>
            <w:tcW w:w="786" w:type="pct"/>
            <w:gridSpan w:val="3"/>
            <w:tcBorders>
              <w:top w:val="single" w:sz="2" w:space="0" w:color="auto"/>
              <w:left w:val="nil"/>
              <w:bottom w:val="single" w:sz="4" w:space="0" w:color="auto"/>
              <w:right w:val="nil"/>
            </w:tcBorders>
            <w:noWrap/>
            <w:vAlign w:val="center"/>
          </w:tcPr>
          <w:p w14:paraId="38A82390" w14:textId="77777777" w:rsidR="008F35BE" w:rsidRPr="008F35BE" w:rsidRDefault="008F35BE" w:rsidP="008F35BE">
            <w:pPr>
              <w:pStyle w:val="cuatexto"/>
              <w:jc w:val="right"/>
            </w:pPr>
          </w:p>
        </w:tc>
      </w:tr>
      <w:tr w:rsidR="008F35BE" w:rsidRPr="008F35BE" w14:paraId="2C186CAC" w14:textId="77777777" w:rsidTr="008F35BE">
        <w:trPr>
          <w:gridAfter w:val="1"/>
          <w:wAfter w:w="27" w:type="pct"/>
          <w:trHeight w:hRule="exact" w:val="255"/>
          <w:jc w:val="center"/>
        </w:trPr>
        <w:tc>
          <w:tcPr>
            <w:tcW w:w="2619" w:type="pct"/>
            <w:tcBorders>
              <w:top w:val="single" w:sz="4" w:space="0" w:color="auto"/>
              <w:left w:val="nil"/>
              <w:bottom w:val="single" w:sz="4" w:space="0" w:color="auto"/>
              <w:right w:val="nil"/>
            </w:tcBorders>
            <w:shd w:val="clear" w:color="auto" w:fill="8DB3E2"/>
            <w:noWrap/>
            <w:vAlign w:val="center"/>
            <w:hideMark/>
          </w:tcPr>
          <w:p w14:paraId="4DB1DB9E" w14:textId="77777777" w:rsidR="00614DC4" w:rsidRPr="008F35BE" w:rsidRDefault="00614DC4" w:rsidP="00EA72EA">
            <w:pPr>
              <w:pStyle w:val="cuadroCabe"/>
            </w:pPr>
            <w:r w:rsidRPr="008F35BE">
              <w:t>Total</w:t>
            </w:r>
          </w:p>
        </w:tc>
        <w:tc>
          <w:tcPr>
            <w:tcW w:w="778" w:type="pct"/>
            <w:gridSpan w:val="2"/>
            <w:tcBorders>
              <w:top w:val="single" w:sz="4" w:space="0" w:color="auto"/>
              <w:left w:val="nil"/>
              <w:bottom w:val="single" w:sz="4" w:space="0" w:color="auto"/>
              <w:right w:val="nil"/>
            </w:tcBorders>
            <w:shd w:val="clear" w:color="auto" w:fill="8DB3E2"/>
            <w:vAlign w:val="center"/>
          </w:tcPr>
          <w:p w14:paraId="3B430827" w14:textId="77777777" w:rsidR="00614DC4" w:rsidRPr="008F35BE" w:rsidRDefault="008F35BE" w:rsidP="009919AC">
            <w:pPr>
              <w:pStyle w:val="cuadroCabe"/>
              <w:jc w:val="right"/>
            </w:pPr>
            <w:r w:rsidRPr="008F35BE">
              <w:t>42.11</w:t>
            </w:r>
            <w:r w:rsidR="009919AC">
              <w:t>8</w:t>
            </w:r>
          </w:p>
        </w:tc>
        <w:tc>
          <w:tcPr>
            <w:tcW w:w="810" w:type="pct"/>
            <w:gridSpan w:val="3"/>
            <w:tcBorders>
              <w:top w:val="single" w:sz="4" w:space="0" w:color="auto"/>
              <w:left w:val="nil"/>
              <w:bottom w:val="single" w:sz="4" w:space="0" w:color="auto"/>
              <w:right w:val="nil"/>
            </w:tcBorders>
            <w:shd w:val="clear" w:color="auto" w:fill="8DB3E2"/>
            <w:vAlign w:val="center"/>
          </w:tcPr>
          <w:p w14:paraId="159C8C26" w14:textId="77777777" w:rsidR="00614DC4" w:rsidRPr="008F35BE" w:rsidRDefault="008F35BE" w:rsidP="00D12353">
            <w:pPr>
              <w:pStyle w:val="cuadroCabe"/>
              <w:jc w:val="right"/>
            </w:pPr>
            <w:r w:rsidRPr="008F35BE">
              <w:t>43.836</w:t>
            </w:r>
          </w:p>
        </w:tc>
        <w:tc>
          <w:tcPr>
            <w:tcW w:w="766" w:type="pct"/>
            <w:gridSpan w:val="2"/>
            <w:tcBorders>
              <w:top w:val="single" w:sz="4" w:space="0" w:color="auto"/>
              <w:left w:val="nil"/>
              <w:bottom w:val="single" w:sz="4" w:space="0" w:color="auto"/>
              <w:right w:val="nil"/>
            </w:tcBorders>
            <w:shd w:val="clear" w:color="auto" w:fill="8DB3E2"/>
            <w:noWrap/>
            <w:vAlign w:val="center"/>
          </w:tcPr>
          <w:p w14:paraId="31B94853" w14:textId="77777777" w:rsidR="00614DC4" w:rsidRPr="008F35BE" w:rsidRDefault="00CD47DD" w:rsidP="00D12353">
            <w:pPr>
              <w:pStyle w:val="cuadroCabe"/>
              <w:jc w:val="right"/>
            </w:pPr>
            <w:r>
              <w:t>4</w:t>
            </w:r>
          </w:p>
        </w:tc>
      </w:tr>
    </w:tbl>
    <w:p w14:paraId="400DD821" w14:textId="77777777" w:rsidR="008F35BE" w:rsidRDefault="00614DC4" w:rsidP="008F35BE">
      <w:pPr>
        <w:pStyle w:val="texto"/>
        <w:spacing w:before="240"/>
        <w:jc w:val="both"/>
      </w:pPr>
      <w:r w:rsidRPr="008F35BE">
        <w:t xml:space="preserve">El saldo vivo total ha </w:t>
      </w:r>
      <w:r w:rsidR="008F35BE" w:rsidRPr="008F35BE">
        <w:t xml:space="preserve">aumentado </w:t>
      </w:r>
      <w:r w:rsidR="009F13E6">
        <w:t xml:space="preserve">en 1,72 millones, lo que ha supuesto </w:t>
      </w:r>
      <w:r w:rsidR="008F35BE" w:rsidRPr="008F35BE">
        <w:t>un cuatro por ciento</w:t>
      </w:r>
      <w:r w:rsidR="009F13E6">
        <w:t xml:space="preserve"> de incremento</w:t>
      </w:r>
      <w:r w:rsidR="008F35BE" w:rsidRPr="008F35BE">
        <w:t>. El aumento se debe principalmente a la constitución del nuevo aval Nasuvi</w:t>
      </w:r>
      <w:r w:rsidR="009F13E6">
        <w:t>nsa</w:t>
      </w:r>
      <w:r w:rsidR="008F35BE" w:rsidRPr="008F35BE">
        <w:t>–</w:t>
      </w:r>
      <w:r w:rsidR="009F13E6">
        <w:t>BEI por importe de 23,</w:t>
      </w:r>
      <w:r w:rsidR="008F35BE" w:rsidRPr="008F35BE">
        <w:t xml:space="preserve">59 millones. El resto de </w:t>
      </w:r>
      <w:proofErr w:type="gramStart"/>
      <w:r w:rsidR="008F35BE" w:rsidRPr="008F35BE">
        <w:t>saldos</w:t>
      </w:r>
      <w:proofErr w:type="gramEnd"/>
      <w:r w:rsidR="008F35BE" w:rsidRPr="008F35BE">
        <w:t xml:space="preserve"> ha disminuido. </w:t>
      </w:r>
    </w:p>
    <w:p w14:paraId="6E293510" w14:textId="77777777" w:rsidR="00610229" w:rsidRDefault="00610229" w:rsidP="00610229">
      <w:pPr>
        <w:pStyle w:val="texto"/>
        <w:spacing w:before="240"/>
        <w:jc w:val="both"/>
      </w:pPr>
      <w:r w:rsidRPr="00610229">
        <w:t xml:space="preserve">El aval </w:t>
      </w:r>
      <w:r>
        <w:t xml:space="preserve">de Nasuvinsa, </w:t>
      </w:r>
      <w:r w:rsidRPr="00610229">
        <w:t>garantiza el contrato de crédito con el BEI para asegurar el desarrollo de 144 Vi</w:t>
      </w:r>
      <w:r w:rsidR="008F0074">
        <w:t xml:space="preserve">viendas de Protección Oficial </w:t>
      </w:r>
      <w:r w:rsidRPr="00610229">
        <w:t>en suelo de cesión municipal, en el marco de la segunda fase del plan foral de alquiler</w:t>
      </w:r>
      <w:r>
        <w:t xml:space="preserve"> Navarra Social </w:t>
      </w:r>
      <w:proofErr w:type="spellStart"/>
      <w:r>
        <w:t>Housing</w:t>
      </w:r>
      <w:proofErr w:type="spellEnd"/>
      <w:r>
        <w:t>.</w:t>
      </w:r>
    </w:p>
    <w:p w14:paraId="3DE5A72A" w14:textId="77777777" w:rsidR="00614DC4" w:rsidRPr="008F35BE" w:rsidRDefault="00610229" w:rsidP="00610229">
      <w:pPr>
        <w:pStyle w:val="texto"/>
        <w:spacing w:before="240"/>
        <w:jc w:val="both"/>
      </w:pPr>
      <w:r>
        <w:t>Por otro lado, d</w:t>
      </w:r>
      <w:r w:rsidR="008F35BE" w:rsidRPr="008F35BE">
        <w:t xml:space="preserve">urante el ejercicio 2023, la ACFN ha cancelado los avales que tenía vigentes en el programa “Aval Navarra”, </w:t>
      </w:r>
      <w:r w:rsidR="009919AC">
        <w:t>además de</w:t>
      </w:r>
      <w:r w:rsidR="008F35BE" w:rsidRPr="008F35BE">
        <w:t>l que tenía otorgado en favor de la sociedad NICDO.</w:t>
      </w:r>
      <w:r>
        <w:t xml:space="preserve"> </w:t>
      </w:r>
      <w:r w:rsidR="00614DC4" w:rsidRPr="008F35BE">
        <w:t>En 202</w:t>
      </w:r>
      <w:r w:rsidR="008F35BE" w:rsidRPr="008F35BE">
        <w:t>3</w:t>
      </w:r>
      <w:r w:rsidR="00614DC4" w:rsidRPr="008F35BE">
        <w:t xml:space="preserve"> no se produjo ningún gasto derivado de la ejecución de avales. </w:t>
      </w:r>
    </w:p>
    <w:p w14:paraId="2E4AD5F1" w14:textId="77777777" w:rsidR="000C4F65" w:rsidRDefault="000C4F65">
      <w:pPr>
        <w:rPr>
          <w:rFonts w:ascii="Arial" w:hAnsi="Arial"/>
          <w:bCs/>
          <w:iCs/>
          <w:color w:val="000000"/>
          <w:spacing w:val="10"/>
          <w:kern w:val="28"/>
          <w:sz w:val="25"/>
          <w:szCs w:val="26"/>
        </w:rPr>
      </w:pPr>
      <w:bookmarkStart w:id="170" w:name="_Toc52267380"/>
      <w:bookmarkStart w:id="171" w:name="_Toc525907451"/>
      <w:bookmarkStart w:id="172" w:name="_Toc494270395"/>
      <w:bookmarkStart w:id="173" w:name="_Toc146471255"/>
      <w:r>
        <w:br w:type="page"/>
      </w:r>
    </w:p>
    <w:p w14:paraId="07FE56AC" w14:textId="77777777" w:rsidR="00614DC4" w:rsidRPr="007705AC" w:rsidRDefault="00614DC4" w:rsidP="007705AC">
      <w:pPr>
        <w:pStyle w:val="atitulo2"/>
      </w:pPr>
      <w:bookmarkStart w:id="174" w:name="_Toc182464290"/>
      <w:r w:rsidRPr="007705AC">
        <w:lastRenderedPageBreak/>
        <w:t>5.1</w:t>
      </w:r>
      <w:r w:rsidR="00A35015">
        <w:t>2</w:t>
      </w:r>
      <w:r w:rsidRPr="007705AC">
        <w:t xml:space="preserve"> Sociedades Públicas y Fundaciones Públicas</w:t>
      </w:r>
      <w:bookmarkEnd w:id="170"/>
      <w:bookmarkEnd w:id="171"/>
      <w:bookmarkEnd w:id="172"/>
      <w:bookmarkEnd w:id="173"/>
      <w:bookmarkEnd w:id="174"/>
    </w:p>
    <w:p w14:paraId="434FA8F9" w14:textId="77777777" w:rsidR="00614DC4" w:rsidRDefault="00614DC4" w:rsidP="0017053D">
      <w:pPr>
        <w:pStyle w:val="atitulo3"/>
      </w:pPr>
      <w:r>
        <w:t>Sociedades Públicas</w:t>
      </w:r>
    </w:p>
    <w:p w14:paraId="621243E7" w14:textId="77777777" w:rsidR="00A60FF7" w:rsidRPr="00131A5E" w:rsidRDefault="00614DC4" w:rsidP="00131A5E">
      <w:pPr>
        <w:tabs>
          <w:tab w:val="center" w:pos="2835"/>
          <w:tab w:val="center" w:pos="3969"/>
          <w:tab w:val="center" w:pos="5103"/>
          <w:tab w:val="center" w:pos="6237"/>
          <w:tab w:val="center" w:pos="7371"/>
        </w:tabs>
        <w:ind w:firstLine="284"/>
        <w:jc w:val="both"/>
        <w:rPr>
          <w:color w:val="000000" w:themeColor="text1"/>
          <w:spacing w:val="6"/>
          <w:sz w:val="26"/>
        </w:rPr>
      </w:pPr>
      <w:r w:rsidRPr="00131A5E">
        <w:rPr>
          <w:color w:val="000000" w:themeColor="text1"/>
          <w:spacing w:val="6"/>
          <w:sz w:val="26"/>
        </w:rPr>
        <w:t>A continuación, se presentan datos sobre las sociedades públicas de la Comunidad Foral, según información contenida en la memoria de las Cuentas Generales:</w:t>
      </w:r>
    </w:p>
    <w:p w14:paraId="71C3E0E3" w14:textId="77777777" w:rsidR="00614DC4" w:rsidRDefault="00614DC4" w:rsidP="00614DC4">
      <w:pPr>
        <w:pStyle w:val="Prrafodelista"/>
        <w:tabs>
          <w:tab w:val="center" w:pos="2835"/>
          <w:tab w:val="center" w:pos="3969"/>
          <w:tab w:val="center" w:pos="5103"/>
        </w:tabs>
        <w:spacing w:after="80"/>
        <w:ind w:left="1288"/>
        <w:jc w:val="right"/>
        <w:rPr>
          <w:rFonts w:ascii="Arial" w:hAnsi="Arial"/>
          <w:color w:val="000000" w:themeColor="text1"/>
          <w:spacing w:val="6"/>
          <w:sz w:val="17"/>
          <w:szCs w:val="17"/>
        </w:rPr>
      </w:pPr>
      <w:r>
        <w:rPr>
          <w:rFonts w:ascii="Arial" w:hAnsi="Arial"/>
          <w:color w:val="000000" w:themeColor="text1"/>
          <w:spacing w:val="6"/>
          <w:sz w:val="17"/>
          <w:szCs w:val="17"/>
        </w:rPr>
        <w:t>(en miles, salvo que indique número)</w:t>
      </w:r>
    </w:p>
    <w:tbl>
      <w:tblPr>
        <w:tblW w:w="5081" w:type="pct"/>
        <w:jc w:val="center"/>
        <w:tblLayout w:type="fixed"/>
        <w:tblCellMar>
          <w:left w:w="80" w:type="dxa"/>
          <w:right w:w="80" w:type="dxa"/>
        </w:tblCellMar>
        <w:tblLook w:val="04A0" w:firstRow="1" w:lastRow="0" w:firstColumn="1" w:lastColumn="0" w:noHBand="0" w:noVBand="1"/>
      </w:tblPr>
      <w:tblGrid>
        <w:gridCol w:w="2553"/>
        <w:gridCol w:w="1134"/>
        <w:gridCol w:w="990"/>
        <w:gridCol w:w="1136"/>
        <w:gridCol w:w="991"/>
        <w:gridCol w:w="1134"/>
        <w:gridCol w:w="993"/>
      </w:tblGrid>
      <w:tr w:rsidR="00A155BF" w:rsidRPr="00595492" w14:paraId="40F5CC77" w14:textId="77777777" w:rsidTr="00B81AF3">
        <w:trPr>
          <w:trHeight w:val="255"/>
          <w:jc w:val="center"/>
        </w:trPr>
        <w:tc>
          <w:tcPr>
            <w:tcW w:w="1429" w:type="pct"/>
            <w:tcBorders>
              <w:top w:val="single" w:sz="4" w:space="0" w:color="auto"/>
              <w:left w:val="nil"/>
              <w:bottom w:val="single" w:sz="4" w:space="0" w:color="auto"/>
              <w:right w:val="nil"/>
            </w:tcBorders>
            <w:shd w:val="clear" w:color="auto" w:fill="8DB3E2"/>
            <w:vAlign w:val="center"/>
            <w:hideMark/>
          </w:tcPr>
          <w:p w14:paraId="02975ADB" w14:textId="77777777" w:rsidR="00614DC4" w:rsidRPr="00595492" w:rsidRDefault="00614DC4" w:rsidP="00092EB2">
            <w:pPr>
              <w:pStyle w:val="cuadroCabe"/>
              <w:rPr>
                <w:sz w:val="16"/>
                <w:szCs w:val="16"/>
              </w:rPr>
            </w:pPr>
            <w:r w:rsidRPr="00595492">
              <w:rPr>
                <w:sz w:val="16"/>
                <w:szCs w:val="16"/>
              </w:rPr>
              <w:t>Sociedad</w:t>
            </w:r>
            <w:r w:rsidR="000616EB">
              <w:rPr>
                <w:sz w:val="16"/>
                <w:szCs w:val="16"/>
              </w:rPr>
              <w:t xml:space="preserve"> Pública</w:t>
            </w:r>
          </w:p>
        </w:tc>
        <w:tc>
          <w:tcPr>
            <w:tcW w:w="635" w:type="pct"/>
            <w:tcBorders>
              <w:top w:val="single" w:sz="4" w:space="0" w:color="auto"/>
              <w:left w:val="nil"/>
              <w:bottom w:val="single" w:sz="4" w:space="0" w:color="auto"/>
              <w:right w:val="nil"/>
            </w:tcBorders>
            <w:shd w:val="clear" w:color="auto" w:fill="8DB3E2"/>
            <w:vAlign w:val="center"/>
            <w:hideMark/>
          </w:tcPr>
          <w:p w14:paraId="038536BD" w14:textId="77777777" w:rsidR="00614DC4" w:rsidRPr="00595492" w:rsidRDefault="00614DC4" w:rsidP="004528C1">
            <w:pPr>
              <w:pStyle w:val="cuadroCabe"/>
              <w:jc w:val="right"/>
              <w:rPr>
                <w:sz w:val="16"/>
                <w:szCs w:val="16"/>
              </w:rPr>
            </w:pPr>
            <w:r w:rsidRPr="00595492">
              <w:rPr>
                <w:sz w:val="16"/>
                <w:szCs w:val="16"/>
              </w:rPr>
              <w:t>Resultado</w:t>
            </w:r>
          </w:p>
          <w:p w14:paraId="2891A676" w14:textId="77777777" w:rsidR="00614DC4" w:rsidRPr="00595492" w:rsidRDefault="00614DC4" w:rsidP="004528C1">
            <w:pPr>
              <w:pStyle w:val="cuadroCabe"/>
              <w:jc w:val="right"/>
              <w:rPr>
                <w:sz w:val="16"/>
                <w:szCs w:val="16"/>
              </w:rPr>
            </w:pPr>
            <w:r w:rsidRPr="00595492">
              <w:rPr>
                <w:sz w:val="16"/>
                <w:szCs w:val="16"/>
              </w:rPr>
              <w:t>ejercicio</w:t>
            </w:r>
          </w:p>
        </w:tc>
        <w:tc>
          <w:tcPr>
            <w:tcW w:w="554" w:type="pct"/>
            <w:tcBorders>
              <w:top w:val="single" w:sz="4" w:space="0" w:color="auto"/>
              <w:left w:val="nil"/>
              <w:bottom w:val="single" w:sz="4" w:space="0" w:color="auto"/>
              <w:right w:val="nil"/>
            </w:tcBorders>
            <w:shd w:val="clear" w:color="auto" w:fill="8DB3E2"/>
            <w:vAlign w:val="center"/>
            <w:hideMark/>
          </w:tcPr>
          <w:p w14:paraId="76ABD75E" w14:textId="77777777" w:rsidR="00614DC4" w:rsidRPr="00595492" w:rsidRDefault="00614DC4" w:rsidP="004528C1">
            <w:pPr>
              <w:pStyle w:val="cuadroCabe"/>
              <w:jc w:val="right"/>
              <w:rPr>
                <w:sz w:val="16"/>
                <w:szCs w:val="16"/>
              </w:rPr>
            </w:pPr>
            <w:r w:rsidRPr="00595492">
              <w:rPr>
                <w:sz w:val="16"/>
                <w:szCs w:val="16"/>
              </w:rPr>
              <w:t>Subvenciones</w:t>
            </w:r>
          </w:p>
          <w:p w14:paraId="3972324A" w14:textId="77777777" w:rsidR="00614DC4" w:rsidRPr="00595492" w:rsidRDefault="00614DC4" w:rsidP="004528C1">
            <w:pPr>
              <w:pStyle w:val="cuadroCabe"/>
              <w:jc w:val="right"/>
              <w:rPr>
                <w:sz w:val="16"/>
                <w:szCs w:val="16"/>
              </w:rPr>
            </w:pPr>
            <w:r w:rsidRPr="00595492">
              <w:rPr>
                <w:sz w:val="16"/>
                <w:szCs w:val="16"/>
              </w:rPr>
              <w:t>Admón.</w:t>
            </w:r>
          </w:p>
          <w:p w14:paraId="6D0009C9" w14:textId="77777777" w:rsidR="00614DC4" w:rsidRPr="00595492" w:rsidRDefault="00614DC4" w:rsidP="004528C1">
            <w:pPr>
              <w:pStyle w:val="cuadroCabe"/>
              <w:jc w:val="right"/>
              <w:rPr>
                <w:sz w:val="16"/>
                <w:szCs w:val="16"/>
              </w:rPr>
            </w:pPr>
            <w:r w:rsidRPr="00595492">
              <w:rPr>
                <w:sz w:val="16"/>
                <w:szCs w:val="16"/>
              </w:rPr>
              <w:t>Foral (</w:t>
            </w:r>
            <w:r w:rsidR="00446D81" w:rsidRPr="00595492">
              <w:rPr>
                <w:sz w:val="16"/>
                <w:szCs w:val="16"/>
              </w:rPr>
              <w:t>3</w:t>
            </w:r>
            <w:r w:rsidRPr="00595492">
              <w:rPr>
                <w:sz w:val="16"/>
                <w:szCs w:val="16"/>
              </w:rPr>
              <w:t>)</w:t>
            </w:r>
          </w:p>
        </w:tc>
        <w:tc>
          <w:tcPr>
            <w:tcW w:w="636" w:type="pct"/>
            <w:tcBorders>
              <w:top w:val="single" w:sz="4" w:space="0" w:color="auto"/>
              <w:left w:val="nil"/>
              <w:bottom w:val="single" w:sz="4" w:space="0" w:color="auto"/>
              <w:right w:val="nil"/>
            </w:tcBorders>
            <w:shd w:val="clear" w:color="auto" w:fill="8DB3E2"/>
            <w:vAlign w:val="center"/>
            <w:hideMark/>
          </w:tcPr>
          <w:p w14:paraId="35845A1C" w14:textId="77777777" w:rsidR="00614DC4" w:rsidRPr="00595492" w:rsidRDefault="00614DC4" w:rsidP="004528C1">
            <w:pPr>
              <w:pStyle w:val="cuadroCabe"/>
              <w:jc w:val="right"/>
              <w:rPr>
                <w:sz w:val="16"/>
                <w:szCs w:val="16"/>
              </w:rPr>
            </w:pPr>
            <w:r w:rsidRPr="00595492">
              <w:rPr>
                <w:sz w:val="16"/>
                <w:szCs w:val="16"/>
              </w:rPr>
              <w:t>Aportaciones</w:t>
            </w:r>
          </w:p>
          <w:p w14:paraId="3181A1D7" w14:textId="77777777" w:rsidR="00614DC4" w:rsidRPr="00595492" w:rsidRDefault="00614DC4" w:rsidP="004528C1">
            <w:pPr>
              <w:pStyle w:val="cuadroCabe"/>
              <w:jc w:val="right"/>
              <w:rPr>
                <w:sz w:val="16"/>
                <w:szCs w:val="16"/>
              </w:rPr>
            </w:pPr>
            <w:r w:rsidRPr="00595492">
              <w:rPr>
                <w:sz w:val="16"/>
                <w:szCs w:val="16"/>
              </w:rPr>
              <w:t>CPEN</w:t>
            </w:r>
          </w:p>
        </w:tc>
        <w:tc>
          <w:tcPr>
            <w:tcW w:w="555" w:type="pct"/>
            <w:tcBorders>
              <w:top w:val="single" w:sz="4" w:space="0" w:color="auto"/>
              <w:left w:val="nil"/>
              <w:bottom w:val="single" w:sz="4" w:space="0" w:color="auto"/>
              <w:right w:val="nil"/>
            </w:tcBorders>
            <w:shd w:val="clear" w:color="auto" w:fill="8DB3E2"/>
            <w:vAlign w:val="center"/>
            <w:hideMark/>
          </w:tcPr>
          <w:p w14:paraId="552A7B63" w14:textId="77777777" w:rsidR="00614DC4" w:rsidRPr="00595492" w:rsidRDefault="00614DC4" w:rsidP="004528C1">
            <w:pPr>
              <w:pStyle w:val="cuadroCabe"/>
              <w:jc w:val="right"/>
              <w:rPr>
                <w:sz w:val="16"/>
                <w:szCs w:val="16"/>
              </w:rPr>
            </w:pPr>
            <w:r w:rsidRPr="00595492">
              <w:rPr>
                <w:sz w:val="16"/>
                <w:szCs w:val="16"/>
              </w:rPr>
              <w:t>Endeudamiento l</w:t>
            </w:r>
            <w:r w:rsidR="004528C1">
              <w:rPr>
                <w:sz w:val="16"/>
                <w:szCs w:val="16"/>
              </w:rPr>
              <w:t>/p</w:t>
            </w:r>
            <w:r w:rsidRPr="00595492">
              <w:rPr>
                <w:sz w:val="16"/>
                <w:szCs w:val="16"/>
              </w:rPr>
              <w:t xml:space="preserve"> (2)</w:t>
            </w:r>
          </w:p>
        </w:tc>
        <w:tc>
          <w:tcPr>
            <w:tcW w:w="635" w:type="pct"/>
            <w:tcBorders>
              <w:top w:val="single" w:sz="4" w:space="0" w:color="auto"/>
              <w:left w:val="nil"/>
              <w:bottom w:val="single" w:sz="4" w:space="0" w:color="auto"/>
              <w:right w:val="nil"/>
            </w:tcBorders>
            <w:shd w:val="clear" w:color="auto" w:fill="8DB3E2"/>
            <w:vAlign w:val="center"/>
            <w:hideMark/>
          </w:tcPr>
          <w:p w14:paraId="59CC6D57" w14:textId="77777777" w:rsidR="00614DC4" w:rsidRPr="00595492" w:rsidRDefault="00614DC4" w:rsidP="004528C1">
            <w:pPr>
              <w:pStyle w:val="cuadroCabe"/>
              <w:jc w:val="right"/>
              <w:rPr>
                <w:sz w:val="16"/>
                <w:szCs w:val="16"/>
              </w:rPr>
            </w:pPr>
            <w:r w:rsidRPr="00595492">
              <w:rPr>
                <w:sz w:val="16"/>
                <w:szCs w:val="16"/>
              </w:rPr>
              <w:t>Patrimonio</w:t>
            </w:r>
          </w:p>
          <w:p w14:paraId="128B7D6C" w14:textId="77777777" w:rsidR="00614DC4" w:rsidRPr="00595492" w:rsidRDefault="00614DC4" w:rsidP="004528C1">
            <w:pPr>
              <w:pStyle w:val="cuadroCabe"/>
              <w:jc w:val="right"/>
              <w:rPr>
                <w:sz w:val="16"/>
                <w:szCs w:val="16"/>
              </w:rPr>
            </w:pPr>
            <w:r w:rsidRPr="00595492">
              <w:rPr>
                <w:sz w:val="16"/>
                <w:szCs w:val="16"/>
              </w:rPr>
              <w:t>neto</w:t>
            </w:r>
          </w:p>
        </w:tc>
        <w:tc>
          <w:tcPr>
            <w:tcW w:w="556" w:type="pct"/>
            <w:tcBorders>
              <w:top w:val="single" w:sz="4" w:space="0" w:color="auto"/>
              <w:left w:val="nil"/>
              <w:bottom w:val="single" w:sz="4" w:space="0" w:color="auto"/>
              <w:right w:val="nil"/>
            </w:tcBorders>
            <w:shd w:val="clear" w:color="auto" w:fill="8DB3E2"/>
            <w:vAlign w:val="center"/>
            <w:hideMark/>
          </w:tcPr>
          <w:p w14:paraId="0C575168" w14:textId="77777777" w:rsidR="00614DC4" w:rsidRPr="00595492" w:rsidRDefault="00614DC4" w:rsidP="004528C1">
            <w:pPr>
              <w:pStyle w:val="cuadroCabe"/>
              <w:jc w:val="right"/>
              <w:rPr>
                <w:sz w:val="16"/>
                <w:szCs w:val="16"/>
              </w:rPr>
            </w:pPr>
            <w:r w:rsidRPr="00595492">
              <w:rPr>
                <w:sz w:val="16"/>
                <w:szCs w:val="16"/>
              </w:rPr>
              <w:t>Nº medio</w:t>
            </w:r>
          </w:p>
          <w:p w14:paraId="0CDACCF7" w14:textId="77777777" w:rsidR="00614DC4" w:rsidRPr="00595492" w:rsidRDefault="00614DC4" w:rsidP="004528C1">
            <w:pPr>
              <w:pStyle w:val="cuadroCabe"/>
              <w:jc w:val="right"/>
              <w:rPr>
                <w:sz w:val="16"/>
                <w:szCs w:val="16"/>
              </w:rPr>
            </w:pPr>
            <w:r w:rsidRPr="00595492">
              <w:rPr>
                <w:sz w:val="16"/>
                <w:szCs w:val="16"/>
              </w:rPr>
              <w:t>empleados</w:t>
            </w:r>
          </w:p>
        </w:tc>
      </w:tr>
      <w:tr w:rsidR="00A155BF" w14:paraId="7A9D8719" w14:textId="77777777" w:rsidTr="00B81AF3">
        <w:trPr>
          <w:trHeight w:val="198"/>
          <w:jc w:val="center"/>
        </w:trPr>
        <w:tc>
          <w:tcPr>
            <w:tcW w:w="1429" w:type="pct"/>
            <w:tcBorders>
              <w:top w:val="single" w:sz="4" w:space="0" w:color="auto"/>
              <w:left w:val="nil"/>
              <w:bottom w:val="single" w:sz="2" w:space="0" w:color="auto"/>
              <w:right w:val="nil"/>
            </w:tcBorders>
            <w:vAlign w:val="center"/>
          </w:tcPr>
          <w:p w14:paraId="30B1B591" w14:textId="77777777" w:rsidR="00A60FF7" w:rsidRDefault="00A60FF7" w:rsidP="00EA72EA">
            <w:pPr>
              <w:pStyle w:val="cuatexto"/>
            </w:pPr>
            <w:proofErr w:type="spellStart"/>
            <w:r>
              <w:t>Bidean</w:t>
            </w:r>
            <w:proofErr w:type="spellEnd"/>
          </w:p>
        </w:tc>
        <w:tc>
          <w:tcPr>
            <w:tcW w:w="635" w:type="pct"/>
            <w:tcBorders>
              <w:top w:val="single" w:sz="4" w:space="0" w:color="auto"/>
              <w:left w:val="nil"/>
              <w:bottom w:val="single" w:sz="2" w:space="0" w:color="auto"/>
              <w:right w:val="nil"/>
            </w:tcBorders>
            <w:vAlign w:val="center"/>
          </w:tcPr>
          <w:p w14:paraId="2C8F4854" w14:textId="77777777" w:rsidR="00A60FF7" w:rsidRPr="00A155BF" w:rsidRDefault="00A60FF7" w:rsidP="00D12353">
            <w:pPr>
              <w:pStyle w:val="cuatexto"/>
              <w:jc w:val="right"/>
              <w:rPr>
                <w:rFonts w:cs="Calibri"/>
                <w:color w:val="000000"/>
                <w:szCs w:val="20"/>
              </w:rPr>
            </w:pPr>
            <w:r w:rsidRPr="00A155BF">
              <w:rPr>
                <w:rFonts w:cs="Calibri"/>
                <w:color w:val="000000"/>
                <w:szCs w:val="20"/>
              </w:rPr>
              <w:t>0</w:t>
            </w:r>
          </w:p>
        </w:tc>
        <w:tc>
          <w:tcPr>
            <w:tcW w:w="554" w:type="pct"/>
            <w:tcBorders>
              <w:top w:val="single" w:sz="4" w:space="0" w:color="auto"/>
              <w:left w:val="nil"/>
              <w:bottom w:val="single" w:sz="2" w:space="0" w:color="auto"/>
              <w:right w:val="nil"/>
            </w:tcBorders>
            <w:vAlign w:val="center"/>
          </w:tcPr>
          <w:p w14:paraId="0FD69164" w14:textId="77777777" w:rsidR="00A60FF7" w:rsidRPr="00A155BF" w:rsidRDefault="00A60FF7" w:rsidP="00D12353">
            <w:pPr>
              <w:pStyle w:val="cuatexto"/>
              <w:jc w:val="right"/>
              <w:rPr>
                <w:rFonts w:cs="Calibri"/>
                <w:szCs w:val="20"/>
              </w:rPr>
            </w:pPr>
            <w:r w:rsidRPr="00A155BF">
              <w:rPr>
                <w:rFonts w:cs="Calibri"/>
                <w:szCs w:val="20"/>
              </w:rPr>
              <w:t>41</w:t>
            </w:r>
          </w:p>
        </w:tc>
        <w:tc>
          <w:tcPr>
            <w:tcW w:w="636" w:type="pct"/>
            <w:tcBorders>
              <w:top w:val="single" w:sz="4" w:space="0" w:color="auto"/>
              <w:left w:val="nil"/>
              <w:bottom w:val="single" w:sz="2" w:space="0" w:color="auto"/>
              <w:right w:val="nil"/>
            </w:tcBorders>
            <w:vAlign w:val="center"/>
          </w:tcPr>
          <w:p w14:paraId="359458C2" w14:textId="77777777" w:rsidR="00A60FF7" w:rsidRDefault="00A60FF7" w:rsidP="00D12353">
            <w:pPr>
              <w:pStyle w:val="cuatexto"/>
              <w:jc w:val="right"/>
            </w:pPr>
            <w:r>
              <w:t>-</w:t>
            </w:r>
          </w:p>
        </w:tc>
        <w:tc>
          <w:tcPr>
            <w:tcW w:w="555" w:type="pct"/>
            <w:tcBorders>
              <w:top w:val="single" w:sz="4" w:space="0" w:color="auto"/>
              <w:left w:val="nil"/>
              <w:bottom w:val="single" w:sz="2" w:space="0" w:color="auto"/>
              <w:right w:val="nil"/>
            </w:tcBorders>
            <w:vAlign w:val="center"/>
          </w:tcPr>
          <w:p w14:paraId="171DE37F" w14:textId="77777777" w:rsidR="00A60FF7" w:rsidRDefault="00A60FF7" w:rsidP="00D12353">
            <w:pPr>
              <w:pStyle w:val="cuatexto"/>
              <w:jc w:val="right"/>
            </w:pPr>
            <w:r>
              <w:t>-</w:t>
            </w:r>
          </w:p>
        </w:tc>
        <w:tc>
          <w:tcPr>
            <w:tcW w:w="635" w:type="pct"/>
            <w:tcBorders>
              <w:top w:val="single" w:sz="4" w:space="0" w:color="auto"/>
              <w:left w:val="nil"/>
              <w:bottom w:val="single" w:sz="2" w:space="0" w:color="auto"/>
              <w:right w:val="nil"/>
            </w:tcBorders>
            <w:vAlign w:val="center"/>
          </w:tcPr>
          <w:p w14:paraId="70AD2A84" w14:textId="77777777" w:rsidR="00A60FF7" w:rsidRDefault="00A60FF7" w:rsidP="00D12353">
            <w:pPr>
              <w:pStyle w:val="cuatexto"/>
              <w:jc w:val="right"/>
            </w:pPr>
            <w:r>
              <w:t>53</w:t>
            </w:r>
          </w:p>
        </w:tc>
        <w:tc>
          <w:tcPr>
            <w:tcW w:w="556" w:type="pct"/>
            <w:tcBorders>
              <w:top w:val="single" w:sz="4" w:space="0" w:color="auto"/>
              <w:left w:val="nil"/>
              <w:bottom w:val="single" w:sz="2" w:space="0" w:color="auto"/>
              <w:right w:val="nil"/>
            </w:tcBorders>
            <w:vAlign w:val="center"/>
          </w:tcPr>
          <w:p w14:paraId="3E4510AD" w14:textId="77777777" w:rsidR="00A60FF7" w:rsidRDefault="00A60FF7" w:rsidP="00D12353">
            <w:pPr>
              <w:pStyle w:val="cuatexto"/>
              <w:jc w:val="right"/>
            </w:pPr>
            <w:r>
              <w:t>0,08</w:t>
            </w:r>
          </w:p>
        </w:tc>
      </w:tr>
      <w:tr w:rsidR="00A155BF" w14:paraId="602CB357" w14:textId="77777777" w:rsidTr="00B81AF3">
        <w:trPr>
          <w:trHeight w:val="198"/>
          <w:jc w:val="center"/>
        </w:trPr>
        <w:tc>
          <w:tcPr>
            <w:tcW w:w="1429" w:type="pct"/>
            <w:tcBorders>
              <w:top w:val="single" w:sz="2" w:space="0" w:color="auto"/>
              <w:left w:val="nil"/>
              <w:bottom w:val="single" w:sz="2" w:space="0" w:color="auto"/>
              <w:right w:val="nil"/>
            </w:tcBorders>
            <w:vAlign w:val="center"/>
            <w:hideMark/>
          </w:tcPr>
          <w:p w14:paraId="0854CA83" w14:textId="77777777" w:rsidR="00614DC4" w:rsidRPr="00595492" w:rsidRDefault="00614DC4" w:rsidP="00EA72EA">
            <w:pPr>
              <w:pStyle w:val="cuatexto"/>
            </w:pPr>
            <w:r w:rsidRPr="00595492">
              <w:t>CEIN</w:t>
            </w:r>
          </w:p>
        </w:tc>
        <w:tc>
          <w:tcPr>
            <w:tcW w:w="635" w:type="pct"/>
            <w:tcBorders>
              <w:top w:val="single" w:sz="2" w:space="0" w:color="auto"/>
              <w:left w:val="nil"/>
              <w:bottom w:val="single" w:sz="2" w:space="0" w:color="auto"/>
              <w:right w:val="nil"/>
            </w:tcBorders>
            <w:vAlign w:val="center"/>
          </w:tcPr>
          <w:p w14:paraId="37E9C3F4" w14:textId="77777777" w:rsidR="00614DC4" w:rsidRPr="00595492" w:rsidRDefault="00A60FF7" w:rsidP="00D12353">
            <w:pPr>
              <w:pStyle w:val="cuatexto"/>
              <w:jc w:val="right"/>
              <w:rPr>
                <w:rFonts w:cs="Calibri"/>
                <w:color w:val="000000"/>
                <w:szCs w:val="20"/>
              </w:rPr>
            </w:pPr>
            <w:r w:rsidRPr="00595492">
              <w:rPr>
                <w:rFonts w:cs="Calibri"/>
                <w:color w:val="000000"/>
                <w:szCs w:val="20"/>
              </w:rPr>
              <w:t>50</w:t>
            </w:r>
          </w:p>
        </w:tc>
        <w:tc>
          <w:tcPr>
            <w:tcW w:w="554" w:type="pct"/>
            <w:tcBorders>
              <w:top w:val="single" w:sz="2" w:space="0" w:color="auto"/>
              <w:left w:val="nil"/>
              <w:bottom w:val="single" w:sz="2" w:space="0" w:color="auto"/>
              <w:right w:val="nil"/>
            </w:tcBorders>
            <w:vAlign w:val="center"/>
          </w:tcPr>
          <w:p w14:paraId="1E0F429B" w14:textId="77777777" w:rsidR="00614DC4" w:rsidRPr="00595492" w:rsidRDefault="00A60FF7" w:rsidP="00D12353">
            <w:pPr>
              <w:pStyle w:val="cuatexto"/>
              <w:jc w:val="right"/>
              <w:rPr>
                <w:rFonts w:cs="Calibri"/>
                <w:szCs w:val="20"/>
              </w:rPr>
            </w:pPr>
            <w:r w:rsidRPr="00595492">
              <w:rPr>
                <w:rFonts w:cs="Calibri"/>
                <w:szCs w:val="20"/>
              </w:rPr>
              <w:t>1.374</w:t>
            </w:r>
          </w:p>
        </w:tc>
        <w:tc>
          <w:tcPr>
            <w:tcW w:w="636" w:type="pct"/>
            <w:tcBorders>
              <w:top w:val="single" w:sz="2" w:space="0" w:color="auto"/>
              <w:left w:val="nil"/>
              <w:bottom w:val="single" w:sz="2" w:space="0" w:color="auto"/>
              <w:right w:val="nil"/>
            </w:tcBorders>
            <w:vAlign w:val="center"/>
          </w:tcPr>
          <w:p w14:paraId="4A7AFB6A" w14:textId="77777777" w:rsidR="00614DC4" w:rsidRPr="00595492" w:rsidRDefault="00A60FF7" w:rsidP="00D12353">
            <w:pPr>
              <w:pStyle w:val="cuatexto"/>
              <w:jc w:val="right"/>
            </w:pPr>
            <w:r w:rsidRPr="00595492">
              <w:t>-</w:t>
            </w:r>
          </w:p>
        </w:tc>
        <w:tc>
          <w:tcPr>
            <w:tcW w:w="555" w:type="pct"/>
            <w:tcBorders>
              <w:top w:val="single" w:sz="2" w:space="0" w:color="auto"/>
              <w:left w:val="nil"/>
              <w:bottom w:val="single" w:sz="2" w:space="0" w:color="auto"/>
              <w:right w:val="nil"/>
            </w:tcBorders>
            <w:vAlign w:val="center"/>
          </w:tcPr>
          <w:p w14:paraId="6B0BF9CE" w14:textId="77777777" w:rsidR="00614DC4" w:rsidRPr="00595492" w:rsidRDefault="00A60FF7" w:rsidP="00D12353">
            <w:pPr>
              <w:pStyle w:val="cuatexto"/>
              <w:jc w:val="right"/>
            </w:pPr>
            <w:r w:rsidRPr="00595492">
              <w:t>16</w:t>
            </w:r>
          </w:p>
        </w:tc>
        <w:tc>
          <w:tcPr>
            <w:tcW w:w="635" w:type="pct"/>
            <w:tcBorders>
              <w:top w:val="single" w:sz="2" w:space="0" w:color="auto"/>
              <w:left w:val="nil"/>
              <w:bottom w:val="single" w:sz="2" w:space="0" w:color="auto"/>
              <w:right w:val="nil"/>
            </w:tcBorders>
            <w:vAlign w:val="center"/>
          </w:tcPr>
          <w:p w14:paraId="457B4E0B" w14:textId="77777777" w:rsidR="00614DC4" w:rsidRPr="00595492" w:rsidRDefault="00A60FF7" w:rsidP="00D12353">
            <w:pPr>
              <w:pStyle w:val="cuatexto"/>
              <w:jc w:val="right"/>
            </w:pPr>
            <w:r w:rsidRPr="00595492">
              <w:t>1.522</w:t>
            </w:r>
          </w:p>
        </w:tc>
        <w:tc>
          <w:tcPr>
            <w:tcW w:w="556" w:type="pct"/>
            <w:tcBorders>
              <w:top w:val="single" w:sz="2" w:space="0" w:color="auto"/>
              <w:left w:val="nil"/>
              <w:bottom w:val="single" w:sz="2" w:space="0" w:color="auto"/>
              <w:right w:val="nil"/>
            </w:tcBorders>
            <w:vAlign w:val="center"/>
          </w:tcPr>
          <w:p w14:paraId="266DDFBA" w14:textId="77777777" w:rsidR="00614DC4" w:rsidRPr="00595492" w:rsidRDefault="00A60FF7" w:rsidP="00D12353">
            <w:pPr>
              <w:pStyle w:val="cuatexto"/>
              <w:jc w:val="right"/>
            </w:pPr>
            <w:r w:rsidRPr="00595492">
              <w:t>64</w:t>
            </w:r>
          </w:p>
        </w:tc>
      </w:tr>
      <w:tr w:rsidR="00A155BF" w14:paraId="5CBE3CEC" w14:textId="77777777" w:rsidTr="00B81AF3">
        <w:trPr>
          <w:trHeight w:val="198"/>
          <w:jc w:val="center"/>
        </w:trPr>
        <w:tc>
          <w:tcPr>
            <w:tcW w:w="1429" w:type="pct"/>
            <w:tcBorders>
              <w:top w:val="single" w:sz="2" w:space="0" w:color="auto"/>
              <w:left w:val="nil"/>
              <w:bottom w:val="single" w:sz="2" w:space="0" w:color="auto"/>
              <w:right w:val="nil"/>
            </w:tcBorders>
            <w:vAlign w:val="center"/>
            <w:hideMark/>
          </w:tcPr>
          <w:p w14:paraId="2DE90977" w14:textId="77777777" w:rsidR="00614DC4" w:rsidRPr="00595492" w:rsidRDefault="00614DC4" w:rsidP="00EA72EA">
            <w:pPr>
              <w:pStyle w:val="cuatexto"/>
            </w:pPr>
            <w:r w:rsidRPr="00595492">
              <w:t>CNAI</w:t>
            </w:r>
          </w:p>
        </w:tc>
        <w:tc>
          <w:tcPr>
            <w:tcW w:w="635" w:type="pct"/>
            <w:tcBorders>
              <w:top w:val="single" w:sz="2" w:space="0" w:color="auto"/>
              <w:left w:val="nil"/>
              <w:bottom w:val="single" w:sz="2" w:space="0" w:color="auto"/>
              <w:right w:val="nil"/>
            </w:tcBorders>
            <w:vAlign w:val="center"/>
          </w:tcPr>
          <w:p w14:paraId="601CF38B" w14:textId="77777777" w:rsidR="00614DC4" w:rsidRPr="00595492" w:rsidRDefault="00446D81" w:rsidP="00D12353">
            <w:pPr>
              <w:pStyle w:val="cuatexto"/>
              <w:jc w:val="right"/>
              <w:rPr>
                <w:rFonts w:cs="Calibri"/>
                <w:color w:val="000000"/>
                <w:szCs w:val="20"/>
              </w:rPr>
            </w:pPr>
            <w:r w:rsidRPr="00595492">
              <w:rPr>
                <w:rFonts w:cs="Calibri"/>
                <w:color w:val="000000"/>
                <w:szCs w:val="20"/>
              </w:rPr>
              <w:t>33</w:t>
            </w:r>
          </w:p>
        </w:tc>
        <w:tc>
          <w:tcPr>
            <w:tcW w:w="554" w:type="pct"/>
            <w:tcBorders>
              <w:top w:val="single" w:sz="2" w:space="0" w:color="auto"/>
              <w:left w:val="nil"/>
              <w:bottom w:val="single" w:sz="2" w:space="0" w:color="auto"/>
              <w:right w:val="nil"/>
            </w:tcBorders>
            <w:vAlign w:val="center"/>
          </w:tcPr>
          <w:p w14:paraId="51B8091E" w14:textId="77777777" w:rsidR="00614DC4" w:rsidRPr="00595492" w:rsidRDefault="00446D81" w:rsidP="00D12353">
            <w:pPr>
              <w:pStyle w:val="cuatexto"/>
              <w:jc w:val="right"/>
              <w:rPr>
                <w:rFonts w:cs="Calibri"/>
                <w:szCs w:val="20"/>
              </w:rPr>
            </w:pPr>
            <w:r w:rsidRPr="00595492">
              <w:rPr>
                <w:rFonts w:cs="Calibri"/>
                <w:szCs w:val="20"/>
              </w:rPr>
              <w:t>-</w:t>
            </w:r>
          </w:p>
        </w:tc>
        <w:tc>
          <w:tcPr>
            <w:tcW w:w="636" w:type="pct"/>
            <w:tcBorders>
              <w:top w:val="single" w:sz="2" w:space="0" w:color="auto"/>
              <w:left w:val="nil"/>
              <w:bottom w:val="single" w:sz="2" w:space="0" w:color="auto"/>
              <w:right w:val="nil"/>
            </w:tcBorders>
            <w:vAlign w:val="center"/>
          </w:tcPr>
          <w:p w14:paraId="1C4293C6" w14:textId="77777777" w:rsidR="00614DC4" w:rsidRPr="00595492" w:rsidRDefault="00446D81" w:rsidP="00D12353">
            <w:pPr>
              <w:pStyle w:val="cuatexto"/>
              <w:jc w:val="right"/>
            </w:pPr>
            <w:r w:rsidRPr="00595492">
              <w:t>-</w:t>
            </w:r>
          </w:p>
        </w:tc>
        <w:tc>
          <w:tcPr>
            <w:tcW w:w="555" w:type="pct"/>
            <w:tcBorders>
              <w:top w:val="single" w:sz="2" w:space="0" w:color="auto"/>
              <w:left w:val="nil"/>
              <w:bottom w:val="single" w:sz="2" w:space="0" w:color="auto"/>
              <w:right w:val="nil"/>
            </w:tcBorders>
            <w:vAlign w:val="center"/>
          </w:tcPr>
          <w:p w14:paraId="412BDE88" w14:textId="77777777" w:rsidR="00614DC4" w:rsidRPr="00595492" w:rsidRDefault="00446D81" w:rsidP="00D12353">
            <w:pPr>
              <w:pStyle w:val="cuatexto"/>
              <w:jc w:val="right"/>
            </w:pPr>
            <w:r w:rsidRPr="00595492">
              <w:t>-</w:t>
            </w:r>
          </w:p>
        </w:tc>
        <w:tc>
          <w:tcPr>
            <w:tcW w:w="635" w:type="pct"/>
            <w:tcBorders>
              <w:top w:val="single" w:sz="2" w:space="0" w:color="auto"/>
              <w:left w:val="nil"/>
              <w:bottom w:val="single" w:sz="2" w:space="0" w:color="auto"/>
              <w:right w:val="nil"/>
            </w:tcBorders>
            <w:vAlign w:val="center"/>
          </w:tcPr>
          <w:p w14:paraId="4B04EBCF" w14:textId="77777777" w:rsidR="00614DC4" w:rsidRPr="00595492" w:rsidRDefault="00446D81" w:rsidP="00D12353">
            <w:pPr>
              <w:pStyle w:val="cuatexto"/>
              <w:jc w:val="right"/>
            </w:pPr>
            <w:r w:rsidRPr="00595492">
              <w:t>192</w:t>
            </w:r>
          </w:p>
        </w:tc>
        <w:tc>
          <w:tcPr>
            <w:tcW w:w="556" w:type="pct"/>
            <w:tcBorders>
              <w:top w:val="single" w:sz="2" w:space="0" w:color="auto"/>
              <w:left w:val="nil"/>
              <w:bottom w:val="single" w:sz="2" w:space="0" w:color="auto"/>
              <w:right w:val="nil"/>
            </w:tcBorders>
            <w:vAlign w:val="center"/>
          </w:tcPr>
          <w:p w14:paraId="16D74D54" w14:textId="77777777" w:rsidR="00614DC4" w:rsidRPr="00595492" w:rsidRDefault="00A60FF7" w:rsidP="00D12353">
            <w:pPr>
              <w:pStyle w:val="cuatexto"/>
              <w:jc w:val="right"/>
            </w:pPr>
            <w:r w:rsidRPr="00595492">
              <w:t>51</w:t>
            </w:r>
          </w:p>
        </w:tc>
      </w:tr>
      <w:tr w:rsidR="00A155BF" w14:paraId="0F68EA70" w14:textId="77777777" w:rsidTr="00B81AF3">
        <w:trPr>
          <w:trHeight w:val="198"/>
          <w:jc w:val="center"/>
        </w:trPr>
        <w:tc>
          <w:tcPr>
            <w:tcW w:w="1429" w:type="pct"/>
            <w:tcBorders>
              <w:top w:val="single" w:sz="2" w:space="0" w:color="auto"/>
              <w:left w:val="nil"/>
              <w:bottom w:val="single" w:sz="2" w:space="0" w:color="auto"/>
              <w:right w:val="nil"/>
            </w:tcBorders>
            <w:vAlign w:val="center"/>
            <w:hideMark/>
          </w:tcPr>
          <w:p w14:paraId="0934066D" w14:textId="77777777" w:rsidR="00614DC4" w:rsidRPr="00595492" w:rsidRDefault="00614DC4" w:rsidP="00EA72EA">
            <w:pPr>
              <w:pStyle w:val="cuatexto"/>
            </w:pPr>
            <w:r w:rsidRPr="00595492">
              <w:t>CAT</w:t>
            </w:r>
          </w:p>
        </w:tc>
        <w:tc>
          <w:tcPr>
            <w:tcW w:w="635" w:type="pct"/>
            <w:tcBorders>
              <w:top w:val="single" w:sz="2" w:space="0" w:color="auto"/>
              <w:left w:val="nil"/>
              <w:bottom w:val="single" w:sz="2" w:space="0" w:color="auto"/>
              <w:right w:val="nil"/>
            </w:tcBorders>
            <w:vAlign w:val="center"/>
          </w:tcPr>
          <w:p w14:paraId="2BE72B29" w14:textId="77777777" w:rsidR="00614DC4" w:rsidRPr="00595492" w:rsidRDefault="00446D81" w:rsidP="00D12353">
            <w:pPr>
              <w:pStyle w:val="cuatexto"/>
              <w:jc w:val="right"/>
              <w:rPr>
                <w:rFonts w:cs="Calibri"/>
                <w:color w:val="000000"/>
                <w:szCs w:val="20"/>
              </w:rPr>
            </w:pPr>
            <w:r w:rsidRPr="00595492">
              <w:rPr>
                <w:rFonts w:cs="Calibri"/>
                <w:color w:val="000000"/>
                <w:szCs w:val="20"/>
              </w:rPr>
              <w:t>-872</w:t>
            </w:r>
          </w:p>
        </w:tc>
        <w:tc>
          <w:tcPr>
            <w:tcW w:w="554" w:type="pct"/>
            <w:tcBorders>
              <w:top w:val="single" w:sz="2" w:space="0" w:color="auto"/>
              <w:left w:val="nil"/>
              <w:bottom w:val="single" w:sz="2" w:space="0" w:color="auto"/>
              <w:right w:val="nil"/>
            </w:tcBorders>
            <w:vAlign w:val="center"/>
          </w:tcPr>
          <w:p w14:paraId="5E6F9A23" w14:textId="77777777" w:rsidR="00614DC4" w:rsidRPr="00595492" w:rsidRDefault="00446D81" w:rsidP="00D12353">
            <w:pPr>
              <w:pStyle w:val="cuatexto"/>
              <w:jc w:val="right"/>
              <w:rPr>
                <w:rFonts w:cs="Calibri"/>
                <w:szCs w:val="20"/>
              </w:rPr>
            </w:pPr>
            <w:r w:rsidRPr="00595492">
              <w:rPr>
                <w:rFonts w:cs="Calibri"/>
                <w:szCs w:val="20"/>
              </w:rPr>
              <w:t>-</w:t>
            </w:r>
          </w:p>
        </w:tc>
        <w:tc>
          <w:tcPr>
            <w:tcW w:w="636" w:type="pct"/>
            <w:tcBorders>
              <w:top w:val="single" w:sz="2" w:space="0" w:color="auto"/>
              <w:left w:val="nil"/>
              <w:bottom w:val="single" w:sz="2" w:space="0" w:color="auto"/>
              <w:right w:val="nil"/>
            </w:tcBorders>
            <w:vAlign w:val="center"/>
          </w:tcPr>
          <w:p w14:paraId="7A790D2C" w14:textId="77777777" w:rsidR="00614DC4" w:rsidRPr="00595492" w:rsidRDefault="00446D81" w:rsidP="00D12353">
            <w:pPr>
              <w:pStyle w:val="cuatexto"/>
              <w:jc w:val="right"/>
            </w:pPr>
            <w:r w:rsidRPr="00595492">
              <w:t>-</w:t>
            </w:r>
          </w:p>
        </w:tc>
        <w:tc>
          <w:tcPr>
            <w:tcW w:w="555" w:type="pct"/>
            <w:tcBorders>
              <w:top w:val="single" w:sz="2" w:space="0" w:color="auto"/>
              <w:left w:val="nil"/>
              <w:bottom w:val="single" w:sz="2" w:space="0" w:color="auto"/>
              <w:right w:val="nil"/>
            </w:tcBorders>
            <w:vAlign w:val="center"/>
          </w:tcPr>
          <w:p w14:paraId="10FB56BC" w14:textId="77777777" w:rsidR="00614DC4" w:rsidRPr="00595492" w:rsidRDefault="00446D81" w:rsidP="00D12353">
            <w:pPr>
              <w:pStyle w:val="cuatexto"/>
              <w:jc w:val="right"/>
            </w:pPr>
            <w:r w:rsidRPr="00595492">
              <w:t>77</w:t>
            </w:r>
          </w:p>
        </w:tc>
        <w:tc>
          <w:tcPr>
            <w:tcW w:w="635" w:type="pct"/>
            <w:tcBorders>
              <w:top w:val="single" w:sz="2" w:space="0" w:color="auto"/>
              <w:left w:val="nil"/>
              <w:bottom w:val="single" w:sz="2" w:space="0" w:color="auto"/>
              <w:right w:val="nil"/>
            </w:tcBorders>
            <w:vAlign w:val="center"/>
          </w:tcPr>
          <w:p w14:paraId="153B269E" w14:textId="77777777" w:rsidR="00614DC4" w:rsidRPr="00595492" w:rsidRDefault="00446D81" w:rsidP="00D12353">
            <w:pPr>
              <w:pStyle w:val="cuatexto"/>
              <w:jc w:val="right"/>
            </w:pPr>
            <w:r w:rsidRPr="00595492">
              <w:t>60.221</w:t>
            </w:r>
          </w:p>
        </w:tc>
        <w:tc>
          <w:tcPr>
            <w:tcW w:w="556" w:type="pct"/>
            <w:tcBorders>
              <w:top w:val="single" w:sz="2" w:space="0" w:color="auto"/>
              <w:left w:val="nil"/>
              <w:bottom w:val="single" w:sz="2" w:space="0" w:color="auto"/>
              <w:right w:val="nil"/>
            </w:tcBorders>
            <w:vAlign w:val="center"/>
          </w:tcPr>
          <w:p w14:paraId="19453758" w14:textId="77777777" w:rsidR="00614DC4" w:rsidRPr="00595492" w:rsidRDefault="00A60FF7" w:rsidP="00D12353">
            <w:pPr>
              <w:pStyle w:val="cuatexto"/>
              <w:jc w:val="right"/>
            </w:pPr>
            <w:r w:rsidRPr="00595492">
              <w:t>2</w:t>
            </w:r>
          </w:p>
        </w:tc>
      </w:tr>
      <w:tr w:rsidR="00A155BF" w14:paraId="786079C5" w14:textId="77777777" w:rsidTr="00B81AF3">
        <w:trPr>
          <w:trHeight w:val="198"/>
          <w:jc w:val="center"/>
        </w:trPr>
        <w:tc>
          <w:tcPr>
            <w:tcW w:w="1429" w:type="pct"/>
            <w:tcBorders>
              <w:top w:val="single" w:sz="2" w:space="0" w:color="auto"/>
              <w:left w:val="nil"/>
              <w:bottom w:val="single" w:sz="2" w:space="0" w:color="auto"/>
              <w:right w:val="nil"/>
            </w:tcBorders>
            <w:vAlign w:val="center"/>
            <w:hideMark/>
          </w:tcPr>
          <w:p w14:paraId="46F67865" w14:textId="77777777" w:rsidR="00614DC4" w:rsidRPr="00595492" w:rsidRDefault="00614DC4" w:rsidP="00EA72EA">
            <w:pPr>
              <w:pStyle w:val="cuatexto"/>
            </w:pPr>
            <w:r w:rsidRPr="00595492">
              <w:t>GAN</w:t>
            </w:r>
          </w:p>
        </w:tc>
        <w:tc>
          <w:tcPr>
            <w:tcW w:w="635" w:type="pct"/>
            <w:tcBorders>
              <w:top w:val="single" w:sz="2" w:space="0" w:color="auto"/>
              <w:left w:val="nil"/>
              <w:bottom w:val="single" w:sz="2" w:space="0" w:color="auto"/>
              <w:right w:val="nil"/>
            </w:tcBorders>
            <w:vAlign w:val="center"/>
          </w:tcPr>
          <w:p w14:paraId="78758CE2" w14:textId="77777777" w:rsidR="00614DC4" w:rsidRPr="00595492" w:rsidRDefault="00446D81" w:rsidP="00D12353">
            <w:pPr>
              <w:pStyle w:val="cuatexto"/>
              <w:jc w:val="right"/>
              <w:rPr>
                <w:rFonts w:cs="Calibri"/>
                <w:color w:val="000000"/>
                <w:szCs w:val="20"/>
              </w:rPr>
            </w:pPr>
            <w:r w:rsidRPr="00595492">
              <w:rPr>
                <w:rFonts w:cs="Calibri"/>
                <w:color w:val="000000"/>
                <w:szCs w:val="20"/>
              </w:rPr>
              <w:t>117</w:t>
            </w:r>
          </w:p>
        </w:tc>
        <w:tc>
          <w:tcPr>
            <w:tcW w:w="554" w:type="pct"/>
            <w:tcBorders>
              <w:top w:val="single" w:sz="2" w:space="0" w:color="auto"/>
              <w:left w:val="nil"/>
              <w:bottom w:val="single" w:sz="2" w:space="0" w:color="auto"/>
              <w:right w:val="nil"/>
            </w:tcBorders>
            <w:vAlign w:val="center"/>
          </w:tcPr>
          <w:p w14:paraId="50AAC445" w14:textId="77777777" w:rsidR="00614DC4" w:rsidRPr="00595492" w:rsidRDefault="00446D81" w:rsidP="00D12353">
            <w:pPr>
              <w:pStyle w:val="cuatexto"/>
              <w:jc w:val="right"/>
              <w:rPr>
                <w:rFonts w:cs="Calibri"/>
                <w:szCs w:val="20"/>
              </w:rPr>
            </w:pPr>
            <w:r w:rsidRPr="00595492">
              <w:rPr>
                <w:rFonts w:cs="Calibri"/>
                <w:szCs w:val="20"/>
              </w:rPr>
              <w:t>258</w:t>
            </w:r>
          </w:p>
        </w:tc>
        <w:tc>
          <w:tcPr>
            <w:tcW w:w="636" w:type="pct"/>
            <w:tcBorders>
              <w:top w:val="single" w:sz="2" w:space="0" w:color="auto"/>
              <w:left w:val="nil"/>
              <w:bottom w:val="single" w:sz="2" w:space="0" w:color="auto"/>
              <w:right w:val="nil"/>
            </w:tcBorders>
            <w:vAlign w:val="center"/>
          </w:tcPr>
          <w:p w14:paraId="423862CF" w14:textId="77777777" w:rsidR="00614DC4" w:rsidRPr="00595492" w:rsidRDefault="00446D81" w:rsidP="00D12353">
            <w:pPr>
              <w:pStyle w:val="cuatexto"/>
              <w:jc w:val="right"/>
            </w:pPr>
            <w:r w:rsidRPr="00595492">
              <w:t>-</w:t>
            </w:r>
          </w:p>
        </w:tc>
        <w:tc>
          <w:tcPr>
            <w:tcW w:w="555" w:type="pct"/>
            <w:tcBorders>
              <w:top w:val="single" w:sz="2" w:space="0" w:color="auto"/>
              <w:left w:val="nil"/>
              <w:bottom w:val="single" w:sz="2" w:space="0" w:color="auto"/>
              <w:right w:val="nil"/>
            </w:tcBorders>
            <w:vAlign w:val="center"/>
          </w:tcPr>
          <w:p w14:paraId="08336D94" w14:textId="77777777" w:rsidR="00614DC4" w:rsidRPr="00595492" w:rsidRDefault="00446D81" w:rsidP="00D12353">
            <w:pPr>
              <w:pStyle w:val="cuatexto"/>
              <w:jc w:val="right"/>
            </w:pPr>
            <w:r w:rsidRPr="00595492">
              <w:t>2</w:t>
            </w:r>
          </w:p>
        </w:tc>
        <w:tc>
          <w:tcPr>
            <w:tcW w:w="635" w:type="pct"/>
            <w:tcBorders>
              <w:top w:val="single" w:sz="2" w:space="0" w:color="auto"/>
              <w:left w:val="nil"/>
              <w:bottom w:val="single" w:sz="2" w:space="0" w:color="auto"/>
              <w:right w:val="nil"/>
            </w:tcBorders>
            <w:vAlign w:val="center"/>
          </w:tcPr>
          <w:p w14:paraId="37FF7A18" w14:textId="77777777" w:rsidR="00614DC4" w:rsidRPr="00595492" w:rsidRDefault="00446D81" w:rsidP="00D12353">
            <w:pPr>
              <w:pStyle w:val="cuatexto"/>
              <w:jc w:val="right"/>
            </w:pPr>
            <w:r w:rsidRPr="00595492">
              <w:t>3.928</w:t>
            </w:r>
          </w:p>
        </w:tc>
        <w:tc>
          <w:tcPr>
            <w:tcW w:w="556" w:type="pct"/>
            <w:tcBorders>
              <w:top w:val="single" w:sz="2" w:space="0" w:color="auto"/>
              <w:left w:val="nil"/>
              <w:bottom w:val="single" w:sz="2" w:space="0" w:color="auto"/>
              <w:right w:val="nil"/>
            </w:tcBorders>
            <w:vAlign w:val="center"/>
          </w:tcPr>
          <w:p w14:paraId="5EFBAE74" w14:textId="77777777" w:rsidR="00614DC4" w:rsidRPr="00595492" w:rsidRDefault="00A60FF7" w:rsidP="00D12353">
            <w:pPr>
              <w:pStyle w:val="cuatexto"/>
              <w:jc w:val="right"/>
            </w:pPr>
            <w:r w:rsidRPr="00595492">
              <w:t>117</w:t>
            </w:r>
          </w:p>
        </w:tc>
      </w:tr>
      <w:tr w:rsidR="00A155BF" w14:paraId="64081690" w14:textId="77777777" w:rsidTr="00B81AF3">
        <w:trPr>
          <w:trHeight w:val="198"/>
          <w:jc w:val="center"/>
        </w:trPr>
        <w:tc>
          <w:tcPr>
            <w:tcW w:w="1429" w:type="pct"/>
            <w:tcBorders>
              <w:top w:val="single" w:sz="2" w:space="0" w:color="auto"/>
              <w:left w:val="nil"/>
              <w:bottom w:val="single" w:sz="2" w:space="0" w:color="auto"/>
              <w:right w:val="nil"/>
            </w:tcBorders>
            <w:vAlign w:val="center"/>
            <w:hideMark/>
          </w:tcPr>
          <w:p w14:paraId="282C6E68" w14:textId="77777777" w:rsidR="00614DC4" w:rsidRPr="00595492" w:rsidRDefault="00614DC4" w:rsidP="00EA72EA">
            <w:pPr>
              <w:pStyle w:val="cuatexto"/>
            </w:pPr>
            <w:r w:rsidRPr="00595492">
              <w:t>INI</w:t>
            </w:r>
          </w:p>
        </w:tc>
        <w:tc>
          <w:tcPr>
            <w:tcW w:w="635" w:type="pct"/>
            <w:tcBorders>
              <w:top w:val="single" w:sz="2" w:space="0" w:color="auto"/>
              <w:left w:val="nil"/>
              <w:bottom w:val="single" w:sz="2" w:space="0" w:color="auto"/>
              <w:right w:val="nil"/>
            </w:tcBorders>
            <w:vAlign w:val="center"/>
          </w:tcPr>
          <w:p w14:paraId="4B945EBA" w14:textId="77777777" w:rsidR="00614DC4" w:rsidRPr="00595492" w:rsidRDefault="00446D81" w:rsidP="00D12353">
            <w:pPr>
              <w:pStyle w:val="cuatexto"/>
              <w:jc w:val="right"/>
              <w:rPr>
                <w:rFonts w:cs="Calibri"/>
                <w:color w:val="000000"/>
                <w:szCs w:val="20"/>
              </w:rPr>
            </w:pPr>
            <w:r w:rsidRPr="00595492">
              <w:rPr>
                <w:rFonts w:cs="Calibri"/>
                <w:color w:val="000000"/>
                <w:szCs w:val="20"/>
              </w:rPr>
              <w:t>182</w:t>
            </w:r>
          </w:p>
        </w:tc>
        <w:tc>
          <w:tcPr>
            <w:tcW w:w="554" w:type="pct"/>
            <w:tcBorders>
              <w:top w:val="single" w:sz="2" w:space="0" w:color="auto"/>
              <w:left w:val="nil"/>
              <w:bottom w:val="single" w:sz="2" w:space="0" w:color="auto"/>
              <w:right w:val="nil"/>
            </w:tcBorders>
            <w:vAlign w:val="center"/>
          </w:tcPr>
          <w:p w14:paraId="1602E256" w14:textId="77777777" w:rsidR="00614DC4" w:rsidRPr="00595492" w:rsidRDefault="00446D81" w:rsidP="00D12353">
            <w:pPr>
              <w:pStyle w:val="cuatexto"/>
              <w:jc w:val="right"/>
              <w:rPr>
                <w:rFonts w:cs="Calibri"/>
                <w:szCs w:val="20"/>
              </w:rPr>
            </w:pPr>
            <w:r w:rsidRPr="00595492">
              <w:rPr>
                <w:rFonts w:cs="Calibri"/>
                <w:szCs w:val="20"/>
              </w:rPr>
              <w:t>-</w:t>
            </w:r>
          </w:p>
        </w:tc>
        <w:tc>
          <w:tcPr>
            <w:tcW w:w="636" w:type="pct"/>
            <w:tcBorders>
              <w:top w:val="single" w:sz="2" w:space="0" w:color="auto"/>
              <w:left w:val="nil"/>
              <w:bottom w:val="single" w:sz="2" w:space="0" w:color="auto"/>
              <w:right w:val="nil"/>
            </w:tcBorders>
            <w:vAlign w:val="center"/>
          </w:tcPr>
          <w:p w14:paraId="07B1ABC7" w14:textId="77777777" w:rsidR="00614DC4" w:rsidRPr="00595492" w:rsidRDefault="00446D81" w:rsidP="00D12353">
            <w:pPr>
              <w:pStyle w:val="cuatexto"/>
              <w:jc w:val="right"/>
            </w:pPr>
            <w:r w:rsidRPr="00595492">
              <w:t>9.000</w:t>
            </w:r>
          </w:p>
        </w:tc>
        <w:tc>
          <w:tcPr>
            <w:tcW w:w="555" w:type="pct"/>
            <w:tcBorders>
              <w:top w:val="single" w:sz="2" w:space="0" w:color="auto"/>
              <w:left w:val="nil"/>
              <w:bottom w:val="single" w:sz="2" w:space="0" w:color="auto"/>
              <w:right w:val="nil"/>
            </w:tcBorders>
            <w:vAlign w:val="center"/>
          </w:tcPr>
          <w:p w14:paraId="46179D0D" w14:textId="77777777" w:rsidR="00614DC4" w:rsidRPr="00595492" w:rsidRDefault="00446D81" w:rsidP="00D12353">
            <w:pPr>
              <w:pStyle w:val="cuatexto"/>
              <w:jc w:val="right"/>
            </w:pPr>
            <w:r w:rsidRPr="00595492">
              <w:t>-</w:t>
            </w:r>
          </w:p>
        </w:tc>
        <w:tc>
          <w:tcPr>
            <w:tcW w:w="635" w:type="pct"/>
            <w:tcBorders>
              <w:top w:val="single" w:sz="2" w:space="0" w:color="auto"/>
              <w:left w:val="nil"/>
              <w:bottom w:val="single" w:sz="2" w:space="0" w:color="auto"/>
              <w:right w:val="nil"/>
            </w:tcBorders>
            <w:vAlign w:val="center"/>
          </w:tcPr>
          <w:p w14:paraId="12F0D890" w14:textId="77777777" w:rsidR="00614DC4" w:rsidRPr="00595492" w:rsidRDefault="00446D81" w:rsidP="00D12353">
            <w:pPr>
              <w:pStyle w:val="cuatexto"/>
              <w:jc w:val="right"/>
            </w:pPr>
            <w:r w:rsidRPr="00595492">
              <w:t>18.261</w:t>
            </w:r>
          </w:p>
        </w:tc>
        <w:tc>
          <w:tcPr>
            <w:tcW w:w="556" w:type="pct"/>
            <w:tcBorders>
              <w:top w:val="single" w:sz="2" w:space="0" w:color="auto"/>
              <w:left w:val="nil"/>
              <w:bottom w:val="single" w:sz="2" w:space="0" w:color="auto"/>
              <w:right w:val="nil"/>
            </w:tcBorders>
            <w:vAlign w:val="center"/>
          </w:tcPr>
          <w:p w14:paraId="3CB0C1D0" w14:textId="77777777" w:rsidR="00614DC4" w:rsidRPr="00595492" w:rsidRDefault="00A60FF7" w:rsidP="00D12353">
            <w:pPr>
              <w:pStyle w:val="cuatexto"/>
              <w:jc w:val="right"/>
            </w:pPr>
            <w:r w:rsidRPr="00595492">
              <w:t>0,17</w:t>
            </w:r>
          </w:p>
        </w:tc>
      </w:tr>
      <w:tr w:rsidR="00A155BF" w14:paraId="7BCE70A7" w14:textId="77777777" w:rsidTr="00B81AF3">
        <w:trPr>
          <w:trHeight w:val="198"/>
          <w:jc w:val="center"/>
        </w:trPr>
        <w:tc>
          <w:tcPr>
            <w:tcW w:w="1429" w:type="pct"/>
            <w:tcBorders>
              <w:top w:val="single" w:sz="2" w:space="0" w:color="auto"/>
              <w:left w:val="nil"/>
              <w:bottom w:val="single" w:sz="2" w:space="0" w:color="auto"/>
              <w:right w:val="nil"/>
            </w:tcBorders>
            <w:vAlign w:val="center"/>
            <w:hideMark/>
          </w:tcPr>
          <w:p w14:paraId="25566F86" w14:textId="77777777" w:rsidR="00614DC4" w:rsidRPr="00595492" w:rsidRDefault="00614DC4" w:rsidP="00EA72EA">
            <w:pPr>
              <w:pStyle w:val="cuatexto"/>
            </w:pPr>
            <w:proofErr w:type="spellStart"/>
            <w:r w:rsidRPr="00595492">
              <w:t>Intia</w:t>
            </w:r>
            <w:proofErr w:type="spellEnd"/>
          </w:p>
        </w:tc>
        <w:tc>
          <w:tcPr>
            <w:tcW w:w="635" w:type="pct"/>
            <w:tcBorders>
              <w:top w:val="single" w:sz="2" w:space="0" w:color="auto"/>
              <w:left w:val="nil"/>
              <w:bottom w:val="single" w:sz="2" w:space="0" w:color="auto"/>
              <w:right w:val="nil"/>
            </w:tcBorders>
            <w:vAlign w:val="center"/>
          </w:tcPr>
          <w:p w14:paraId="00014006" w14:textId="77777777" w:rsidR="00614DC4" w:rsidRPr="00595492" w:rsidRDefault="00446D81" w:rsidP="00D12353">
            <w:pPr>
              <w:pStyle w:val="cuatexto"/>
              <w:jc w:val="right"/>
              <w:rPr>
                <w:rFonts w:cs="Calibri"/>
                <w:color w:val="000000"/>
                <w:szCs w:val="20"/>
              </w:rPr>
            </w:pPr>
            <w:r w:rsidRPr="00595492">
              <w:rPr>
                <w:rFonts w:cs="Calibri"/>
                <w:color w:val="000000"/>
                <w:szCs w:val="20"/>
              </w:rPr>
              <w:t>-142</w:t>
            </w:r>
          </w:p>
        </w:tc>
        <w:tc>
          <w:tcPr>
            <w:tcW w:w="554" w:type="pct"/>
            <w:tcBorders>
              <w:top w:val="single" w:sz="2" w:space="0" w:color="auto"/>
              <w:left w:val="nil"/>
              <w:bottom w:val="single" w:sz="2" w:space="0" w:color="auto"/>
              <w:right w:val="nil"/>
            </w:tcBorders>
            <w:vAlign w:val="center"/>
          </w:tcPr>
          <w:p w14:paraId="4B01DF93" w14:textId="77777777" w:rsidR="00614DC4" w:rsidRPr="00595492" w:rsidRDefault="00446D81" w:rsidP="00D12353">
            <w:pPr>
              <w:pStyle w:val="cuatexto"/>
              <w:jc w:val="right"/>
              <w:rPr>
                <w:rFonts w:cs="Calibri"/>
                <w:szCs w:val="20"/>
              </w:rPr>
            </w:pPr>
            <w:r w:rsidRPr="00595492">
              <w:rPr>
                <w:rFonts w:cs="Calibri"/>
                <w:szCs w:val="20"/>
              </w:rPr>
              <w:t>7.568</w:t>
            </w:r>
          </w:p>
        </w:tc>
        <w:tc>
          <w:tcPr>
            <w:tcW w:w="636" w:type="pct"/>
            <w:tcBorders>
              <w:top w:val="single" w:sz="2" w:space="0" w:color="auto"/>
              <w:left w:val="nil"/>
              <w:bottom w:val="single" w:sz="2" w:space="0" w:color="auto"/>
              <w:right w:val="nil"/>
            </w:tcBorders>
            <w:vAlign w:val="center"/>
          </w:tcPr>
          <w:p w14:paraId="21EAE97D" w14:textId="77777777" w:rsidR="00614DC4" w:rsidRPr="00595492" w:rsidRDefault="00446D81" w:rsidP="00D12353">
            <w:pPr>
              <w:pStyle w:val="cuatexto"/>
              <w:jc w:val="right"/>
            </w:pPr>
            <w:r w:rsidRPr="00595492">
              <w:t>-</w:t>
            </w:r>
          </w:p>
        </w:tc>
        <w:tc>
          <w:tcPr>
            <w:tcW w:w="555" w:type="pct"/>
            <w:tcBorders>
              <w:top w:val="single" w:sz="2" w:space="0" w:color="auto"/>
              <w:left w:val="nil"/>
              <w:bottom w:val="single" w:sz="2" w:space="0" w:color="auto"/>
              <w:right w:val="nil"/>
            </w:tcBorders>
            <w:vAlign w:val="center"/>
          </w:tcPr>
          <w:p w14:paraId="4C0C3501" w14:textId="77777777" w:rsidR="00614DC4" w:rsidRPr="00595492" w:rsidRDefault="00446D81" w:rsidP="00D12353">
            <w:pPr>
              <w:pStyle w:val="cuatexto"/>
              <w:jc w:val="right"/>
            </w:pPr>
            <w:r w:rsidRPr="00595492">
              <w:t>25</w:t>
            </w:r>
          </w:p>
        </w:tc>
        <w:tc>
          <w:tcPr>
            <w:tcW w:w="635" w:type="pct"/>
            <w:tcBorders>
              <w:top w:val="single" w:sz="2" w:space="0" w:color="auto"/>
              <w:left w:val="nil"/>
              <w:bottom w:val="single" w:sz="2" w:space="0" w:color="auto"/>
              <w:right w:val="nil"/>
            </w:tcBorders>
            <w:vAlign w:val="center"/>
          </w:tcPr>
          <w:p w14:paraId="0B5A43FA" w14:textId="77777777" w:rsidR="00614DC4" w:rsidRPr="00595492" w:rsidRDefault="00446D81" w:rsidP="00D12353">
            <w:pPr>
              <w:pStyle w:val="cuatexto"/>
              <w:jc w:val="right"/>
            </w:pPr>
            <w:r w:rsidRPr="00595492">
              <w:t>3.129</w:t>
            </w:r>
          </w:p>
        </w:tc>
        <w:tc>
          <w:tcPr>
            <w:tcW w:w="556" w:type="pct"/>
            <w:tcBorders>
              <w:top w:val="single" w:sz="2" w:space="0" w:color="auto"/>
              <w:left w:val="nil"/>
              <w:bottom w:val="single" w:sz="2" w:space="0" w:color="auto"/>
              <w:right w:val="nil"/>
            </w:tcBorders>
            <w:vAlign w:val="center"/>
          </w:tcPr>
          <w:p w14:paraId="20EE94C8" w14:textId="77777777" w:rsidR="00614DC4" w:rsidRPr="00595492" w:rsidRDefault="00A60FF7" w:rsidP="00D12353">
            <w:pPr>
              <w:pStyle w:val="cuatexto"/>
              <w:jc w:val="right"/>
            </w:pPr>
            <w:r w:rsidRPr="00595492">
              <w:t>196</w:t>
            </w:r>
          </w:p>
        </w:tc>
      </w:tr>
      <w:tr w:rsidR="001D7C96" w14:paraId="38EFE26B" w14:textId="77777777" w:rsidTr="00B81AF3">
        <w:trPr>
          <w:trHeight w:val="198"/>
          <w:jc w:val="center"/>
        </w:trPr>
        <w:tc>
          <w:tcPr>
            <w:tcW w:w="1429" w:type="pct"/>
            <w:tcBorders>
              <w:top w:val="single" w:sz="2" w:space="0" w:color="auto"/>
              <w:left w:val="nil"/>
              <w:bottom w:val="single" w:sz="2" w:space="0" w:color="auto"/>
              <w:right w:val="nil"/>
            </w:tcBorders>
            <w:vAlign w:val="center"/>
          </w:tcPr>
          <w:p w14:paraId="39C4B91E" w14:textId="77777777" w:rsidR="001D7C96" w:rsidRPr="00595492" w:rsidRDefault="001D7C96" w:rsidP="00EA72EA">
            <w:pPr>
              <w:pStyle w:val="cuatexto"/>
            </w:pPr>
            <w:proofErr w:type="spellStart"/>
            <w:r w:rsidRPr="00595492">
              <w:t>Nafarbide</w:t>
            </w:r>
            <w:proofErr w:type="spellEnd"/>
          </w:p>
        </w:tc>
        <w:tc>
          <w:tcPr>
            <w:tcW w:w="635" w:type="pct"/>
            <w:tcBorders>
              <w:top w:val="single" w:sz="2" w:space="0" w:color="auto"/>
              <w:left w:val="nil"/>
              <w:bottom w:val="single" w:sz="2" w:space="0" w:color="auto"/>
              <w:right w:val="nil"/>
            </w:tcBorders>
            <w:vAlign w:val="center"/>
          </w:tcPr>
          <w:p w14:paraId="4AFE96E1" w14:textId="77777777" w:rsidR="001D7C96" w:rsidRPr="00595492" w:rsidRDefault="001D7C96" w:rsidP="00D12353">
            <w:pPr>
              <w:pStyle w:val="cuatexto"/>
              <w:jc w:val="right"/>
              <w:rPr>
                <w:rFonts w:cs="Calibri"/>
                <w:color w:val="000000"/>
                <w:szCs w:val="20"/>
              </w:rPr>
            </w:pPr>
            <w:r w:rsidRPr="00595492">
              <w:rPr>
                <w:rFonts w:cs="Calibri"/>
                <w:color w:val="000000"/>
                <w:szCs w:val="20"/>
              </w:rPr>
              <w:t>-</w:t>
            </w:r>
          </w:p>
        </w:tc>
        <w:tc>
          <w:tcPr>
            <w:tcW w:w="554" w:type="pct"/>
            <w:tcBorders>
              <w:top w:val="single" w:sz="2" w:space="0" w:color="auto"/>
              <w:left w:val="nil"/>
              <w:bottom w:val="single" w:sz="2" w:space="0" w:color="auto"/>
              <w:right w:val="nil"/>
            </w:tcBorders>
            <w:vAlign w:val="center"/>
          </w:tcPr>
          <w:p w14:paraId="23EF0D8E" w14:textId="77777777" w:rsidR="001D7C96" w:rsidRPr="00595492" w:rsidRDefault="001D7C96" w:rsidP="00D12353">
            <w:pPr>
              <w:pStyle w:val="cuatexto"/>
              <w:jc w:val="right"/>
              <w:rPr>
                <w:rFonts w:cs="Calibri"/>
                <w:szCs w:val="20"/>
              </w:rPr>
            </w:pPr>
            <w:r w:rsidRPr="00595492">
              <w:rPr>
                <w:rFonts w:cs="Calibri"/>
                <w:szCs w:val="20"/>
              </w:rPr>
              <w:t>-</w:t>
            </w:r>
          </w:p>
        </w:tc>
        <w:tc>
          <w:tcPr>
            <w:tcW w:w="636" w:type="pct"/>
            <w:tcBorders>
              <w:top w:val="single" w:sz="2" w:space="0" w:color="auto"/>
              <w:left w:val="nil"/>
              <w:bottom w:val="single" w:sz="2" w:space="0" w:color="auto"/>
              <w:right w:val="nil"/>
            </w:tcBorders>
            <w:vAlign w:val="center"/>
          </w:tcPr>
          <w:p w14:paraId="24E7D5EE" w14:textId="77777777" w:rsidR="001D7C96" w:rsidRPr="00595492" w:rsidRDefault="001D7C96" w:rsidP="00D12353">
            <w:pPr>
              <w:pStyle w:val="cuatexto"/>
              <w:jc w:val="right"/>
            </w:pPr>
            <w:r w:rsidRPr="00595492">
              <w:t>-</w:t>
            </w:r>
          </w:p>
        </w:tc>
        <w:tc>
          <w:tcPr>
            <w:tcW w:w="555" w:type="pct"/>
            <w:tcBorders>
              <w:top w:val="single" w:sz="2" w:space="0" w:color="auto"/>
              <w:left w:val="nil"/>
              <w:bottom w:val="single" w:sz="2" w:space="0" w:color="auto"/>
              <w:right w:val="nil"/>
            </w:tcBorders>
            <w:vAlign w:val="center"/>
          </w:tcPr>
          <w:p w14:paraId="6D06E107" w14:textId="77777777" w:rsidR="001D7C96" w:rsidRPr="00595492" w:rsidRDefault="001D7C96" w:rsidP="00D12353">
            <w:pPr>
              <w:pStyle w:val="cuatexto"/>
              <w:jc w:val="right"/>
            </w:pPr>
            <w:r w:rsidRPr="00595492">
              <w:t>-</w:t>
            </w:r>
          </w:p>
        </w:tc>
        <w:tc>
          <w:tcPr>
            <w:tcW w:w="635" w:type="pct"/>
            <w:tcBorders>
              <w:top w:val="single" w:sz="2" w:space="0" w:color="auto"/>
              <w:left w:val="nil"/>
              <w:bottom w:val="single" w:sz="2" w:space="0" w:color="auto"/>
              <w:right w:val="nil"/>
            </w:tcBorders>
            <w:vAlign w:val="center"/>
          </w:tcPr>
          <w:p w14:paraId="3BF3B404" w14:textId="77777777" w:rsidR="001D7C96" w:rsidRPr="00595492" w:rsidRDefault="001D7C96" w:rsidP="00D12353">
            <w:pPr>
              <w:pStyle w:val="cuatexto"/>
              <w:jc w:val="right"/>
            </w:pPr>
            <w:r w:rsidRPr="00595492">
              <w:t>-</w:t>
            </w:r>
          </w:p>
        </w:tc>
        <w:tc>
          <w:tcPr>
            <w:tcW w:w="556" w:type="pct"/>
            <w:tcBorders>
              <w:top w:val="single" w:sz="2" w:space="0" w:color="auto"/>
              <w:left w:val="nil"/>
              <w:bottom w:val="single" w:sz="2" w:space="0" w:color="auto"/>
              <w:right w:val="nil"/>
            </w:tcBorders>
            <w:vAlign w:val="center"/>
          </w:tcPr>
          <w:p w14:paraId="0F4DDBA4" w14:textId="77777777" w:rsidR="001D7C96" w:rsidRPr="00595492" w:rsidRDefault="001D7C96" w:rsidP="00D12353">
            <w:pPr>
              <w:pStyle w:val="cuatexto"/>
              <w:jc w:val="right"/>
            </w:pPr>
            <w:r w:rsidRPr="00595492">
              <w:t>-</w:t>
            </w:r>
          </w:p>
        </w:tc>
      </w:tr>
      <w:tr w:rsidR="00A155BF" w14:paraId="5880B9C3" w14:textId="77777777" w:rsidTr="00B81AF3">
        <w:trPr>
          <w:trHeight w:val="198"/>
          <w:jc w:val="center"/>
        </w:trPr>
        <w:tc>
          <w:tcPr>
            <w:tcW w:w="1429" w:type="pct"/>
            <w:tcBorders>
              <w:top w:val="single" w:sz="2" w:space="0" w:color="auto"/>
              <w:left w:val="nil"/>
              <w:bottom w:val="single" w:sz="2" w:space="0" w:color="auto"/>
              <w:right w:val="nil"/>
            </w:tcBorders>
            <w:vAlign w:val="center"/>
            <w:hideMark/>
          </w:tcPr>
          <w:p w14:paraId="65CDF36B" w14:textId="77777777" w:rsidR="00614DC4" w:rsidRPr="00595492" w:rsidRDefault="00614DC4" w:rsidP="00EA72EA">
            <w:pPr>
              <w:pStyle w:val="cuatexto"/>
            </w:pPr>
            <w:proofErr w:type="spellStart"/>
            <w:r w:rsidRPr="00595492">
              <w:t>Nasertic</w:t>
            </w:r>
            <w:proofErr w:type="spellEnd"/>
          </w:p>
        </w:tc>
        <w:tc>
          <w:tcPr>
            <w:tcW w:w="635" w:type="pct"/>
            <w:tcBorders>
              <w:top w:val="single" w:sz="2" w:space="0" w:color="auto"/>
              <w:left w:val="nil"/>
              <w:bottom w:val="single" w:sz="2" w:space="0" w:color="auto"/>
              <w:right w:val="nil"/>
            </w:tcBorders>
            <w:vAlign w:val="center"/>
          </w:tcPr>
          <w:p w14:paraId="290033D4" w14:textId="77777777" w:rsidR="00614DC4" w:rsidRPr="00595492" w:rsidRDefault="00446D81" w:rsidP="00D12353">
            <w:pPr>
              <w:pStyle w:val="cuatexto"/>
              <w:jc w:val="right"/>
              <w:rPr>
                <w:rFonts w:cs="Calibri"/>
                <w:color w:val="000000"/>
                <w:szCs w:val="20"/>
              </w:rPr>
            </w:pPr>
            <w:r w:rsidRPr="00595492">
              <w:rPr>
                <w:rFonts w:cs="Calibri"/>
                <w:color w:val="000000"/>
                <w:szCs w:val="20"/>
              </w:rPr>
              <w:t>957</w:t>
            </w:r>
          </w:p>
        </w:tc>
        <w:tc>
          <w:tcPr>
            <w:tcW w:w="554" w:type="pct"/>
            <w:tcBorders>
              <w:top w:val="single" w:sz="2" w:space="0" w:color="auto"/>
              <w:left w:val="nil"/>
              <w:bottom w:val="single" w:sz="2" w:space="0" w:color="auto"/>
              <w:right w:val="nil"/>
            </w:tcBorders>
            <w:vAlign w:val="center"/>
          </w:tcPr>
          <w:p w14:paraId="07D10B55" w14:textId="77777777" w:rsidR="00614DC4" w:rsidRPr="00595492" w:rsidRDefault="00446D81" w:rsidP="00D12353">
            <w:pPr>
              <w:pStyle w:val="cuatexto"/>
              <w:jc w:val="right"/>
              <w:rPr>
                <w:rFonts w:cs="Calibri"/>
                <w:szCs w:val="20"/>
              </w:rPr>
            </w:pPr>
            <w:r w:rsidRPr="00595492">
              <w:rPr>
                <w:rFonts w:cs="Calibri"/>
                <w:szCs w:val="20"/>
              </w:rPr>
              <w:t>609</w:t>
            </w:r>
          </w:p>
        </w:tc>
        <w:tc>
          <w:tcPr>
            <w:tcW w:w="636" w:type="pct"/>
            <w:tcBorders>
              <w:top w:val="single" w:sz="2" w:space="0" w:color="auto"/>
              <w:left w:val="nil"/>
              <w:bottom w:val="single" w:sz="2" w:space="0" w:color="auto"/>
              <w:right w:val="nil"/>
            </w:tcBorders>
            <w:vAlign w:val="center"/>
          </w:tcPr>
          <w:p w14:paraId="79AC8202" w14:textId="77777777" w:rsidR="00614DC4" w:rsidRPr="00595492" w:rsidRDefault="00446D81" w:rsidP="00D12353">
            <w:pPr>
              <w:pStyle w:val="cuatexto"/>
              <w:jc w:val="right"/>
            </w:pPr>
            <w:r w:rsidRPr="00595492">
              <w:t>-</w:t>
            </w:r>
          </w:p>
        </w:tc>
        <w:tc>
          <w:tcPr>
            <w:tcW w:w="555" w:type="pct"/>
            <w:tcBorders>
              <w:top w:val="single" w:sz="2" w:space="0" w:color="auto"/>
              <w:left w:val="nil"/>
              <w:bottom w:val="single" w:sz="2" w:space="0" w:color="auto"/>
              <w:right w:val="nil"/>
            </w:tcBorders>
            <w:vAlign w:val="center"/>
          </w:tcPr>
          <w:p w14:paraId="6A048787" w14:textId="77777777" w:rsidR="00614DC4" w:rsidRPr="00595492" w:rsidRDefault="00446D81" w:rsidP="00D12353">
            <w:pPr>
              <w:pStyle w:val="cuatexto"/>
              <w:jc w:val="right"/>
            </w:pPr>
            <w:r w:rsidRPr="00595492">
              <w:t>1.062</w:t>
            </w:r>
          </w:p>
        </w:tc>
        <w:tc>
          <w:tcPr>
            <w:tcW w:w="635" w:type="pct"/>
            <w:tcBorders>
              <w:top w:val="single" w:sz="2" w:space="0" w:color="auto"/>
              <w:left w:val="nil"/>
              <w:bottom w:val="single" w:sz="2" w:space="0" w:color="auto"/>
              <w:right w:val="nil"/>
            </w:tcBorders>
            <w:vAlign w:val="center"/>
          </w:tcPr>
          <w:p w14:paraId="4AD0292C" w14:textId="77777777" w:rsidR="00614DC4" w:rsidRPr="00595492" w:rsidRDefault="00446D81" w:rsidP="00D12353">
            <w:pPr>
              <w:pStyle w:val="cuatexto"/>
              <w:jc w:val="right"/>
            </w:pPr>
            <w:r w:rsidRPr="00595492">
              <w:t>13.147</w:t>
            </w:r>
          </w:p>
        </w:tc>
        <w:tc>
          <w:tcPr>
            <w:tcW w:w="556" w:type="pct"/>
            <w:tcBorders>
              <w:top w:val="single" w:sz="2" w:space="0" w:color="auto"/>
              <w:left w:val="nil"/>
              <w:bottom w:val="single" w:sz="2" w:space="0" w:color="auto"/>
              <w:right w:val="nil"/>
            </w:tcBorders>
            <w:vAlign w:val="center"/>
          </w:tcPr>
          <w:p w14:paraId="2EC862BD" w14:textId="77777777" w:rsidR="00614DC4" w:rsidRPr="00595492" w:rsidRDefault="00A60FF7" w:rsidP="00D12353">
            <w:pPr>
              <w:pStyle w:val="cuatexto"/>
              <w:jc w:val="right"/>
            </w:pPr>
            <w:r w:rsidRPr="00595492">
              <w:t>145</w:t>
            </w:r>
          </w:p>
        </w:tc>
      </w:tr>
      <w:tr w:rsidR="00A155BF" w14:paraId="1353014C" w14:textId="77777777" w:rsidTr="00B81AF3">
        <w:trPr>
          <w:trHeight w:val="198"/>
          <w:jc w:val="center"/>
        </w:trPr>
        <w:tc>
          <w:tcPr>
            <w:tcW w:w="1429" w:type="pct"/>
            <w:tcBorders>
              <w:top w:val="single" w:sz="2" w:space="0" w:color="auto"/>
              <w:left w:val="nil"/>
              <w:bottom w:val="single" w:sz="2" w:space="0" w:color="auto"/>
              <w:right w:val="nil"/>
            </w:tcBorders>
            <w:vAlign w:val="center"/>
            <w:hideMark/>
          </w:tcPr>
          <w:p w14:paraId="5D634428" w14:textId="77777777" w:rsidR="00614DC4" w:rsidRPr="00595492" w:rsidRDefault="00614DC4" w:rsidP="00EA72EA">
            <w:pPr>
              <w:pStyle w:val="cuatexto"/>
            </w:pPr>
            <w:r w:rsidRPr="00595492">
              <w:t>Nasuvinsa</w:t>
            </w:r>
          </w:p>
        </w:tc>
        <w:tc>
          <w:tcPr>
            <w:tcW w:w="635" w:type="pct"/>
            <w:tcBorders>
              <w:top w:val="single" w:sz="2" w:space="0" w:color="auto"/>
              <w:left w:val="nil"/>
              <w:bottom w:val="single" w:sz="2" w:space="0" w:color="auto"/>
              <w:right w:val="nil"/>
            </w:tcBorders>
            <w:vAlign w:val="center"/>
          </w:tcPr>
          <w:p w14:paraId="443A95F6" w14:textId="77777777" w:rsidR="00614DC4" w:rsidRPr="00595492" w:rsidRDefault="00446D81" w:rsidP="00D12353">
            <w:pPr>
              <w:pStyle w:val="cuatexto"/>
              <w:jc w:val="right"/>
              <w:rPr>
                <w:rFonts w:cs="Calibri"/>
                <w:color w:val="000000"/>
                <w:szCs w:val="20"/>
              </w:rPr>
            </w:pPr>
            <w:r w:rsidRPr="00595492">
              <w:rPr>
                <w:rFonts w:cs="Calibri"/>
                <w:color w:val="000000"/>
                <w:szCs w:val="20"/>
              </w:rPr>
              <w:t>-8.762</w:t>
            </w:r>
          </w:p>
        </w:tc>
        <w:tc>
          <w:tcPr>
            <w:tcW w:w="554" w:type="pct"/>
            <w:tcBorders>
              <w:top w:val="single" w:sz="2" w:space="0" w:color="auto"/>
              <w:left w:val="nil"/>
              <w:bottom w:val="single" w:sz="2" w:space="0" w:color="auto"/>
              <w:right w:val="nil"/>
            </w:tcBorders>
            <w:vAlign w:val="center"/>
          </w:tcPr>
          <w:p w14:paraId="1697D9A2" w14:textId="77777777" w:rsidR="00614DC4" w:rsidRPr="00595492" w:rsidRDefault="00446D81" w:rsidP="00D12353">
            <w:pPr>
              <w:pStyle w:val="cuatexto"/>
              <w:jc w:val="right"/>
              <w:rPr>
                <w:rFonts w:cs="Calibri"/>
                <w:szCs w:val="20"/>
              </w:rPr>
            </w:pPr>
            <w:r w:rsidRPr="00595492">
              <w:rPr>
                <w:rFonts w:cs="Calibri"/>
                <w:szCs w:val="20"/>
              </w:rPr>
              <w:t>21.778</w:t>
            </w:r>
          </w:p>
        </w:tc>
        <w:tc>
          <w:tcPr>
            <w:tcW w:w="636" w:type="pct"/>
            <w:tcBorders>
              <w:top w:val="single" w:sz="2" w:space="0" w:color="auto"/>
              <w:left w:val="nil"/>
              <w:bottom w:val="single" w:sz="2" w:space="0" w:color="auto"/>
              <w:right w:val="nil"/>
            </w:tcBorders>
            <w:vAlign w:val="center"/>
          </w:tcPr>
          <w:p w14:paraId="5A84D878" w14:textId="77777777" w:rsidR="00614DC4" w:rsidRPr="00595492" w:rsidRDefault="00446D81" w:rsidP="00D12353">
            <w:pPr>
              <w:pStyle w:val="cuatexto"/>
              <w:jc w:val="right"/>
            </w:pPr>
            <w:r w:rsidRPr="00595492">
              <w:t>1.000</w:t>
            </w:r>
          </w:p>
        </w:tc>
        <w:tc>
          <w:tcPr>
            <w:tcW w:w="555" w:type="pct"/>
            <w:tcBorders>
              <w:top w:val="single" w:sz="2" w:space="0" w:color="auto"/>
              <w:left w:val="nil"/>
              <w:bottom w:val="single" w:sz="2" w:space="0" w:color="auto"/>
              <w:right w:val="nil"/>
            </w:tcBorders>
            <w:vAlign w:val="center"/>
          </w:tcPr>
          <w:p w14:paraId="35714B69" w14:textId="77777777" w:rsidR="00614DC4" w:rsidRPr="00595492" w:rsidRDefault="00446D81" w:rsidP="00D12353">
            <w:pPr>
              <w:pStyle w:val="cuatexto"/>
              <w:jc w:val="right"/>
            </w:pPr>
            <w:r w:rsidRPr="00595492">
              <w:t>3.658</w:t>
            </w:r>
          </w:p>
        </w:tc>
        <w:tc>
          <w:tcPr>
            <w:tcW w:w="635" w:type="pct"/>
            <w:tcBorders>
              <w:top w:val="single" w:sz="2" w:space="0" w:color="auto"/>
              <w:left w:val="nil"/>
              <w:bottom w:val="single" w:sz="2" w:space="0" w:color="auto"/>
              <w:right w:val="nil"/>
            </w:tcBorders>
            <w:vAlign w:val="center"/>
          </w:tcPr>
          <w:p w14:paraId="5666D07D" w14:textId="77777777" w:rsidR="00614DC4" w:rsidRPr="00595492" w:rsidRDefault="00446D81" w:rsidP="00D12353">
            <w:pPr>
              <w:pStyle w:val="cuatexto"/>
              <w:jc w:val="right"/>
            </w:pPr>
            <w:r w:rsidRPr="00595492">
              <w:t>264.697</w:t>
            </w:r>
          </w:p>
        </w:tc>
        <w:tc>
          <w:tcPr>
            <w:tcW w:w="556" w:type="pct"/>
            <w:tcBorders>
              <w:top w:val="single" w:sz="2" w:space="0" w:color="auto"/>
              <w:left w:val="nil"/>
              <w:bottom w:val="single" w:sz="2" w:space="0" w:color="auto"/>
              <w:right w:val="nil"/>
            </w:tcBorders>
            <w:vAlign w:val="center"/>
          </w:tcPr>
          <w:p w14:paraId="415920FA" w14:textId="77777777" w:rsidR="00614DC4" w:rsidRPr="00595492" w:rsidRDefault="00A60FF7" w:rsidP="00D12353">
            <w:pPr>
              <w:pStyle w:val="cuatexto"/>
              <w:jc w:val="right"/>
            </w:pPr>
            <w:r w:rsidRPr="00595492">
              <w:t>166</w:t>
            </w:r>
          </w:p>
        </w:tc>
      </w:tr>
      <w:tr w:rsidR="00A155BF" w14:paraId="1AF940BD" w14:textId="77777777" w:rsidTr="00B81AF3">
        <w:trPr>
          <w:trHeight w:val="198"/>
          <w:jc w:val="center"/>
        </w:trPr>
        <w:tc>
          <w:tcPr>
            <w:tcW w:w="1429" w:type="pct"/>
            <w:tcBorders>
              <w:top w:val="single" w:sz="2" w:space="0" w:color="auto"/>
              <w:left w:val="nil"/>
              <w:bottom w:val="single" w:sz="2" w:space="0" w:color="auto"/>
              <w:right w:val="nil"/>
            </w:tcBorders>
            <w:vAlign w:val="center"/>
            <w:hideMark/>
          </w:tcPr>
          <w:p w14:paraId="7265785A" w14:textId="77777777" w:rsidR="00614DC4" w:rsidRPr="00595492" w:rsidRDefault="00614DC4" w:rsidP="00EA72EA">
            <w:pPr>
              <w:pStyle w:val="cuatexto"/>
            </w:pPr>
            <w:r w:rsidRPr="00595492">
              <w:t>NICDO</w:t>
            </w:r>
          </w:p>
        </w:tc>
        <w:tc>
          <w:tcPr>
            <w:tcW w:w="635" w:type="pct"/>
            <w:tcBorders>
              <w:top w:val="single" w:sz="2" w:space="0" w:color="auto"/>
              <w:left w:val="nil"/>
              <w:bottom w:val="single" w:sz="2" w:space="0" w:color="auto"/>
              <w:right w:val="nil"/>
            </w:tcBorders>
            <w:vAlign w:val="center"/>
          </w:tcPr>
          <w:p w14:paraId="39C71A4B" w14:textId="77777777" w:rsidR="00614DC4" w:rsidRPr="00595492" w:rsidRDefault="00446D81" w:rsidP="00D12353">
            <w:pPr>
              <w:pStyle w:val="cuatexto"/>
              <w:jc w:val="right"/>
              <w:rPr>
                <w:rFonts w:cs="Calibri"/>
                <w:color w:val="000000"/>
                <w:szCs w:val="20"/>
              </w:rPr>
            </w:pPr>
            <w:r w:rsidRPr="00595492">
              <w:rPr>
                <w:rFonts w:cs="Calibri"/>
                <w:color w:val="000000"/>
                <w:szCs w:val="20"/>
              </w:rPr>
              <w:t>-5.286</w:t>
            </w:r>
          </w:p>
        </w:tc>
        <w:tc>
          <w:tcPr>
            <w:tcW w:w="554" w:type="pct"/>
            <w:tcBorders>
              <w:top w:val="single" w:sz="2" w:space="0" w:color="auto"/>
              <w:left w:val="nil"/>
              <w:bottom w:val="single" w:sz="2" w:space="0" w:color="auto"/>
              <w:right w:val="nil"/>
            </w:tcBorders>
            <w:vAlign w:val="center"/>
          </w:tcPr>
          <w:p w14:paraId="264883FE" w14:textId="77777777" w:rsidR="00614DC4" w:rsidRPr="00595492" w:rsidRDefault="00446D81" w:rsidP="00D12353">
            <w:pPr>
              <w:pStyle w:val="cuatexto"/>
              <w:jc w:val="right"/>
              <w:rPr>
                <w:rFonts w:cs="Calibri"/>
                <w:szCs w:val="20"/>
              </w:rPr>
            </w:pPr>
            <w:r w:rsidRPr="00595492">
              <w:rPr>
                <w:rFonts w:cs="Calibri"/>
                <w:szCs w:val="20"/>
              </w:rPr>
              <w:t>3.760</w:t>
            </w:r>
          </w:p>
        </w:tc>
        <w:tc>
          <w:tcPr>
            <w:tcW w:w="636" w:type="pct"/>
            <w:tcBorders>
              <w:top w:val="single" w:sz="2" w:space="0" w:color="auto"/>
              <w:left w:val="nil"/>
              <w:bottom w:val="single" w:sz="2" w:space="0" w:color="auto"/>
              <w:right w:val="nil"/>
            </w:tcBorders>
            <w:vAlign w:val="center"/>
          </w:tcPr>
          <w:p w14:paraId="46FC6B75" w14:textId="77777777" w:rsidR="00614DC4" w:rsidRPr="00595492" w:rsidRDefault="00446D81" w:rsidP="00D12353">
            <w:pPr>
              <w:pStyle w:val="cuatexto"/>
              <w:jc w:val="right"/>
            </w:pPr>
            <w:r w:rsidRPr="00595492">
              <w:t>7.972</w:t>
            </w:r>
          </w:p>
        </w:tc>
        <w:tc>
          <w:tcPr>
            <w:tcW w:w="555" w:type="pct"/>
            <w:tcBorders>
              <w:top w:val="single" w:sz="2" w:space="0" w:color="auto"/>
              <w:left w:val="nil"/>
              <w:bottom w:val="single" w:sz="2" w:space="0" w:color="auto"/>
              <w:right w:val="nil"/>
            </w:tcBorders>
            <w:vAlign w:val="center"/>
          </w:tcPr>
          <w:p w14:paraId="5CB34C95" w14:textId="77777777" w:rsidR="00614DC4" w:rsidRPr="00595492" w:rsidRDefault="00446D81" w:rsidP="00D12353">
            <w:pPr>
              <w:pStyle w:val="cuatexto"/>
              <w:jc w:val="right"/>
            </w:pPr>
            <w:r w:rsidRPr="00595492">
              <w:t>2</w:t>
            </w:r>
          </w:p>
        </w:tc>
        <w:tc>
          <w:tcPr>
            <w:tcW w:w="635" w:type="pct"/>
            <w:tcBorders>
              <w:top w:val="single" w:sz="2" w:space="0" w:color="auto"/>
              <w:left w:val="nil"/>
              <w:bottom w:val="single" w:sz="2" w:space="0" w:color="auto"/>
              <w:right w:val="nil"/>
            </w:tcBorders>
            <w:vAlign w:val="center"/>
          </w:tcPr>
          <w:p w14:paraId="658DCB3D" w14:textId="77777777" w:rsidR="00614DC4" w:rsidRPr="00595492" w:rsidRDefault="00446D81" w:rsidP="00D12353">
            <w:pPr>
              <w:pStyle w:val="cuatexto"/>
              <w:jc w:val="right"/>
            </w:pPr>
            <w:r w:rsidRPr="00595492">
              <w:t>36.847</w:t>
            </w:r>
          </w:p>
        </w:tc>
        <w:tc>
          <w:tcPr>
            <w:tcW w:w="556" w:type="pct"/>
            <w:tcBorders>
              <w:top w:val="single" w:sz="2" w:space="0" w:color="auto"/>
              <w:left w:val="nil"/>
              <w:bottom w:val="single" w:sz="2" w:space="0" w:color="auto"/>
              <w:right w:val="nil"/>
            </w:tcBorders>
            <w:vAlign w:val="center"/>
          </w:tcPr>
          <w:p w14:paraId="0BBADE92" w14:textId="77777777" w:rsidR="00614DC4" w:rsidRPr="00595492" w:rsidRDefault="00A60FF7" w:rsidP="00D12353">
            <w:pPr>
              <w:pStyle w:val="cuatexto"/>
              <w:jc w:val="right"/>
            </w:pPr>
            <w:r w:rsidRPr="00595492">
              <w:t>60</w:t>
            </w:r>
          </w:p>
        </w:tc>
      </w:tr>
      <w:tr w:rsidR="00A155BF" w14:paraId="226C89D3" w14:textId="77777777" w:rsidTr="00B81AF3">
        <w:trPr>
          <w:trHeight w:val="198"/>
          <w:jc w:val="center"/>
        </w:trPr>
        <w:tc>
          <w:tcPr>
            <w:tcW w:w="1429" w:type="pct"/>
            <w:tcBorders>
              <w:top w:val="single" w:sz="2" w:space="0" w:color="auto"/>
              <w:left w:val="nil"/>
              <w:bottom w:val="single" w:sz="2" w:space="0" w:color="auto"/>
              <w:right w:val="nil"/>
            </w:tcBorders>
            <w:vAlign w:val="center"/>
            <w:hideMark/>
          </w:tcPr>
          <w:p w14:paraId="673540E4" w14:textId="77777777" w:rsidR="00614DC4" w:rsidRPr="00595492" w:rsidRDefault="00614DC4" w:rsidP="00EA72EA">
            <w:pPr>
              <w:pStyle w:val="cuatexto"/>
            </w:pPr>
            <w:r w:rsidRPr="00595492">
              <w:t>Nilsa</w:t>
            </w:r>
          </w:p>
        </w:tc>
        <w:tc>
          <w:tcPr>
            <w:tcW w:w="635" w:type="pct"/>
            <w:tcBorders>
              <w:top w:val="single" w:sz="2" w:space="0" w:color="auto"/>
              <w:left w:val="nil"/>
              <w:bottom w:val="single" w:sz="2" w:space="0" w:color="auto"/>
              <w:right w:val="nil"/>
            </w:tcBorders>
            <w:vAlign w:val="center"/>
          </w:tcPr>
          <w:p w14:paraId="01074772" w14:textId="77777777" w:rsidR="00614DC4" w:rsidRPr="00595492" w:rsidRDefault="00446D81" w:rsidP="00D12353">
            <w:pPr>
              <w:pStyle w:val="cuatexto"/>
              <w:jc w:val="right"/>
              <w:rPr>
                <w:rFonts w:cs="Calibri"/>
                <w:color w:val="000000"/>
                <w:szCs w:val="20"/>
              </w:rPr>
            </w:pPr>
            <w:r w:rsidRPr="00595492">
              <w:rPr>
                <w:rFonts w:cs="Calibri"/>
                <w:color w:val="000000"/>
                <w:szCs w:val="20"/>
              </w:rPr>
              <w:t>-</w:t>
            </w:r>
          </w:p>
        </w:tc>
        <w:tc>
          <w:tcPr>
            <w:tcW w:w="554" w:type="pct"/>
            <w:tcBorders>
              <w:top w:val="single" w:sz="2" w:space="0" w:color="auto"/>
              <w:left w:val="nil"/>
              <w:bottom w:val="single" w:sz="2" w:space="0" w:color="auto"/>
              <w:right w:val="nil"/>
            </w:tcBorders>
            <w:vAlign w:val="center"/>
          </w:tcPr>
          <w:p w14:paraId="0F4C8103" w14:textId="77777777" w:rsidR="00614DC4" w:rsidRPr="00595492" w:rsidRDefault="00446D81" w:rsidP="00D12353">
            <w:pPr>
              <w:pStyle w:val="cuatexto"/>
              <w:jc w:val="right"/>
              <w:rPr>
                <w:rFonts w:cs="Calibri"/>
                <w:szCs w:val="20"/>
              </w:rPr>
            </w:pPr>
            <w:r w:rsidRPr="00595492">
              <w:rPr>
                <w:rFonts w:cs="Calibri"/>
                <w:szCs w:val="20"/>
              </w:rPr>
              <w:t>-</w:t>
            </w:r>
          </w:p>
        </w:tc>
        <w:tc>
          <w:tcPr>
            <w:tcW w:w="636" w:type="pct"/>
            <w:tcBorders>
              <w:top w:val="single" w:sz="2" w:space="0" w:color="auto"/>
              <w:left w:val="nil"/>
              <w:bottom w:val="single" w:sz="2" w:space="0" w:color="auto"/>
              <w:right w:val="nil"/>
            </w:tcBorders>
            <w:vAlign w:val="center"/>
          </w:tcPr>
          <w:p w14:paraId="04FE0418" w14:textId="77777777" w:rsidR="00614DC4" w:rsidRPr="00595492" w:rsidRDefault="00446D81" w:rsidP="00D12353">
            <w:pPr>
              <w:pStyle w:val="cuatexto"/>
              <w:jc w:val="right"/>
            </w:pPr>
            <w:r w:rsidRPr="00595492">
              <w:t>-</w:t>
            </w:r>
          </w:p>
        </w:tc>
        <w:tc>
          <w:tcPr>
            <w:tcW w:w="555" w:type="pct"/>
            <w:tcBorders>
              <w:top w:val="single" w:sz="2" w:space="0" w:color="auto"/>
              <w:left w:val="nil"/>
              <w:bottom w:val="single" w:sz="2" w:space="0" w:color="auto"/>
              <w:right w:val="nil"/>
            </w:tcBorders>
            <w:vAlign w:val="center"/>
          </w:tcPr>
          <w:p w14:paraId="1FEFCDF2" w14:textId="77777777" w:rsidR="00614DC4" w:rsidRPr="00595492" w:rsidRDefault="00446D81" w:rsidP="00D12353">
            <w:pPr>
              <w:pStyle w:val="cuatexto"/>
              <w:jc w:val="right"/>
            </w:pPr>
            <w:r w:rsidRPr="00595492">
              <w:t>-</w:t>
            </w:r>
          </w:p>
        </w:tc>
        <w:tc>
          <w:tcPr>
            <w:tcW w:w="635" w:type="pct"/>
            <w:tcBorders>
              <w:top w:val="single" w:sz="2" w:space="0" w:color="auto"/>
              <w:left w:val="nil"/>
              <w:bottom w:val="single" w:sz="2" w:space="0" w:color="auto"/>
              <w:right w:val="nil"/>
            </w:tcBorders>
            <w:vAlign w:val="center"/>
          </w:tcPr>
          <w:p w14:paraId="4DBC881B" w14:textId="77777777" w:rsidR="00614DC4" w:rsidRPr="00595492" w:rsidRDefault="00446D81" w:rsidP="00D12353">
            <w:pPr>
              <w:pStyle w:val="cuatexto"/>
              <w:jc w:val="right"/>
            </w:pPr>
            <w:r w:rsidRPr="00595492">
              <w:t>902</w:t>
            </w:r>
          </w:p>
        </w:tc>
        <w:tc>
          <w:tcPr>
            <w:tcW w:w="556" w:type="pct"/>
            <w:tcBorders>
              <w:top w:val="single" w:sz="2" w:space="0" w:color="auto"/>
              <w:left w:val="nil"/>
              <w:bottom w:val="single" w:sz="2" w:space="0" w:color="auto"/>
              <w:right w:val="nil"/>
            </w:tcBorders>
            <w:vAlign w:val="center"/>
          </w:tcPr>
          <w:p w14:paraId="54BE4511" w14:textId="77777777" w:rsidR="00614DC4" w:rsidRPr="00595492" w:rsidRDefault="00A60FF7" w:rsidP="00D12353">
            <w:pPr>
              <w:pStyle w:val="cuatexto"/>
              <w:jc w:val="right"/>
            </w:pPr>
            <w:r w:rsidRPr="00595492">
              <w:t>53</w:t>
            </w:r>
          </w:p>
        </w:tc>
      </w:tr>
      <w:tr w:rsidR="00A155BF" w14:paraId="5EC72490" w14:textId="77777777" w:rsidTr="00B81AF3">
        <w:trPr>
          <w:trHeight w:val="198"/>
          <w:jc w:val="center"/>
        </w:trPr>
        <w:tc>
          <w:tcPr>
            <w:tcW w:w="1429" w:type="pct"/>
            <w:tcBorders>
              <w:top w:val="single" w:sz="2" w:space="0" w:color="auto"/>
              <w:left w:val="nil"/>
              <w:bottom w:val="single" w:sz="2" w:space="0" w:color="auto"/>
              <w:right w:val="nil"/>
            </w:tcBorders>
            <w:vAlign w:val="center"/>
            <w:hideMark/>
          </w:tcPr>
          <w:p w14:paraId="38F025AA" w14:textId="77777777" w:rsidR="00614DC4" w:rsidRPr="00595492" w:rsidRDefault="00614DC4" w:rsidP="00EA72EA">
            <w:pPr>
              <w:pStyle w:val="cuatexto"/>
            </w:pPr>
            <w:r w:rsidRPr="00595492">
              <w:t xml:space="preserve">Potasas de </w:t>
            </w:r>
            <w:proofErr w:type="spellStart"/>
            <w:r w:rsidRPr="00595492">
              <w:t>Subiza</w:t>
            </w:r>
            <w:proofErr w:type="spellEnd"/>
            <w:r w:rsidRPr="00595492">
              <w:t>, S.A.U.</w:t>
            </w:r>
          </w:p>
        </w:tc>
        <w:tc>
          <w:tcPr>
            <w:tcW w:w="635" w:type="pct"/>
            <w:tcBorders>
              <w:top w:val="single" w:sz="2" w:space="0" w:color="auto"/>
              <w:left w:val="nil"/>
              <w:bottom w:val="single" w:sz="2" w:space="0" w:color="auto"/>
              <w:right w:val="nil"/>
            </w:tcBorders>
            <w:vAlign w:val="center"/>
          </w:tcPr>
          <w:p w14:paraId="6FE1C591" w14:textId="77777777" w:rsidR="00614DC4" w:rsidRPr="00595492" w:rsidRDefault="00446D81" w:rsidP="00D12353">
            <w:pPr>
              <w:pStyle w:val="cuatexto"/>
              <w:jc w:val="right"/>
              <w:rPr>
                <w:rFonts w:cs="Calibri"/>
                <w:color w:val="000000"/>
                <w:szCs w:val="20"/>
              </w:rPr>
            </w:pPr>
            <w:r w:rsidRPr="00595492">
              <w:rPr>
                <w:rFonts w:cs="Calibri"/>
                <w:color w:val="000000"/>
                <w:szCs w:val="20"/>
              </w:rPr>
              <w:t>2.435</w:t>
            </w:r>
          </w:p>
        </w:tc>
        <w:tc>
          <w:tcPr>
            <w:tcW w:w="554" w:type="pct"/>
            <w:tcBorders>
              <w:top w:val="single" w:sz="2" w:space="0" w:color="auto"/>
              <w:left w:val="nil"/>
              <w:bottom w:val="single" w:sz="2" w:space="0" w:color="auto"/>
              <w:right w:val="nil"/>
            </w:tcBorders>
            <w:vAlign w:val="center"/>
          </w:tcPr>
          <w:p w14:paraId="43655193" w14:textId="77777777" w:rsidR="00614DC4" w:rsidRPr="00595492" w:rsidRDefault="00446D81" w:rsidP="00D12353">
            <w:pPr>
              <w:pStyle w:val="cuatexto"/>
              <w:jc w:val="right"/>
              <w:rPr>
                <w:rFonts w:cs="Calibri"/>
                <w:szCs w:val="20"/>
              </w:rPr>
            </w:pPr>
            <w:r w:rsidRPr="00595492">
              <w:rPr>
                <w:rFonts w:cs="Calibri"/>
                <w:szCs w:val="20"/>
              </w:rPr>
              <w:t>225</w:t>
            </w:r>
          </w:p>
        </w:tc>
        <w:tc>
          <w:tcPr>
            <w:tcW w:w="636" w:type="pct"/>
            <w:tcBorders>
              <w:top w:val="single" w:sz="2" w:space="0" w:color="auto"/>
              <w:left w:val="nil"/>
              <w:bottom w:val="single" w:sz="2" w:space="0" w:color="auto"/>
              <w:right w:val="nil"/>
            </w:tcBorders>
            <w:vAlign w:val="center"/>
          </w:tcPr>
          <w:p w14:paraId="20F73EA9" w14:textId="77777777" w:rsidR="00614DC4" w:rsidRPr="00595492" w:rsidRDefault="00446D81" w:rsidP="00D12353">
            <w:pPr>
              <w:pStyle w:val="cuatexto"/>
              <w:jc w:val="right"/>
            </w:pPr>
            <w:r w:rsidRPr="00595492">
              <w:t>-</w:t>
            </w:r>
          </w:p>
        </w:tc>
        <w:tc>
          <w:tcPr>
            <w:tcW w:w="555" w:type="pct"/>
            <w:tcBorders>
              <w:top w:val="single" w:sz="2" w:space="0" w:color="auto"/>
              <w:left w:val="nil"/>
              <w:bottom w:val="single" w:sz="2" w:space="0" w:color="auto"/>
              <w:right w:val="nil"/>
            </w:tcBorders>
            <w:vAlign w:val="center"/>
          </w:tcPr>
          <w:p w14:paraId="482B8D18" w14:textId="77777777" w:rsidR="00614DC4" w:rsidRPr="00595492" w:rsidRDefault="00446D81" w:rsidP="00D12353">
            <w:pPr>
              <w:pStyle w:val="cuatexto"/>
              <w:jc w:val="right"/>
            </w:pPr>
            <w:r w:rsidRPr="00595492">
              <w:t>-</w:t>
            </w:r>
          </w:p>
        </w:tc>
        <w:tc>
          <w:tcPr>
            <w:tcW w:w="635" w:type="pct"/>
            <w:tcBorders>
              <w:top w:val="single" w:sz="2" w:space="0" w:color="auto"/>
              <w:left w:val="nil"/>
              <w:bottom w:val="single" w:sz="2" w:space="0" w:color="auto"/>
              <w:right w:val="nil"/>
            </w:tcBorders>
            <w:vAlign w:val="center"/>
          </w:tcPr>
          <w:p w14:paraId="49D0B84C" w14:textId="77777777" w:rsidR="00614DC4" w:rsidRPr="00595492" w:rsidRDefault="00446D81" w:rsidP="00D12353">
            <w:pPr>
              <w:pStyle w:val="cuatexto"/>
              <w:jc w:val="right"/>
            </w:pPr>
            <w:r w:rsidRPr="00595492">
              <w:t>8.922</w:t>
            </w:r>
          </w:p>
        </w:tc>
        <w:tc>
          <w:tcPr>
            <w:tcW w:w="556" w:type="pct"/>
            <w:tcBorders>
              <w:top w:val="single" w:sz="2" w:space="0" w:color="auto"/>
              <w:left w:val="nil"/>
              <w:bottom w:val="single" w:sz="2" w:space="0" w:color="auto"/>
              <w:right w:val="nil"/>
            </w:tcBorders>
            <w:vAlign w:val="center"/>
          </w:tcPr>
          <w:p w14:paraId="673B08A2" w14:textId="77777777" w:rsidR="00614DC4" w:rsidRPr="00595492" w:rsidRDefault="00446D81" w:rsidP="00D12353">
            <w:pPr>
              <w:pStyle w:val="cuatexto"/>
              <w:jc w:val="right"/>
            </w:pPr>
            <w:r w:rsidRPr="00595492">
              <w:t>-</w:t>
            </w:r>
          </w:p>
        </w:tc>
      </w:tr>
      <w:tr w:rsidR="00A155BF" w14:paraId="575FD0BC" w14:textId="77777777" w:rsidTr="00B81AF3">
        <w:trPr>
          <w:trHeight w:val="198"/>
          <w:jc w:val="center"/>
        </w:trPr>
        <w:tc>
          <w:tcPr>
            <w:tcW w:w="1429" w:type="pct"/>
            <w:tcBorders>
              <w:top w:val="single" w:sz="2" w:space="0" w:color="auto"/>
              <w:left w:val="nil"/>
              <w:bottom w:val="single" w:sz="2" w:space="0" w:color="auto"/>
              <w:right w:val="nil"/>
            </w:tcBorders>
            <w:vAlign w:val="center"/>
            <w:hideMark/>
          </w:tcPr>
          <w:p w14:paraId="18D28FDE" w14:textId="77777777" w:rsidR="00614DC4" w:rsidRPr="00595492" w:rsidRDefault="00614DC4" w:rsidP="00EA72EA">
            <w:pPr>
              <w:pStyle w:val="cuatexto"/>
            </w:pPr>
            <w:r w:rsidRPr="00595492">
              <w:t>Salinas de Navarra, S.A.</w:t>
            </w:r>
          </w:p>
        </w:tc>
        <w:tc>
          <w:tcPr>
            <w:tcW w:w="635" w:type="pct"/>
            <w:tcBorders>
              <w:top w:val="single" w:sz="2" w:space="0" w:color="auto"/>
              <w:left w:val="nil"/>
              <w:bottom w:val="single" w:sz="2" w:space="0" w:color="auto"/>
              <w:right w:val="nil"/>
            </w:tcBorders>
            <w:vAlign w:val="center"/>
          </w:tcPr>
          <w:p w14:paraId="60E5EC2C" w14:textId="77777777" w:rsidR="00614DC4" w:rsidRPr="00595492" w:rsidRDefault="00446D81" w:rsidP="00D12353">
            <w:pPr>
              <w:pStyle w:val="cuatexto"/>
              <w:jc w:val="right"/>
              <w:rPr>
                <w:rFonts w:cs="Calibri"/>
                <w:color w:val="000000"/>
                <w:szCs w:val="20"/>
              </w:rPr>
            </w:pPr>
            <w:r w:rsidRPr="00595492">
              <w:rPr>
                <w:rFonts w:cs="Calibri"/>
                <w:color w:val="000000"/>
                <w:szCs w:val="20"/>
              </w:rPr>
              <w:t>6.398</w:t>
            </w:r>
          </w:p>
        </w:tc>
        <w:tc>
          <w:tcPr>
            <w:tcW w:w="554" w:type="pct"/>
            <w:tcBorders>
              <w:top w:val="single" w:sz="2" w:space="0" w:color="auto"/>
              <w:left w:val="nil"/>
              <w:bottom w:val="single" w:sz="2" w:space="0" w:color="auto"/>
              <w:right w:val="nil"/>
            </w:tcBorders>
            <w:vAlign w:val="center"/>
          </w:tcPr>
          <w:p w14:paraId="6FA23A7C" w14:textId="77777777" w:rsidR="00614DC4" w:rsidRPr="00595492" w:rsidRDefault="00446D81" w:rsidP="00D12353">
            <w:pPr>
              <w:pStyle w:val="cuatexto"/>
              <w:jc w:val="right"/>
              <w:rPr>
                <w:rFonts w:cs="Calibri"/>
                <w:szCs w:val="20"/>
              </w:rPr>
            </w:pPr>
            <w:r w:rsidRPr="00595492">
              <w:rPr>
                <w:rFonts w:cs="Calibri"/>
                <w:szCs w:val="20"/>
              </w:rPr>
              <w:t>-</w:t>
            </w:r>
          </w:p>
        </w:tc>
        <w:tc>
          <w:tcPr>
            <w:tcW w:w="636" w:type="pct"/>
            <w:tcBorders>
              <w:top w:val="single" w:sz="2" w:space="0" w:color="auto"/>
              <w:left w:val="nil"/>
              <w:bottom w:val="single" w:sz="2" w:space="0" w:color="auto"/>
              <w:right w:val="nil"/>
            </w:tcBorders>
            <w:vAlign w:val="center"/>
          </w:tcPr>
          <w:p w14:paraId="3DAA9378" w14:textId="77777777" w:rsidR="00614DC4" w:rsidRPr="00595492" w:rsidRDefault="00446D81" w:rsidP="00D12353">
            <w:pPr>
              <w:pStyle w:val="cuatexto"/>
              <w:jc w:val="right"/>
            </w:pPr>
            <w:r w:rsidRPr="00595492">
              <w:t>-</w:t>
            </w:r>
          </w:p>
        </w:tc>
        <w:tc>
          <w:tcPr>
            <w:tcW w:w="555" w:type="pct"/>
            <w:tcBorders>
              <w:top w:val="single" w:sz="2" w:space="0" w:color="auto"/>
              <w:left w:val="nil"/>
              <w:bottom w:val="single" w:sz="2" w:space="0" w:color="auto"/>
              <w:right w:val="nil"/>
            </w:tcBorders>
            <w:vAlign w:val="center"/>
          </w:tcPr>
          <w:p w14:paraId="53E83623" w14:textId="77777777" w:rsidR="00614DC4" w:rsidRPr="00595492" w:rsidRDefault="00446D81" w:rsidP="00D12353">
            <w:pPr>
              <w:pStyle w:val="cuatexto"/>
              <w:jc w:val="right"/>
            </w:pPr>
            <w:r w:rsidRPr="00595492">
              <w:t>-</w:t>
            </w:r>
          </w:p>
        </w:tc>
        <w:tc>
          <w:tcPr>
            <w:tcW w:w="635" w:type="pct"/>
            <w:tcBorders>
              <w:top w:val="single" w:sz="2" w:space="0" w:color="auto"/>
              <w:left w:val="nil"/>
              <w:bottom w:val="single" w:sz="2" w:space="0" w:color="auto"/>
              <w:right w:val="nil"/>
            </w:tcBorders>
            <w:vAlign w:val="center"/>
          </w:tcPr>
          <w:p w14:paraId="0E71CADD" w14:textId="77777777" w:rsidR="00614DC4" w:rsidRPr="00595492" w:rsidRDefault="00446D81" w:rsidP="00D12353">
            <w:pPr>
              <w:pStyle w:val="cuatexto"/>
              <w:jc w:val="right"/>
            </w:pPr>
            <w:r w:rsidRPr="00595492">
              <w:t>23.963</w:t>
            </w:r>
          </w:p>
        </w:tc>
        <w:tc>
          <w:tcPr>
            <w:tcW w:w="556" w:type="pct"/>
            <w:tcBorders>
              <w:top w:val="single" w:sz="2" w:space="0" w:color="auto"/>
              <w:left w:val="nil"/>
              <w:bottom w:val="single" w:sz="2" w:space="0" w:color="auto"/>
              <w:right w:val="nil"/>
            </w:tcBorders>
            <w:vAlign w:val="center"/>
          </w:tcPr>
          <w:p w14:paraId="3E803436" w14:textId="77777777" w:rsidR="00614DC4" w:rsidRPr="00595492" w:rsidRDefault="00446D81" w:rsidP="00D12353">
            <w:pPr>
              <w:pStyle w:val="cuatexto"/>
              <w:jc w:val="right"/>
            </w:pPr>
            <w:r w:rsidRPr="00595492">
              <w:t>79</w:t>
            </w:r>
          </w:p>
        </w:tc>
      </w:tr>
      <w:tr w:rsidR="00A155BF" w14:paraId="1F3B2DBF" w14:textId="77777777" w:rsidTr="00B81AF3">
        <w:trPr>
          <w:trHeight w:val="198"/>
          <w:jc w:val="center"/>
        </w:trPr>
        <w:tc>
          <w:tcPr>
            <w:tcW w:w="1429" w:type="pct"/>
            <w:tcBorders>
              <w:top w:val="single" w:sz="2" w:space="0" w:color="auto"/>
              <w:left w:val="nil"/>
              <w:bottom w:val="single" w:sz="2" w:space="0" w:color="auto"/>
              <w:right w:val="nil"/>
            </w:tcBorders>
            <w:vAlign w:val="center"/>
            <w:hideMark/>
          </w:tcPr>
          <w:p w14:paraId="11D7A354" w14:textId="77777777" w:rsidR="00614DC4" w:rsidRPr="00595492" w:rsidRDefault="00614DC4" w:rsidP="00EA72EA">
            <w:pPr>
              <w:pStyle w:val="cuatexto"/>
            </w:pPr>
            <w:proofErr w:type="spellStart"/>
            <w:r w:rsidRPr="00595492">
              <w:t>Sodena</w:t>
            </w:r>
            <w:proofErr w:type="spellEnd"/>
          </w:p>
        </w:tc>
        <w:tc>
          <w:tcPr>
            <w:tcW w:w="635" w:type="pct"/>
            <w:tcBorders>
              <w:top w:val="single" w:sz="2" w:space="0" w:color="auto"/>
              <w:left w:val="nil"/>
              <w:bottom w:val="single" w:sz="2" w:space="0" w:color="auto"/>
              <w:right w:val="nil"/>
            </w:tcBorders>
            <w:vAlign w:val="center"/>
          </w:tcPr>
          <w:p w14:paraId="18A177A1" w14:textId="77777777" w:rsidR="00614DC4" w:rsidRPr="00595492" w:rsidRDefault="00446D81" w:rsidP="00D12353">
            <w:pPr>
              <w:pStyle w:val="cuatexto"/>
              <w:jc w:val="right"/>
              <w:rPr>
                <w:rFonts w:cs="Calibri"/>
                <w:color w:val="000000"/>
                <w:szCs w:val="20"/>
              </w:rPr>
            </w:pPr>
            <w:r w:rsidRPr="00595492">
              <w:rPr>
                <w:rFonts w:cs="Calibri"/>
                <w:color w:val="000000"/>
                <w:szCs w:val="20"/>
              </w:rPr>
              <w:t>-4.924</w:t>
            </w:r>
          </w:p>
        </w:tc>
        <w:tc>
          <w:tcPr>
            <w:tcW w:w="554" w:type="pct"/>
            <w:tcBorders>
              <w:top w:val="single" w:sz="2" w:space="0" w:color="auto"/>
              <w:left w:val="nil"/>
              <w:bottom w:val="single" w:sz="2" w:space="0" w:color="auto"/>
              <w:right w:val="nil"/>
            </w:tcBorders>
            <w:vAlign w:val="center"/>
          </w:tcPr>
          <w:p w14:paraId="0577121D" w14:textId="77777777" w:rsidR="00614DC4" w:rsidRPr="00595492" w:rsidRDefault="00446D81" w:rsidP="00D12353">
            <w:pPr>
              <w:pStyle w:val="cuatexto"/>
              <w:jc w:val="right"/>
              <w:rPr>
                <w:rFonts w:cs="Calibri"/>
                <w:szCs w:val="20"/>
              </w:rPr>
            </w:pPr>
            <w:r w:rsidRPr="00595492">
              <w:rPr>
                <w:rFonts w:cs="Calibri"/>
                <w:szCs w:val="20"/>
              </w:rPr>
              <w:t>878</w:t>
            </w:r>
          </w:p>
        </w:tc>
        <w:tc>
          <w:tcPr>
            <w:tcW w:w="636" w:type="pct"/>
            <w:tcBorders>
              <w:top w:val="single" w:sz="2" w:space="0" w:color="auto"/>
              <w:left w:val="nil"/>
              <w:bottom w:val="single" w:sz="2" w:space="0" w:color="auto"/>
              <w:right w:val="nil"/>
            </w:tcBorders>
            <w:vAlign w:val="center"/>
          </w:tcPr>
          <w:p w14:paraId="43FEA5F9" w14:textId="77777777" w:rsidR="00614DC4" w:rsidRPr="00595492" w:rsidRDefault="00446D81" w:rsidP="00D12353">
            <w:pPr>
              <w:pStyle w:val="cuatexto"/>
              <w:jc w:val="right"/>
            </w:pPr>
            <w:r w:rsidRPr="00595492">
              <w:t>8.000</w:t>
            </w:r>
          </w:p>
        </w:tc>
        <w:tc>
          <w:tcPr>
            <w:tcW w:w="555" w:type="pct"/>
            <w:tcBorders>
              <w:top w:val="single" w:sz="2" w:space="0" w:color="auto"/>
              <w:left w:val="nil"/>
              <w:bottom w:val="single" w:sz="2" w:space="0" w:color="auto"/>
              <w:right w:val="nil"/>
            </w:tcBorders>
            <w:vAlign w:val="center"/>
          </w:tcPr>
          <w:p w14:paraId="1B320738" w14:textId="77777777" w:rsidR="00614DC4" w:rsidRPr="00595492" w:rsidRDefault="00446D81" w:rsidP="00D12353">
            <w:pPr>
              <w:pStyle w:val="cuatexto"/>
              <w:jc w:val="right"/>
            </w:pPr>
            <w:r w:rsidRPr="00595492">
              <w:t>18</w:t>
            </w:r>
          </w:p>
        </w:tc>
        <w:tc>
          <w:tcPr>
            <w:tcW w:w="635" w:type="pct"/>
            <w:tcBorders>
              <w:top w:val="single" w:sz="2" w:space="0" w:color="auto"/>
              <w:left w:val="nil"/>
              <w:bottom w:val="single" w:sz="2" w:space="0" w:color="auto"/>
              <w:right w:val="nil"/>
            </w:tcBorders>
            <w:vAlign w:val="center"/>
          </w:tcPr>
          <w:p w14:paraId="694BA6F0" w14:textId="77777777" w:rsidR="00614DC4" w:rsidRPr="00595492" w:rsidRDefault="00446D81" w:rsidP="00D12353">
            <w:pPr>
              <w:pStyle w:val="cuatexto"/>
              <w:jc w:val="right"/>
            </w:pPr>
            <w:r w:rsidRPr="00595492">
              <w:t>84.801</w:t>
            </w:r>
          </w:p>
        </w:tc>
        <w:tc>
          <w:tcPr>
            <w:tcW w:w="556" w:type="pct"/>
            <w:tcBorders>
              <w:top w:val="single" w:sz="2" w:space="0" w:color="auto"/>
              <w:left w:val="nil"/>
              <w:bottom w:val="single" w:sz="2" w:space="0" w:color="auto"/>
              <w:right w:val="nil"/>
            </w:tcBorders>
            <w:vAlign w:val="center"/>
          </w:tcPr>
          <w:p w14:paraId="16503CDA" w14:textId="77777777" w:rsidR="00614DC4" w:rsidRPr="00595492" w:rsidRDefault="00446D81" w:rsidP="00D12353">
            <w:pPr>
              <w:pStyle w:val="cuatexto"/>
              <w:jc w:val="right"/>
            </w:pPr>
            <w:r w:rsidRPr="00595492">
              <w:t>25</w:t>
            </w:r>
          </w:p>
        </w:tc>
      </w:tr>
      <w:tr w:rsidR="00A155BF" w14:paraId="0EF4480D" w14:textId="77777777" w:rsidTr="00B81AF3">
        <w:trPr>
          <w:trHeight w:val="198"/>
          <w:jc w:val="center"/>
        </w:trPr>
        <w:tc>
          <w:tcPr>
            <w:tcW w:w="1429" w:type="pct"/>
            <w:tcBorders>
              <w:top w:val="single" w:sz="2" w:space="0" w:color="auto"/>
              <w:left w:val="nil"/>
              <w:bottom w:val="single" w:sz="2" w:space="0" w:color="auto"/>
              <w:right w:val="nil"/>
            </w:tcBorders>
            <w:vAlign w:val="center"/>
            <w:hideMark/>
          </w:tcPr>
          <w:p w14:paraId="3C56B4DB" w14:textId="77777777" w:rsidR="00614DC4" w:rsidRPr="00595492" w:rsidRDefault="00614DC4" w:rsidP="00EA72EA">
            <w:pPr>
              <w:pStyle w:val="cuatexto"/>
              <w:rPr>
                <w:lang w:val="en-US"/>
              </w:rPr>
            </w:pPr>
            <w:r w:rsidRPr="00595492">
              <w:rPr>
                <w:lang w:val="en-US"/>
              </w:rPr>
              <w:t>Start Up Capital Navarra, S.A.</w:t>
            </w:r>
          </w:p>
        </w:tc>
        <w:tc>
          <w:tcPr>
            <w:tcW w:w="635" w:type="pct"/>
            <w:tcBorders>
              <w:top w:val="single" w:sz="2" w:space="0" w:color="auto"/>
              <w:left w:val="nil"/>
              <w:bottom w:val="single" w:sz="2" w:space="0" w:color="auto"/>
              <w:right w:val="nil"/>
            </w:tcBorders>
            <w:vAlign w:val="center"/>
          </w:tcPr>
          <w:p w14:paraId="6564FF70" w14:textId="77777777" w:rsidR="00614DC4" w:rsidRPr="00595492" w:rsidRDefault="00446D81" w:rsidP="00D12353">
            <w:pPr>
              <w:pStyle w:val="cuatexto"/>
              <w:jc w:val="right"/>
              <w:rPr>
                <w:rFonts w:cs="Calibri"/>
                <w:color w:val="000000"/>
                <w:szCs w:val="20"/>
              </w:rPr>
            </w:pPr>
            <w:r w:rsidRPr="00595492">
              <w:rPr>
                <w:rFonts w:cs="Calibri"/>
                <w:color w:val="000000"/>
                <w:szCs w:val="20"/>
              </w:rPr>
              <w:t>-188</w:t>
            </w:r>
          </w:p>
        </w:tc>
        <w:tc>
          <w:tcPr>
            <w:tcW w:w="554" w:type="pct"/>
            <w:tcBorders>
              <w:top w:val="single" w:sz="2" w:space="0" w:color="auto"/>
              <w:left w:val="nil"/>
              <w:bottom w:val="single" w:sz="2" w:space="0" w:color="auto"/>
              <w:right w:val="nil"/>
            </w:tcBorders>
            <w:vAlign w:val="center"/>
          </w:tcPr>
          <w:p w14:paraId="6EA84945" w14:textId="77777777" w:rsidR="00614DC4" w:rsidRPr="00595492" w:rsidRDefault="00446D81" w:rsidP="00D12353">
            <w:pPr>
              <w:pStyle w:val="cuatexto"/>
              <w:jc w:val="right"/>
              <w:rPr>
                <w:rFonts w:cs="Calibri"/>
                <w:szCs w:val="20"/>
              </w:rPr>
            </w:pPr>
            <w:r w:rsidRPr="00595492">
              <w:rPr>
                <w:rFonts w:cs="Calibri"/>
                <w:szCs w:val="20"/>
              </w:rPr>
              <w:t>-</w:t>
            </w:r>
          </w:p>
        </w:tc>
        <w:tc>
          <w:tcPr>
            <w:tcW w:w="636" w:type="pct"/>
            <w:tcBorders>
              <w:top w:val="single" w:sz="2" w:space="0" w:color="auto"/>
              <w:left w:val="nil"/>
              <w:bottom w:val="single" w:sz="2" w:space="0" w:color="auto"/>
              <w:right w:val="nil"/>
            </w:tcBorders>
            <w:vAlign w:val="center"/>
          </w:tcPr>
          <w:p w14:paraId="490FD740" w14:textId="77777777" w:rsidR="00614DC4" w:rsidRPr="00595492" w:rsidRDefault="00446D81" w:rsidP="00D12353">
            <w:pPr>
              <w:pStyle w:val="cuatexto"/>
              <w:jc w:val="right"/>
            </w:pPr>
            <w:r w:rsidRPr="00595492">
              <w:t>-</w:t>
            </w:r>
          </w:p>
        </w:tc>
        <w:tc>
          <w:tcPr>
            <w:tcW w:w="555" w:type="pct"/>
            <w:tcBorders>
              <w:top w:val="single" w:sz="2" w:space="0" w:color="auto"/>
              <w:left w:val="nil"/>
              <w:bottom w:val="single" w:sz="2" w:space="0" w:color="auto"/>
              <w:right w:val="nil"/>
            </w:tcBorders>
            <w:vAlign w:val="center"/>
          </w:tcPr>
          <w:p w14:paraId="7FC17D66" w14:textId="77777777" w:rsidR="00614DC4" w:rsidRPr="00595492" w:rsidRDefault="00446D81" w:rsidP="00D12353">
            <w:pPr>
              <w:pStyle w:val="cuatexto"/>
              <w:jc w:val="right"/>
            </w:pPr>
            <w:r w:rsidRPr="00595492">
              <w:t>-</w:t>
            </w:r>
          </w:p>
        </w:tc>
        <w:tc>
          <w:tcPr>
            <w:tcW w:w="635" w:type="pct"/>
            <w:tcBorders>
              <w:top w:val="single" w:sz="2" w:space="0" w:color="auto"/>
              <w:left w:val="nil"/>
              <w:bottom w:val="single" w:sz="2" w:space="0" w:color="auto"/>
              <w:right w:val="nil"/>
            </w:tcBorders>
            <w:vAlign w:val="center"/>
          </w:tcPr>
          <w:p w14:paraId="3CF4B960" w14:textId="77777777" w:rsidR="00614DC4" w:rsidRPr="00595492" w:rsidRDefault="00446D81" w:rsidP="00D12353">
            <w:pPr>
              <w:pStyle w:val="cuatexto"/>
              <w:jc w:val="right"/>
            </w:pPr>
            <w:r w:rsidRPr="00595492">
              <w:t>703</w:t>
            </w:r>
          </w:p>
        </w:tc>
        <w:tc>
          <w:tcPr>
            <w:tcW w:w="556" w:type="pct"/>
            <w:tcBorders>
              <w:top w:val="single" w:sz="2" w:space="0" w:color="auto"/>
              <w:left w:val="nil"/>
              <w:bottom w:val="single" w:sz="2" w:space="0" w:color="auto"/>
              <w:right w:val="nil"/>
            </w:tcBorders>
            <w:vAlign w:val="center"/>
          </w:tcPr>
          <w:p w14:paraId="13787384" w14:textId="77777777" w:rsidR="00614DC4" w:rsidRPr="00595492" w:rsidRDefault="00446D81" w:rsidP="00D12353">
            <w:pPr>
              <w:pStyle w:val="cuatexto"/>
              <w:jc w:val="right"/>
            </w:pPr>
            <w:r w:rsidRPr="00595492">
              <w:t>-</w:t>
            </w:r>
          </w:p>
        </w:tc>
      </w:tr>
      <w:tr w:rsidR="00A155BF" w14:paraId="01CB85D0" w14:textId="77777777" w:rsidTr="00B81AF3">
        <w:trPr>
          <w:trHeight w:val="198"/>
          <w:jc w:val="center"/>
        </w:trPr>
        <w:tc>
          <w:tcPr>
            <w:tcW w:w="1429" w:type="pct"/>
            <w:tcBorders>
              <w:top w:val="single" w:sz="2" w:space="0" w:color="auto"/>
              <w:left w:val="nil"/>
              <w:bottom w:val="single" w:sz="2" w:space="0" w:color="auto"/>
              <w:right w:val="nil"/>
            </w:tcBorders>
            <w:vAlign w:val="center"/>
            <w:hideMark/>
          </w:tcPr>
          <w:p w14:paraId="4C7CDDEF" w14:textId="77777777" w:rsidR="00614DC4" w:rsidRPr="00595492" w:rsidRDefault="00614DC4" w:rsidP="00EA72EA">
            <w:pPr>
              <w:pStyle w:val="cuatexto"/>
            </w:pPr>
            <w:proofErr w:type="spellStart"/>
            <w:r w:rsidRPr="00595492">
              <w:t>Tracasa</w:t>
            </w:r>
            <w:proofErr w:type="spellEnd"/>
          </w:p>
        </w:tc>
        <w:tc>
          <w:tcPr>
            <w:tcW w:w="635" w:type="pct"/>
            <w:tcBorders>
              <w:top w:val="single" w:sz="2" w:space="0" w:color="auto"/>
              <w:left w:val="nil"/>
              <w:bottom w:val="single" w:sz="2" w:space="0" w:color="auto"/>
              <w:right w:val="nil"/>
            </w:tcBorders>
            <w:vAlign w:val="center"/>
          </w:tcPr>
          <w:p w14:paraId="6D5AF10A" w14:textId="77777777" w:rsidR="00614DC4" w:rsidRPr="00595492" w:rsidRDefault="00446D81" w:rsidP="00D12353">
            <w:pPr>
              <w:pStyle w:val="cuatexto"/>
              <w:jc w:val="right"/>
              <w:rPr>
                <w:rFonts w:cs="Calibri"/>
                <w:color w:val="000000"/>
                <w:szCs w:val="20"/>
              </w:rPr>
            </w:pPr>
            <w:r w:rsidRPr="00595492">
              <w:rPr>
                <w:rFonts w:cs="Calibri"/>
                <w:color w:val="000000"/>
                <w:szCs w:val="20"/>
              </w:rPr>
              <w:t>300</w:t>
            </w:r>
          </w:p>
        </w:tc>
        <w:tc>
          <w:tcPr>
            <w:tcW w:w="554" w:type="pct"/>
            <w:tcBorders>
              <w:top w:val="single" w:sz="2" w:space="0" w:color="auto"/>
              <w:left w:val="nil"/>
              <w:bottom w:val="single" w:sz="2" w:space="0" w:color="auto"/>
              <w:right w:val="nil"/>
            </w:tcBorders>
            <w:vAlign w:val="center"/>
          </w:tcPr>
          <w:p w14:paraId="54DDF6F5" w14:textId="77777777" w:rsidR="00614DC4" w:rsidRPr="00595492" w:rsidRDefault="00446D81" w:rsidP="00D12353">
            <w:pPr>
              <w:pStyle w:val="cuatexto"/>
              <w:jc w:val="right"/>
              <w:rPr>
                <w:rFonts w:cs="Calibri"/>
                <w:szCs w:val="20"/>
              </w:rPr>
            </w:pPr>
            <w:r w:rsidRPr="00595492">
              <w:rPr>
                <w:rFonts w:cs="Calibri"/>
                <w:szCs w:val="20"/>
              </w:rPr>
              <w:t>84</w:t>
            </w:r>
          </w:p>
        </w:tc>
        <w:tc>
          <w:tcPr>
            <w:tcW w:w="636" w:type="pct"/>
            <w:tcBorders>
              <w:top w:val="single" w:sz="2" w:space="0" w:color="auto"/>
              <w:left w:val="nil"/>
              <w:bottom w:val="single" w:sz="2" w:space="0" w:color="auto"/>
              <w:right w:val="nil"/>
            </w:tcBorders>
            <w:vAlign w:val="center"/>
          </w:tcPr>
          <w:p w14:paraId="6257E540" w14:textId="77777777" w:rsidR="00614DC4" w:rsidRPr="00595492" w:rsidRDefault="00446D81" w:rsidP="00D12353">
            <w:pPr>
              <w:pStyle w:val="cuatexto"/>
              <w:jc w:val="right"/>
            </w:pPr>
            <w:r w:rsidRPr="00595492">
              <w:t>-</w:t>
            </w:r>
          </w:p>
        </w:tc>
        <w:tc>
          <w:tcPr>
            <w:tcW w:w="555" w:type="pct"/>
            <w:tcBorders>
              <w:top w:val="single" w:sz="2" w:space="0" w:color="auto"/>
              <w:left w:val="nil"/>
              <w:bottom w:val="single" w:sz="2" w:space="0" w:color="auto"/>
              <w:right w:val="nil"/>
            </w:tcBorders>
            <w:vAlign w:val="center"/>
          </w:tcPr>
          <w:p w14:paraId="6102B6B1" w14:textId="77777777" w:rsidR="00614DC4" w:rsidRPr="00595492" w:rsidRDefault="00446D81" w:rsidP="00D12353">
            <w:pPr>
              <w:pStyle w:val="cuatexto"/>
              <w:jc w:val="right"/>
            </w:pPr>
            <w:r w:rsidRPr="00595492">
              <w:t>-</w:t>
            </w:r>
          </w:p>
        </w:tc>
        <w:tc>
          <w:tcPr>
            <w:tcW w:w="635" w:type="pct"/>
            <w:tcBorders>
              <w:top w:val="single" w:sz="2" w:space="0" w:color="auto"/>
              <w:left w:val="nil"/>
              <w:bottom w:val="single" w:sz="2" w:space="0" w:color="auto"/>
              <w:right w:val="nil"/>
            </w:tcBorders>
            <w:vAlign w:val="center"/>
          </w:tcPr>
          <w:p w14:paraId="40279A77" w14:textId="77777777" w:rsidR="00614DC4" w:rsidRPr="00595492" w:rsidRDefault="00446D81" w:rsidP="00D12353">
            <w:pPr>
              <w:pStyle w:val="cuatexto"/>
              <w:jc w:val="right"/>
            </w:pPr>
            <w:r w:rsidRPr="00595492">
              <w:t>11.095</w:t>
            </w:r>
          </w:p>
        </w:tc>
        <w:tc>
          <w:tcPr>
            <w:tcW w:w="556" w:type="pct"/>
            <w:tcBorders>
              <w:top w:val="single" w:sz="2" w:space="0" w:color="auto"/>
              <w:left w:val="nil"/>
              <w:bottom w:val="single" w:sz="2" w:space="0" w:color="auto"/>
              <w:right w:val="nil"/>
            </w:tcBorders>
            <w:vAlign w:val="center"/>
          </w:tcPr>
          <w:p w14:paraId="4A5D8BDD" w14:textId="77777777" w:rsidR="00614DC4" w:rsidRPr="00595492" w:rsidRDefault="00446D81" w:rsidP="00D12353">
            <w:pPr>
              <w:pStyle w:val="cuatexto"/>
              <w:jc w:val="right"/>
            </w:pPr>
            <w:r w:rsidRPr="00595492">
              <w:t>57</w:t>
            </w:r>
          </w:p>
        </w:tc>
      </w:tr>
      <w:tr w:rsidR="00A155BF" w14:paraId="6DAC4617" w14:textId="77777777" w:rsidTr="00B81AF3">
        <w:trPr>
          <w:trHeight w:val="198"/>
          <w:jc w:val="center"/>
        </w:trPr>
        <w:tc>
          <w:tcPr>
            <w:tcW w:w="1429" w:type="pct"/>
            <w:tcBorders>
              <w:top w:val="single" w:sz="2" w:space="0" w:color="auto"/>
              <w:left w:val="nil"/>
              <w:bottom w:val="single" w:sz="2" w:space="0" w:color="auto"/>
              <w:right w:val="nil"/>
            </w:tcBorders>
            <w:vAlign w:val="center"/>
            <w:hideMark/>
          </w:tcPr>
          <w:p w14:paraId="77D93EF2" w14:textId="77777777" w:rsidR="00614DC4" w:rsidRPr="00595492" w:rsidRDefault="00614DC4" w:rsidP="00EA72EA">
            <w:pPr>
              <w:pStyle w:val="cuatexto"/>
            </w:pPr>
            <w:proofErr w:type="spellStart"/>
            <w:r w:rsidRPr="00595492">
              <w:t>Tracasa</w:t>
            </w:r>
            <w:proofErr w:type="spellEnd"/>
            <w:r w:rsidRPr="00595492">
              <w:t xml:space="preserve"> Instrumental</w:t>
            </w:r>
          </w:p>
        </w:tc>
        <w:tc>
          <w:tcPr>
            <w:tcW w:w="635" w:type="pct"/>
            <w:tcBorders>
              <w:top w:val="single" w:sz="2" w:space="0" w:color="auto"/>
              <w:left w:val="nil"/>
              <w:bottom w:val="single" w:sz="2" w:space="0" w:color="auto"/>
              <w:right w:val="nil"/>
            </w:tcBorders>
            <w:vAlign w:val="center"/>
          </w:tcPr>
          <w:p w14:paraId="6450C792" w14:textId="77777777" w:rsidR="00614DC4" w:rsidRPr="00595492" w:rsidRDefault="00446D81" w:rsidP="00D12353">
            <w:pPr>
              <w:pStyle w:val="cuatexto"/>
              <w:jc w:val="right"/>
              <w:rPr>
                <w:rFonts w:cs="Calibri"/>
                <w:color w:val="000000"/>
                <w:szCs w:val="20"/>
              </w:rPr>
            </w:pPr>
            <w:r w:rsidRPr="00595492">
              <w:rPr>
                <w:rFonts w:cs="Calibri"/>
                <w:color w:val="000000"/>
                <w:szCs w:val="20"/>
              </w:rPr>
              <w:t>509</w:t>
            </w:r>
          </w:p>
        </w:tc>
        <w:tc>
          <w:tcPr>
            <w:tcW w:w="554" w:type="pct"/>
            <w:tcBorders>
              <w:top w:val="single" w:sz="2" w:space="0" w:color="auto"/>
              <w:left w:val="nil"/>
              <w:bottom w:val="single" w:sz="2" w:space="0" w:color="auto"/>
              <w:right w:val="nil"/>
            </w:tcBorders>
            <w:vAlign w:val="center"/>
          </w:tcPr>
          <w:p w14:paraId="0A050DF9" w14:textId="77777777" w:rsidR="00614DC4" w:rsidRPr="00595492" w:rsidRDefault="00446D81" w:rsidP="00D12353">
            <w:pPr>
              <w:pStyle w:val="cuatexto"/>
              <w:jc w:val="right"/>
              <w:rPr>
                <w:rFonts w:cs="Calibri"/>
                <w:szCs w:val="20"/>
              </w:rPr>
            </w:pPr>
            <w:r w:rsidRPr="00595492">
              <w:rPr>
                <w:rFonts w:cs="Calibri"/>
                <w:szCs w:val="20"/>
              </w:rPr>
              <w:t>83</w:t>
            </w:r>
          </w:p>
        </w:tc>
        <w:tc>
          <w:tcPr>
            <w:tcW w:w="636" w:type="pct"/>
            <w:tcBorders>
              <w:top w:val="single" w:sz="2" w:space="0" w:color="auto"/>
              <w:left w:val="nil"/>
              <w:bottom w:val="single" w:sz="2" w:space="0" w:color="auto"/>
              <w:right w:val="nil"/>
            </w:tcBorders>
            <w:vAlign w:val="center"/>
          </w:tcPr>
          <w:p w14:paraId="7EF5CC70" w14:textId="77777777" w:rsidR="00614DC4" w:rsidRPr="00595492" w:rsidRDefault="00446D81" w:rsidP="00D12353">
            <w:pPr>
              <w:pStyle w:val="cuatexto"/>
              <w:jc w:val="right"/>
            </w:pPr>
            <w:r w:rsidRPr="00595492">
              <w:t>-</w:t>
            </w:r>
          </w:p>
        </w:tc>
        <w:tc>
          <w:tcPr>
            <w:tcW w:w="555" w:type="pct"/>
            <w:tcBorders>
              <w:top w:val="single" w:sz="2" w:space="0" w:color="auto"/>
              <w:left w:val="nil"/>
              <w:bottom w:val="single" w:sz="2" w:space="0" w:color="auto"/>
              <w:right w:val="nil"/>
            </w:tcBorders>
            <w:vAlign w:val="center"/>
          </w:tcPr>
          <w:p w14:paraId="36B0F3BA" w14:textId="77777777" w:rsidR="00614DC4" w:rsidRPr="00595492" w:rsidRDefault="00446D81" w:rsidP="00D12353">
            <w:pPr>
              <w:pStyle w:val="cuatexto"/>
              <w:jc w:val="right"/>
            </w:pPr>
            <w:r w:rsidRPr="00595492">
              <w:t>-</w:t>
            </w:r>
          </w:p>
        </w:tc>
        <w:tc>
          <w:tcPr>
            <w:tcW w:w="635" w:type="pct"/>
            <w:tcBorders>
              <w:top w:val="single" w:sz="2" w:space="0" w:color="auto"/>
              <w:left w:val="nil"/>
              <w:bottom w:val="single" w:sz="2" w:space="0" w:color="auto"/>
              <w:right w:val="nil"/>
            </w:tcBorders>
            <w:vAlign w:val="center"/>
          </w:tcPr>
          <w:p w14:paraId="3D82F6F8" w14:textId="77777777" w:rsidR="00614DC4" w:rsidRPr="00595492" w:rsidRDefault="00446D81" w:rsidP="00D12353">
            <w:pPr>
              <w:pStyle w:val="cuatexto"/>
              <w:jc w:val="right"/>
            </w:pPr>
            <w:r w:rsidRPr="00595492">
              <w:t>23.635</w:t>
            </w:r>
          </w:p>
        </w:tc>
        <w:tc>
          <w:tcPr>
            <w:tcW w:w="556" w:type="pct"/>
            <w:tcBorders>
              <w:top w:val="single" w:sz="2" w:space="0" w:color="auto"/>
              <w:left w:val="nil"/>
              <w:bottom w:val="single" w:sz="2" w:space="0" w:color="auto"/>
              <w:right w:val="nil"/>
            </w:tcBorders>
            <w:vAlign w:val="center"/>
          </w:tcPr>
          <w:p w14:paraId="64495E1C" w14:textId="77777777" w:rsidR="00614DC4" w:rsidRPr="00595492" w:rsidRDefault="00446D81" w:rsidP="00D12353">
            <w:pPr>
              <w:pStyle w:val="cuatexto"/>
              <w:jc w:val="right"/>
            </w:pPr>
            <w:r w:rsidRPr="00595492">
              <w:t>572</w:t>
            </w:r>
          </w:p>
        </w:tc>
      </w:tr>
      <w:tr w:rsidR="00A155BF" w14:paraId="6900B24E" w14:textId="77777777" w:rsidTr="00B81AF3">
        <w:trPr>
          <w:trHeight w:val="198"/>
          <w:jc w:val="center"/>
        </w:trPr>
        <w:tc>
          <w:tcPr>
            <w:tcW w:w="1429" w:type="pct"/>
            <w:tcBorders>
              <w:top w:val="single" w:sz="2" w:space="0" w:color="auto"/>
              <w:left w:val="nil"/>
              <w:bottom w:val="single" w:sz="4" w:space="0" w:color="auto"/>
              <w:right w:val="nil"/>
            </w:tcBorders>
            <w:vAlign w:val="center"/>
            <w:hideMark/>
          </w:tcPr>
          <w:p w14:paraId="0509CC1B" w14:textId="77777777" w:rsidR="00614DC4" w:rsidRDefault="00614DC4" w:rsidP="00EA72EA">
            <w:pPr>
              <w:pStyle w:val="cuatexto"/>
            </w:pPr>
            <w:r>
              <w:t>CPEN</w:t>
            </w:r>
          </w:p>
        </w:tc>
        <w:tc>
          <w:tcPr>
            <w:tcW w:w="635" w:type="pct"/>
            <w:tcBorders>
              <w:top w:val="single" w:sz="2" w:space="0" w:color="auto"/>
              <w:left w:val="nil"/>
              <w:bottom w:val="single" w:sz="4" w:space="0" w:color="auto"/>
              <w:right w:val="nil"/>
            </w:tcBorders>
            <w:vAlign w:val="center"/>
          </w:tcPr>
          <w:p w14:paraId="63E7E313" w14:textId="77777777" w:rsidR="00614DC4" w:rsidRPr="00A155BF" w:rsidRDefault="00446D81" w:rsidP="00D12353">
            <w:pPr>
              <w:pStyle w:val="cuatexto"/>
              <w:jc w:val="right"/>
              <w:rPr>
                <w:rFonts w:cs="Calibri"/>
                <w:color w:val="000000"/>
                <w:szCs w:val="20"/>
              </w:rPr>
            </w:pPr>
            <w:r w:rsidRPr="00A155BF">
              <w:rPr>
                <w:rFonts w:cs="Calibri"/>
                <w:color w:val="000000"/>
                <w:szCs w:val="20"/>
              </w:rPr>
              <w:t>673</w:t>
            </w:r>
          </w:p>
        </w:tc>
        <w:tc>
          <w:tcPr>
            <w:tcW w:w="554" w:type="pct"/>
            <w:tcBorders>
              <w:top w:val="single" w:sz="2" w:space="0" w:color="auto"/>
              <w:left w:val="nil"/>
              <w:bottom w:val="single" w:sz="4" w:space="0" w:color="auto"/>
              <w:right w:val="nil"/>
            </w:tcBorders>
            <w:vAlign w:val="center"/>
          </w:tcPr>
          <w:p w14:paraId="51FF43BE" w14:textId="77777777" w:rsidR="00614DC4" w:rsidRPr="00A155BF" w:rsidRDefault="00446D81" w:rsidP="00D12353">
            <w:pPr>
              <w:pStyle w:val="cuatexto"/>
              <w:jc w:val="right"/>
              <w:rPr>
                <w:rFonts w:cs="Calibri"/>
                <w:szCs w:val="20"/>
              </w:rPr>
            </w:pPr>
            <w:r w:rsidRPr="00A155BF">
              <w:rPr>
                <w:rFonts w:cs="Calibri"/>
                <w:szCs w:val="20"/>
              </w:rPr>
              <w:t>56</w:t>
            </w:r>
          </w:p>
        </w:tc>
        <w:tc>
          <w:tcPr>
            <w:tcW w:w="636" w:type="pct"/>
            <w:tcBorders>
              <w:top w:val="single" w:sz="2" w:space="0" w:color="auto"/>
              <w:left w:val="nil"/>
              <w:bottom w:val="single" w:sz="4" w:space="0" w:color="auto"/>
              <w:right w:val="nil"/>
            </w:tcBorders>
            <w:vAlign w:val="center"/>
          </w:tcPr>
          <w:p w14:paraId="48D6A2D2" w14:textId="77777777" w:rsidR="00614DC4" w:rsidRDefault="00446D81" w:rsidP="00D12353">
            <w:pPr>
              <w:pStyle w:val="cuatexto"/>
              <w:jc w:val="right"/>
            </w:pPr>
            <w:r>
              <w:t>-</w:t>
            </w:r>
          </w:p>
        </w:tc>
        <w:tc>
          <w:tcPr>
            <w:tcW w:w="555" w:type="pct"/>
            <w:tcBorders>
              <w:top w:val="single" w:sz="2" w:space="0" w:color="auto"/>
              <w:left w:val="nil"/>
              <w:bottom w:val="single" w:sz="4" w:space="0" w:color="auto"/>
              <w:right w:val="nil"/>
            </w:tcBorders>
            <w:vAlign w:val="center"/>
          </w:tcPr>
          <w:p w14:paraId="6D31211C" w14:textId="77777777" w:rsidR="00614DC4" w:rsidRDefault="00446D81" w:rsidP="00D12353">
            <w:pPr>
              <w:pStyle w:val="cuatexto"/>
              <w:jc w:val="right"/>
            </w:pPr>
            <w:r>
              <w:t>0</w:t>
            </w:r>
            <w:r w:rsidR="001D7C96">
              <w:t>,29</w:t>
            </w:r>
          </w:p>
        </w:tc>
        <w:tc>
          <w:tcPr>
            <w:tcW w:w="635" w:type="pct"/>
            <w:tcBorders>
              <w:top w:val="single" w:sz="2" w:space="0" w:color="auto"/>
              <w:left w:val="nil"/>
              <w:bottom w:val="single" w:sz="4" w:space="0" w:color="auto"/>
              <w:right w:val="nil"/>
            </w:tcBorders>
            <w:vAlign w:val="center"/>
          </w:tcPr>
          <w:p w14:paraId="10D032AD" w14:textId="77777777" w:rsidR="00614DC4" w:rsidRDefault="00446D81" w:rsidP="00D12353">
            <w:pPr>
              <w:pStyle w:val="cuatexto"/>
              <w:jc w:val="right"/>
            </w:pPr>
            <w:r>
              <w:t>486.110</w:t>
            </w:r>
          </w:p>
        </w:tc>
        <w:tc>
          <w:tcPr>
            <w:tcW w:w="556" w:type="pct"/>
            <w:tcBorders>
              <w:top w:val="single" w:sz="2" w:space="0" w:color="auto"/>
              <w:left w:val="nil"/>
              <w:bottom w:val="single" w:sz="4" w:space="0" w:color="auto"/>
              <w:right w:val="nil"/>
            </w:tcBorders>
            <w:vAlign w:val="center"/>
          </w:tcPr>
          <w:p w14:paraId="1E34C1EF" w14:textId="77777777" w:rsidR="00614DC4" w:rsidRDefault="00446D81" w:rsidP="00D12353">
            <w:pPr>
              <w:pStyle w:val="cuatexto"/>
              <w:jc w:val="right"/>
            </w:pPr>
            <w:r>
              <w:t>16</w:t>
            </w:r>
          </w:p>
        </w:tc>
      </w:tr>
      <w:tr w:rsidR="00A155BF" w14:paraId="00ADF1F6" w14:textId="77777777" w:rsidTr="00B81AF3">
        <w:trPr>
          <w:trHeight w:val="255"/>
          <w:jc w:val="center"/>
        </w:trPr>
        <w:tc>
          <w:tcPr>
            <w:tcW w:w="1429" w:type="pct"/>
            <w:tcBorders>
              <w:top w:val="single" w:sz="4" w:space="0" w:color="auto"/>
              <w:left w:val="nil"/>
              <w:bottom w:val="single" w:sz="4" w:space="0" w:color="auto"/>
              <w:right w:val="nil"/>
            </w:tcBorders>
            <w:shd w:val="clear" w:color="auto" w:fill="8DB3E2"/>
            <w:vAlign w:val="center"/>
            <w:hideMark/>
          </w:tcPr>
          <w:p w14:paraId="5AC55B49" w14:textId="77777777" w:rsidR="00614DC4" w:rsidRDefault="00614DC4" w:rsidP="00EA72EA">
            <w:pPr>
              <w:pStyle w:val="cuadroCabe"/>
            </w:pPr>
            <w:r>
              <w:t>Total (</w:t>
            </w:r>
            <w:r w:rsidR="00446D81">
              <w:t>1</w:t>
            </w:r>
            <w:r>
              <w:t>)</w:t>
            </w:r>
          </w:p>
        </w:tc>
        <w:tc>
          <w:tcPr>
            <w:tcW w:w="635" w:type="pct"/>
            <w:tcBorders>
              <w:top w:val="single" w:sz="4" w:space="0" w:color="auto"/>
              <w:left w:val="nil"/>
              <w:bottom w:val="single" w:sz="4" w:space="0" w:color="auto"/>
              <w:right w:val="nil"/>
            </w:tcBorders>
            <w:shd w:val="clear" w:color="auto" w:fill="8DB3E2"/>
            <w:vAlign w:val="center"/>
          </w:tcPr>
          <w:p w14:paraId="604BF082" w14:textId="77777777" w:rsidR="00614DC4" w:rsidRDefault="00446D81" w:rsidP="00D12353">
            <w:pPr>
              <w:pStyle w:val="cuadroCabe"/>
              <w:jc w:val="right"/>
            </w:pPr>
            <w:r>
              <w:t>-8.520</w:t>
            </w:r>
          </w:p>
        </w:tc>
        <w:tc>
          <w:tcPr>
            <w:tcW w:w="554" w:type="pct"/>
            <w:tcBorders>
              <w:top w:val="single" w:sz="4" w:space="0" w:color="auto"/>
              <w:left w:val="nil"/>
              <w:bottom w:val="single" w:sz="4" w:space="0" w:color="auto"/>
              <w:right w:val="nil"/>
            </w:tcBorders>
            <w:shd w:val="clear" w:color="auto" w:fill="8DB3E2"/>
            <w:vAlign w:val="center"/>
          </w:tcPr>
          <w:p w14:paraId="5C56A821" w14:textId="77777777" w:rsidR="00614DC4" w:rsidRDefault="00446D81" w:rsidP="00D12353">
            <w:pPr>
              <w:pStyle w:val="cuadroCabe"/>
              <w:jc w:val="right"/>
            </w:pPr>
            <w:r>
              <w:t>36.172</w:t>
            </w:r>
          </w:p>
        </w:tc>
        <w:tc>
          <w:tcPr>
            <w:tcW w:w="636" w:type="pct"/>
            <w:tcBorders>
              <w:top w:val="single" w:sz="4" w:space="0" w:color="auto"/>
              <w:left w:val="nil"/>
              <w:bottom w:val="single" w:sz="4" w:space="0" w:color="auto"/>
              <w:right w:val="nil"/>
            </w:tcBorders>
            <w:shd w:val="clear" w:color="auto" w:fill="8DB3E2"/>
            <w:vAlign w:val="center"/>
          </w:tcPr>
          <w:p w14:paraId="037CF254" w14:textId="77777777" w:rsidR="00614DC4" w:rsidRDefault="00446D81" w:rsidP="00D12353">
            <w:pPr>
              <w:pStyle w:val="cuadroCabe"/>
              <w:jc w:val="right"/>
            </w:pPr>
            <w:r>
              <w:t>25.972</w:t>
            </w:r>
          </w:p>
        </w:tc>
        <w:tc>
          <w:tcPr>
            <w:tcW w:w="555" w:type="pct"/>
            <w:tcBorders>
              <w:top w:val="single" w:sz="4" w:space="0" w:color="auto"/>
              <w:left w:val="nil"/>
              <w:bottom w:val="single" w:sz="4" w:space="0" w:color="auto"/>
              <w:right w:val="nil"/>
            </w:tcBorders>
            <w:shd w:val="clear" w:color="auto" w:fill="8DB3E2"/>
            <w:vAlign w:val="center"/>
          </w:tcPr>
          <w:p w14:paraId="6B69290D" w14:textId="77777777" w:rsidR="00614DC4" w:rsidRDefault="00446D81" w:rsidP="00D12353">
            <w:pPr>
              <w:pStyle w:val="cuadroCabe"/>
              <w:jc w:val="right"/>
            </w:pPr>
            <w:r>
              <w:t>4.859</w:t>
            </w:r>
          </w:p>
        </w:tc>
        <w:tc>
          <w:tcPr>
            <w:tcW w:w="635" w:type="pct"/>
            <w:tcBorders>
              <w:top w:val="single" w:sz="4" w:space="0" w:color="auto"/>
              <w:left w:val="nil"/>
              <w:bottom w:val="single" w:sz="4" w:space="0" w:color="auto"/>
              <w:right w:val="nil"/>
            </w:tcBorders>
            <w:shd w:val="clear" w:color="auto" w:fill="8DB3E2"/>
            <w:vAlign w:val="center"/>
          </w:tcPr>
          <w:p w14:paraId="3C58BBD4" w14:textId="77777777" w:rsidR="00614DC4" w:rsidRDefault="00446D81" w:rsidP="00D12353">
            <w:pPr>
              <w:pStyle w:val="cuadroCabe"/>
              <w:jc w:val="right"/>
            </w:pPr>
            <w:r>
              <w:t>1.042.127</w:t>
            </w:r>
          </w:p>
        </w:tc>
        <w:tc>
          <w:tcPr>
            <w:tcW w:w="556" w:type="pct"/>
            <w:tcBorders>
              <w:top w:val="single" w:sz="4" w:space="0" w:color="auto"/>
              <w:left w:val="nil"/>
              <w:bottom w:val="single" w:sz="4" w:space="0" w:color="auto"/>
              <w:right w:val="nil"/>
            </w:tcBorders>
            <w:shd w:val="clear" w:color="auto" w:fill="8DB3E2"/>
            <w:vAlign w:val="center"/>
          </w:tcPr>
          <w:p w14:paraId="332A8145" w14:textId="77777777" w:rsidR="00614DC4" w:rsidRDefault="00446D81" w:rsidP="00D12353">
            <w:pPr>
              <w:pStyle w:val="cuadroCabe"/>
              <w:jc w:val="right"/>
            </w:pPr>
            <w:r>
              <w:t>1.604</w:t>
            </w:r>
          </w:p>
        </w:tc>
      </w:tr>
    </w:tbl>
    <w:p w14:paraId="2C281F31" w14:textId="77777777" w:rsidR="00614DC4" w:rsidRDefault="00446D81" w:rsidP="008C2B8E">
      <w:pPr>
        <w:numPr>
          <w:ilvl w:val="0"/>
          <w:numId w:val="8"/>
        </w:numPr>
        <w:tabs>
          <w:tab w:val="left" w:pos="284"/>
          <w:tab w:val="center" w:pos="6237"/>
          <w:tab w:val="center" w:pos="7371"/>
        </w:tabs>
        <w:spacing w:before="60" w:line="0" w:lineRule="atLeast"/>
        <w:ind w:left="-42" w:right="28" w:firstLine="0"/>
        <w:rPr>
          <w:rFonts w:ascii="Arial" w:hAnsi="Arial" w:cs="Arial"/>
          <w:color w:val="000000" w:themeColor="text1"/>
          <w:spacing w:val="6"/>
          <w:sz w:val="16"/>
          <w:szCs w:val="16"/>
        </w:rPr>
      </w:pPr>
      <w:r>
        <w:rPr>
          <w:rFonts w:ascii="Arial" w:hAnsi="Arial" w:cs="Arial"/>
          <w:color w:val="000000" w:themeColor="text1"/>
          <w:spacing w:val="6"/>
          <w:sz w:val="16"/>
          <w:szCs w:val="16"/>
        </w:rPr>
        <w:t>Datos sin consolidar</w:t>
      </w:r>
      <w:r w:rsidR="00614DC4">
        <w:rPr>
          <w:rFonts w:ascii="Arial" w:hAnsi="Arial" w:cs="Arial"/>
          <w:color w:val="000000" w:themeColor="text1"/>
          <w:spacing w:val="6"/>
          <w:sz w:val="16"/>
          <w:szCs w:val="16"/>
        </w:rPr>
        <w:t>.</w:t>
      </w:r>
    </w:p>
    <w:p w14:paraId="1A4176D1" w14:textId="77777777" w:rsidR="00614DC4" w:rsidRDefault="00614DC4" w:rsidP="008C2B8E">
      <w:pPr>
        <w:numPr>
          <w:ilvl w:val="0"/>
          <w:numId w:val="8"/>
        </w:numPr>
        <w:tabs>
          <w:tab w:val="left" w:pos="284"/>
          <w:tab w:val="center" w:pos="6237"/>
          <w:tab w:val="center" w:pos="7371"/>
        </w:tabs>
        <w:spacing w:line="0" w:lineRule="atLeast"/>
        <w:ind w:left="-42" w:right="28" w:firstLine="0"/>
        <w:rPr>
          <w:rFonts w:ascii="Arial" w:hAnsi="Arial" w:cs="Arial"/>
          <w:color w:val="000000" w:themeColor="text1"/>
          <w:spacing w:val="6"/>
          <w:sz w:val="16"/>
          <w:szCs w:val="16"/>
        </w:rPr>
      </w:pPr>
      <w:r>
        <w:rPr>
          <w:rFonts w:ascii="Arial" w:hAnsi="Arial" w:cs="Arial"/>
          <w:color w:val="000000" w:themeColor="text1"/>
          <w:spacing w:val="6"/>
          <w:sz w:val="16"/>
          <w:szCs w:val="16"/>
        </w:rPr>
        <w:t>En el endeudamiento no se incluyen las deudas con empresas del grupo y asociadas.</w:t>
      </w:r>
    </w:p>
    <w:p w14:paraId="5C77F100" w14:textId="77777777" w:rsidR="00614DC4" w:rsidRDefault="00446D81" w:rsidP="008C2B8E">
      <w:pPr>
        <w:numPr>
          <w:ilvl w:val="0"/>
          <w:numId w:val="8"/>
        </w:numPr>
        <w:tabs>
          <w:tab w:val="left" w:pos="284"/>
          <w:tab w:val="center" w:pos="6237"/>
          <w:tab w:val="center" w:pos="7371"/>
        </w:tabs>
        <w:spacing w:line="0" w:lineRule="atLeast"/>
        <w:ind w:left="-42" w:right="28" w:firstLine="0"/>
        <w:rPr>
          <w:rFonts w:ascii="Arial" w:hAnsi="Arial" w:cs="Arial"/>
          <w:color w:val="000000" w:themeColor="text1"/>
          <w:spacing w:val="6"/>
          <w:sz w:val="16"/>
          <w:szCs w:val="16"/>
        </w:rPr>
      </w:pPr>
      <w:r>
        <w:rPr>
          <w:rFonts w:ascii="Arial" w:hAnsi="Arial" w:cs="Arial"/>
          <w:color w:val="000000" w:themeColor="text1"/>
          <w:spacing w:val="6"/>
          <w:sz w:val="16"/>
          <w:szCs w:val="16"/>
        </w:rPr>
        <w:t>Fuente datos CPEN: Cuentas consolidadas e informe de gestión consolidado</w:t>
      </w:r>
    </w:p>
    <w:p w14:paraId="0065709F" w14:textId="77777777" w:rsidR="005D447B" w:rsidRPr="00C12E3B" w:rsidRDefault="005D447B" w:rsidP="000616EB">
      <w:pPr>
        <w:pStyle w:val="texto"/>
        <w:spacing w:before="240"/>
        <w:jc w:val="both"/>
        <w:rPr>
          <w:rFonts w:ascii="Arial" w:hAnsi="Arial" w:cs="Arial"/>
        </w:rPr>
      </w:pPr>
      <w:r w:rsidRPr="00C12E3B">
        <w:t>Sobre esta información, indicamos que siendo la CPEN un grupo de</w:t>
      </w:r>
      <w:r w:rsidR="000616EB" w:rsidRPr="00C12E3B">
        <w:t xml:space="preserve"> empresas, y de conformidad con la legislación mercantil, el resultado consolidado del </w:t>
      </w:r>
      <w:r w:rsidR="00C12E3B">
        <w:t xml:space="preserve">ejercicio 2023 es negativo en 5,5 </w:t>
      </w:r>
      <w:r w:rsidR="000616EB" w:rsidRPr="00C12E3B">
        <w:t xml:space="preserve">millones. No obstante, en la medida que en el citado grupo se incluye alguna sociedad que no ostenta la condición de sociedad pública, en el cuadro hemos incluido </w:t>
      </w:r>
      <w:r w:rsidR="0057214E" w:rsidRPr="00C12E3B">
        <w:t xml:space="preserve">únicamente </w:t>
      </w:r>
      <w:r w:rsidR="000616EB" w:rsidRPr="00C12E3B">
        <w:t xml:space="preserve">la información sin consolidar de las sociedades públicas. </w:t>
      </w:r>
    </w:p>
    <w:p w14:paraId="4E9E36DD" w14:textId="77777777" w:rsidR="005D447B" w:rsidRDefault="005D447B" w:rsidP="0026367A">
      <w:pPr>
        <w:pStyle w:val="texto"/>
        <w:tabs>
          <w:tab w:val="left" w:pos="480"/>
          <w:tab w:val="num" w:pos="600"/>
        </w:tabs>
        <w:spacing w:before="240" w:after="240"/>
        <w:jc w:val="both"/>
        <w:rPr>
          <w:rFonts w:cs="Arial"/>
        </w:rPr>
      </w:pPr>
    </w:p>
    <w:p w14:paraId="26AB917B" w14:textId="77777777" w:rsidR="005D447B" w:rsidRDefault="005D447B" w:rsidP="0026367A">
      <w:pPr>
        <w:pStyle w:val="texto"/>
        <w:tabs>
          <w:tab w:val="left" w:pos="480"/>
          <w:tab w:val="num" w:pos="600"/>
        </w:tabs>
        <w:spacing w:before="240" w:after="240"/>
        <w:jc w:val="both"/>
        <w:rPr>
          <w:rFonts w:cs="Arial"/>
        </w:rPr>
      </w:pPr>
    </w:p>
    <w:p w14:paraId="1EF8F1B4" w14:textId="77777777" w:rsidR="005D447B" w:rsidRDefault="005D447B" w:rsidP="0026367A">
      <w:pPr>
        <w:pStyle w:val="texto"/>
        <w:tabs>
          <w:tab w:val="left" w:pos="480"/>
          <w:tab w:val="num" w:pos="600"/>
        </w:tabs>
        <w:spacing w:before="240" w:after="240"/>
        <w:jc w:val="both"/>
        <w:rPr>
          <w:rFonts w:cs="Arial"/>
        </w:rPr>
      </w:pPr>
    </w:p>
    <w:p w14:paraId="4F5D4DF2" w14:textId="77777777" w:rsidR="004B7E7D" w:rsidRDefault="004B7E7D" w:rsidP="0026367A">
      <w:pPr>
        <w:pStyle w:val="texto"/>
        <w:tabs>
          <w:tab w:val="left" w:pos="480"/>
          <w:tab w:val="num" w:pos="600"/>
        </w:tabs>
        <w:spacing w:before="240" w:after="240"/>
        <w:jc w:val="both"/>
        <w:rPr>
          <w:rFonts w:cs="Arial"/>
        </w:rPr>
      </w:pPr>
      <w:r w:rsidRPr="001A22EB">
        <w:rPr>
          <w:rFonts w:cs="Arial"/>
        </w:rPr>
        <w:lastRenderedPageBreak/>
        <w:t>En el siguiente cuadro, reflejamos la evolución del personal del grupo empresarial y el número de sociedades</w:t>
      </w:r>
      <w:r w:rsidR="008607E4">
        <w:rPr>
          <w:rFonts w:cs="Arial"/>
        </w:rPr>
        <w:t xml:space="preserve"> públicas</w:t>
      </w:r>
      <w:r w:rsidRPr="001A22EB">
        <w:rPr>
          <w:rFonts w:cs="Arial"/>
        </w:rPr>
        <w:t xml:space="preserve">: </w:t>
      </w:r>
    </w:p>
    <w:tbl>
      <w:tblPr>
        <w:tblW w:w="8789" w:type="dxa"/>
        <w:tblLayout w:type="fixed"/>
        <w:tblCellMar>
          <w:left w:w="70" w:type="dxa"/>
          <w:right w:w="70" w:type="dxa"/>
        </w:tblCellMar>
        <w:tblLook w:val="04A0" w:firstRow="1" w:lastRow="0" w:firstColumn="1" w:lastColumn="0" w:noHBand="0" w:noVBand="1"/>
      </w:tblPr>
      <w:tblGrid>
        <w:gridCol w:w="1507"/>
        <w:gridCol w:w="903"/>
        <w:gridCol w:w="567"/>
        <w:gridCol w:w="567"/>
        <w:gridCol w:w="567"/>
        <w:gridCol w:w="567"/>
        <w:gridCol w:w="567"/>
        <w:gridCol w:w="567"/>
        <w:gridCol w:w="567"/>
        <w:gridCol w:w="567"/>
        <w:gridCol w:w="1843"/>
      </w:tblGrid>
      <w:tr w:rsidR="004B7E7D" w:rsidRPr="004528C1" w14:paraId="1A558372" w14:textId="77777777" w:rsidTr="004528C1">
        <w:trPr>
          <w:trHeight w:val="255"/>
        </w:trPr>
        <w:tc>
          <w:tcPr>
            <w:tcW w:w="1507" w:type="dxa"/>
            <w:tcBorders>
              <w:top w:val="single" w:sz="4" w:space="0" w:color="auto"/>
              <w:left w:val="nil"/>
              <w:bottom w:val="single" w:sz="4" w:space="0" w:color="auto"/>
              <w:right w:val="nil"/>
            </w:tcBorders>
            <w:shd w:val="clear" w:color="000000" w:fill="8DB3E2"/>
            <w:noWrap/>
            <w:vAlign w:val="center"/>
            <w:hideMark/>
          </w:tcPr>
          <w:p w14:paraId="498428A9" w14:textId="77777777" w:rsidR="004B7E7D" w:rsidRPr="004528C1" w:rsidRDefault="004B7E7D" w:rsidP="00B243AE">
            <w:pPr>
              <w:rPr>
                <w:rFonts w:ascii="Arial" w:hAnsi="Arial" w:cs="Arial"/>
                <w:color w:val="000000"/>
                <w:sz w:val="16"/>
                <w:szCs w:val="16"/>
              </w:rPr>
            </w:pPr>
            <w:r w:rsidRPr="004528C1">
              <w:rPr>
                <w:rFonts w:ascii="Arial" w:hAnsi="Arial" w:cs="Arial"/>
                <w:color w:val="000000"/>
                <w:sz w:val="16"/>
                <w:szCs w:val="16"/>
              </w:rPr>
              <w:t> </w:t>
            </w:r>
          </w:p>
        </w:tc>
        <w:tc>
          <w:tcPr>
            <w:tcW w:w="903" w:type="dxa"/>
            <w:tcBorders>
              <w:top w:val="single" w:sz="4" w:space="0" w:color="auto"/>
              <w:left w:val="nil"/>
              <w:bottom w:val="single" w:sz="4" w:space="0" w:color="auto"/>
              <w:right w:val="nil"/>
            </w:tcBorders>
            <w:shd w:val="clear" w:color="000000" w:fill="8DB3E2"/>
            <w:vAlign w:val="center"/>
            <w:hideMark/>
          </w:tcPr>
          <w:p w14:paraId="6E18BCE0" w14:textId="77777777" w:rsidR="004B7E7D" w:rsidRPr="004528C1" w:rsidRDefault="004B7E7D" w:rsidP="004528C1">
            <w:pPr>
              <w:jc w:val="right"/>
              <w:rPr>
                <w:rFonts w:ascii="Arial" w:hAnsi="Arial" w:cs="Arial"/>
                <w:color w:val="000000"/>
                <w:sz w:val="16"/>
                <w:szCs w:val="16"/>
              </w:rPr>
            </w:pPr>
            <w:r w:rsidRPr="004528C1">
              <w:rPr>
                <w:rFonts w:ascii="Arial" w:hAnsi="Arial" w:cs="Arial"/>
                <w:color w:val="000000"/>
                <w:sz w:val="16"/>
                <w:szCs w:val="16"/>
              </w:rPr>
              <w:t>2015</w:t>
            </w:r>
          </w:p>
        </w:tc>
        <w:tc>
          <w:tcPr>
            <w:tcW w:w="567" w:type="dxa"/>
            <w:tcBorders>
              <w:top w:val="single" w:sz="4" w:space="0" w:color="auto"/>
              <w:left w:val="nil"/>
              <w:bottom w:val="single" w:sz="4" w:space="0" w:color="auto"/>
              <w:right w:val="nil"/>
            </w:tcBorders>
            <w:shd w:val="clear" w:color="000000" w:fill="8DB3E2"/>
            <w:vAlign w:val="center"/>
            <w:hideMark/>
          </w:tcPr>
          <w:p w14:paraId="4612C347" w14:textId="77777777" w:rsidR="004B7E7D" w:rsidRPr="004528C1" w:rsidRDefault="004B7E7D" w:rsidP="004528C1">
            <w:pPr>
              <w:jc w:val="right"/>
              <w:rPr>
                <w:rFonts w:ascii="Arial" w:hAnsi="Arial" w:cs="Arial"/>
                <w:color w:val="000000"/>
                <w:sz w:val="16"/>
                <w:szCs w:val="16"/>
              </w:rPr>
            </w:pPr>
            <w:r w:rsidRPr="004528C1">
              <w:rPr>
                <w:rFonts w:ascii="Arial" w:hAnsi="Arial" w:cs="Arial"/>
                <w:color w:val="000000"/>
                <w:sz w:val="16"/>
                <w:szCs w:val="16"/>
              </w:rPr>
              <w:t>2016</w:t>
            </w:r>
          </w:p>
        </w:tc>
        <w:tc>
          <w:tcPr>
            <w:tcW w:w="567" w:type="dxa"/>
            <w:tcBorders>
              <w:top w:val="single" w:sz="4" w:space="0" w:color="auto"/>
              <w:left w:val="nil"/>
              <w:bottom w:val="single" w:sz="4" w:space="0" w:color="auto"/>
              <w:right w:val="nil"/>
            </w:tcBorders>
            <w:shd w:val="clear" w:color="000000" w:fill="8DB3E2"/>
            <w:vAlign w:val="center"/>
            <w:hideMark/>
          </w:tcPr>
          <w:p w14:paraId="58DA55D4" w14:textId="77777777" w:rsidR="004B7E7D" w:rsidRPr="004528C1" w:rsidRDefault="004B7E7D" w:rsidP="004528C1">
            <w:pPr>
              <w:jc w:val="right"/>
              <w:rPr>
                <w:rFonts w:ascii="Arial" w:hAnsi="Arial" w:cs="Arial"/>
                <w:color w:val="000000"/>
                <w:sz w:val="16"/>
                <w:szCs w:val="16"/>
              </w:rPr>
            </w:pPr>
            <w:r w:rsidRPr="004528C1">
              <w:rPr>
                <w:rFonts w:ascii="Arial" w:hAnsi="Arial" w:cs="Arial"/>
                <w:color w:val="000000"/>
                <w:sz w:val="16"/>
                <w:szCs w:val="16"/>
              </w:rPr>
              <w:t>2017</w:t>
            </w:r>
          </w:p>
        </w:tc>
        <w:tc>
          <w:tcPr>
            <w:tcW w:w="567" w:type="dxa"/>
            <w:tcBorders>
              <w:top w:val="single" w:sz="4" w:space="0" w:color="auto"/>
              <w:left w:val="nil"/>
              <w:bottom w:val="single" w:sz="4" w:space="0" w:color="auto"/>
              <w:right w:val="nil"/>
            </w:tcBorders>
            <w:shd w:val="clear" w:color="000000" w:fill="8DB3E2"/>
            <w:vAlign w:val="center"/>
            <w:hideMark/>
          </w:tcPr>
          <w:p w14:paraId="4B1B9A74" w14:textId="77777777" w:rsidR="004B7E7D" w:rsidRPr="004528C1" w:rsidRDefault="004B7E7D" w:rsidP="004528C1">
            <w:pPr>
              <w:jc w:val="right"/>
              <w:rPr>
                <w:rFonts w:ascii="Arial" w:hAnsi="Arial" w:cs="Arial"/>
                <w:color w:val="000000"/>
                <w:sz w:val="16"/>
                <w:szCs w:val="16"/>
              </w:rPr>
            </w:pPr>
            <w:r w:rsidRPr="004528C1">
              <w:rPr>
                <w:rFonts w:ascii="Arial" w:hAnsi="Arial" w:cs="Arial"/>
                <w:color w:val="000000"/>
                <w:sz w:val="16"/>
                <w:szCs w:val="16"/>
              </w:rPr>
              <w:t>2018</w:t>
            </w:r>
          </w:p>
        </w:tc>
        <w:tc>
          <w:tcPr>
            <w:tcW w:w="567" w:type="dxa"/>
            <w:tcBorders>
              <w:top w:val="single" w:sz="4" w:space="0" w:color="auto"/>
              <w:left w:val="nil"/>
              <w:bottom w:val="single" w:sz="4" w:space="0" w:color="auto"/>
              <w:right w:val="nil"/>
            </w:tcBorders>
            <w:shd w:val="clear" w:color="000000" w:fill="8DB3E2"/>
            <w:vAlign w:val="center"/>
            <w:hideMark/>
          </w:tcPr>
          <w:p w14:paraId="7D013851" w14:textId="77777777" w:rsidR="004B7E7D" w:rsidRPr="004528C1" w:rsidRDefault="004B7E7D" w:rsidP="004528C1">
            <w:pPr>
              <w:jc w:val="right"/>
              <w:rPr>
                <w:rFonts w:ascii="Arial" w:hAnsi="Arial" w:cs="Arial"/>
                <w:color w:val="000000"/>
                <w:sz w:val="16"/>
                <w:szCs w:val="16"/>
              </w:rPr>
            </w:pPr>
            <w:r w:rsidRPr="004528C1">
              <w:rPr>
                <w:rFonts w:ascii="Arial" w:hAnsi="Arial" w:cs="Arial"/>
                <w:color w:val="000000"/>
                <w:sz w:val="16"/>
                <w:szCs w:val="16"/>
              </w:rPr>
              <w:t>2019</w:t>
            </w:r>
          </w:p>
        </w:tc>
        <w:tc>
          <w:tcPr>
            <w:tcW w:w="567" w:type="dxa"/>
            <w:tcBorders>
              <w:top w:val="single" w:sz="4" w:space="0" w:color="auto"/>
              <w:left w:val="nil"/>
              <w:bottom w:val="single" w:sz="4" w:space="0" w:color="auto"/>
              <w:right w:val="nil"/>
            </w:tcBorders>
            <w:shd w:val="clear" w:color="000000" w:fill="8DB3E2"/>
            <w:vAlign w:val="center"/>
            <w:hideMark/>
          </w:tcPr>
          <w:p w14:paraId="32DA7602" w14:textId="77777777" w:rsidR="004B7E7D" w:rsidRPr="004528C1" w:rsidRDefault="004B7E7D" w:rsidP="004528C1">
            <w:pPr>
              <w:jc w:val="right"/>
              <w:rPr>
                <w:rFonts w:ascii="Arial" w:hAnsi="Arial" w:cs="Arial"/>
                <w:color w:val="000000"/>
                <w:sz w:val="16"/>
                <w:szCs w:val="16"/>
              </w:rPr>
            </w:pPr>
            <w:r w:rsidRPr="004528C1">
              <w:rPr>
                <w:rFonts w:ascii="Arial" w:hAnsi="Arial" w:cs="Arial"/>
                <w:color w:val="000000"/>
                <w:sz w:val="16"/>
                <w:szCs w:val="16"/>
              </w:rPr>
              <w:t>2020</w:t>
            </w:r>
          </w:p>
        </w:tc>
        <w:tc>
          <w:tcPr>
            <w:tcW w:w="567" w:type="dxa"/>
            <w:tcBorders>
              <w:top w:val="single" w:sz="4" w:space="0" w:color="auto"/>
              <w:left w:val="nil"/>
              <w:bottom w:val="single" w:sz="4" w:space="0" w:color="auto"/>
              <w:right w:val="nil"/>
            </w:tcBorders>
            <w:shd w:val="clear" w:color="000000" w:fill="8DB3E2"/>
            <w:vAlign w:val="center"/>
            <w:hideMark/>
          </w:tcPr>
          <w:p w14:paraId="01EE0ADD" w14:textId="77777777" w:rsidR="004B7E7D" w:rsidRPr="004528C1" w:rsidRDefault="004B7E7D" w:rsidP="004528C1">
            <w:pPr>
              <w:jc w:val="right"/>
              <w:rPr>
                <w:rFonts w:ascii="Arial" w:hAnsi="Arial" w:cs="Arial"/>
                <w:color w:val="000000"/>
                <w:sz w:val="16"/>
                <w:szCs w:val="16"/>
              </w:rPr>
            </w:pPr>
            <w:r w:rsidRPr="004528C1">
              <w:rPr>
                <w:rFonts w:ascii="Arial" w:hAnsi="Arial" w:cs="Arial"/>
                <w:color w:val="000000"/>
                <w:sz w:val="16"/>
                <w:szCs w:val="16"/>
              </w:rPr>
              <w:t>2021</w:t>
            </w:r>
          </w:p>
        </w:tc>
        <w:tc>
          <w:tcPr>
            <w:tcW w:w="567" w:type="dxa"/>
            <w:tcBorders>
              <w:top w:val="single" w:sz="4" w:space="0" w:color="auto"/>
              <w:left w:val="nil"/>
              <w:bottom w:val="single" w:sz="4" w:space="0" w:color="auto"/>
              <w:right w:val="nil"/>
            </w:tcBorders>
            <w:shd w:val="clear" w:color="000000" w:fill="8DB3E2"/>
            <w:vAlign w:val="center"/>
            <w:hideMark/>
          </w:tcPr>
          <w:p w14:paraId="2423757C" w14:textId="77777777" w:rsidR="004B7E7D" w:rsidRPr="004528C1" w:rsidRDefault="004B7E7D" w:rsidP="004528C1">
            <w:pPr>
              <w:jc w:val="right"/>
              <w:rPr>
                <w:rFonts w:ascii="Arial" w:hAnsi="Arial" w:cs="Arial"/>
                <w:color w:val="000000"/>
                <w:sz w:val="16"/>
                <w:szCs w:val="16"/>
              </w:rPr>
            </w:pPr>
            <w:r w:rsidRPr="004528C1">
              <w:rPr>
                <w:rFonts w:ascii="Arial" w:hAnsi="Arial" w:cs="Arial"/>
                <w:color w:val="000000"/>
                <w:sz w:val="16"/>
                <w:szCs w:val="16"/>
              </w:rPr>
              <w:t>2022</w:t>
            </w:r>
          </w:p>
        </w:tc>
        <w:tc>
          <w:tcPr>
            <w:tcW w:w="567" w:type="dxa"/>
            <w:tcBorders>
              <w:top w:val="single" w:sz="4" w:space="0" w:color="auto"/>
              <w:left w:val="nil"/>
              <w:bottom w:val="single" w:sz="4" w:space="0" w:color="auto"/>
              <w:right w:val="nil"/>
            </w:tcBorders>
            <w:shd w:val="clear" w:color="000000" w:fill="8DB3E2"/>
            <w:vAlign w:val="center"/>
            <w:hideMark/>
          </w:tcPr>
          <w:p w14:paraId="7F5EEE89" w14:textId="77777777" w:rsidR="004B7E7D" w:rsidRPr="004528C1" w:rsidRDefault="004B7E7D" w:rsidP="004528C1">
            <w:pPr>
              <w:jc w:val="right"/>
              <w:rPr>
                <w:rFonts w:ascii="Arial" w:hAnsi="Arial" w:cs="Arial"/>
                <w:color w:val="000000"/>
                <w:sz w:val="16"/>
                <w:szCs w:val="16"/>
              </w:rPr>
            </w:pPr>
            <w:r w:rsidRPr="004528C1">
              <w:rPr>
                <w:rFonts w:ascii="Arial" w:hAnsi="Arial" w:cs="Arial"/>
                <w:color w:val="000000"/>
                <w:sz w:val="16"/>
                <w:szCs w:val="16"/>
              </w:rPr>
              <w:t>2023</w:t>
            </w:r>
          </w:p>
        </w:tc>
        <w:tc>
          <w:tcPr>
            <w:tcW w:w="1843" w:type="dxa"/>
            <w:tcBorders>
              <w:top w:val="single" w:sz="4" w:space="0" w:color="auto"/>
              <w:left w:val="nil"/>
              <w:bottom w:val="single" w:sz="4" w:space="0" w:color="auto"/>
              <w:right w:val="nil"/>
            </w:tcBorders>
            <w:shd w:val="clear" w:color="000000" w:fill="8DB3E2"/>
            <w:vAlign w:val="center"/>
            <w:hideMark/>
          </w:tcPr>
          <w:p w14:paraId="77F20277" w14:textId="77777777" w:rsidR="004B7E7D" w:rsidRPr="004528C1" w:rsidRDefault="004B7E7D" w:rsidP="004528C1">
            <w:pPr>
              <w:jc w:val="right"/>
              <w:rPr>
                <w:rFonts w:ascii="Arial" w:hAnsi="Arial" w:cs="Arial"/>
                <w:color w:val="000000"/>
                <w:sz w:val="16"/>
                <w:szCs w:val="16"/>
              </w:rPr>
            </w:pPr>
            <w:r w:rsidRPr="004528C1">
              <w:rPr>
                <w:rFonts w:ascii="Arial" w:hAnsi="Arial" w:cs="Arial"/>
                <w:color w:val="000000"/>
                <w:sz w:val="16"/>
                <w:szCs w:val="16"/>
              </w:rPr>
              <w:t>% variación 2023/2015</w:t>
            </w:r>
          </w:p>
        </w:tc>
      </w:tr>
      <w:tr w:rsidR="004B7E7D" w14:paraId="41152868" w14:textId="77777777" w:rsidTr="00B81AF3">
        <w:trPr>
          <w:trHeight w:val="198"/>
        </w:trPr>
        <w:tc>
          <w:tcPr>
            <w:tcW w:w="1507" w:type="dxa"/>
            <w:tcBorders>
              <w:top w:val="single" w:sz="4" w:space="0" w:color="auto"/>
              <w:left w:val="nil"/>
              <w:bottom w:val="single" w:sz="2" w:space="0" w:color="auto"/>
              <w:right w:val="nil"/>
            </w:tcBorders>
            <w:shd w:val="clear" w:color="auto" w:fill="auto"/>
            <w:noWrap/>
            <w:vAlign w:val="center"/>
            <w:hideMark/>
          </w:tcPr>
          <w:p w14:paraId="5DA07BC3" w14:textId="77777777" w:rsidR="004B7E7D" w:rsidRDefault="004B7E7D" w:rsidP="00B243AE">
            <w:pPr>
              <w:rPr>
                <w:rFonts w:ascii="Arial Narrow" w:hAnsi="Arial Narrow" w:cs="Calibri"/>
                <w:color w:val="000000"/>
                <w:sz w:val="18"/>
                <w:szCs w:val="18"/>
              </w:rPr>
            </w:pPr>
            <w:r>
              <w:rPr>
                <w:rFonts w:ascii="Arial Narrow" w:hAnsi="Arial Narrow" w:cs="Arial"/>
                <w:color w:val="000000"/>
                <w:sz w:val="18"/>
                <w:szCs w:val="18"/>
              </w:rPr>
              <w:t>Nº medio empleados</w:t>
            </w:r>
          </w:p>
        </w:tc>
        <w:tc>
          <w:tcPr>
            <w:tcW w:w="903" w:type="dxa"/>
            <w:tcBorders>
              <w:top w:val="single" w:sz="4" w:space="0" w:color="auto"/>
              <w:left w:val="nil"/>
              <w:bottom w:val="single" w:sz="2" w:space="0" w:color="auto"/>
              <w:right w:val="nil"/>
            </w:tcBorders>
            <w:shd w:val="clear" w:color="auto" w:fill="auto"/>
            <w:vAlign w:val="center"/>
            <w:hideMark/>
          </w:tcPr>
          <w:p w14:paraId="70B8CF63" w14:textId="77777777" w:rsidR="004B7E7D" w:rsidRDefault="004B7E7D" w:rsidP="004528C1">
            <w:pPr>
              <w:jc w:val="right"/>
              <w:rPr>
                <w:rFonts w:ascii="Arial Narrow" w:hAnsi="Arial Narrow" w:cs="Calibri"/>
                <w:color w:val="000000"/>
                <w:sz w:val="16"/>
                <w:szCs w:val="16"/>
              </w:rPr>
            </w:pPr>
            <w:r>
              <w:rPr>
                <w:rFonts w:ascii="Arial Narrow" w:hAnsi="Arial Narrow" w:cs="Arial"/>
                <w:color w:val="000000"/>
                <w:sz w:val="16"/>
                <w:szCs w:val="16"/>
              </w:rPr>
              <w:t>1.061</w:t>
            </w:r>
          </w:p>
        </w:tc>
        <w:tc>
          <w:tcPr>
            <w:tcW w:w="567" w:type="dxa"/>
            <w:tcBorders>
              <w:top w:val="single" w:sz="4" w:space="0" w:color="auto"/>
              <w:left w:val="nil"/>
              <w:bottom w:val="single" w:sz="2" w:space="0" w:color="auto"/>
              <w:right w:val="nil"/>
            </w:tcBorders>
            <w:shd w:val="clear" w:color="auto" w:fill="auto"/>
            <w:vAlign w:val="center"/>
            <w:hideMark/>
          </w:tcPr>
          <w:p w14:paraId="7CF90A36" w14:textId="77777777" w:rsidR="004B7E7D" w:rsidRDefault="004B7E7D" w:rsidP="004528C1">
            <w:pPr>
              <w:jc w:val="right"/>
              <w:rPr>
                <w:rFonts w:ascii="Arial Narrow" w:hAnsi="Arial Narrow" w:cs="Calibri"/>
                <w:color w:val="000000"/>
                <w:sz w:val="16"/>
                <w:szCs w:val="16"/>
              </w:rPr>
            </w:pPr>
            <w:r>
              <w:rPr>
                <w:rFonts w:ascii="Arial Narrow" w:hAnsi="Arial Narrow" w:cs="Arial"/>
                <w:color w:val="000000"/>
                <w:sz w:val="16"/>
                <w:szCs w:val="16"/>
              </w:rPr>
              <w:t>1.115</w:t>
            </w:r>
          </w:p>
        </w:tc>
        <w:tc>
          <w:tcPr>
            <w:tcW w:w="567" w:type="dxa"/>
            <w:tcBorders>
              <w:top w:val="single" w:sz="4" w:space="0" w:color="auto"/>
              <w:left w:val="nil"/>
              <w:bottom w:val="single" w:sz="2" w:space="0" w:color="auto"/>
              <w:right w:val="nil"/>
            </w:tcBorders>
            <w:shd w:val="clear" w:color="auto" w:fill="auto"/>
            <w:vAlign w:val="center"/>
            <w:hideMark/>
          </w:tcPr>
          <w:p w14:paraId="7909C68E" w14:textId="77777777" w:rsidR="004B7E7D" w:rsidRDefault="004B7E7D" w:rsidP="004528C1">
            <w:pPr>
              <w:jc w:val="right"/>
              <w:rPr>
                <w:rFonts w:ascii="Arial Narrow" w:hAnsi="Arial Narrow" w:cs="Calibri"/>
                <w:color w:val="000000"/>
                <w:sz w:val="16"/>
                <w:szCs w:val="16"/>
              </w:rPr>
            </w:pPr>
            <w:r>
              <w:rPr>
                <w:rFonts w:ascii="Arial Narrow" w:hAnsi="Arial Narrow" w:cs="Arial"/>
                <w:color w:val="000000"/>
                <w:sz w:val="16"/>
                <w:szCs w:val="16"/>
              </w:rPr>
              <w:t>1.106</w:t>
            </w:r>
          </w:p>
        </w:tc>
        <w:tc>
          <w:tcPr>
            <w:tcW w:w="567" w:type="dxa"/>
            <w:tcBorders>
              <w:top w:val="single" w:sz="4" w:space="0" w:color="auto"/>
              <w:left w:val="nil"/>
              <w:bottom w:val="single" w:sz="2" w:space="0" w:color="auto"/>
              <w:right w:val="nil"/>
            </w:tcBorders>
            <w:shd w:val="clear" w:color="auto" w:fill="auto"/>
            <w:vAlign w:val="center"/>
            <w:hideMark/>
          </w:tcPr>
          <w:p w14:paraId="0713290E" w14:textId="77777777" w:rsidR="004B7E7D" w:rsidRDefault="004B7E7D" w:rsidP="004528C1">
            <w:pPr>
              <w:jc w:val="right"/>
              <w:rPr>
                <w:rFonts w:ascii="Arial Narrow" w:hAnsi="Arial Narrow" w:cs="Calibri"/>
                <w:color w:val="000000"/>
                <w:sz w:val="16"/>
                <w:szCs w:val="16"/>
              </w:rPr>
            </w:pPr>
            <w:r>
              <w:rPr>
                <w:rFonts w:ascii="Arial Narrow" w:hAnsi="Arial Narrow" w:cs="Arial"/>
                <w:color w:val="000000"/>
                <w:sz w:val="16"/>
                <w:szCs w:val="16"/>
              </w:rPr>
              <w:t>1.106</w:t>
            </w:r>
          </w:p>
        </w:tc>
        <w:tc>
          <w:tcPr>
            <w:tcW w:w="567" w:type="dxa"/>
            <w:tcBorders>
              <w:top w:val="single" w:sz="4" w:space="0" w:color="auto"/>
              <w:left w:val="nil"/>
              <w:bottom w:val="single" w:sz="2" w:space="0" w:color="auto"/>
              <w:right w:val="nil"/>
            </w:tcBorders>
            <w:shd w:val="clear" w:color="auto" w:fill="auto"/>
            <w:vAlign w:val="center"/>
            <w:hideMark/>
          </w:tcPr>
          <w:p w14:paraId="051AAE1E" w14:textId="77777777" w:rsidR="004B7E7D" w:rsidRDefault="004B7E7D" w:rsidP="004528C1">
            <w:pPr>
              <w:jc w:val="right"/>
              <w:rPr>
                <w:rFonts w:ascii="Arial Narrow" w:hAnsi="Arial Narrow" w:cs="Calibri"/>
                <w:color w:val="000000"/>
                <w:sz w:val="16"/>
                <w:szCs w:val="16"/>
              </w:rPr>
            </w:pPr>
            <w:r>
              <w:rPr>
                <w:rFonts w:ascii="Arial Narrow" w:hAnsi="Arial Narrow" w:cs="Calibri"/>
                <w:color w:val="000000"/>
                <w:sz w:val="16"/>
                <w:szCs w:val="16"/>
              </w:rPr>
              <w:t>1.241</w:t>
            </w:r>
          </w:p>
        </w:tc>
        <w:tc>
          <w:tcPr>
            <w:tcW w:w="567" w:type="dxa"/>
            <w:tcBorders>
              <w:top w:val="single" w:sz="4" w:space="0" w:color="auto"/>
              <w:left w:val="nil"/>
              <w:bottom w:val="single" w:sz="2" w:space="0" w:color="auto"/>
              <w:right w:val="nil"/>
            </w:tcBorders>
            <w:shd w:val="clear" w:color="auto" w:fill="auto"/>
            <w:vAlign w:val="center"/>
            <w:hideMark/>
          </w:tcPr>
          <w:p w14:paraId="6B9678EE" w14:textId="77777777" w:rsidR="004B7E7D" w:rsidRDefault="004B7E7D" w:rsidP="004528C1">
            <w:pPr>
              <w:jc w:val="right"/>
              <w:rPr>
                <w:rFonts w:ascii="Arial Narrow" w:hAnsi="Arial Narrow" w:cs="Calibri"/>
                <w:color w:val="000000"/>
                <w:sz w:val="16"/>
                <w:szCs w:val="16"/>
              </w:rPr>
            </w:pPr>
            <w:r>
              <w:rPr>
                <w:rFonts w:ascii="Arial Narrow" w:hAnsi="Arial Narrow" w:cs="Arial"/>
                <w:color w:val="000000"/>
                <w:sz w:val="16"/>
                <w:szCs w:val="16"/>
              </w:rPr>
              <w:t>1.284</w:t>
            </w:r>
          </w:p>
        </w:tc>
        <w:tc>
          <w:tcPr>
            <w:tcW w:w="567" w:type="dxa"/>
            <w:tcBorders>
              <w:top w:val="single" w:sz="4" w:space="0" w:color="auto"/>
              <w:left w:val="nil"/>
              <w:bottom w:val="single" w:sz="2" w:space="0" w:color="auto"/>
              <w:right w:val="nil"/>
            </w:tcBorders>
            <w:shd w:val="clear" w:color="auto" w:fill="auto"/>
            <w:vAlign w:val="center"/>
            <w:hideMark/>
          </w:tcPr>
          <w:p w14:paraId="06AA3FF8" w14:textId="77777777" w:rsidR="004B7E7D" w:rsidRDefault="004B7E7D" w:rsidP="004528C1">
            <w:pPr>
              <w:jc w:val="right"/>
              <w:rPr>
                <w:rFonts w:ascii="Arial Narrow" w:hAnsi="Arial Narrow" w:cs="Calibri"/>
                <w:color w:val="000000"/>
                <w:sz w:val="16"/>
                <w:szCs w:val="16"/>
              </w:rPr>
            </w:pPr>
            <w:r>
              <w:rPr>
                <w:rFonts w:ascii="Arial Narrow" w:hAnsi="Arial Narrow" w:cs="Arial"/>
                <w:color w:val="000000"/>
                <w:sz w:val="16"/>
                <w:szCs w:val="16"/>
              </w:rPr>
              <w:t>1.361</w:t>
            </w:r>
          </w:p>
        </w:tc>
        <w:tc>
          <w:tcPr>
            <w:tcW w:w="567" w:type="dxa"/>
            <w:tcBorders>
              <w:top w:val="single" w:sz="4" w:space="0" w:color="auto"/>
              <w:left w:val="nil"/>
              <w:bottom w:val="single" w:sz="2" w:space="0" w:color="auto"/>
              <w:right w:val="nil"/>
            </w:tcBorders>
            <w:shd w:val="clear" w:color="auto" w:fill="auto"/>
            <w:vAlign w:val="center"/>
            <w:hideMark/>
          </w:tcPr>
          <w:p w14:paraId="4C64CA29" w14:textId="77777777" w:rsidR="004B7E7D" w:rsidRDefault="004B7E7D" w:rsidP="004528C1">
            <w:pPr>
              <w:jc w:val="right"/>
              <w:rPr>
                <w:rFonts w:ascii="Arial Narrow" w:hAnsi="Arial Narrow" w:cs="Calibri"/>
                <w:color w:val="000000"/>
                <w:sz w:val="16"/>
                <w:szCs w:val="16"/>
              </w:rPr>
            </w:pPr>
            <w:r>
              <w:rPr>
                <w:rFonts w:ascii="Arial Narrow" w:hAnsi="Arial Narrow" w:cs="Arial"/>
                <w:color w:val="000000"/>
                <w:sz w:val="16"/>
                <w:szCs w:val="16"/>
              </w:rPr>
              <w:t>1.496</w:t>
            </w:r>
          </w:p>
        </w:tc>
        <w:tc>
          <w:tcPr>
            <w:tcW w:w="567" w:type="dxa"/>
            <w:tcBorders>
              <w:top w:val="single" w:sz="4" w:space="0" w:color="auto"/>
              <w:left w:val="nil"/>
              <w:bottom w:val="single" w:sz="2" w:space="0" w:color="auto"/>
              <w:right w:val="nil"/>
            </w:tcBorders>
            <w:shd w:val="clear" w:color="auto" w:fill="auto"/>
            <w:vAlign w:val="center"/>
            <w:hideMark/>
          </w:tcPr>
          <w:p w14:paraId="51AC6228" w14:textId="77777777" w:rsidR="004B7E7D" w:rsidRDefault="004B7E7D" w:rsidP="004528C1">
            <w:pPr>
              <w:jc w:val="right"/>
              <w:rPr>
                <w:rFonts w:ascii="Arial Narrow" w:hAnsi="Arial Narrow" w:cs="Calibri"/>
                <w:color w:val="000000"/>
                <w:sz w:val="16"/>
                <w:szCs w:val="16"/>
              </w:rPr>
            </w:pPr>
            <w:r>
              <w:rPr>
                <w:rFonts w:ascii="Arial Narrow" w:hAnsi="Arial Narrow" w:cs="Arial"/>
                <w:color w:val="000000"/>
                <w:sz w:val="16"/>
                <w:szCs w:val="16"/>
              </w:rPr>
              <w:t>1.604</w:t>
            </w:r>
          </w:p>
        </w:tc>
        <w:tc>
          <w:tcPr>
            <w:tcW w:w="1843" w:type="dxa"/>
            <w:tcBorders>
              <w:top w:val="single" w:sz="4" w:space="0" w:color="auto"/>
              <w:left w:val="nil"/>
              <w:bottom w:val="single" w:sz="2" w:space="0" w:color="auto"/>
              <w:right w:val="nil"/>
            </w:tcBorders>
            <w:shd w:val="clear" w:color="auto" w:fill="auto"/>
            <w:vAlign w:val="center"/>
            <w:hideMark/>
          </w:tcPr>
          <w:p w14:paraId="5D3E7B83" w14:textId="77777777" w:rsidR="004B7E7D" w:rsidRDefault="004B7E7D" w:rsidP="004528C1">
            <w:pPr>
              <w:jc w:val="right"/>
              <w:rPr>
                <w:rFonts w:ascii="Arial Narrow" w:hAnsi="Arial Narrow" w:cs="Calibri"/>
                <w:color w:val="000000"/>
                <w:sz w:val="16"/>
                <w:szCs w:val="16"/>
              </w:rPr>
            </w:pPr>
            <w:r>
              <w:rPr>
                <w:rFonts w:ascii="Arial Narrow" w:hAnsi="Arial Narrow" w:cs="Calibri"/>
                <w:color w:val="000000"/>
                <w:sz w:val="16"/>
                <w:szCs w:val="16"/>
              </w:rPr>
              <w:t>51%</w:t>
            </w:r>
          </w:p>
        </w:tc>
      </w:tr>
      <w:tr w:rsidR="004B7E7D" w14:paraId="66CD42A9" w14:textId="77777777" w:rsidTr="00B81AF3">
        <w:trPr>
          <w:trHeight w:val="198"/>
        </w:trPr>
        <w:tc>
          <w:tcPr>
            <w:tcW w:w="1507" w:type="dxa"/>
            <w:tcBorders>
              <w:top w:val="single" w:sz="2" w:space="0" w:color="auto"/>
              <w:left w:val="nil"/>
              <w:bottom w:val="single" w:sz="4" w:space="0" w:color="auto"/>
              <w:right w:val="nil"/>
            </w:tcBorders>
            <w:shd w:val="clear" w:color="auto" w:fill="auto"/>
            <w:noWrap/>
            <w:vAlign w:val="center"/>
            <w:hideMark/>
          </w:tcPr>
          <w:p w14:paraId="63BBF31F" w14:textId="77777777" w:rsidR="004B7E7D" w:rsidRDefault="004B7E7D" w:rsidP="00B243AE">
            <w:pPr>
              <w:rPr>
                <w:rFonts w:ascii="Arial Narrow" w:hAnsi="Arial Narrow" w:cs="Calibri"/>
                <w:color w:val="000000"/>
                <w:sz w:val="18"/>
                <w:szCs w:val="18"/>
              </w:rPr>
            </w:pPr>
            <w:r>
              <w:rPr>
                <w:rFonts w:ascii="Arial Narrow" w:hAnsi="Arial Narrow" w:cs="Arial"/>
                <w:color w:val="000000"/>
                <w:sz w:val="18"/>
                <w:szCs w:val="18"/>
              </w:rPr>
              <w:t>Nº de sociedades</w:t>
            </w:r>
          </w:p>
        </w:tc>
        <w:tc>
          <w:tcPr>
            <w:tcW w:w="903" w:type="dxa"/>
            <w:tcBorders>
              <w:top w:val="single" w:sz="2" w:space="0" w:color="auto"/>
              <w:left w:val="nil"/>
              <w:bottom w:val="single" w:sz="4" w:space="0" w:color="auto"/>
              <w:right w:val="nil"/>
            </w:tcBorders>
            <w:shd w:val="clear" w:color="auto" w:fill="auto"/>
            <w:vAlign w:val="center"/>
            <w:hideMark/>
          </w:tcPr>
          <w:p w14:paraId="3C6AE832" w14:textId="77777777" w:rsidR="004B7E7D" w:rsidRDefault="004B7E7D" w:rsidP="004528C1">
            <w:pPr>
              <w:jc w:val="right"/>
              <w:rPr>
                <w:rFonts w:ascii="Arial Narrow" w:hAnsi="Arial Narrow" w:cs="Calibri"/>
                <w:color w:val="000000"/>
                <w:sz w:val="16"/>
                <w:szCs w:val="16"/>
              </w:rPr>
            </w:pPr>
            <w:r>
              <w:rPr>
                <w:rFonts w:ascii="Arial Narrow" w:hAnsi="Arial Narrow" w:cs="Arial"/>
                <w:color w:val="000000"/>
                <w:sz w:val="16"/>
                <w:szCs w:val="16"/>
              </w:rPr>
              <w:t>16</w:t>
            </w:r>
          </w:p>
        </w:tc>
        <w:tc>
          <w:tcPr>
            <w:tcW w:w="567" w:type="dxa"/>
            <w:tcBorders>
              <w:top w:val="single" w:sz="2" w:space="0" w:color="auto"/>
              <w:left w:val="nil"/>
              <w:bottom w:val="single" w:sz="4" w:space="0" w:color="auto"/>
              <w:right w:val="nil"/>
            </w:tcBorders>
            <w:shd w:val="clear" w:color="auto" w:fill="auto"/>
            <w:vAlign w:val="center"/>
            <w:hideMark/>
          </w:tcPr>
          <w:p w14:paraId="6C5A8A46" w14:textId="77777777" w:rsidR="004B7E7D" w:rsidRPr="004B7E7D" w:rsidRDefault="004B7E7D" w:rsidP="004528C1">
            <w:pPr>
              <w:jc w:val="right"/>
              <w:rPr>
                <w:rFonts w:ascii="Arial Narrow" w:hAnsi="Arial Narrow" w:cs="Calibri"/>
                <w:sz w:val="16"/>
                <w:szCs w:val="16"/>
              </w:rPr>
            </w:pPr>
            <w:r w:rsidRPr="004B7E7D">
              <w:rPr>
                <w:rFonts w:ascii="Arial Narrow" w:hAnsi="Arial Narrow" w:cs="Arial"/>
                <w:sz w:val="16"/>
                <w:szCs w:val="16"/>
              </w:rPr>
              <w:t>17</w:t>
            </w:r>
            <w:r>
              <w:rPr>
                <w:rStyle w:val="Refdenotaalpie"/>
                <w:rFonts w:ascii="Arial Narrow" w:hAnsi="Arial Narrow" w:cs="Arial"/>
                <w:sz w:val="16"/>
                <w:szCs w:val="16"/>
              </w:rPr>
              <w:footnoteReference w:id="37"/>
            </w:r>
          </w:p>
        </w:tc>
        <w:tc>
          <w:tcPr>
            <w:tcW w:w="567" w:type="dxa"/>
            <w:tcBorders>
              <w:top w:val="single" w:sz="2" w:space="0" w:color="auto"/>
              <w:left w:val="nil"/>
              <w:bottom w:val="single" w:sz="4" w:space="0" w:color="auto"/>
              <w:right w:val="nil"/>
            </w:tcBorders>
            <w:shd w:val="clear" w:color="auto" w:fill="auto"/>
            <w:vAlign w:val="center"/>
            <w:hideMark/>
          </w:tcPr>
          <w:p w14:paraId="68777D8A" w14:textId="77777777" w:rsidR="004B7E7D" w:rsidRPr="004B7E7D" w:rsidRDefault="004B7E7D" w:rsidP="004528C1">
            <w:pPr>
              <w:jc w:val="right"/>
              <w:rPr>
                <w:rFonts w:ascii="Arial Narrow" w:hAnsi="Arial Narrow" w:cs="Calibri"/>
                <w:sz w:val="16"/>
                <w:szCs w:val="16"/>
              </w:rPr>
            </w:pPr>
            <w:r w:rsidRPr="004B7E7D">
              <w:rPr>
                <w:rFonts w:ascii="Arial Narrow" w:hAnsi="Arial Narrow" w:cs="Arial"/>
                <w:sz w:val="16"/>
                <w:szCs w:val="16"/>
              </w:rPr>
              <w:t>17</w:t>
            </w:r>
          </w:p>
        </w:tc>
        <w:tc>
          <w:tcPr>
            <w:tcW w:w="567" w:type="dxa"/>
            <w:tcBorders>
              <w:top w:val="single" w:sz="2" w:space="0" w:color="auto"/>
              <w:left w:val="nil"/>
              <w:bottom w:val="single" w:sz="4" w:space="0" w:color="auto"/>
              <w:right w:val="nil"/>
            </w:tcBorders>
            <w:shd w:val="clear" w:color="auto" w:fill="auto"/>
            <w:vAlign w:val="center"/>
            <w:hideMark/>
          </w:tcPr>
          <w:p w14:paraId="4B17F65E" w14:textId="77777777" w:rsidR="004B7E7D" w:rsidRPr="004B7E7D" w:rsidRDefault="004B7E7D" w:rsidP="004528C1">
            <w:pPr>
              <w:jc w:val="right"/>
              <w:rPr>
                <w:rFonts w:ascii="Arial Narrow" w:hAnsi="Arial Narrow" w:cs="Calibri"/>
                <w:sz w:val="16"/>
                <w:szCs w:val="16"/>
              </w:rPr>
            </w:pPr>
            <w:r w:rsidRPr="004B7E7D">
              <w:rPr>
                <w:rFonts w:ascii="Arial Narrow" w:hAnsi="Arial Narrow" w:cs="Arial"/>
                <w:sz w:val="16"/>
                <w:szCs w:val="16"/>
              </w:rPr>
              <w:t>17</w:t>
            </w:r>
          </w:p>
        </w:tc>
        <w:tc>
          <w:tcPr>
            <w:tcW w:w="567" w:type="dxa"/>
            <w:tcBorders>
              <w:top w:val="single" w:sz="2" w:space="0" w:color="auto"/>
              <w:left w:val="nil"/>
              <w:bottom w:val="single" w:sz="4" w:space="0" w:color="auto"/>
              <w:right w:val="nil"/>
            </w:tcBorders>
            <w:shd w:val="clear" w:color="auto" w:fill="auto"/>
            <w:vAlign w:val="center"/>
            <w:hideMark/>
          </w:tcPr>
          <w:p w14:paraId="715348D1" w14:textId="77777777" w:rsidR="004B7E7D" w:rsidRPr="004B7E7D" w:rsidRDefault="004B7E7D" w:rsidP="004528C1">
            <w:pPr>
              <w:jc w:val="right"/>
              <w:rPr>
                <w:rFonts w:ascii="Arial Narrow" w:hAnsi="Arial Narrow" w:cs="Calibri"/>
                <w:sz w:val="16"/>
                <w:szCs w:val="16"/>
              </w:rPr>
            </w:pPr>
            <w:r w:rsidRPr="004B7E7D">
              <w:rPr>
                <w:rFonts w:ascii="Arial Narrow" w:hAnsi="Arial Narrow" w:cs="Calibri"/>
                <w:sz w:val="16"/>
                <w:szCs w:val="16"/>
              </w:rPr>
              <w:t>16</w:t>
            </w:r>
            <w:r>
              <w:rPr>
                <w:rStyle w:val="Refdenotaalpie"/>
                <w:rFonts w:ascii="Arial Narrow" w:hAnsi="Arial Narrow" w:cs="Calibri"/>
                <w:sz w:val="16"/>
                <w:szCs w:val="16"/>
              </w:rPr>
              <w:footnoteReference w:id="38"/>
            </w:r>
          </w:p>
        </w:tc>
        <w:tc>
          <w:tcPr>
            <w:tcW w:w="567" w:type="dxa"/>
            <w:tcBorders>
              <w:top w:val="single" w:sz="2" w:space="0" w:color="auto"/>
              <w:left w:val="nil"/>
              <w:bottom w:val="single" w:sz="4" w:space="0" w:color="auto"/>
              <w:right w:val="nil"/>
            </w:tcBorders>
            <w:shd w:val="clear" w:color="auto" w:fill="auto"/>
            <w:vAlign w:val="center"/>
            <w:hideMark/>
          </w:tcPr>
          <w:p w14:paraId="231D5D82" w14:textId="77777777" w:rsidR="004B7E7D" w:rsidRDefault="004B7E7D" w:rsidP="004528C1">
            <w:pPr>
              <w:jc w:val="right"/>
              <w:rPr>
                <w:rFonts w:ascii="Arial Narrow" w:hAnsi="Arial Narrow" w:cs="Calibri"/>
                <w:color w:val="000000"/>
                <w:sz w:val="16"/>
                <w:szCs w:val="16"/>
              </w:rPr>
            </w:pPr>
            <w:r>
              <w:rPr>
                <w:rFonts w:ascii="Arial Narrow" w:hAnsi="Arial Narrow" w:cs="Arial"/>
                <w:color w:val="000000"/>
                <w:sz w:val="16"/>
                <w:szCs w:val="16"/>
              </w:rPr>
              <w:t>16</w:t>
            </w:r>
          </w:p>
        </w:tc>
        <w:tc>
          <w:tcPr>
            <w:tcW w:w="567" w:type="dxa"/>
            <w:tcBorders>
              <w:top w:val="single" w:sz="2" w:space="0" w:color="auto"/>
              <w:left w:val="nil"/>
              <w:bottom w:val="single" w:sz="4" w:space="0" w:color="auto"/>
              <w:right w:val="nil"/>
            </w:tcBorders>
            <w:shd w:val="clear" w:color="auto" w:fill="auto"/>
            <w:vAlign w:val="center"/>
            <w:hideMark/>
          </w:tcPr>
          <w:p w14:paraId="38990723" w14:textId="77777777" w:rsidR="004B7E7D" w:rsidRDefault="004B7E7D" w:rsidP="004528C1">
            <w:pPr>
              <w:jc w:val="right"/>
              <w:rPr>
                <w:rFonts w:ascii="Arial Narrow" w:hAnsi="Arial Narrow" w:cs="Calibri"/>
                <w:color w:val="000000"/>
                <w:sz w:val="16"/>
                <w:szCs w:val="16"/>
              </w:rPr>
            </w:pPr>
            <w:r>
              <w:rPr>
                <w:rFonts w:ascii="Arial Narrow" w:hAnsi="Arial Narrow" w:cs="Arial"/>
                <w:color w:val="000000"/>
                <w:sz w:val="16"/>
                <w:szCs w:val="16"/>
              </w:rPr>
              <w:t>16</w:t>
            </w:r>
          </w:p>
        </w:tc>
        <w:tc>
          <w:tcPr>
            <w:tcW w:w="567" w:type="dxa"/>
            <w:tcBorders>
              <w:top w:val="single" w:sz="2" w:space="0" w:color="auto"/>
              <w:left w:val="nil"/>
              <w:bottom w:val="single" w:sz="4" w:space="0" w:color="auto"/>
              <w:right w:val="nil"/>
            </w:tcBorders>
            <w:shd w:val="clear" w:color="auto" w:fill="auto"/>
            <w:vAlign w:val="center"/>
            <w:hideMark/>
          </w:tcPr>
          <w:p w14:paraId="61B3AB6B" w14:textId="77777777" w:rsidR="004B7E7D" w:rsidRDefault="004B7E7D" w:rsidP="004528C1">
            <w:pPr>
              <w:jc w:val="right"/>
              <w:rPr>
                <w:rFonts w:ascii="Arial Narrow" w:hAnsi="Arial Narrow" w:cs="Calibri"/>
                <w:color w:val="000000"/>
                <w:sz w:val="16"/>
                <w:szCs w:val="16"/>
              </w:rPr>
            </w:pPr>
            <w:r>
              <w:rPr>
                <w:rFonts w:ascii="Arial Narrow" w:hAnsi="Arial Narrow" w:cs="Arial"/>
                <w:color w:val="000000"/>
                <w:sz w:val="16"/>
                <w:szCs w:val="16"/>
              </w:rPr>
              <w:t>17</w:t>
            </w:r>
          </w:p>
        </w:tc>
        <w:tc>
          <w:tcPr>
            <w:tcW w:w="567" w:type="dxa"/>
            <w:tcBorders>
              <w:top w:val="single" w:sz="2" w:space="0" w:color="auto"/>
              <w:left w:val="nil"/>
              <w:bottom w:val="single" w:sz="4" w:space="0" w:color="auto"/>
              <w:right w:val="nil"/>
            </w:tcBorders>
            <w:shd w:val="clear" w:color="auto" w:fill="auto"/>
            <w:vAlign w:val="center"/>
            <w:hideMark/>
          </w:tcPr>
          <w:p w14:paraId="44C422AE" w14:textId="77777777" w:rsidR="004B7E7D" w:rsidRDefault="004B7E7D" w:rsidP="004528C1">
            <w:pPr>
              <w:jc w:val="right"/>
              <w:rPr>
                <w:rFonts w:ascii="Arial Narrow" w:hAnsi="Arial Narrow" w:cs="Calibri"/>
                <w:color w:val="000000"/>
                <w:sz w:val="16"/>
                <w:szCs w:val="16"/>
              </w:rPr>
            </w:pPr>
            <w:r>
              <w:rPr>
                <w:rFonts w:ascii="Arial Narrow" w:hAnsi="Arial Narrow" w:cs="Arial"/>
                <w:color w:val="000000"/>
                <w:sz w:val="16"/>
                <w:szCs w:val="16"/>
              </w:rPr>
              <w:t>1</w:t>
            </w:r>
            <w:r w:rsidR="00510C61">
              <w:rPr>
                <w:rFonts w:ascii="Arial Narrow" w:hAnsi="Arial Narrow" w:cs="Arial"/>
                <w:color w:val="000000"/>
                <w:sz w:val="16"/>
                <w:szCs w:val="16"/>
              </w:rPr>
              <w:t>9</w:t>
            </w:r>
          </w:p>
        </w:tc>
        <w:tc>
          <w:tcPr>
            <w:tcW w:w="1843" w:type="dxa"/>
            <w:tcBorders>
              <w:top w:val="single" w:sz="2" w:space="0" w:color="auto"/>
              <w:left w:val="nil"/>
              <w:bottom w:val="single" w:sz="4" w:space="0" w:color="auto"/>
              <w:right w:val="nil"/>
            </w:tcBorders>
            <w:shd w:val="clear" w:color="auto" w:fill="auto"/>
            <w:vAlign w:val="center"/>
            <w:hideMark/>
          </w:tcPr>
          <w:p w14:paraId="33733BE3" w14:textId="77777777" w:rsidR="004B7E7D" w:rsidRDefault="004B7E7D" w:rsidP="004528C1">
            <w:pPr>
              <w:jc w:val="right"/>
              <w:rPr>
                <w:rFonts w:ascii="Arial Narrow" w:hAnsi="Arial Narrow" w:cs="Calibri"/>
                <w:color w:val="000000"/>
                <w:sz w:val="16"/>
                <w:szCs w:val="16"/>
              </w:rPr>
            </w:pPr>
            <w:r>
              <w:rPr>
                <w:rFonts w:ascii="Arial Narrow" w:hAnsi="Arial Narrow" w:cs="Calibri"/>
                <w:color w:val="000000"/>
                <w:sz w:val="16"/>
                <w:szCs w:val="16"/>
              </w:rPr>
              <w:t>1</w:t>
            </w:r>
            <w:r w:rsidR="00510C61">
              <w:rPr>
                <w:rFonts w:ascii="Arial Narrow" w:hAnsi="Arial Narrow" w:cs="Calibri"/>
                <w:color w:val="000000"/>
                <w:sz w:val="16"/>
                <w:szCs w:val="16"/>
              </w:rPr>
              <w:t>9</w:t>
            </w:r>
            <w:r>
              <w:rPr>
                <w:rFonts w:ascii="Arial Narrow" w:hAnsi="Arial Narrow" w:cs="Calibri"/>
                <w:color w:val="000000"/>
                <w:sz w:val="16"/>
                <w:szCs w:val="16"/>
              </w:rPr>
              <w:t>%</w:t>
            </w:r>
          </w:p>
        </w:tc>
      </w:tr>
    </w:tbl>
    <w:p w14:paraId="6B834D5F" w14:textId="77777777" w:rsidR="004B7E7D" w:rsidRDefault="004B7E7D" w:rsidP="003E397E">
      <w:pPr>
        <w:pStyle w:val="texto"/>
        <w:tabs>
          <w:tab w:val="left" w:pos="480"/>
          <w:tab w:val="num" w:pos="600"/>
        </w:tabs>
        <w:spacing w:before="120" w:after="120"/>
        <w:jc w:val="both"/>
        <w:rPr>
          <w:rFonts w:cs="Arial"/>
        </w:rPr>
      </w:pPr>
      <w:r>
        <w:rPr>
          <w:rFonts w:cs="Arial"/>
        </w:rPr>
        <w:t xml:space="preserve">Se observa que en el periodo </w:t>
      </w:r>
      <w:r w:rsidR="00783470">
        <w:rPr>
          <w:rFonts w:cs="Arial"/>
        </w:rPr>
        <w:t>2015-2023, el número medio de empleados ha aumentado un 51 por ciento y el número de sociedades un 1</w:t>
      </w:r>
      <w:r w:rsidR="00510C61">
        <w:rPr>
          <w:rFonts w:cs="Arial"/>
        </w:rPr>
        <w:t>9</w:t>
      </w:r>
      <w:r w:rsidR="00783470">
        <w:rPr>
          <w:rFonts w:cs="Arial"/>
        </w:rPr>
        <w:t xml:space="preserve"> por ciento. No obstante, sobre estos datos, </w:t>
      </w:r>
      <w:r w:rsidR="00510C61">
        <w:rPr>
          <w:rFonts w:cs="Arial"/>
        </w:rPr>
        <w:t xml:space="preserve">advertimos </w:t>
      </w:r>
      <w:r w:rsidR="00783470">
        <w:rPr>
          <w:rFonts w:cs="Arial"/>
        </w:rPr>
        <w:t>lo siguiente:</w:t>
      </w:r>
    </w:p>
    <w:p w14:paraId="273C18A5" w14:textId="77777777" w:rsidR="007705AC" w:rsidRPr="00E83DA6" w:rsidRDefault="008607E4" w:rsidP="008C2B8E">
      <w:pPr>
        <w:pStyle w:val="texto"/>
        <w:numPr>
          <w:ilvl w:val="0"/>
          <w:numId w:val="6"/>
        </w:numPr>
        <w:tabs>
          <w:tab w:val="clear" w:pos="360"/>
          <w:tab w:val="num" w:pos="300"/>
          <w:tab w:val="left" w:pos="480"/>
          <w:tab w:val="num" w:pos="600"/>
        </w:tabs>
        <w:spacing w:before="120"/>
        <w:ind w:firstLine="289"/>
        <w:jc w:val="both"/>
        <w:rPr>
          <w:rFonts w:cs="Arial"/>
        </w:rPr>
      </w:pPr>
      <w:r w:rsidRPr="00E83DA6">
        <w:rPr>
          <w:rFonts w:cs="Arial"/>
        </w:rPr>
        <w:t xml:space="preserve">La </w:t>
      </w:r>
      <w:r w:rsidR="000616EB" w:rsidRPr="00E83DA6">
        <w:rPr>
          <w:rFonts w:cs="Arial"/>
        </w:rPr>
        <w:t>sociedad pública</w:t>
      </w:r>
      <w:r w:rsidR="0057214E" w:rsidRPr="00E83DA6">
        <w:rPr>
          <w:rFonts w:cs="Arial"/>
        </w:rPr>
        <w:t xml:space="preserve"> INI </w:t>
      </w:r>
      <w:r w:rsidRPr="00E83DA6">
        <w:rPr>
          <w:rFonts w:cs="Arial"/>
        </w:rPr>
        <w:t xml:space="preserve">dispone </w:t>
      </w:r>
      <w:r w:rsidR="00515493" w:rsidRPr="00E83DA6">
        <w:rPr>
          <w:rFonts w:cs="Arial"/>
        </w:rPr>
        <w:t xml:space="preserve">únicamente </w:t>
      </w:r>
      <w:r w:rsidRPr="00E83DA6">
        <w:rPr>
          <w:rFonts w:cs="Arial"/>
        </w:rPr>
        <w:t xml:space="preserve">de </w:t>
      </w:r>
      <w:r w:rsidR="000616EB" w:rsidRPr="00E83DA6">
        <w:rPr>
          <w:rFonts w:cs="Arial"/>
        </w:rPr>
        <w:t xml:space="preserve">un gerente y un director de inversiones y </w:t>
      </w:r>
      <w:r w:rsidR="0057214E" w:rsidRPr="00E83DA6">
        <w:rPr>
          <w:rFonts w:cs="Arial"/>
        </w:rPr>
        <w:t xml:space="preserve">en </w:t>
      </w:r>
      <w:proofErr w:type="spellStart"/>
      <w:r w:rsidR="0057214E" w:rsidRPr="00E83DA6">
        <w:rPr>
          <w:rFonts w:cs="Arial"/>
        </w:rPr>
        <w:t>Nafarbide</w:t>
      </w:r>
      <w:proofErr w:type="spellEnd"/>
      <w:r w:rsidR="0057214E" w:rsidRPr="00E83DA6">
        <w:rPr>
          <w:rFonts w:cs="Arial"/>
        </w:rPr>
        <w:t xml:space="preserve"> </w:t>
      </w:r>
      <w:r w:rsidR="00783470" w:rsidRPr="00E83DA6">
        <w:rPr>
          <w:rFonts w:cs="Arial"/>
        </w:rPr>
        <w:t xml:space="preserve">un gerente y </w:t>
      </w:r>
      <w:r w:rsidRPr="00E83DA6">
        <w:rPr>
          <w:rFonts w:cs="Arial"/>
        </w:rPr>
        <w:t>un técnico. E</w:t>
      </w:r>
      <w:r w:rsidR="00783470" w:rsidRPr="00E83DA6">
        <w:rPr>
          <w:rFonts w:cs="Arial"/>
        </w:rPr>
        <w:t>s previsible que habrá que dotarla</w:t>
      </w:r>
      <w:r w:rsidR="00510C61" w:rsidRPr="00E83DA6">
        <w:rPr>
          <w:rFonts w:cs="Arial"/>
        </w:rPr>
        <w:t>s</w:t>
      </w:r>
      <w:r w:rsidR="00783470" w:rsidRPr="00E83DA6">
        <w:rPr>
          <w:rFonts w:cs="Arial"/>
        </w:rPr>
        <w:t xml:space="preserve"> con una plantilla de personal, lo que afectaría en ejercicios futuros al dat</w:t>
      </w:r>
      <w:r w:rsidRPr="00E83DA6">
        <w:rPr>
          <w:rFonts w:cs="Arial"/>
        </w:rPr>
        <w:t>o de personal.</w:t>
      </w:r>
    </w:p>
    <w:p w14:paraId="478A3168" w14:textId="77777777" w:rsidR="00510C61" w:rsidRPr="00E83DA6" w:rsidRDefault="00510C61" w:rsidP="008C2B8E">
      <w:pPr>
        <w:pStyle w:val="texto"/>
        <w:numPr>
          <w:ilvl w:val="0"/>
          <w:numId w:val="6"/>
        </w:numPr>
        <w:tabs>
          <w:tab w:val="clear" w:pos="360"/>
          <w:tab w:val="num" w:pos="300"/>
          <w:tab w:val="left" w:pos="480"/>
          <w:tab w:val="num" w:pos="600"/>
        </w:tabs>
        <w:spacing w:before="120"/>
        <w:ind w:firstLine="289"/>
        <w:jc w:val="both"/>
        <w:rPr>
          <w:rFonts w:cs="Arial"/>
        </w:rPr>
      </w:pPr>
      <w:r w:rsidRPr="00E83DA6">
        <w:rPr>
          <w:rFonts w:cs="Arial"/>
        </w:rPr>
        <w:t xml:space="preserve">En la sociedad pública </w:t>
      </w:r>
      <w:proofErr w:type="spellStart"/>
      <w:r w:rsidRPr="00E83DA6">
        <w:rPr>
          <w:rFonts w:cs="Arial"/>
        </w:rPr>
        <w:t>Bidean</w:t>
      </w:r>
      <w:proofErr w:type="spellEnd"/>
      <w:r w:rsidRPr="00E83DA6">
        <w:rPr>
          <w:rFonts w:cs="Arial"/>
        </w:rPr>
        <w:t xml:space="preserve">, </w:t>
      </w:r>
      <w:r w:rsidR="00C12E3B">
        <w:rPr>
          <w:rFonts w:cs="Arial"/>
        </w:rPr>
        <w:t xml:space="preserve">cuenta con </w:t>
      </w:r>
      <w:r w:rsidR="00E83DA6" w:rsidRPr="00E83DA6">
        <w:rPr>
          <w:rFonts w:cs="Arial"/>
        </w:rPr>
        <w:t xml:space="preserve">un gerente, </w:t>
      </w:r>
      <w:r w:rsidR="00C12E3B">
        <w:rPr>
          <w:rFonts w:cs="Arial"/>
        </w:rPr>
        <w:t xml:space="preserve">y </w:t>
      </w:r>
      <w:r w:rsidRPr="00E83DA6">
        <w:rPr>
          <w:rFonts w:cs="Arial"/>
        </w:rPr>
        <w:t xml:space="preserve">se </w:t>
      </w:r>
      <w:r w:rsidR="00E83DA6" w:rsidRPr="00E83DA6">
        <w:rPr>
          <w:rFonts w:cs="Arial"/>
        </w:rPr>
        <w:t>tiene previsto subrogar,</w:t>
      </w:r>
      <w:r w:rsidR="00C12E3B">
        <w:rPr>
          <w:rFonts w:cs="Arial"/>
        </w:rPr>
        <w:t xml:space="preserve"> tal y como consta más adelante</w:t>
      </w:r>
      <w:r w:rsidR="00E83DA6" w:rsidRPr="00E83DA6">
        <w:rPr>
          <w:rFonts w:cs="Arial"/>
        </w:rPr>
        <w:t xml:space="preserve"> </w:t>
      </w:r>
      <w:r w:rsidR="008607E4" w:rsidRPr="00E83DA6">
        <w:rPr>
          <w:rFonts w:cs="Arial"/>
        </w:rPr>
        <w:t>392</w:t>
      </w:r>
      <w:r w:rsidRPr="00E83DA6">
        <w:rPr>
          <w:rFonts w:cs="Arial"/>
        </w:rPr>
        <w:t xml:space="preserve"> trabajadores de las empresas que actualmente prestan el servicio mediante un contrato de</w:t>
      </w:r>
      <w:r w:rsidR="00C12E3B">
        <w:rPr>
          <w:rFonts w:cs="Arial"/>
        </w:rPr>
        <w:t xml:space="preserve"> servicios, </w:t>
      </w:r>
      <w:r w:rsidR="00F076CD" w:rsidRPr="00E83DA6">
        <w:rPr>
          <w:rFonts w:cs="Arial"/>
        </w:rPr>
        <w:t xml:space="preserve">lo que incrementará notablemente las cifras de personal. </w:t>
      </w:r>
    </w:p>
    <w:p w14:paraId="1B9636DA" w14:textId="77777777" w:rsidR="00614DC4" w:rsidRDefault="00614DC4" w:rsidP="009A38AE">
      <w:pPr>
        <w:pStyle w:val="texto"/>
        <w:spacing w:before="120" w:after="120"/>
        <w:jc w:val="both"/>
        <w:rPr>
          <w:rFonts w:ascii="Times New (W1)" w:hAnsi="Times New (W1)"/>
          <w:color w:val="000000" w:themeColor="text1"/>
        </w:rPr>
      </w:pPr>
      <w:r>
        <w:rPr>
          <w:rFonts w:ascii="Times New (W1)" w:hAnsi="Times New (W1)"/>
          <w:color w:val="000000" w:themeColor="text1"/>
        </w:rPr>
        <w:t>Los principales indicadores de 202</w:t>
      </w:r>
      <w:r w:rsidR="001D7C96">
        <w:rPr>
          <w:rFonts w:ascii="Times New (W1)" w:hAnsi="Times New (W1)"/>
          <w:color w:val="000000" w:themeColor="text1"/>
        </w:rPr>
        <w:t>3</w:t>
      </w:r>
      <w:r>
        <w:rPr>
          <w:rFonts w:ascii="Times New (W1)" w:hAnsi="Times New (W1)"/>
          <w:color w:val="000000" w:themeColor="text1"/>
        </w:rPr>
        <w:t xml:space="preserve"> del sector público empresarial de Navarra consolidado y su comparación con el ejercicio anterior son los siguientes:</w:t>
      </w:r>
    </w:p>
    <w:tbl>
      <w:tblPr>
        <w:tblW w:w="5028" w:type="pct"/>
        <w:jc w:val="center"/>
        <w:tblBorders>
          <w:top w:val="single" w:sz="4" w:space="0" w:color="auto"/>
          <w:bottom w:val="single" w:sz="4" w:space="0" w:color="auto"/>
        </w:tblBorders>
        <w:tblLook w:val="01E0" w:firstRow="1" w:lastRow="1" w:firstColumn="1" w:lastColumn="1" w:noHBand="0" w:noVBand="0"/>
      </w:tblPr>
      <w:tblGrid>
        <w:gridCol w:w="4154"/>
        <w:gridCol w:w="25"/>
        <w:gridCol w:w="1601"/>
        <w:gridCol w:w="34"/>
        <w:gridCol w:w="1483"/>
        <w:gridCol w:w="42"/>
        <w:gridCol w:w="1451"/>
        <w:gridCol w:w="48"/>
      </w:tblGrid>
      <w:tr w:rsidR="00614DC4" w:rsidRPr="00595492" w14:paraId="13FEAF23" w14:textId="77777777" w:rsidTr="00530961">
        <w:trPr>
          <w:trHeight w:val="198"/>
          <w:jc w:val="center"/>
        </w:trPr>
        <w:tc>
          <w:tcPr>
            <w:tcW w:w="5000" w:type="pct"/>
            <w:gridSpan w:val="8"/>
            <w:tcBorders>
              <w:top w:val="nil"/>
              <w:left w:val="nil"/>
              <w:bottom w:val="single" w:sz="4" w:space="0" w:color="auto"/>
              <w:right w:val="nil"/>
            </w:tcBorders>
            <w:vAlign w:val="center"/>
            <w:hideMark/>
          </w:tcPr>
          <w:p w14:paraId="6CC31B64" w14:textId="77777777" w:rsidR="00614DC4" w:rsidRPr="00595492" w:rsidRDefault="00614DC4">
            <w:pPr>
              <w:keepLines/>
              <w:tabs>
                <w:tab w:val="right" w:pos="2835"/>
                <w:tab w:val="right" w:pos="3969"/>
                <w:tab w:val="right" w:pos="5103"/>
                <w:tab w:val="right" w:pos="6237"/>
                <w:tab w:val="right" w:pos="7371"/>
              </w:tabs>
              <w:ind w:right="-110"/>
              <w:jc w:val="right"/>
              <w:rPr>
                <w:rFonts w:ascii="Arial Narrow" w:hAnsi="Arial Narrow" w:cs="Arial"/>
                <w:color w:val="000000" w:themeColor="text1"/>
                <w:spacing w:val="6"/>
                <w:sz w:val="17"/>
                <w:szCs w:val="17"/>
              </w:rPr>
            </w:pPr>
            <w:r w:rsidRPr="00595492">
              <w:rPr>
                <w:rFonts w:ascii="Arial Narrow" w:hAnsi="Arial Narrow" w:cs="Arial"/>
                <w:color w:val="000000" w:themeColor="text1"/>
                <w:spacing w:val="6"/>
                <w:sz w:val="17"/>
                <w:szCs w:val="17"/>
              </w:rPr>
              <w:t>(en miles)</w:t>
            </w:r>
          </w:p>
        </w:tc>
      </w:tr>
      <w:tr w:rsidR="00614DC4" w14:paraId="2CC1345F" w14:textId="77777777" w:rsidTr="00F54435">
        <w:trPr>
          <w:trHeight w:val="255"/>
          <w:jc w:val="center"/>
        </w:trPr>
        <w:tc>
          <w:tcPr>
            <w:tcW w:w="2364" w:type="pct"/>
            <w:gridSpan w:val="2"/>
            <w:tcBorders>
              <w:top w:val="single" w:sz="4" w:space="0" w:color="auto"/>
              <w:left w:val="nil"/>
              <w:bottom w:val="single" w:sz="4" w:space="0" w:color="auto"/>
              <w:right w:val="nil"/>
            </w:tcBorders>
            <w:shd w:val="clear" w:color="auto" w:fill="8DB3E2"/>
            <w:vAlign w:val="center"/>
            <w:hideMark/>
          </w:tcPr>
          <w:p w14:paraId="2C918318" w14:textId="77777777" w:rsidR="00614DC4" w:rsidRDefault="00614DC4" w:rsidP="00092EB2">
            <w:pPr>
              <w:pStyle w:val="cuadroCabe"/>
            </w:pPr>
            <w:r>
              <w:t>Indicadores Grupo CPEN consolidado</w:t>
            </w:r>
          </w:p>
        </w:tc>
        <w:tc>
          <w:tcPr>
            <w:tcW w:w="925" w:type="pct"/>
            <w:gridSpan w:val="2"/>
            <w:tcBorders>
              <w:top w:val="single" w:sz="4" w:space="0" w:color="auto"/>
              <w:left w:val="nil"/>
              <w:bottom w:val="single" w:sz="4" w:space="0" w:color="auto"/>
              <w:right w:val="nil"/>
            </w:tcBorders>
            <w:shd w:val="clear" w:color="auto" w:fill="8DB3E2"/>
            <w:vAlign w:val="center"/>
            <w:hideMark/>
          </w:tcPr>
          <w:p w14:paraId="655EFE17" w14:textId="77777777" w:rsidR="00614DC4" w:rsidRDefault="00614DC4" w:rsidP="00D12353">
            <w:pPr>
              <w:pStyle w:val="cuadroCabe"/>
              <w:jc w:val="right"/>
            </w:pPr>
            <w:r>
              <w:t>202</w:t>
            </w:r>
            <w:r w:rsidR="005C3208">
              <w:t>2</w:t>
            </w:r>
          </w:p>
        </w:tc>
        <w:tc>
          <w:tcPr>
            <w:tcW w:w="863" w:type="pct"/>
            <w:gridSpan w:val="2"/>
            <w:tcBorders>
              <w:top w:val="single" w:sz="4" w:space="0" w:color="auto"/>
              <w:left w:val="nil"/>
              <w:bottom w:val="single" w:sz="4" w:space="0" w:color="auto"/>
              <w:right w:val="nil"/>
            </w:tcBorders>
            <w:shd w:val="clear" w:color="auto" w:fill="8DB3E2"/>
            <w:vAlign w:val="center"/>
            <w:hideMark/>
          </w:tcPr>
          <w:p w14:paraId="0846B869" w14:textId="77777777" w:rsidR="00614DC4" w:rsidRDefault="00614DC4" w:rsidP="00D12353">
            <w:pPr>
              <w:pStyle w:val="cuadroCabe"/>
              <w:jc w:val="right"/>
            </w:pPr>
            <w:r>
              <w:t>202</w:t>
            </w:r>
            <w:r w:rsidR="005C3208">
              <w:t>3</w:t>
            </w:r>
          </w:p>
        </w:tc>
        <w:tc>
          <w:tcPr>
            <w:tcW w:w="848" w:type="pct"/>
            <w:gridSpan w:val="2"/>
            <w:tcBorders>
              <w:top w:val="single" w:sz="4" w:space="0" w:color="auto"/>
              <w:left w:val="nil"/>
              <w:bottom w:val="single" w:sz="4" w:space="0" w:color="auto"/>
              <w:right w:val="nil"/>
            </w:tcBorders>
            <w:shd w:val="clear" w:color="auto" w:fill="8DB3E2"/>
            <w:vAlign w:val="center"/>
            <w:hideMark/>
          </w:tcPr>
          <w:p w14:paraId="1C1D57E2" w14:textId="77777777" w:rsidR="00614DC4" w:rsidRDefault="00614DC4" w:rsidP="00D12353">
            <w:pPr>
              <w:pStyle w:val="cuadroCabe"/>
              <w:jc w:val="right"/>
            </w:pPr>
            <w:r>
              <w:t>% Variación 202</w:t>
            </w:r>
            <w:r w:rsidR="005C3208">
              <w:t>3</w:t>
            </w:r>
            <w:r>
              <w:t>/202</w:t>
            </w:r>
            <w:r w:rsidR="005C3208">
              <w:t>2</w:t>
            </w:r>
          </w:p>
        </w:tc>
      </w:tr>
      <w:tr w:rsidR="00FF7A4C" w:rsidRPr="009A38AE" w14:paraId="7312184A" w14:textId="77777777" w:rsidTr="00530961">
        <w:trPr>
          <w:gridAfter w:val="1"/>
          <w:wAfter w:w="27" w:type="pct"/>
          <w:trHeight w:val="198"/>
          <w:jc w:val="center"/>
        </w:trPr>
        <w:tc>
          <w:tcPr>
            <w:tcW w:w="2350" w:type="pct"/>
            <w:tcBorders>
              <w:top w:val="nil"/>
              <w:left w:val="nil"/>
              <w:bottom w:val="single" w:sz="2" w:space="0" w:color="auto"/>
              <w:right w:val="nil"/>
            </w:tcBorders>
            <w:vAlign w:val="center"/>
            <w:hideMark/>
          </w:tcPr>
          <w:p w14:paraId="0B02EDFE" w14:textId="77777777" w:rsidR="00FF7A4C" w:rsidRPr="009A38AE" w:rsidRDefault="00FF7A4C" w:rsidP="00092EB2">
            <w:pPr>
              <w:pStyle w:val="cuatexto"/>
            </w:pPr>
            <w:r w:rsidRPr="009A38AE">
              <w:t xml:space="preserve">Patrimonio neto </w:t>
            </w:r>
          </w:p>
        </w:tc>
        <w:tc>
          <w:tcPr>
            <w:tcW w:w="920" w:type="pct"/>
            <w:gridSpan w:val="2"/>
            <w:tcBorders>
              <w:top w:val="nil"/>
              <w:left w:val="nil"/>
              <w:bottom w:val="single" w:sz="2" w:space="0" w:color="auto"/>
              <w:right w:val="nil"/>
            </w:tcBorders>
            <w:vAlign w:val="center"/>
          </w:tcPr>
          <w:p w14:paraId="0A70D5B6" w14:textId="77777777" w:rsidR="00FF7A4C" w:rsidRPr="009A38AE" w:rsidRDefault="00FF7A4C" w:rsidP="00D12353">
            <w:pPr>
              <w:pStyle w:val="cuatexto"/>
              <w:jc w:val="right"/>
              <w:rPr>
                <w:rFonts w:cs="Calibri"/>
              </w:rPr>
            </w:pPr>
            <w:r w:rsidRPr="009A38AE">
              <w:rPr>
                <w:rFonts w:cs="Calibri"/>
              </w:rPr>
              <w:t>667.324</w:t>
            </w:r>
          </w:p>
        </w:tc>
        <w:tc>
          <w:tcPr>
            <w:tcW w:w="858" w:type="pct"/>
            <w:gridSpan w:val="2"/>
            <w:tcBorders>
              <w:top w:val="nil"/>
              <w:left w:val="nil"/>
              <w:bottom w:val="single" w:sz="2" w:space="0" w:color="auto"/>
              <w:right w:val="nil"/>
            </w:tcBorders>
            <w:vAlign w:val="center"/>
          </w:tcPr>
          <w:p w14:paraId="25C34F95" w14:textId="77777777" w:rsidR="00FF7A4C" w:rsidRPr="009A38AE" w:rsidRDefault="00FF7A4C" w:rsidP="00D12353">
            <w:pPr>
              <w:pStyle w:val="cuatexto"/>
              <w:jc w:val="right"/>
              <w:rPr>
                <w:rFonts w:cs="Calibri"/>
              </w:rPr>
            </w:pPr>
            <w:r w:rsidRPr="009A38AE">
              <w:rPr>
                <w:rFonts w:cs="Calibri"/>
              </w:rPr>
              <w:t>694.866</w:t>
            </w:r>
          </w:p>
        </w:tc>
        <w:tc>
          <w:tcPr>
            <w:tcW w:w="845" w:type="pct"/>
            <w:gridSpan w:val="2"/>
            <w:tcBorders>
              <w:top w:val="nil"/>
              <w:left w:val="nil"/>
              <w:bottom w:val="single" w:sz="2" w:space="0" w:color="auto"/>
              <w:right w:val="nil"/>
            </w:tcBorders>
            <w:shd w:val="clear" w:color="000000" w:fill="FFFFFF"/>
            <w:vAlign w:val="center"/>
          </w:tcPr>
          <w:p w14:paraId="50D0BDE7" w14:textId="77777777" w:rsidR="00FF7A4C" w:rsidRPr="009A38AE" w:rsidRDefault="00FF7A4C" w:rsidP="00D12353">
            <w:pPr>
              <w:pStyle w:val="cuatexto"/>
              <w:jc w:val="right"/>
              <w:rPr>
                <w:rFonts w:cs="Calibri"/>
              </w:rPr>
            </w:pPr>
            <w:r w:rsidRPr="009A38AE">
              <w:rPr>
                <w:rFonts w:cs="Calibri"/>
              </w:rPr>
              <w:t>4</w:t>
            </w:r>
          </w:p>
        </w:tc>
      </w:tr>
      <w:tr w:rsidR="00FF7A4C" w:rsidRPr="009A38AE" w14:paraId="49378862" w14:textId="77777777" w:rsidTr="007705AC">
        <w:trPr>
          <w:gridAfter w:val="1"/>
          <w:wAfter w:w="27" w:type="pct"/>
          <w:trHeight w:val="198"/>
          <w:jc w:val="center"/>
        </w:trPr>
        <w:tc>
          <w:tcPr>
            <w:tcW w:w="2350" w:type="pct"/>
            <w:tcBorders>
              <w:top w:val="single" w:sz="2" w:space="0" w:color="auto"/>
              <w:left w:val="nil"/>
              <w:bottom w:val="single" w:sz="2" w:space="0" w:color="auto"/>
              <w:right w:val="nil"/>
            </w:tcBorders>
            <w:vAlign w:val="center"/>
            <w:hideMark/>
          </w:tcPr>
          <w:p w14:paraId="183AB2C4" w14:textId="77777777" w:rsidR="00FF7A4C" w:rsidRPr="00530961" w:rsidRDefault="00FF7A4C" w:rsidP="00092EB2">
            <w:pPr>
              <w:pStyle w:val="cuatexto"/>
              <w:rPr>
                <w:szCs w:val="20"/>
              </w:rPr>
            </w:pPr>
            <w:r w:rsidRPr="00530961">
              <w:rPr>
                <w:szCs w:val="20"/>
              </w:rPr>
              <w:t>Deudas a Largo Plazo</w:t>
            </w:r>
          </w:p>
        </w:tc>
        <w:tc>
          <w:tcPr>
            <w:tcW w:w="920" w:type="pct"/>
            <w:gridSpan w:val="2"/>
            <w:tcBorders>
              <w:top w:val="single" w:sz="2" w:space="0" w:color="auto"/>
              <w:left w:val="nil"/>
              <w:bottom w:val="single" w:sz="2" w:space="0" w:color="auto"/>
              <w:right w:val="nil"/>
            </w:tcBorders>
            <w:vAlign w:val="center"/>
          </w:tcPr>
          <w:p w14:paraId="1EE8C1A0" w14:textId="77777777" w:rsidR="00FF7A4C" w:rsidRPr="00530961" w:rsidRDefault="00FF7A4C" w:rsidP="00D12353">
            <w:pPr>
              <w:pStyle w:val="cuatexto"/>
              <w:jc w:val="right"/>
              <w:rPr>
                <w:rFonts w:cs="Calibri"/>
                <w:szCs w:val="20"/>
              </w:rPr>
            </w:pPr>
            <w:r w:rsidRPr="00530961">
              <w:rPr>
                <w:rFonts w:cs="Calibri"/>
                <w:szCs w:val="20"/>
              </w:rPr>
              <w:t>47.844</w:t>
            </w:r>
          </w:p>
        </w:tc>
        <w:tc>
          <w:tcPr>
            <w:tcW w:w="858" w:type="pct"/>
            <w:gridSpan w:val="2"/>
            <w:tcBorders>
              <w:top w:val="single" w:sz="2" w:space="0" w:color="auto"/>
              <w:left w:val="nil"/>
              <w:bottom w:val="single" w:sz="2" w:space="0" w:color="auto"/>
              <w:right w:val="nil"/>
            </w:tcBorders>
            <w:shd w:val="clear" w:color="000000" w:fill="FFFFFF"/>
            <w:vAlign w:val="center"/>
          </w:tcPr>
          <w:p w14:paraId="6258E858" w14:textId="77777777" w:rsidR="00FF7A4C" w:rsidRPr="00530961" w:rsidRDefault="00FF7A4C" w:rsidP="00D12353">
            <w:pPr>
              <w:pStyle w:val="cuatexto"/>
              <w:jc w:val="right"/>
              <w:rPr>
                <w:rFonts w:cs="Calibri"/>
                <w:szCs w:val="20"/>
              </w:rPr>
            </w:pPr>
            <w:r w:rsidRPr="00530961">
              <w:rPr>
                <w:rFonts w:cs="Calibri"/>
                <w:szCs w:val="20"/>
              </w:rPr>
              <w:t>4.861</w:t>
            </w:r>
          </w:p>
        </w:tc>
        <w:tc>
          <w:tcPr>
            <w:tcW w:w="845" w:type="pct"/>
            <w:gridSpan w:val="2"/>
            <w:tcBorders>
              <w:top w:val="single" w:sz="2" w:space="0" w:color="auto"/>
              <w:left w:val="nil"/>
              <w:bottom w:val="single" w:sz="2" w:space="0" w:color="auto"/>
              <w:right w:val="nil"/>
            </w:tcBorders>
            <w:shd w:val="clear" w:color="000000" w:fill="FFFFFF"/>
            <w:vAlign w:val="center"/>
          </w:tcPr>
          <w:p w14:paraId="07D67447" w14:textId="77777777" w:rsidR="00FF7A4C" w:rsidRPr="00530961" w:rsidRDefault="00FF7A4C" w:rsidP="00D12353">
            <w:pPr>
              <w:pStyle w:val="cuatexto"/>
              <w:jc w:val="right"/>
              <w:rPr>
                <w:rFonts w:cs="Calibri"/>
                <w:szCs w:val="20"/>
              </w:rPr>
            </w:pPr>
            <w:r w:rsidRPr="00530961">
              <w:rPr>
                <w:rFonts w:cs="Calibri"/>
                <w:szCs w:val="20"/>
              </w:rPr>
              <w:t>-90</w:t>
            </w:r>
          </w:p>
        </w:tc>
      </w:tr>
      <w:tr w:rsidR="00FF7A4C" w:rsidRPr="009A38AE" w14:paraId="30105C62" w14:textId="77777777" w:rsidTr="007705AC">
        <w:trPr>
          <w:gridAfter w:val="1"/>
          <w:wAfter w:w="27" w:type="pct"/>
          <w:trHeight w:val="198"/>
          <w:jc w:val="center"/>
        </w:trPr>
        <w:tc>
          <w:tcPr>
            <w:tcW w:w="2350" w:type="pct"/>
            <w:tcBorders>
              <w:top w:val="single" w:sz="2" w:space="0" w:color="auto"/>
              <w:left w:val="nil"/>
              <w:bottom w:val="single" w:sz="2" w:space="0" w:color="auto"/>
              <w:right w:val="nil"/>
            </w:tcBorders>
            <w:vAlign w:val="center"/>
            <w:hideMark/>
          </w:tcPr>
          <w:p w14:paraId="7277E11A" w14:textId="77777777" w:rsidR="00FF7A4C" w:rsidRPr="00530961" w:rsidRDefault="00FF7A4C" w:rsidP="00092EB2">
            <w:pPr>
              <w:pStyle w:val="cuatexto"/>
              <w:rPr>
                <w:szCs w:val="20"/>
              </w:rPr>
            </w:pPr>
            <w:r w:rsidRPr="00530961">
              <w:rPr>
                <w:szCs w:val="20"/>
              </w:rPr>
              <w:t>Pasivo Corriente</w:t>
            </w:r>
          </w:p>
        </w:tc>
        <w:tc>
          <w:tcPr>
            <w:tcW w:w="920" w:type="pct"/>
            <w:gridSpan w:val="2"/>
            <w:tcBorders>
              <w:top w:val="single" w:sz="2" w:space="0" w:color="auto"/>
              <w:left w:val="nil"/>
              <w:bottom w:val="single" w:sz="2" w:space="0" w:color="auto"/>
              <w:right w:val="nil"/>
            </w:tcBorders>
            <w:vAlign w:val="center"/>
          </w:tcPr>
          <w:p w14:paraId="7C03A9EA" w14:textId="77777777" w:rsidR="00FF7A4C" w:rsidRPr="00530961" w:rsidRDefault="00FF7A4C" w:rsidP="00D12353">
            <w:pPr>
              <w:pStyle w:val="cuatexto"/>
              <w:jc w:val="right"/>
              <w:rPr>
                <w:rFonts w:cs="Calibri"/>
                <w:szCs w:val="20"/>
              </w:rPr>
            </w:pPr>
            <w:r w:rsidRPr="00530961">
              <w:rPr>
                <w:rFonts w:cs="Calibri"/>
                <w:szCs w:val="20"/>
              </w:rPr>
              <w:t>98.979</w:t>
            </w:r>
          </w:p>
        </w:tc>
        <w:tc>
          <w:tcPr>
            <w:tcW w:w="858" w:type="pct"/>
            <w:gridSpan w:val="2"/>
            <w:tcBorders>
              <w:top w:val="single" w:sz="2" w:space="0" w:color="auto"/>
              <w:left w:val="nil"/>
              <w:bottom w:val="single" w:sz="2" w:space="0" w:color="auto"/>
              <w:right w:val="nil"/>
            </w:tcBorders>
            <w:shd w:val="clear" w:color="000000" w:fill="FFFFFF"/>
            <w:vAlign w:val="center"/>
          </w:tcPr>
          <w:p w14:paraId="339A5F6F" w14:textId="77777777" w:rsidR="00FF7A4C" w:rsidRPr="00530961" w:rsidRDefault="00FF7A4C" w:rsidP="00D12353">
            <w:pPr>
              <w:pStyle w:val="cuatexto"/>
              <w:jc w:val="right"/>
              <w:rPr>
                <w:rFonts w:cs="Calibri"/>
                <w:szCs w:val="20"/>
              </w:rPr>
            </w:pPr>
            <w:r w:rsidRPr="00530961">
              <w:rPr>
                <w:rFonts w:cs="Calibri"/>
                <w:szCs w:val="20"/>
              </w:rPr>
              <w:t>149.375</w:t>
            </w:r>
          </w:p>
        </w:tc>
        <w:tc>
          <w:tcPr>
            <w:tcW w:w="845" w:type="pct"/>
            <w:gridSpan w:val="2"/>
            <w:tcBorders>
              <w:top w:val="single" w:sz="2" w:space="0" w:color="auto"/>
              <w:left w:val="nil"/>
              <w:bottom w:val="single" w:sz="2" w:space="0" w:color="auto"/>
              <w:right w:val="nil"/>
            </w:tcBorders>
            <w:shd w:val="clear" w:color="000000" w:fill="FFFFFF"/>
            <w:vAlign w:val="center"/>
          </w:tcPr>
          <w:p w14:paraId="444BEEAE" w14:textId="77777777" w:rsidR="00FF7A4C" w:rsidRPr="00530961" w:rsidRDefault="00FF7A4C" w:rsidP="00D12353">
            <w:pPr>
              <w:pStyle w:val="cuatexto"/>
              <w:jc w:val="right"/>
              <w:rPr>
                <w:rFonts w:cs="Calibri"/>
                <w:szCs w:val="20"/>
              </w:rPr>
            </w:pPr>
            <w:r w:rsidRPr="00530961">
              <w:rPr>
                <w:rFonts w:cs="Calibri"/>
                <w:szCs w:val="20"/>
              </w:rPr>
              <w:t>51</w:t>
            </w:r>
          </w:p>
        </w:tc>
      </w:tr>
      <w:tr w:rsidR="00FF7A4C" w:rsidRPr="009A38AE" w14:paraId="5990D13C" w14:textId="77777777" w:rsidTr="007705AC">
        <w:trPr>
          <w:gridAfter w:val="1"/>
          <w:wAfter w:w="27" w:type="pct"/>
          <w:trHeight w:val="198"/>
          <w:jc w:val="center"/>
        </w:trPr>
        <w:tc>
          <w:tcPr>
            <w:tcW w:w="2350" w:type="pct"/>
            <w:tcBorders>
              <w:top w:val="single" w:sz="2" w:space="0" w:color="auto"/>
              <w:left w:val="nil"/>
              <w:bottom w:val="single" w:sz="2" w:space="0" w:color="auto"/>
              <w:right w:val="nil"/>
            </w:tcBorders>
            <w:vAlign w:val="center"/>
            <w:hideMark/>
          </w:tcPr>
          <w:p w14:paraId="7EB4E6E7" w14:textId="77777777" w:rsidR="00FF7A4C" w:rsidRPr="00530961" w:rsidRDefault="00FF7A4C" w:rsidP="00092EB2">
            <w:pPr>
              <w:pStyle w:val="cuatexto"/>
              <w:rPr>
                <w:szCs w:val="20"/>
              </w:rPr>
            </w:pPr>
            <w:r w:rsidRPr="00530961">
              <w:rPr>
                <w:szCs w:val="20"/>
              </w:rPr>
              <w:t>Fondo de maniobra</w:t>
            </w:r>
          </w:p>
        </w:tc>
        <w:tc>
          <w:tcPr>
            <w:tcW w:w="920" w:type="pct"/>
            <w:gridSpan w:val="2"/>
            <w:tcBorders>
              <w:top w:val="single" w:sz="2" w:space="0" w:color="auto"/>
              <w:left w:val="nil"/>
              <w:bottom w:val="single" w:sz="2" w:space="0" w:color="auto"/>
              <w:right w:val="nil"/>
            </w:tcBorders>
            <w:vAlign w:val="center"/>
          </w:tcPr>
          <w:p w14:paraId="7D0B1ACF" w14:textId="77777777" w:rsidR="00FF7A4C" w:rsidRPr="00530961" w:rsidRDefault="00FF7A4C" w:rsidP="00D12353">
            <w:pPr>
              <w:pStyle w:val="cuatexto"/>
              <w:jc w:val="right"/>
              <w:rPr>
                <w:rFonts w:cs="Calibri"/>
                <w:szCs w:val="20"/>
              </w:rPr>
            </w:pPr>
            <w:r w:rsidRPr="00530961">
              <w:rPr>
                <w:rFonts w:cs="Calibri"/>
                <w:szCs w:val="20"/>
              </w:rPr>
              <w:t>291.884</w:t>
            </w:r>
          </w:p>
        </w:tc>
        <w:tc>
          <w:tcPr>
            <w:tcW w:w="858" w:type="pct"/>
            <w:gridSpan w:val="2"/>
            <w:tcBorders>
              <w:top w:val="single" w:sz="2" w:space="0" w:color="auto"/>
              <w:left w:val="nil"/>
              <w:bottom w:val="single" w:sz="2" w:space="0" w:color="auto"/>
              <w:right w:val="nil"/>
            </w:tcBorders>
            <w:shd w:val="clear" w:color="000000" w:fill="FFFFFF"/>
            <w:vAlign w:val="center"/>
          </w:tcPr>
          <w:p w14:paraId="2E1070CF" w14:textId="77777777" w:rsidR="00FF7A4C" w:rsidRPr="00530961" w:rsidRDefault="00FF7A4C" w:rsidP="00D12353">
            <w:pPr>
              <w:pStyle w:val="cuatexto"/>
              <w:jc w:val="right"/>
              <w:rPr>
                <w:rFonts w:cs="Calibri"/>
                <w:szCs w:val="20"/>
              </w:rPr>
            </w:pPr>
            <w:r w:rsidRPr="00530961">
              <w:rPr>
                <w:rFonts w:cs="Calibri"/>
                <w:szCs w:val="20"/>
              </w:rPr>
              <w:t>268.987</w:t>
            </w:r>
          </w:p>
        </w:tc>
        <w:tc>
          <w:tcPr>
            <w:tcW w:w="845" w:type="pct"/>
            <w:gridSpan w:val="2"/>
            <w:tcBorders>
              <w:top w:val="single" w:sz="2" w:space="0" w:color="auto"/>
              <w:left w:val="nil"/>
              <w:bottom w:val="single" w:sz="2" w:space="0" w:color="auto"/>
              <w:right w:val="nil"/>
            </w:tcBorders>
            <w:shd w:val="clear" w:color="000000" w:fill="FFFFFF"/>
            <w:vAlign w:val="center"/>
          </w:tcPr>
          <w:p w14:paraId="47C4878C" w14:textId="77777777" w:rsidR="00FF7A4C" w:rsidRPr="00530961" w:rsidRDefault="00FF7A4C" w:rsidP="00D12353">
            <w:pPr>
              <w:pStyle w:val="cuatexto"/>
              <w:jc w:val="right"/>
              <w:rPr>
                <w:rFonts w:cs="Calibri"/>
                <w:szCs w:val="20"/>
              </w:rPr>
            </w:pPr>
            <w:r w:rsidRPr="00530961">
              <w:rPr>
                <w:rFonts w:cs="Calibri"/>
                <w:szCs w:val="20"/>
              </w:rPr>
              <w:t>-8</w:t>
            </w:r>
          </w:p>
        </w:tc>
      </w:tr>
      <w:tr w:rsidR="00FF7A4C" w:rsidRPr="009A38AE" w14:paraId="165410C7" w14:textId="77777777" w:rsidTr="007705AC">
        <w:trPr>
          <w:gridAfter w:val="1"/>
          <w:wAfter w:w="27" w:type="pct"/>
          <w:trHeight w:val="198"/>
          <w:jc w:val="center"/>
        </w:trPr>
        <w:tc>
          <w:tcPr>
            <w:tcW w:w="2350" w:type="pct"/>
            <w:tcBorders>
              <w:top w:val="single" w:sz="2" w:space="0" w:color="auto"/>
              <w:left w:val="nil"/>
              <w:bottom w:val="single" w:sz="2" w:space="0" w:color="auto"/>
              <w:right w:val="nil"/>
            </w:tcBorders>
            <w:vAlign w:val="center"/>
            <w:hideMark/>
          </w:tcPr>
          <w:p w14:paraId="23B7E0A9" w14:textId="77777777" w:rsidR="00FF7A4C" w:rsidRPr="00530961" w:rsidRDefault="00FF7A4C" w:rsidP="00092EB2">
            <w:pPr>
              <w:pStyle w:val="cuatexto"/>
              <w:rPr>
                <w:szCs w:val="20"/>
              </w:rPr>
            </w:pPr>
            <w:r w:rsidRPr="00530961">
              <w:rPr>
                <w:szCs w:val="20"/>
              </w:rPr>
              <w:t>Efectivo y otros activos líquidos</w:t>
            </w:r>
          </w:p>
        </w:tc>
        <w:tc>
          <w:tcPr>
            <w:tcW w:w="920" w:type="pct"/>
            <w:gridSpan w:val="2"/>
            <w:tcBorders>
              <w:top w:val="single" w:sz="2" w:space="0" w:color="auto"/>
              <w:left w:val="nil"/>
              <w:bottom w:val="single" w:sz="2" w:space="0" w:color="auto"/>
              <w:right w:val="nil"/>
            </w:tcBorders>
            <w:vAlign w:val="center"/>
          </w:tcPr>
          <w:p w14:paraId="60328284" w14:textId="77777777" w:rsidR="00FF7A4C" w:rsidRPr="00530961" w:rsidRDefault="00FF7A4C" w:rsidP="00D12353">
            <w:pPr>
              <w:pStyle w:val="cuatexto"/>
              <w:jc w:val="right"/>
              <w:rPr>
                <w:rFonts w:cs="Calibri"/>
                <w:szCs w:val="20"/>
              </w:rPr>
            </w:pPr>
            <w:r w:rsidRPr="00530961">
              <w:rPr>
                <w:rFonts w:cs="Calibri"/>
                <w:szCs w:val="20"/>
              </w:rPr>
              <w:t>111.400</w:t>
            </w:r>
          </w:p>
        </w:tc>
        <w:tc>
          <w:tcPr>
            <w:tcW w:w="858" w:type="pct"/>
            <w:gridSpan w:val="2"/>
            <w:tcBorders>
              <w:top w:val="single" w:sz="2" w:space="0" w:color="auto"/>
              <w:left w:val="nil"/>
              <w:bottom w:val="single" w:sz="2" w:space="0" w:color="auto"/>
              <w:right w:val="nil"/>
            </w:tcBorders>
            <w:shd w:val="clear" w:color="000000" w:fill="FFFFFF"/>
            <w:vAlign w:val="center"/>
          </w:tcPr>
          <w:p w14:paraId="0CC5FAF7" w14:textId="77777777" w:rsidR="00FF7A4C" w:rsidRPr="00530961" w:rsidRDefault="00FF7A4C" w:rsidP="00D12353">
            <w:pPr>
              <w:pStyle w:val="cuatexto"/>
              <w:jc w:val="right"/>
              <w:rPr>
                <w:rFonts w:cs="Calibri"/>
                <w:szCs w:val="20"/>
              </w:rPr>
            </w:pPr>
            <w:r w:rsidRPr="00530961">
              <w:rPr>
                <w:rFonts w:cs="Calibri"/>
                <w:szCs w:val="20"/>
              </w:rPr>
              <w:t>65.754</w:t>
            </w:r>
          </w:p>
        </w:tc>
        <w:tc>
          <w:tcPr>
            <w:tcW w:w="845" w:type="pct"/>
            <w:gridSpan w:val="2"/>
            <w:tcBorders>
              <w:top w:val="single" w:sz="2" w:space="0" w:color="auto"/>
              <w:left w:val="nil"/>
              <w:bottom w:val="single" w:sz="2" w:space="0" w:color="auto"/>
              <w:right w:val="nil"/>
            </w:tcBorders>
            <w:shd w:val="clear" w:color="000000" w:fill="FFFFFF"/>
            <w:vAlign w:val="center"/>
          </w:tcPr>
          <w:p w14:paraId="2239969F" w14:textId="77777777" w:rsidR="00FF7A4C" w:rsidRPr="00530961" w:rsidRDefault="00FF7A4C" w:rsidP="00D12353">
            <w:pPr>
              <w:pStyle w:val="cuatexto"/>
              <w:jc w:val="right"/>
              <w:rPr>
                <w:rFonts w:cs="Calibri"/>
                <w:szCs w:val="20"/>
              </w:rPr>
            </w:pPr>
            <w:r w:rsidRPr="00530961">
              <w:rPr>
                <w:rFonts w:cs="Calibri"/>
                <w:szCs w:val="20"/>
              </w:rPr>
              <w:t>-41</w:t>
            </w:r>
          </w:p>
        </w:tc>
      </w:tr>
      <w:tr w:rsidR="00FF7A4C" w:rsidRPr="009A38AE" w14:paraId="56F7DA11" w14:textId="77777777" w:rsidTr="007705AC">
        <w:trPr>
          <w:gridAfter w:val="1"/>
          <w:wAfter w:w="27" w:type="pct"/>
          <w:trHeight w:val="198"/>
          <w:jc w:val="center"/>
        </w:trPr>
        <w:tc>
          <w:tcPr>
            <w:tcW w:w="2350" w:type="pct"/>
            <w:tcBorders>
              <w:top w:val="single" w:sz="2" w:space="0" w:color="auto"/>
              <w:left w:val="nil"/>
              <w:bottom w:val="single" w:sz="2" w:space="0" w:color="auto"/>
              <w:right w:val="nil"/>
            </w:tcBorders>
            <w:vAlign w:val="center"/>
            <w:hideMark/>
          </w:tcPr>
          <w:p w14:paraId="321472EB" w14:textId="77777777" w:rsidR="00FF7A4C" w:rsidRPr="00530961" w:rsidRDefault="00FF7A4C" w:rsidP="00092EB2">
            <w:pPr>
              <w:pStyle w:val="cuatexto"/>
              <w:rPr>
                <w:szCs w:val="20"/>
              </w:rPr>
            </w:pPr>
            <w:r w:rsidRPr="00530961">
              <w:rPr>
                <w:szCs w:val="20"/>
              </w:rPr>
              <w:t>Importe neto de la cifra de negocios</w:t>
            </w:r>
          </w:p>
        </w:tc>
        <w:tc>
          <w:tcPr>
            <w:tcW w:w="920" w:type="pct"/>
            <w:gridSpan w:val="2"/>
            <w:tcBorders>
              <w:top w:val="single" w:sz="2" w:space="0" w:color="auto"/>
              <w:left w:val="nil"/>
              <w:bottom w:val="single" w:sz="2" w:space="0" w:color="auto"/>
              <w:right w:val="nil"/>
            </w:tcBorders>
            <w:vAlign w:val="center"/>
          </w:tcPr>
          <w:p w14:paraId="558965EE" w14:textId="77777777" w:rsidR="00FF7A4C" w:rsidRPr="00530961" w:rsidRDefault="00FF7A4C" w:rsidP="00D12353">
            <w:pPr>
              <w:pStyle w:val="cuatexto"/>
              <w:jc w:val="right"/>
              <w:rPr>
                <w:rFonts w:cs="Calibri"/>
                <w:szCs w:val="20"/>
              </w:rPr>
            </w:pPr>
            <w:r w:rsidRPr="00530961">
              <w:rPr>
                <w:rFonts w:cs="Calibri"/>
                <w:szCs w:val="20"/>
              </w:rPr>
              <w:t>201.179</w:t>
            </w:r>
          </w:p>
        </w:tc>
        <w:tc>
          <w:tcPr>
            <w:tcW w:w="858" w:type="pct"/>
            <w:gridSpan w:val="2"/>
            <w:tcBorders>
              <w:top w:val="single" w:sz="2" w:space="0" w:color="auto"/>
              <w:left w:val="nil"/>
              <w:bottom w:val="single" w:sz="2" w:space="0" w:color="auto"/>
              <w:right w:val="nil"/>
            </w:tcBorders>
            <w:shd w:val="clear" w:color="000000" w:fill="FFFFFF"/>
            <w:vAlign w:val="center"/>
          </w:tcPr>
          <w:p w14:paraId="13183D05" w14:textId="77777777" w:rsidR="00FF7A4C" w:rsidRPr="00530961" w:rsidRDefault="00FF7A4C" w:rsidP="00D12353">
            <w:pPr>
              <w:pStyle w:val="cuatexto"/>
              <w:jc w:val="right"/>
              <w:rPr>
                <w:rFonts w:cs="Calibri"/>
                <w:szCs w:val="20"/>
              </w:rPr>
            </w:pPr>
            <w:r w:rsidRPr="00530961">
              <w:rPr>
                <w:rFonts w:cs="Calibri"/>
                <w:szCs w:val="20"/>
              </w:rPr>
              <w:t>230.862</w:t>
            </w:r>
          </w:p>
        </w:tc>
        <w:tc>
          <w:tcPr>
            <w:tcW w:w="845" w:type="pct"/>
            <w:gridSpan w:val="2"/>
            <w:tcBorders>
              <w:top w:val="single" w:sz="2" w:space="0" w:color="auto"/>
              <w:left w:val="nil"/>
              <w:bottom w:val="single" w:sz="2" w:space="0" w:color="auto"/>
              <w:right w:val="nil"/>
            </w:tcBorders>
            <w:shd w:val="clear" w:color="000000" w:fill="FFFFFF"/>
            <w:vAlign w:val="center"/>
          </w:tcPr>
          <w:p w14:paraId="23E9AF53" w14:textId="77777777" w:rsidR="00FF7A4C" w:rsidRPr="00530961" w:rsidRDefault="00FF7A4C" w:rsidP="00D12353">
            <w:pPr>
              <w:pStyle w:val="cuatexto"/>
              <w:jc w:val="right"/>
              <w:rPr>
                <w:rFonts w:cs="Calibri"/>
                <w:szCs w:val="20"/>
              </w:rPr>
            </w:pPr>
            <w:r w:rsidRPr="00530961">
              <w:rPr>
                <w:rFonts w:cs="Calibri"/>
                <w:szCs w:val="20"/>
              </w:rPr>
              <w:t>15</w:t>
            </w:r>
          </w:p>
        </w:tc>
      </w:tr>
      <w:tr w:rsidR="00FF7A4C" w:rsidRPr="009A38AE" w14:paraId="6EBAB695" w14:textId="77777777" w:rsidTr="007705AC">
        <w:trPr>
          <w:gridAfter w:val="1"/>
          <w:wAfter w:w="27" w:type="pct"/>
          <w:trHeight w:val="198"/>
          <w:jc w:val="center"/>
        </w:trPr>
        <w:tc>
          <w:tcPr>
            <w:tcW w:w="2350" w:type="pct"/>
            <w:tcBorders>
              <w:top w:val="single" w:sz="2" w:space="0" w:color="auto"/>
              <w:left w:val="nil"/>
              <w:bottom w:val="single" w:sz="2" w:space="0" w:color="auto"/>
              <w:right w:val="nil"/>
            </w:tcBorders>
            <w:vAlign w:val="center"/>
            <w:hideMark/>
          </w:tcPr>
          <w:p w14:paraId="7D75B2FC" w14:textId="77777777" w:rsidR="00FF7A4C" w:rsidRPr="00530961" w:rsidRDefault="00FF7A4C" w:rsidP="00092EB2">
            <w:pPr>
              <w:pStyle w:val="cuatexto"/>
              <w:rPr>
                <w:szCs w:val="20"/>
              </w:rPr>
            </w:pPr>
            <w:r w:rsidRPr="00530961">
              <w:rPr>
                <w:szCs w:val="20"/>
              </w:rPr>
              <w:t xml:space="preserve">Porcentaje cifra de negocios realizado con ACFN </w:t>
            </w:r>
          </w:p>
        </w:tc>
        <w:tc>
          <w:tcPr>
            <w:tcW w:w="920" w:type="pct"/>
            <w:gridSpan w:val="2"/>
            <w:tcBorders>
              <w:top w:val="single" w:sz="2" w:space="0" w:color="auto"/>
              <w:left w:val="nil"/>
              <w:bottom w:val="single" w:sz="2" w:space="0" w:color="auto"/>
              <w:right w:val="nil"/>
            </w:tcBorders>
            <w:vAlign w:val="center"/>
          </w:tcPr>
          <w:p w14:paraId="27607492" w14:textId="77777777" w:rsidR="00FF7A4C" w:rsidRPr="00530961" w:rsidRDefault="00FF7A4C" w:rsidP="00D12353">
            <w:pPr>
              <w:pStyle w:val="cuatexto"/>
              <w:jc w:val="right"/>
              <w:rPr>
                <w:rFonts w:cs="Calibri"/>
                <w:szCs w:val="20"/>
              </w:rPr>
            </w:pPr>
            <w:r w:rsidRPr="00530961">
              <w:rPr>
                <w:rFonts w:cs="Calibri"/>
                <w:szCs w:val="20"/>
              </w:rPr>
              <w:t>33</w:t>
            </w:r>
          </w:p>
        </w:tc>
        <w:tc>
          <w:tcPr>
            <w:tcW w:w="858" w:type="pct"/>
            <w:gridSpan w:val="2"/>
            <w:tcBorders>
              <w:top w:val="single" w:sz="2" w:space="0" w:color="auto"/>
              <w:left w:val="nil"/>
              <w:bottom w:val="single" w:sz="2" w:space="0" w:color="auto"/>
              <w:right w:val="nil"/>
            </w:tcBorders>
            <w:shd w:val="clear" w:color="000000" w:fill="FFFFFF"/>
            <w:vAlign w:val="center"/>
          </w:tcPr>
          <w:p w14:paraId="3A64C4CE" w14:textId="77777777" w:rsidR="00FF7A4C" w:rsidRPr="00530961" w:rsidRDefault="00FF7A4C" w:rsidP="00D12353">
            <w:pPr>
              <w:pStyle w:val="cuatexto"/>
              <w:jc w:val="right"/>
              <w:rPr>
                <w:rFonts w:cs="Calibri"/>
                <w:szCs w:val="20"/>
              </w:rPr>
            </w:pPr>
            <w:r w:rsidRPr="00530961">
              <w:rPr>
                <w:rFonts w:cs="Calibri"/>
                <w:szCs w:val="20"/>
              </w:rPr>
              <w:t>35</w:t>
            </w:r>
          </w:p>
        </w:tc>
        <w:tc>
          <w:tcPr>
            <w:tcW w:w="845" w:type="pct"/>
            <w:gridSpan w:val="2"/>
            <w:tcBorders>
              <w:top w:val="single" w:sz="2" w:space="0" w:color="auto"/>
              <w:left w:val="nil"/>
              <w:bottom w:val="single" w:sz="2" w:space="0" w:color="auto"/>
              <w:right w:val="nil"/>
            </w:tcBorders>
            <w:shd w:val="clear" w:color="000000" w:fill="FFFFFF"/>
            <w:vAlign w:val="center"/>
          </w:tcPr>
          <w:p w14:paraId="46DEDC6A" w14:textId="77777777" w:rsidR="00FF7A4C" w:rsidRPr="00530961" w:rsidRDefault="00FF7A4C" w:rsidP="00D12353">
            <w:pPr>
              <w:pStyle w:val="cuatexto"/>
              <w:jc w:val="right"/>
              <w:rPr>
                <w:rFonts w:cs="Calibri"/>
                <w:szCs w:val="20"/>
              </w:rPr>
            </w:pPr>
            <w:r w:rsidRPr="00530961">
              <w:rPr>
                <w:rFonts w:cs="Calibri"/>
                <w:szCs w:val="20"/>
              </w:rPr>
              <w:t>4</w:t>
            </w:r>
          </w:p>
        </w:tc>
      </w:tr>
      <w:tr w:rsidR="00FF7A4C" w:rsidRPr="009A38AE" w14:paraId="352ED3A0" w14:textId="77777777" w:rsidTr="007705AC">
        <w:trPr>
          <w:gridAfter w:val="1"/>
          <w:wAfter w:w="27" w:type="pct"/>
          <w:trHeight w:val="198"/>
          <w:jc w:val="center"/>
        </w:trPr>
        <w:tc>
          <w:tcPr>
            <w:tcW w:w="2350" w:type="pct"/>
            <w:tcBorders>
              <w:top w:val="single" w:sz="2" w:space="0" w:color="auto"/>
              <w:left w:val="nil"/>
              <w:bottom w:val="single" w:sz="2" w:space="0" w:color="auto"/>
              <w:right w:val="nil"/>
            </w:tcBorders>
            <w:vAlign w:val="center"/>
            <w:hideMark/>
          </w:tcPr>
          <w:p w14:paraId="0BFB576F" w14:textId="77777777" w:rsidR="00FF7A4C" w:rsidRPr="00530961" w:rsidRDefault="00FF7A4C" w:rsidP="00092EB2">
            <w:pPr>
              <w:pStyle w:val="cuatexto"/>
              <w:rPr>
                <w:szCs w:val="20"/>
                <w:vertAlign w:val="superscript"/>
              </w:rPr>
            </w:pPr>
            <w:proofErr w:type="gramStart"/>
            <w:r w:rsidRPr="00530961">
              <w:rPr>
                <w:szCs w:val="20"/>
              </w:rPr>
              <w:t>Subvenciones capital</w:t>
            </w:r>
            <w:proofErr w:type="gramEnd"/>
            <w:r w:rsidRPr="00530961">
              <w:rPr>
                <w:szCs w:val="20"/>
              </w:rPr>
              <w:t xml:space="preserve"> recibidas de la ACFN </w:t>
            </w:r>
            <w:r w:rsidRPr="00530961">
              <w:rPr>
                <w:szCs w:val="20"/>
                <w:vertAlign w:val="superscript"/>
              </w:rPr>
              <w:t>(1)</w:t>
            </w:r>
          </w:p>
        </w:tc>
        <w:tc>
          <w:tcPr>
            <w:tcW w:w="920" w:type="pct"/>
            <w:gridSpan w:val="2"/>
            <w:tcBorders>
              <w:top w:val="single" w:sz="2" w:space="0" w:color="auto"/>
              <w:left w:val="nil"/>
              <w:bottom w:val="single" w:sz="2" w:space="0" w:color="auto"/>
              <w:right w:val="nil"/>
            </w:tcBorders>
            <w:vAlign w:val="center"/>
          </w:tcPr>
          <w:p w14:paraId="445606FB" w14:textId="77777777" w:rsidR="00FF7A4C" w:rsidRPr="00530961" w:rsidRDefault="00FF7A4C" w:rsidP="00D12353">
            <w:pPr>
              <w:pStyle w:val="cuatexto"/>
              <w:jc w:val="right"/>
              <w:rPr>
                <w:rFonts w:cs="Calibri"/>
                <w:szCs w:val="20"/>
              </w:rPr>
            </w:pPr>
            <w:r w:rsidRPr="00530961">
              <w:rPr>
                <w:rFonts w:cs="Calibri"/>
                <w:szCs w:val="20"/>
              </w:rPr>
              <w:t>1.053</w:t>
            </w:r>
          </w:p>
        </w:tc>
        <w:tc>
          <w:tcPr>
            <w:tcW w:w="858" w:type="pct"/>
            <w:gridSpan w:val="2"/>
            <w:tcBorders>
              <w:top w:val="single" w:sz="2" w:space="0" w:color="auto"/>
              <w:left w:val="nil"/>
              <w:bottom w:val="single" w:sz="2" w:space="0" w:color="auto"/>
              <w:right w:val="nil"/>
            </w:tcBorders>
            <w:shd w:val="clear" w:color="000000" w:fill="FFFFFF"/>
            <w:vAlign w:val="center"/>
          </w:tcPr>
          <w:p w14:paraId="335693DD" w14:textId="77777777" w:rsidR="00FF7A4C" w:rsidRPr="00530961" w:rsidRDefault="00FF7A4C" w:rsidP="00D12353">
            <w:pPr>
              <w:pStyle w:val="cuatexto"/>
              <w:jc w:val="right"/>
              <w:rPr>
                <w:rFonts w:cs="Calibri"/>
                <w:szCs w:val="20"/>
              </w:rPr>
            </w:pPr>
            <w:r w:rsidRPr="00530961">
              <w:rPr>
                <w:rFonts w:cs="Calibri"/>
                <w:szCs w:val="20"/>
              </w:rPr>
              <w:t>21.467</w:t>
            </w:r>
          </w:p>
        </w:tc>
        <w:tc>
          <w:tcPr>
            <w:tcW w:w="845" w:type="pct"/>
            <w:gridSpan w:val="2"/>
            <w:tcBorders>
              <w:top w:val="single" w:sz="2" w:space="0" w:color="auto"/>
              <w:left w:val="nil"/>
              <w:bottom w:val="single" w:sz="2" w:space="0" w:color="auto"/>
              <w:right w:val="nil"/>
            </w:tcBorders>
            <w:shd w:val="clear" w:color="000000" w:fill="FFFFFF"/>
            <w:vAlign w:val="center"/>
          </w:tcPr>
          <w:p w14:paraId="1B736678" w14:textId="77777777" w:rsidR="00FF7A4C" w:rsidRPr="00530961" w:rsidRDefault="00FF7A4C" w:rsidP="00D12353">
            <w:pPr>
              <w:pStyle w:val="cuatexto"/>
              <w:jc w:val="right"/>
              <w:rPr>
                <w:rFonts w:cs="Calibri"/>
                <w:szCs w:val="20"/>
              </w:rPr>
            </w:pPr>
            <w:r w:rsidRPr="00530961">
              <w:rPr>
                <w:rFonts w:cs="Calibri"/>
                <w:szCs w:val="20"/>
              </w:rPr>
              <w:t>1</w:t>
            </w:r>
            <w:r w:rsidR="00CA6D68" w:rsidRPr="00530961">
              <w:rPr>
                <w:rFonts w:cs="Calibri"/>
                <w:szCs w:val="20"/>
              </w:rPr>
              <w:t>.</w:t>
            </w:r>
            <w:r w:rsidRPr="00530961">
              <w:rPr>
                <w:rFonts w:cs="Calibri"/>
                <w:szCs w:val="20"/>
              </w:rPr>
              <w:t>939</w:t>
            </w:r>
          </w:p>
        </w:tc>
      </w:tr>
      <w:tr w:rsidR="00FF7A4C" w:rsidRPr="009A38AE" w14:paraId="20F2E182" w14:textId="77777777" w:rsidTr="007705AC">
        <w:trPr>
          <w:gridAfter w:val="1"/>
          <w:wAfter w:w="27" w:type="pct"/>
          <w:trHeight w:val="198"/>
          <w:jc w:val="center"/>
        </w:trPr>
        <w:tc>
          <w:tcPr>
            <w:tcW w:w="2350" w:type="pct"/>
            <w:tcBorders>
              <w:top w:val="single" w:sz="2" w:space="0" w:color="auto"/>
              <w:left w:val="nil"/>
              <w:bottom w:val="single" w:sz="2" w:space="0" w:color="auto"/>
              <w:right w:val="nil"/>
            </w:tcBorders>
            <w:vAlign w:val="center"/>
            <w:hideMark/>
          </w:tcPr>
          <w:p w14:paraId="60796648" w14:textId="77777777" w:rsidR="00FF7A4C" w:rsidRPr="00530961" w:rsidRDefault="00FF7A4C" w:rsidP="00092EB2">
            <w:pPr>
              <w:pStyle w:val="cuatexto"/>
              <w:rPr>
                <w:szCs w:val="20"/>
              </w:rPr>
            </w:pPr>
            <w:r w:rsidRPr="00530961">
              <w:rPr>
                <w:szCs w:val="20"/>
              </w:rPr>
              <w:t>Subvenciones explotación recibidas de la ACFN</w:t>
            </w:r>
          </w:p>
        </w:tc>
        <w:tc>
          <w:tcPr>
            <w:tcW w:w="920" w:type="pct"/>
            <w:gridSpan w:val="2"/>
            <w:tcBorders>
              <w:top w:val="single" w:sz="2" w:space="0" w:color="auto"/>
              <w:left w:val="nil"/>
              <w:bottom w:val="single" w:sz="2" w:space="0" w:color="auto"/>
              <w:right w:val="nil"/>
            </w:tcBorders>
            <w:vAlign w:val="center"/>
          </w:tcPr>
          <w:p w14:paraId="2C55CB19" w14:textId="77777777" w:rsidR="00FF7A4C" w:rsidRPr="00530961" w:rsidRDefault="00FF7A4C" w:rsidP="00D12353">
            <w:pPr>
              <w:pStyle w:val="cuatexto"/>
              <w:jc w:val="right"/>
              <w:rPr>
                <w:rFonts w:cs="Calibri"/>
                <w:szCs w:val="20"/>
              </w:rPr>
            </w:pPr>
            <w:r w:rsidRPr="00530961">
              <w:rPr>
                <w:rFonts w:cs="Calibri"/>
                <w:szCs w:val="20"/>
              </w:rPr>
              <w:t>17.886</w:t>
            </w:r>
          </w:p>
        </w:tc>
        <w:tc>
          <w:tcPr>
            <w:tcW w:w="858" w:type="pct"/>
            <w:gridSpan w:val="2"/>
            <w:tcBorders>
              <w:top w:val="single" w:sz="2" w:space="0" w:color="auto"/>
              <w:left w:val="nil"/>
              <w:bottom w:val="single" w:sz="2" w:space="0" w:color="auto"/>
              <w:right w:val="nil"/>
            </w:tcBorders>
            <w:shd w:val="clear" w:color="000000" w:fill="FFFFFF"/>
            <w:vAlign w:val="center"/>
          </w:tcPr>
          <w:p w14:paraId="725D49FB" w14:textId="77777777" w:rsidR="00FF7A4C" w:rsidRPr="00530961" w:rsidRDefault="00FF7A4C" w:rsidP="00D12353">
            <w:pPr>
              <w:pStyle w:val="cuatexto"/>
              <w:jc w:val="right"/>
              <w:rPr>
                <w:rFonts w:cs="Calibri"/>
                <w:szCs w:val="20"/>
              </w:rPr>
            </w:pPr>
            <w:r w:rsidRPr="00530961">
              <w:rPr>
                <w:rFonts w:cs="Calibri"/>
                <w:szCs w:val="20"/>
              </w:rPr>
              <w:t>19.423</w:t>
            </w:r>
          </w:p>
        </w:tc>
        <w:tc>
          <w:tcPr>
            <w:tcW w:w="845" w:type="pct"/>
            <w:gridSpan w:val="2"/>
            <w:tcBorders>
              <w:top w:val="single" w:sz="2" w:space="0" w:color="auto"/>
              <w:left w:val="nil"/>
              <w:bottom w:val="single" w:sz="2" w:space="0" w:color="auto"/>
              <w:right w:val="nil"/>
            </w:tcBorders>
            <w:shd w:val="clear" w:color="000000" w:fill="FFFFFF"/>
            <w:vAlign w:val="center"/>
          </w:tcPr>
          <w:p w14:paraId="7FEC2275" w14:textId="77777777" w:rsidR="00FF7A4C" w:rsidRPr="00530961" w:rsidRDefault="00FF7A4C" w:rsidP="00D12353">
            <w:pPr>
              <w:pStyle w:val="cuatexto"/>
              <w:jc w:val="right"/>
              <w:rPr>
                <w:rFonts w:cs="Calibri"/>
                <w:szCs w:val="20"/>
              </w:rPr>
            </w:pPr>
            <w:r w:rsidRPr="00530961">
              <w:rPr>
                <w:rFonts w:cs="Calibri"/>
                <w:szCs w:val="20"/>
              </w:rPr>
              <w:t>9</w:t>
            </w:r>
          </w:p>
        </w:tc>
      </w:tr>
      <w:tr w:rsidR="00FF7A4C" w:rsidRPr="009A38AE" w14:paraId="48F76B70" w14:textId="77777777" w:rsidTr="007705AC">
        <w:trPr>
          <w:gridAfter w:val="1"/>
          <w:wAfter w:w="27" w:type="pct"/>
          <w:trHeight w:val="198"/>
          <w:jc w:val="center"/>
        </w:trPr>
        <w:tc>
          <w:tcPr>
            <w:tcW w:w="2350" w:type="pct"/>
            <w:tcBorders>
              <w:top w:val="single" w:sz="2" w:space="0" w:color="auto"/>
              <w:left w:val="nil"/>
              <w:bottom w:val="single" w:sz="2" w:space="0" w:color="auto"/>
              <w:right w:val="nil"/>
            </w:tcBorders>
            <w:vAlign w:val="center"/>
            <w:hideMark/>
          </w:tcPr>
          <w:p w14:paraId="20C20D92" w14:textId="77777777" w:rsidR="00FF7A4C" w:rsidRPr="00530961" w:rsidRDefault="00FF7A4C" w:rsidP="00092EB2">
            <w:pPr>
              <w:pStyle w:val="cuatexto"/>
              <w:rPr>
                <w:szCs w:val="20"/>
              </w:rPr>
            </w:pPr>
            <w:r w:rsidRPr="00530961">
              <w:rPr>
                <w:szCs w:val="20"/>
              </w:rPr>
              <w:t>Gastos de personal</w:t>
            </w:r>
          </w:p>
        </w:tc>
        <w:tc>
          <w:tcPr>
            <w:tcW w:w="920" w:type="pct"/>
            <w:gridSpan w:val="2"/>
            <w:tcBorders>
              <w:top w:val="single" w:sz="2" w:space="0" w:color="auto"/>
              <w:left w:val="nil"/>
              <w:bottom w:val="single" w:sz="2" w:space="0" w:color="auto"/>
              <w:right w:val="nil"/>
            </w:tcBorders>
            <w:vAlign w:val="center"/>
          </w:tcPr>
          <w:p w14:paraId="4F8F6F9B" w14:textId="77777777" w:rsidR="00FF7A4C" w:rsidRPr="00530961" w:rsidRDefault="00FF7A4C" w:rsidP="00D12353">
            <w:pPr>
              <w:pStyle w:val="cuatexto"/>
              <w:jc w:val="right"/>
              <w:rPr>
                <w:rFonts w:cs="Calibri"/>
                <w:szCs w:val="20"/>
              </w:rPr>
            </w:pPr>
            <w:r w:rsidRPr="00530961">
              <w:rPr>
                <w:rFonts w:cs="Calibri"/>
                <w:szCs w:val="20"/>
              </w:rPr>
              <w:t>77.712</w:t>
            </w:r>
          </w:p>
        </w:tc>
        <w:tc>
          <w:tcPr>
            <w:tcW w:w="858" w:type="pct"/>
            <w:gridSpan w:val="2"/>
            <w:tcBorders>
              <w:top w:val="single" w:sz="2" w:space="0" w:color="auto"/>
              <w:left w:val="nil"/>
              <w:bottom w:val="single" w:sz="2" w:space="0" w:color="auto"/>
              <w:right w:val="nil"/>
            </w:tcBorders>
            <w:shd w:val="clear" w:color="000000" w:fill="FFFFFF"/>
            <w:vAlign w:val="center"/>
          </w:tcPr>
          <w:p w14:paraId="4CB977C8" w14:textId="77777777" w:rsidR="00FF7A4C" w:rsidRPr="00530961" w:rsidRDefault="00FF7A4C" w:rsidP="00D12353">
            <w:pPr>
              <w:pStyle w:val="cuatexto"/>
              <w:jc w:val="right"/>
              <w:rPr>
                <w:rFonts w:cs="Calibri"/>
                <w:szCs w:val="20"/>
              </w:rPr>
            </w:pPr>
            <w:r w:rsidRPr="00530961">
              <w:rPr>
                <w:rFonts w:cs="Calibri"/>
                <w:szCs w:val="20"/>
              </w:rPr>
              <w:t>86.049</w:t>
            </w:r>
          </w:p>
        </w:tc>
        <w:tc>
          <w:tcPr>
            <w:tcW w:w="845" w:type="pct"/>
            <w:gridSpan w:val="2"/>
            <w:tcBorders>
              <w:top w:val="single" w:sz="2" w:space="0" w:color="auto"/>
              <w:left w:val="nil"/>
              <w:bottom w:val="single" w:sz="2" w:space="0" w:color="auto"/>
              <w:right w:val="nil"/>
            </w:tcBorders>
            <w:shd w:val="clear" w:color="000000" w:fill="FFFFFF"/>
            <w:vAlign w:val="center"/>
          </w:tcPr>
          <w:p w14:paraId="023511C5" w14:textId="77777777" w:rsidR="00FF7A4C" w:rsidRPr="00530961" w:rsidRDefault="00FF7A4C" w:rsidP="00D12353">
            <w:pPr>
              <w:pStyle w:val="cuatexto"/>
              <w:jc w:val="right"/>
              <w:rPr>
                <w:rFonts w:cs="Calibri"/>
                <w:szCs w:val="20"/>
              </w:rPr>
            </w:pPr>
            <w:r w:rsidRPr="00530961">
              <w:rPr>
                <w:rFonts w:cs="Calibri"/>
                <w:szCs w:val="20"/>
              </w:rPr>
              <w:t>11</w:t>
            </w:r>
          </w:p>
        </w:tc>
      </w:tr>
      <w:tr w:rsidR="00FF7A4C" w:rsidRPr="009A38AE" w14:paraId="111680B4" w14:textId="77777777" w:rsidTr="007705AC">
        <w:trPr>
          <w:gridAfter w:val="1"/>
          <w:wAfter w:w="27" w:type="pct"/>
          <w:trHeight w:val="198"/>
          <w:jc w:val="center"/>
        </w:trPr>
        <w:tc>
          <w:tcPr>
            <w:tcW w:w="2350" w:type="pct"/>
            <w:tcBorders>
              <w:top w:val="single" w:sz="2" w:space="0" w:color="auto"/>
              <w:left w:val="nil"/>
              <w:bottom w:val="single" w:sz="2" w:space="0" w:color="auto"/>
              <w:right w:val="nil"/>
            </w:tcBorders>
            <w:vAlign w:val="center"/>
            <w:hideMark/>
          </w:tcPr>
          <w:p w14:paraId="56E17C5C" w14:textId="77777777" w:rsidR="00FF7A4C" w:rsidRPr="00530961" w:rsidRDefault="00FF7A4C" w:rsidP="00092EB2">
            <w:pPr>
              <w:pStyle w:val="cuatexto"/>
              <w:rPr>
                <w:szCs w:val="20"/>
              </w:rPr>
            </w:pPr>
            <w:r w:rsidRPr="00530961">
              <w:rPr>
                <w:szCs w:val="20"/>
              </w:rPr>
              <w:t xml:space="preserve">Resultado de explotación </w:t>
            </w:r>
          </w:p>
        </w:tc>
        <w:tc>
          <w:tcPr>
            <w:tcW w:w="920" w:type="pct"/>
            <w:gridSpan w:val="2"/>
            <w:tcBorders>
              <w:top w:val="single" w:sz="2" w:space="0" w:color="auto"/>
              <w:left w:val="nil"/>
              <w:bottom w:val="single" w:sz="2" w:space="0" w:color="auto"/>
              <w:right w:val="nil"/>
            </w:tcBorders>
            <w:vAlign w:val="center"/>
          </w:tcPr>
          <w:p w14:paraId="236CA9A5" w14:textId="77777777" w:rsidR="00FF7A4C" w:rsidRPr="00530961" w:rsidRDefault="00FF7A4C" w:rsidP="00D12353">
            <w:pPr>
              <w:pStyle w:val="cuatexto"/>
              <w:jc w:val="right"/>
              <w:rPr>
                <w:rFonts w:cs="Calibri"/>
                <w:szCs w:val="20"/>
              </w:rPr>
            </w:pPr>
            <w:r w:rsidRPr="00530961">
              <w:rPr>
                <w:rFonts w:cs="Calibri"/>
                <w:szCs w:val="20"/>
              </w:rPr>
              <w:t>-7.355</w:t>
            </w:r>
          </w:p>
        </w:tc>
        <w:tc>
          <w:tcPr>
            <w:tcW w:w="858" w:type="pct"/>
            <w:gridSpan w:val="2"/>
            <w:tcBorders>
              <w:top w:val="single" w:sz="2" w:space="0" w:color="auto"/>
              <w:left w:val="nil"/>
              <w:bottom w:val="single" w:sz="2" w:space="0" w:color="auto"/>
              <w:right w:val="nil"/>
            </w:tcBorders>
            <w:shd w:val="clear" w:color="000000" w:fill="FFFFFF"/>
            <w:vAlign w:val="center"/>
          </w:tcPr>
          <w:p w14:paraId="1AB4D8B7" w14:textId="77777777" w:rsidR="00FF7A4C" w:rsidRPr="00530961" w:rsidRDefault="00FF7A4C" w:rsidP="00D12353">
            <w:pPr>
              <w:pStyle w:val="cuatexto"/>
              <w:jc w:val="right"/>
              <w:rPr>
                <w:rFonts w:cs="Calibri"/>
                <w:szCs w:val="20"/>
              </w:rPr>
            </w:pPr>
            <w:r w:rsidRPr="00530961">
              <w:rPr>
                <w:rFonts w:cs="Calibri"/>
                <w:szCs w:val="20"/>
              </w:rPr>
              <w:t>14.680</w:t>
            </w:r>
          </w:p>
        </w:tc>
        <w:tc>
          <w:tcPr>
            <w:tcW w:w="845" w:type="pct"/>
            <w:gridSpan w:val="2"/>
            <w:tcBorders>
              <w:top w:val="single" w:sz="2" w:space="0" w:color="auto"/>
              <w:left w:val="nil"/>
              <w:bottom w:val="single" w:sz="2" w:space="0" w:color="auto"/>
              <w:right w:val="nil"/>
            </w:tcBorders>
            <w:shd w:val="clear" w:color="000000" w:fill="FFFFFF"/>
            <w:vAlign w:val="center"/>
          </w:tcPr>
          <w:p w14:paraId="26EA99AE" w14:textId="77777777" w:rsidR="00FF7A4C" w:rsidRPr="00530961" w:rsidRDefault="00FF7A4C" w:rsidP="00D12353">
            <w:pPr>
              <w:pStyle w:val="cuatexto"/>
              <w:jc w:val="right"/>
              <w:rPr>
                <w:rFonts w:cs="Calibri"/>
                <w:szCs w:val="20"/>
              </w:rPr>
            </w:pPr>
            <w:r w:rsidRPr="00530961">
              <w:rPr>
                <w:rFonts w:cs="Calibri"/>
                <w:szCs w:val="20"/>
              </w:rPr>
              <w:t>-300</w:t>
            </w:r>
          </w:p>
        </w:tc>
      </w:tr>
      <w:tr w:rsidR="00FF7A4C" w:rsidRPr="009A38AE" w14:paraId="515932B9" w14:textId="77777777" w:rsidTr="007705AC">
        <w:trPr>
          <w:gridAfter w:val="1"/>
          <w:wAfter w:w="27" w:type="pct"/>
          <w:trHeight w:val="198"/>
          <w:jc w:val="center"/>
        </w:trPr>
        <w:tc>
          <w:tcPr>
            <w:tcW w:w="2350" w:type="pct"/>
            <w:tcBorders>
              <w:top w:val="single" w:sz="2" w:space="0" w:color="auto"/>
              <w:left w:val="nil"/>
              <w:bottom w:val="single" w:sz="2" w:space="0" w:color="auto"/>
              <w:right w:val="nil"/>
            </w:tcBorders>
            <w:vAlign w:val="center"/>
            <w:hideMark/>
          </w:tcPr>
          <w:p w14:paraId="275440B9" w14:textId="77777777" w:rsidR="00FF7A4C" w:rsidRPr="00530961" w:rsidRDefault="00FF7A4C" w:rsidP="00092EB2">
            <w:pPr>
              <w:pStyle w:val="cuatexto"/>
              <w:rPr>
                <w:szCs w:val="20"/>
              </w:rPr>
            </w:pPr>
            <w:r w:rsidRPr="00530961">
              <w:rPr>
                <w:szCs w:val="20"/>
              </w:rPr>
              <w:t>Resultado consolidado del ejercicio</w:t>
            </w:r>
          </w:p>
        </w:tc>
        <w:tc>
          <w:tcPr>
            <w:tcW w:w="920" w:type="pct"/>
            <w:gridSpan w:val="2"/>
            <w:tcBorders>
              <w:top w:val="single" w:sz="2" w:space="0" w:color="auto"/>
              <w:left w:val="nil"/>
              <w:bottom w:val="single" w:sz="2" w:space="0" w:color="auto"/>
              <w:right w:val="nil"/>
            </w:tcBorders>
            <w:vAlign w:val="center"/>
          </w:tcPr>
          <w:p w14:paraId="6643D00C" w14:textId="77777777" w:rsidR="00FF7A4C" w:rsidRPr="00530961" w:rsidRDefault="00FF7A4C" w:rsidP="00D12353">
            <w:pPr>
              <w:pStyle w:val="cuatexto"/>
              <w:jc w:val="right"/>
              <w:rPr>
                <w:rFonts w:cs="Calibri"/>
                <w:szCs w:val="20"/>
              </w:rPr>
            </w:pPr>
            <w:r w:rsidRPr="00530961">
              <w:rPr>
                <w:rFonts w:cs="Calibri"/>
                <w:szCs w:val="20"/>
              </w:rPr>
              <w:t>-19.493</w:t>
            </w:r>
          </w:p>
        </w:tc>
        <w:tc>
          <w:tcPr>
            <w:tcW w:w="858" w:type="pct"/>
            <w:gridSpan w:val="2"/>
            <w:tcBorders>
              <w:top w:val="single" w:sz="2" w:space="0" w:color="auto"/>
              <w:left w:val="nil"/>
              <w:bottom w:val="single" w:sz="2" w:space="0" w:color="auto"/>
              <w:right w:val="nil"/>
            </w:tcBorders>
            <w:shd w:val="clear" w:color="000000" w:fill="FFFFFF"/>
            <w:vAlign w:val="center"/>
          </w:tcPr>
          <w:p w14:paraId="52914A34" w14:textId="77777777" w:rsidR="00FF7A4C" w:rsidRPr="00530961" w:rsidRDefault="00FF7A4C" w:rsidP="00D12353">
            <w:pPr>
              <w:pStyle w:val="cuatexto"/>
              <w:jc w:val="right"/>
              <w:rPr>
                <w:rFonts w:cs="Calibri"/>
                <w:szCs w:val="20"/>
              </w:rPr>
            </w:pPr>
            <w:r w:rsidRPr="00530961">
              <w:rPr>
                <w:rFonts w:cs="Calibri"/>
                <w:szCs w:val="20"/>
              </w:rPr>
              <w:t>-4.035</w:t>
            </w:r>
          </w:p>
        </w:tc>
        <w:tc>
          <w:tcPr>
            <w:tcW w:w="845" w:type="pct"/>
            <w:gridSpan w:val="2"/>
            <w:tcBorders>
              <w:top w:val="single" w:sz="2" w:space="0" w:color="auto"/>
              <w:left w:val="nil"/>
              <w:bottom w:val="single" w:sz="2" w:space="0" w:color="auto"/>
              <w:right w:val="nil"/>
            </w:tcBorders>
            <w:shd w:val="clear" w:color="000000" w:fill="FFFFFF"/>
            <w:vAlign w:val="center"/>
          </w:tcPr>
          <w:p w14:paraId="2AD891AC" w14:textId="77777777" w:rsidR="00FF7A4C" w:rsidRPr="00530961" w:rsidRDefault="00FF7A4C" w:rsidP="00D12353">
            <w:pPr>
              <w:pStyle w:val="cuatexto"/>
              <w:jc w:val="right"/>
              <w:rPr>
                <w:rFonts w:cs="Calibri"/>
                <w:szCs w:val="20"/>
              </w:rPr>
            </w:pPr>
            <w:r w:rsidRPr="00530961">
              <w:rPr>
                <w:rFonts w:cs="Calibri"/>
                <w:szCs w:val="20"/>
              </w:rPr>
              <w:t>-79</w:t>
            </w:r>
          </w:p>
        </w:tc>
      </w:tr>
      <w:tr w:rsidR="00FF7A4C" w:rsidRPr="009A38AE" w14:paraId="7D6CB70E" w14:textId="77777777" w:rsidTr="007705AC">
        <w:trPr>
          <w:gridAfter w:val="1"/>
          <w:wAfter w:w="27" w:type="pct"/>
          <w:trHeight w:val="198"/>
          <w:jc w:val="center"/>
        </w:trPr>
        <w:tc>
          <w:tcPr>
            <w:tcW w:w="2350" w:type="pct"/>
            <w:tcBorders>
              <w:top w:val="single" w:sz="2" w:space="0" w:color="auto"/>
              <w:left w:val="nil"/>
              <w:bottom w:val="single" w:sz="2" w:space="0" w:color="auto"/>
              <w:right w:val="nil"/>
            </w:tcBorders>
            <w:vAlign w:val="center"/>
            <w:hideMark/>
          </w:tcPr>
          <w:p w14:paraId="65FBC8BC" w14:textId="77777777" w:rsidR="00FF7A4C" w:rsidRPr="00530961" w:rsidRDefault="00FF7A4C" w:rsidP="00092EB2">
            <w:pPr>
              <w:pStyle w:val="cuatexto"/>
              <w:rPr>
                <w:szCs w:val="20"/>
              </w:rPr>
            </w:pPr>
            <w:r w:rsidRPr="00530961">
              <w:rPr>
                <w:szCs w:val="20"/>
              </w:rPr>
              <w:t>Resultado atribuido a la sociedad dominante</w:t>
            </w:r>
          </w:p>
        </w:tc>
        <w:tc>
          <w:tcPr>
            <w:tcW w:w="920" w:type="pct"/>
            <w:gridSpan w:val="2"/>
            <w:tcBorders>
              <w:top w:val="single" w:sz="2" w:space="0" w:color="auto"/>
              <w:left w:val="nil"/>
              <w:bottom w:val="single" w:sz="2" w:space="0" w:color="auto"/>
              <w:right w:val="nil"/>
            </w:tcBorders>
            <w:vAlign w:val="center"/>
          </w:tcPr>
          <w:p w14:paraId="0750B2DC" w14:textId="77777777" w:rsidR="00FF7A4C" w:rsidRPr="00530961" w:rsidRDefault="00FF7A4C" w:rsidP="00D12353">
            <w:pPr>
              <w:pStyle w:val="cuatexto"/>
              <w:jc w:val="right"/>
              <w:rPr>
                <w:rFonts w:cs="Calibri"/>
                <w:szCs w:val="20"/>
              </w:rPr>
            </w:pPr>
            <w:r w:rsidRPr="00530961">
              <w:rPr>
                <w:rFonts w:cs="Calibri"/>
                <w:szCs w:val="20"/>
              </w:rPr>
              <w:t>-20.329</w:t>
            </w:r>
          </w:p>
        </w:tc>
        <w:tc>
          <w:tcPr>
            <w:tcW w:w="858" w:type="pct"/>
            <w:gridSpan w:val="2"/>
            <w:tcBorders>
              <w:top w:val="single" w:sz="2" w:space="0" w:color="auto"/>
              <w:left w:val="nil"/>
              <w:bottom w:val="single" w:sz="2" w:space="0" w:color="auto"/>
              <w:right w:val="nil"/>
            </w:tcBorders>
            <w:shd w:val="clear" w:color="000000" w:fill="FFFFFF"/>
            <w:vAlign w:val="center"/>
          </w:tcPr>
          <w:p w14:paraId="3DEA5E3D" w14:textId="77777777" w:rsidR="00FF7A4C" w:rsidRPr="00530961" w:rsidRDefault="00FF7A4C" w:rsidP="00D12353">
            <w:pPr>
              <w:pStyle w:val="cuatexto"/>
              <w:jc w:val="right"/>
              <w:rPr>
                <w:rFonts w:cs="Calibri"/>
                <w:szCs w:val="20"/>
              </w:rPr>
            </w:pPr>
            <w:r w:rsidRPr="00530961">
              <w:rPr>
                <w:rFonts w:cs="Calibri"/>
                <w:szCs w:val="20"/>
              </w:rPr>
              <w:t>-5.512</w:t>
            </w:r>
          </w:p>
        </w:tc>
        <w:tc>
          <w:tcPr>
            <w:tcW w:w="845" w:type="pct"/>
            <w:gridSpan w:val="2"/>
            <w:tcBorders>
              <w:top w:val="single" w:sz="2" w:space="0" w:color="auto"/>
              <w:left w:val="nil"/>
              <w:bottom w:val="single" w:sz="2" w:space="0" w:color="auto"/>
              <w:right w:val="nil"/>
            </w:tcBorders>
            <w:shd w:val="clear" w:color="000000" w:fill="FFFFFF"/>
            <w:vAlign w:val="center"/>
          </w:tcPr>
          <w:p w14:paraId="632E2C77" w14:textId="77777777" w:rsidR="00FF7A4C" w:rsidRPr="00530961" w:rsidRDefault="00FF7A4C" w:rsidP="00D12353">
            <w:pPr>
              <w:pStyle w:val="cuatexto"/>
              <w:jc w:val="right"/>
              <w:rPr>
                <w:rFonts w:cs="Calibri"/>
                <w:szCs w:val="20"/>
              </w:rPr>
            </w:pPr>
            <w:r w:rsidRPr="00530961">
              <w:rPr>
                <w:rFonts w:cs="Calibri"/>
                <w:szCs w:val="20"/>
              </w:rPr>
              <w:t>-73</w:t>
            </w:r>
          </w:p>
        </w:tc>
      </w:tr>
      <w:tr w:rsidR="00FF7A4C" w:rsidRPr="009A38AE" w14:paraId="675BBDD8" w14:textId="77777777" w:rsidTr="007705AC">
        <w:trPr>
          <w:gridAfter w:val="1"/>
          <w:wAfter w:w="27" w:type="pct"/>
          <w:trHeight w:val="198"/>
          <w:jc w:val="center"/>
        </w:trPr>
        <w:tc>
          <w:tcPr>
            <w:tcW w:w="2350" w:type="pct"/>
            <w:tcBorders>
              <w:top w:val="single" w:sz="2" w:space="0" w:color="auto"/>
              <w:left w:val="nil"/>
              <w:bottom w:val="single" w:sz="2" w:space="0" w:color="auto"/>
              <w:right w:val="nil"/>
            </w:tcBorders>
            <w:vAlign w:val="center"/>
            <w:hideMark/>
          </w:tcPr>
          <w:p w14:paraId="4EB78E85" w14:textId="77777777" w:rsidR="00FF7A4C" w:rsidRPr="00530961" w:rsidRDefault="00FF7A4C" w:rsidP="00092EB2">
            <w:pPr>
              <w:pStyle w:val="cuatexto"/>
              <w:rPr>
                <w:szCs w:val="20"/>
                <w:vertAlign w:val="superscript"/>
              </w:rPr>
            </w:pPr>
            <w:r w:rsidRPr="00530961">
              <w:rPr>
                <w:szCs w:val="20"/>
              </w:rPr>
              <w:t xml:space="preserve">Avales y garantías concedidos a terceros </w:t>
            </w:r>
            <w:r w:rsidRPr="00530961">
              <w:rPr>
                <w:szCs w:val="20"/>
                <w:vertAlign w:val="superscript"/>
              </w:rPr>
              <w:t>(2)</w:t>
            </w:r>
          </w:p>
        </w:tc>
        <w:tc>
          <w:tcPr>
            <w:tcW w:w="920" w:type="pct"/>
            <w:gridSpan w:val="2"/>
            <w:tcBorders>
              <w:top w:val="single" w:sz="2" w:space="0" w:color="auto"/>
              <w:left w:val="nil"/>
              <w:bottom w:val="single" w:sz="2" w:space="0" w:color="auto"/>
              <w:right w:val="nil"/>
            </w:tcBorders>
            <w:vAlign w:val="center"/>
          </w:tcPr>
          <w:p w14:paraId="72E356A9" w14:textId="77777777" w:rsidR="00FF7A4C" w:rsidRPr="00530961" w:rsidRDefault="00FF7A4C" w:rsidP="00D12353">
            <w:pPr>
              <w:pStyle w:val="cuatexto"/>
              <w:jc w:val="right"/>
              <w:rPr>
                <w:rFonts w:cs="Calibri"/>
                <w:szCs w:val="20"/>
              </w:rPr>
            </w:pPr>
            <w:r w:rsidRPr="00530961">
              <w:rPr>
                <w:rFonts w:cs="Calibri"/>
                <w:szCs w:val="20"/>
              </w:rPr>
              <w:t>42.853</w:t>
            </w:r>
          </w:p>
        </w:tc>
        <w:tc>
          <w:tcPr>
            <w:tcW w:w="858" w:type="pct"/>
            <w:gridSpan w:val="2"/>
            <w:tcBorders>
              <w:top w:val="single" w:sz="2" w:space="0" w:color="auto"/>
              <w:left w:val="nil"/>
              <w:bottom w:val="single" w:sz="2" w:space="0" w:color="auto"/>
              <w:right w:val="nil"/>
            </w:tcBorders>
            <w:shd w:val="clear" w:color="000000" w:fill="FFFFFF"/>
            <w:vAlign w:val="center"/>
          </w:tcPr>
          <w:p w14:paraId="16808323" w14:textId="77777777" w:rsidR="00FF7A4C" w:rsidRPr="00530961" w:rsidRDefault="00FF7A4C" w:rsidP="00D12353">
            <w:pPr>
              <w:pStyle w:val="cuatexto"/>
              <w:jc w:val="right"/>
              <w:rPr>
                <w:rFonts w:cs="Calibri"/>
                <w:szCs w:val="20"/>
              </w:rPr>
            </w:pPr>
            <w:r w:rsidRPr="00530961">
              <w:rPr>
                <w:rFonts w:cs="Calibri"/>
                <w:szCs w:val="20"/>
              </w:rPr>
              <w:t>48.037</w:t>
            </w:r>
          </w:p>
        </w:tc>
        <w:tc>
          <w:tcPr>
            <w:tcW w:w="845" w:type="pct"/>
            <w:gridSpan w:val="2"/>
            <w:tcBorders>
              <w:top w:val="single" w:sz="2" w:space="0" w:color="auto"/>
              <w:left w:val="nil"/>
              <w:bottom w:val="single" w:sz="2" w:space="0" w:color="auto"/>
              <w:right w:val="nil"/>
            </w:tcBorders>
            <w:shd w:val="clear" w:color="000000" w:fill="FFFFFF"/>
            <w:vAlign w:val="center"/>
          </w:tcPr>
          <w:p w14:paraId="5B33A55D" w14:textId="77777777" w:rsidR="00FF7A4C" w:rsidRPr="00530961" w:rsidRDefault="00FF7A4C" w:rsidP="00D12353">
            <w:pPr>
              <w:pStyle w:val="cuatexto"/>
              <w:jc w:val="right"/>
              <w:rPr>
                <w:rFonts w:cs="Calibri"/>
                <w:szCs w:val="20"/>
              </w:rPr>
            </w:pPr>
            <w:r w:rsidRPr="00530961">
              <w:rPr>
                <w:rFonts w:cs="Calibri"/>
                <w:szCs w:val="20"/>
              </w:rPr>
              <w:t>12</w:t>
            </w:r>
          </w:p>
        </w:tc>
      </w:tr>
      <w:tr w:rsidR="00FF7A4C" w:rsidRPr="009A38AE" w14:paraId="0C42781C" w14:textId="77777777" w:rsidTr="007705AC">
        <w:trPr>
          <w:gridAfter w:val="1"/>
          <w:wAfter w:w="27" w:type="pct"/>
          <w:trHeight w:val="198"/>
          <w:jc w:val="center"/>
        </w:trPr>
        <w:tc>
          <w:tcPr>
            <w:tcW w:w="2350" w:type="pct"/>
            <w:tcBorders>
              <w:top w:val="single" w:sz="2" w:space="0" w:color="auto"/>
              <w:left w:val="nil"/>
              <w:bottom w:val="single" w:sz="2" w:space="0" w:color="auto"/>
              <w:right w:val="nil"/>
            </w:tcBorders>
            <w:vAlign w:val="center"/>
            <w:hideMark/>
          </w:tcPr>
          <w:p w14:paraId="458EF83C" w14:textId="77777777" w:rsidR="00FF7A4C" w:rsidRPr="00530961" w:rsidRDefault="00FF7A4C" w:rsidP="00092EB2">
            <w:pPr>
              <w:pStyle w:val="cuatexto"/>
              <w:rPr>
                <w:szCs w:val="20"/>
              </w:rPr>
            </w:pPr>
            <w:r w:rsidRPr="00530961">
              <w:rPr>
                <w:szCs w:val="20"/>
              </w:rPr>
              <w:t xml:space="preserve">Retribuciones Consejo de Administración CPEN </w:t>
            </w:r>
          </w:p>
        </w:tc>
        <w:tc>
          <w:tcPr>
            <w:tcW w:w="920" w:type="pct"/>
            <w:gridSpan w:val="2"/>
            <w:tcBorders>
              <w:top w:val="single" w:sz="2" w:space="0" w:color="auto"/>
              <w:left w:val="nil"/>
              <w:bottom w:val="single" w:sz="2" w:space="0" w:color="auto"/>
              <w:right w:val="nil"/>
            </w:tcBorders>
            <w:vAlign w:val="center"/>
          </w:tcPr>
          <w:p w14:paraId="18D5FDCD" w14:textId="77777777" w:rsidR="00FF7A4C" w:rsidRPr="00530961" w:rsidRDefault="00FF7A4C" w:rsidP="00D12353">
            <w:pPr>
              <w:pStyle w:val="cuatexto"/>
              <w:jc w:val="right"/>
              <w:rPr>
                <w:rFonts w:cs="Calibri"/>
                <w:szCs w:val="20"/>
              </w:rPr>
            </w:pPr>
            <w:r w:rsidRPr="00530961">
              <w:rPr>
                <w:rFonts w:cs="Calibri"/>
                <w:szCs w:val="20"/>
              </w:rPr>
              <w:t>7</w:t>
            </w:r>
          </w:p>
        </w:tc>
        <w:tc>
          <w:tcPr>
            <w:tcW w:w="858" w:type="pct"/>
            <w:gridSpan w:val="2"/>
            <w:tcBorders>
              <w:top w:val="single" w:sz="2" w:space="0" w:color="auto"/>
              <w:left w:val="nil"/>
              <w:bottom w:val="single" w:sz="2" w:space="0" w:color="auto"/>
              <w:right w:val="nil"/>
            </w:tcBorders>
            <w:shd w:val="clear" w:color="000000" w:fill="FFFFFF"/>
            <w:vAlign w:val="center"/>
          </w:tcPr>
          <w:p w14:paraId="64765971" w14:textId="77777777" w:rsidR="00FF7A4C" w:rsidRPr="00530961" w:rsidRDefault="00FF7A4C" w:rsidP="00D12353">
            <w:pPr>
              <w:pStyle w:val="cuatexto"/>
              <w:jc w:val="right"/>
              <w:rPr>
                <w:rFonts w:cs="Calibri"/>
                <w:szCs w:val="20"/>
              </w:rPr>
            </w:pPr>
            <w:r w:rsidRPr="00530961">
              <w:rPr>
                <w:rFonts w:cs="Calibri"/>
                <w:szCs w:val="20"/>
              </w:rPr>
              <w:t>7</w:t>
            </w:r>
          </w:p>
        </w:tc>
        <w:tc>
          <w:tcPr>
            <w:tcW w:w="845" w:type="pct"/>
            <w:gridSpan w:val="2"/>
            <w:tcBorders>
              <w:top w:val="single" w:sz="2" w:space="0" w:color="auto"/>
              <w:left w:val="nil"/>
              <w:bottom w:val="single" w:sz="2" w:space="0" w:color="auto"/>
              <w:right w:val="nil"/>
            </w:tcBorders>
            <w:shd w:val="clear" w:color="000000" w:fill="FFFFFF"/>
            <w:vAlign w:val="center"/>
          </w:tcPr>
          <w:p w14:paraId="2B523831" w14:textId="77777777" w:rsidR="00FF7A4C" w:rsidRPr="00530961" w:rsidRDefault="00FF7A4C" w:rsidP="00D12353">
            <w:pPr>
              <w:pStyle w:val="cuatexto"/>
              <w:jc w:val="right"/>
              <w:rPr>
                <w:rFonts w:cs="Calibri"/>
                <w:szCs w:val="20"/>
              </w:rPr>
            </w:pPr>
            <w:r w:rsidRPr="00530961">
              <w:rPr>
                <w:rFonts w:cs="Calibri"/>
                <w:szCs w:val="20"/>
              </w:rPr>
              <w:t>0</w:t>
            </w:r>
          </w:p>
        </w:tc>
      </w:tr>
      <w:tr w:rsidR="00092EB2" w:rsidRPr="002B1E5B" w14:paraId="064F139F" w14:textId="77777777" w:rsidTr="007705AC">
        <w:trPr>
          <w:gridAfter w:val="1"/>
          <w:wAfter w:w="27" w:type="pct"/>
          <w:trHeight w:val="198"/>
          <w:jc w:val="center"/>
        </w:trPr>
        <w:tc>
          <w:tcPr>
            <w:tcW w:w="2350" w:type="pct"/>
            <w:tcBorders>
              <w:top w:val="single" w:sz="2" w:space="0" w:color="auto"/>
              <w:left w:val="nil"/>
              <w:bottom w:val="single" w:sz="2" w:space="0" w:color="auto"/>
              <w:right w:val="nil"/>
            </w:tcBorders>
            <w:vAlign w:val="center"/>
            <w:hideMark/>
          </w:tcPr>
          <w:p w14:paraId="6D068883" w14:textId="77777777" w:rsidR="00FF7A4C" w:rsidRPr="00530961" w:rsidRDefault="00FF7A4C" w:rsidP="00092EB2">
            <w:pPr>
              <w:pStyle w:val="cuatexto"/>
              <w:rPr>
                <w:szCs w:val="20"/>
                <w:vertAlign w:val="superscript"/>
              </w:rPr>
            </w:pPr>
            <w:r w:rsidRPr="00530961">
              <w:rPr>
                <w:szCs w:val="20"/>
              </w:rPr>
              <w:t>Retribuciones alta dirección CPEN</w:t>
            </w:r>
          </w:p>
        </w:tc>
        <w:tc>
          <w:tcPr>
            <w:tcW w:w="920" w:type="pct"/>
            <w:gridSpan w:val="2"/>
            <w:tcBorders>
              <w:top w:val="single" w:sz="2" w:space="0" w:color="auto"/>
              <w:left w:val="nil"/>
              <w:bottom w:val="single" w:sz="2" w:space="0" w:color="auto"/>
              <w:right w:val="nil"/>
            </w:tcBorders>
            <w:vAlign w:val="center"/>
          </w:tcPr>
          <w:p w14:paraId="2EAFE83A" w14:textId="77777777" w:rsidR="00FF7A4C" w:rsidRPr="00530961" w:rsidRDefault="00FF7A4C" w:rsidP="00D12353">
            <w:pPr>
              <w:pStyle w:val="cuatexto"/>
              <w:jc w:val="right"/>
              <w:rPr>
                <w:rFonts w:cs="Calibri"/>
                <w:szCs w:val="20"/>
              </w:rPr>
            </w:pPr>
            <w:r w:rsidRPr="00530961">
              <w:rPr>
                <w:rFonts w:cs="Calibri"/>
                <w:szCs w:val="20"/>
              </w:rPr>
              <w:t>96</w:t>
            </w:r>
          </w:p>
        </w:tc>
        <w:tc>
          <w:tcPr>
            <w:tcW w:w="858" w:type="pct"/>
            <w:gridSpan w:val="2"/>
            <w:tcBorders>
              <w:top w:val="single" w:sz="2" w:space="0" w:color="auto"/>
              <w:left w:val="nil"/>
              <w:bottom w:val="single" w:sz="2" w:space="0" w:color="auto"/>
              <w:right w:val="nil"/>
            </w:tcBorders>
            <w:shd w:val="clear" w:color="000000" w:fill="FFFFFF"/>
            <w:vAlign w:val="center"/>
          </w:tcPr>
          <w:p w14:paraId="2D6CBC6F" w14:textId="77777777" w:rsidR="00FF7A4C" w:rsidRPr="00530961" w:rsidRDefault="00FF7A4C" w:rsidP="00D12353">
            <w:pPr>
              <w:pStyle w:val="cuatexto"/>
              <w:jc w:val="right"/>
              <w:rPr>
                <w:rFonts w:cs="Calibri"/>
                <w:szCs w:val="20"/>
              </w:rPr>
            </w:pPr>
            <w:r w:rsidRPr="00530961">
              <w:rPr>
                <w:rFonts w:cs="Calibri"/>
                <w:szCs w:val="20"/>
              </w:rPr>
              <w:t>99</w:t>
            </w:r>
          </w:p>
        </w:tc>
        <w:tc>
          <w:tcPr>
            <w:tcW w:w="845" w:type="pct"/>
            <w:gridSpan w:val="2"/>
            <w:tcBorders>
              <w:top w:val="single" w:sz="2" w:space="0" w:color="auto"/>
              <w:left w:val="nil"/>
              <w:bottom w:val="single" w:sz="2" w:space="0" w:color="auto"/>
              <w:right w:val="nil"/>
            </w:tcBorders>
            <w:shd w:val="clear" w:color="000000" w:fill="FFFFFF"/>
            <w:vAlign w:val="center"/>
          </w:tcPr>
          <w:p w14:paraId="3F85AD1D" w14:textId="77777777" w:rsidR="00FF7A4C" w:rsidRPr="00530961" w:rsidRDefault="00FF7A4C" w:rsidP="00D12353">
            <w:pPr>
              <w:pStyle w:val="cuatexto"/>
              <w:jc w:val="right"/>
              <w:rPr>
                <w:rFonts w:cs="Calibri"/>
                <w:szCs w:val="20"/>
              </w:rPr>
            </w:pPr>
            <w:r w:rsidRPr="00530961">
              <w:rPr>
                <w:rFonts w:cs="Calibri"/>
                <w:szCs w:val="20"/>
              </w:rPr>
              <w:t>3</w:t>
            </w:r>
          </w:p>
        </w:tc>
      </w:tr>
      <w:tr w:rsidR="00FF7A4C" w:rsidRPr="009A38AE" w14:paraId="7814BC96" w14:textId="77777777" w:rsidTr="007705AC">
        <w:trPr>
          <w:gridAfter w:val="1"/>
          <w:wAfter w:w="27" w:type="pct"/>
          <w:trHeight w:val="198"/>
          <w:jc w:val="center"/>
        </w:trPr>
        <w:tc>
          <w:tcPr>
            <w:tcW w:w="2350" w:type="pct"/>
            <w:tcBorders>
              <w:top w:val="single" w:sz="2" w:space="0" w:color="auto"/>
              <w:left w:val="nil"/>
              <w:bottom w:val="single" w:sz="4" w:space="0" w:color="auto"/>
              <w:right w:val="nil"/>
            </w:tcBorders>
            <w:vAlign w:val="center"/>
            <w:hideMark/>
          </w:tcPr>
          <w:p w14:paraId="22B06553" w14:textId="77777777" w:rsidR="00FF7A4C" w:rsidRPr="009A38AE" w:rsidRDefault="00FF7A4C" w:rsidP="00092EB2">
            <w:pPr>
              <w:pStyle w:val="cuatexto"/>
              <w:rPr>
                <w:vertAlign w:val="superscript"/>
              </w:rPr>
            </w:pPr>
            <w:r w:rsidRPr="009A38AE">
              <w:t xml:space="preserve">Número medio de altos directivos </w:t>
            </w:r>
            <w:r w:rsidRPr="009A38AE">
              <w:rPr>
                <w:vertAlign w:val="superscript"/>
              </w:rPr>
              <w:t>(2)</w:t>
            </w:r>
          </w:p>
        </w:tc>
        <w:tc>
          <w:tcPr>
            <w:tcW w:w="920" w:type="pct"/>
            <w:gridSpan w:val="2"/>
            <w:tcBorders>
              <w:top w:val="single" w:sz="2" w:space="0" w:color="auto"/>
              <w:left w:val="nil"/>
              <w:bottom w:val="single" w:sz="4" w:space="0" w:color="auto"/>
              <w:right w:val="nil"/>
            </w:tcBorders>
            <w:vAlign w:val="center"/>
          </w:tcPr>
          <w:p w14:paraId="642BDB38" w14:textId="77777777" w:rsidR="00FF7A4C" w:rsidRPr="009A38AE" w:rsidRDefault="00FF7A4C" w:rsidP="00D12353">
            <w:pPr>
              <w:pStyle w:val="cuatexto"/>
              <w:jc w:val="right"/>
              <w:rPr>
                <w:rFonts w:cs="Calibri"/>
              </w:rPr>
            </w:pPr>
            <w:r w:rsidRPr="009A38AE">
              <w:rPr>
                <w:rFonts w:cs="Calibri"/>
              </w:rPr>
              <w:t>14</w:t>
            </w:r>
          </w:p>
        </w:tc>
        <w:tc>
          <w:tcPr>
            <w:tcW w:w="858" w:type="pct"/>
            <w:gridSpan w:val="2"/>
            <w:tcBorders>
              <w:top w:val="single" w:sz="2" w:space="0" w:color="auto"/>
              <w:left w:val="nil"/>
              <w:bottom w:val="single" w:sz="4" w:space="0" w:color="auto"/>
              <w:right w:val="nil"/>
            </w:tcBorders>
            <w:shd w:val="clear" w:color="000000" w:fill="FFFFFF"/>
            <w:vAlign w:val="center"/>
          </w:tcPr>
          <w:p w14:paraId="0185EAC9" w14:textId="77777777" w:rsidR="00FF7A4C" w:rsidRPr="009A38AE" w:rsidRDefault="00FF7A4C" w:rsidP="00D12353">
            <w:pPr>
              <w:pStyle w:val="cuatexto"/>
              <w:jc w:val="right"/>
              <w:rPr>
                <w:rFonts w:cs="Calibri"/>
              </w:rPr>
            </w:pPr>
            <w:r w:rsidRPr="009A38AE">
              <w:rPr>
                <w:rFonts w:cs="Calibri"/>
              </w:rPr>
              <w:t>20</w:t>
            </w:r>
          </w:p>
        </w:tc>
        <w:tc>
          <w:tcPr>
            <w:tcW w:w="845" w:type="pct"/>
            <w:gridSpan w:val="2"/>
            <w:tcBorders>
              <w:top w:val="single" w:sz="2" w:space="0" w:color="auto"/>
              <w:left w:val="nil"/>
              <w:bottom w:val="single" w:sz="4" w:space="0" w:color="auto"/>
              <w:right w:val="nil"/>
            </w:tcBorders>
            <w:shd w:val="clear" w:color="000000" w:fill="FFFFFF"/>
            <w:vAlign w:val="center"/>
          </w:tcPr>
          <w:p w14:paraId="098CC2AA" w14:textId="77777777" w:rsidR="00FF7A4C" w:rsidRPr="009A38AE" w:rsidRDefault="00FF7A4C" w:rsidP="00D12353">
            <w:pPr>
              <w:pStyle w:val="cuatexto"/>
              <w:jc w:val="right"/>
              <w:rPr>
                <w:rFonts w:cs="Calibri"/>
              </w:rPr>
            </w:pPr>
            <w:r w:rsidRPr="009A38AE">
              <w:rPr>
                <w:rFonts w:cs="Calibri"/>
              </w:rPr>
              <w:t>47</w:t>
            </w:r>
          </w:p>
        </w:tc>
      </w:tr>
    </w:tbl>
    <w:p w14:paraId="4E93C11D" w14:textId="77777777" w:rsidR="00614DC4" w:rsidRDefault="00614DC4" w:rsidP="00614DC4">
      <w:pPr>
        <w:tabs>
          <w:tab w:val="center" w:pos="2835"/>
          <w:tab w:val="center" w:pos="3969"/>
          <w:tab w:val="center" w:pos="5103"/>
          <w:tab w:val="center" w:pos="6237"/>
          <w:tab w:val="center" w:pos="7371"/>
        </w:tabs>
        <w:spacing w:before="60"/>
        <w:rPr>
          <w:rFonts w:ascii="Arial" w:hAnsi="Arial" w:cs="Arial"/>
          <w:bCs/>
          <w:spacing w:val="-3"/>
          <w:sz w:val="16"/>
          <w:szCs w:val="16"/>
        </w:rPr>
      </w:pPr>
      <w:r>
        <w:rPr>
          <w:rFonts w:ascii="Arial" w:hAnsi="Arial" w:cs="Arial"/>
          <w:bCs/>
          <w:spacing w:val="-3"/>
          <w:sz w:val="16"/>
          <w:szCs w:val="16"/>
        </w:rPr>
        <w:t>(1) Importe antes del efecto impositivo.</w:t>
      </w:r>
    </w:p>
    <w:p w14:paraId="15644616" w14:textId="77777777" w:rsidR="00614DC4" w:rsidRDefault="00614DC4" w:rsidP="00614DC4">
      <w:pPr>
        <w:tabs>
          <w:tab w:val="center" w:pos="2835"/>
          <w:tab w:val="center" w:pos="3969"/>
          <w:tab w:val="center" w:pos="5103"/>
          <w:tab w:val="center" w:pos="6237"/>
          <w:tab w:val="center" w:pos="7371"/>
        </w:tabs>
        <w:rPr>
          <w:rFonts w:ascii="Arial" w:hAnsi="Arial" w:cs="Arial"/>
          <w:bCs/>
          <w:spacing w:val="-3"/>
          <w:sz w:val="16"/>
          <w:szCs w:val="16"/>
        </w:rPr>
      </w:pPr>
      <w:r>
        <w:rPr>
          <w:rFonts w:ascii="Arial" w:hAnsi="Arial" w:cs="Arial"/>
          <w:bCs/>
          <w:spacing w:val="-3"/>
          <w:sz w:val="16"/>
          <w:szCs w:val="16"/>
        </w:rPr>
        <w:t xml:space="preserve">(2) Solo referido a empresas dependientes incluidas por integración global en la consolidación. </w:t>
      </w:r>
    </w:p>
    <w:p w14:paraId="42E17795" w14:textId="77777777" w:rsidR="00515493" w:rsidRDefault="00515493">
      <w:pPr>
        <w:rPr>
          <w:spacing w:val="6"/>
          <w:sz w:val="26"/>
        </w:rPr>
      </w:pPr>
      <w:r>
        <w:br w:type="page"/>
      </w:r>
    </w:p>
    <w:p w14:paraId="5EB574CE" w14:textId="77777777" w:rsidR="00614DC4" w:rsidRDefault="00614DC4" w:rsidP="009A38AE">
      <w:pPr>
        <w:pStyle w:val="texto"/>
        <w:spacing w:before="240"/>
        <w:jc w:val="both"/>
      </w:pPr>
      <w:r>
        <w:lastRenderedPageBreak/>
        <w:t>Del análisis de estos datos destacamos los siguientes aspectos:</w:t>
      </w:r>
    </w:p>
    <w:p w14:paraId="724EEF54" w14:textId="77777777" w:rsidR="00614DC4" w:rsidRPr="00834039" w:rsidRDefault="00614DC4" w:rsidP="008C2B8E">
      <w:pPr>
        <w:pStyle w:val="texto"/>
        <w:numPr>
          <w:ilvl w:val="0"/>
          <w:numId w:val="6"/>
        </w:numPr>
        <w:tabs>
          <w:tab w:val="clear" w:pos="360"/>
          <w:tab w:val="num" w:pos="300"/>
          <w:tab w:val="left" w:pos="480"/>
          <w:tab w:val="num" w:pos="600"/>
        </w:tabs>
        <w:spacing w:before="120"/>
        <w:ind w:firstLine="289"/>
        <w:jc w:val="both"/>
        <w:rPr>
          <w:rFonts w:cs="Arial"/>
        </w:rPr>
      </w:pPr>
      <w:r w:rsidRPr="00834039">
        <w:rPr>
          <w:rFonts w:cs="Arial"/>
        </w:rPr>
        <w:t>Las deudas a largo plazo en 202</w:t>
      </w:r>
      <w:r w:rsidR="00CA6D68" w:rsidRPr="00834039">
        <w:rPr>
          <w:rFonts w:cs="Arial"/>
        </w:rPr>
        <w:t>3 son un 90</w:t>
      </w:r>
      <w:r w:rsidRPr="00834039">
        <w:rPr>
          <w:rFonts w:cs="Arial"/>
        </w:rPr>
        <w:t xml:space="preserve"> por ciento inferiores a las del ejercicio anterior suponiendo un total de 4</w:t>
      </w:r>
      <w:r w:rsidR="00CA6D68" w:rsidRPr="00834039">
        <w:rPr>
          <w:rFonts w:cs="Arial"/>
        </w:rPr>
        <w:t>,86</w:t>
      </w:r>
      <w:r w:rsidRPr="00834039">
        <w:rPr>
          <w:rFonts w:cs="Arial"/>
        </w:rPr>
        <w:t xml:space="preserve"> millones.</w:t>
      </w:r>
      <w:r w:rsidR="005F2B06">
        <w:rPr>
          <w:rFonts w:cs="Arial"/>
        </w:rPr>
        <w:t xml:space="preserve"> No obstante, indicamos que en la sociedad pública Nasuvinsa, se ha </w:t>
      </w:r>
      <w:r w:rsidR="005F7E92">
        <w:rPr>
          <w:rFonts w:cs="Arial"/>
        </w:rPr>
        <w:t>traspasado 39,75 millones a</w:t>
      </w:r>
      <w:r w:rsidR="005F2B06">
        <w:rPr>
          <w:rFonts w:cs="Arial"/>
        </w:rPr>
        <w:t xml:space="preserve"> deuda a </w:t>
      </w:r>
      <w:r w:rsidR="005F7E92">
        <w:rPr>
          <w:rFonts w:cs="Arial"/>
        </w:rPr>
        <w:t>corto plazo</w:t>
      </w:r>
      <w:r w:rsidR="005F7E92">
        <w:rPr>
          <w:rStyle w:val="Refdenotaalpie"/>
          <w:rFonts w:cs="Arial"/>
        </w:rPr>
        <w:footnoteReference w:id="39"/>
      </w:r>
      <w:r w:rsidR="005F7E92">
        <w:rPr>
          <w:rFonts w:cs="Arial"/>
        </w:rPr>
        <w:t xml:space="preserve">. En el supuesto de no haber efectuado esta reclasificación contable, la deuda a </w:t>
      </w:r>
      <w:proofErr w:type="gramStart"/>
      <w:r w:rsidR="005F7E92">
        <w:rPr>
          <w:rFonts w:cs="Arial"/>
        </w:rPr>
        <w:t>largo,</w:t>
      </w:r>
      <w:proofErr w:type="gramEnd"/>
      <w:r w:rsidR="005F7E92">
        <w:rPr>
          <w:rFonts w:cs="Arial"/>
        </w:rPr>
        <w:t xml:space="preserve"> hubiera disminuido un siete por ciento</w:t>
      </w:r>
      <w:r w:rsidR="008F0074">
        <w:rPr>
          <w:rFonts w:cs="Arial"/>
        </w:rPr>
        <w:t>.</w:t>
      </w:r>
    </w:p>
    <w:p w14:paraId="59406A51" w14:textId="77777777" w:rsidR="00614DC4" w:rsidRPr="00834039" w:rsidRDefault="00614DC4" w:rsidP="008C2B8E">
      <w:pPr>
        <w:pStyle w:val="texto"/>
        <w:numPr>
          <w:ilvl w:val="0"/>
          <w:numId w:val="6"/>
        </w:numPr>
        <w:tabs>
          <w:tab w:val="clear" w:pos="360"/>
          <w:tab w:val="num" w:pos="300"/>
          <w:tab w:val="left" w:pos="480"/>
          <w:tab w:val="num" w:pos="600"/>
        </w:tabs>
        <w:spacing w:before="120"/>
        <w:ind w:firstLine="289"/>
        <w:jc w:val="both"/>
        <w:rPr>
          <w:rFonts w:cs="Arial"/>
        </w:rPr>
      </w:pPr>
      <w:r w:rsidRPr="00834039">
        <w:rPr>
          <w:rFonts w:cs="Arial"/>
        </w:rPr>
        <w:t>El pasivo corriente en 202</w:t>
      </w:r>
      <w:r w:rsidR="00CA6D68" w:rsidRPr="00834039">
        <w:rPr>
          <w:rFonts w:cs="Arial"/>
        </w:rPr>
        <w:t>3</w:t>
      </w:r>
      <w:r w:rsidRPr="00834039">
        <w:rPr>
          <w:rFonts w:cs="Arial"/>
        </w:rPr>
        <w:t xml:space="preserve"> incrementa un </w:t>
      </w:r>
      <w:r w:rsidR="00CA6D68" w:rsidRPr="00834039">
        <w:rPr>
          <w:rFonts w:cs="Arial"/>
        </w:rPr>
        <w:t xml:space="preserve">51 </w:t>
      </w:r>
      <w:r w:rsidRPr="00834039">
        <w:rPr>
          <w:rFonts w:cs="Arial"/>
        </w:rPr>
        <w:t>por ciento respecto a 202</w:t>
      </w:r>
      <w:r w:rsidR="00CA6D68" w:rsidRPr="00834039">
        <w:rPr>
          <w:rFonts w:cs="Arial"/>
        </w:rPr>
        <w:t>2</w:t>
      </w:r>
      <w:r w:rsidRPr="00834039">
        <w:rPr>
          <w:rFonts w:cs="Arial"/>
        </w:rPr>
        <w:t xml:space="preserve"> y alcanza los </w:t>
      </w:r>
      <w:r w:rsidR="00CA6D68" w:rsidRPr="00834039">
        <w:rPr>
          <w:rFonts w:cs="Arial"/>
        </w:rPr>
        <w:t xml:space="preserve">149,37 </w:t>
      </w:r>
      <w:r w:rsidRPr="00834039">
        <w:rPr>
          <w:rFonts w:cs="Arial"/>
        </w:rPr>
        <w:t>millones.</w:t>
      </w:r>
    </w:p>
    <w:p w14:paraId="173B888F" w14:textId="77777777" w:rsidR="00614DC4" w:rsidRPr="00834039" w:rsidRDefault="00614DC4" w:rsidP="008C2B8E">
      <w:pPr>
        <w:pStyle w:val="texto"/>
        <w:numPr>
          <w:ilvl w:val="0"/>
          <w:numId w:val="6"/>
        </w:numPr>
        <w:tabs>
          <w:tab w:val="clear" w:pos="360"/>
          <w:tab w:val="num" w:pos="300"/>
          <w:tab w:val="left" w:pos="480"/>
          <w:tab w:val="num" w:pos="600"/>
        </w:tabs>
        <w:spacing w:before="120"/>
        <w:ind w:firstLine="289"/>
        <w:jc w:val="both"/>
        <w:rPr>
          <w:rFonts w:cs="Arial"/>
        </w:rPr>
      </w:pPr>
      <w:r w:rsidRPr="00834039">
        <w:rPr>
          <w:rFonts w:cs="Arial"/>
        </w:rPr>
        <w:t>Las subvenciones recibidas de la ACFN en 202</w:t>
      </w:r>
      <w:r w:rsidR="00CA6D68" w:rsidRPr="00834039">
        <w:rPr>
          <w:rFonts w:cs="Arial"/>
        </w:rPr>
        <w:t>3 suman 40,89</w:t>
      </w:r>
      <w:r w:rsidRPr="00834039">
        <w:rPr>
          <w:rFonts w:cs="Arial"/>
        </w:rPr>
        <w:t xml:space="preserve"> millones, importe superior al de 202</w:t>
      </w:r>
      <w:r w:rsidR="00CA6D68" w:rsidRPr="00834039">
        <w:rPr>
          <w:rFonts w:cs="Arial"/>
        </w:rPr>
        <w:t>2</w:t>
      </w:r>
      <w:r w:rsidRPr="00834039">
        <w:rPr>
          <w:rFonts w:cs="Arial"/>
        </w:rPr>
        <w:t xml:space="preserve"> en un </w:t>
      </w:r>
      <w:r w:rsidR="00CA6D68" w:rsidRPr="00834039">
        <w:rPr>
          <w:rFonts w:cs="Arial"/>
        </w:rPr>
        <w:t>11</w:t>
      </w:r>
      <w:r w:rsidR="001D7C96">
        <w:rPr>
          <w:rFonts w:cs="Arial"/>
        </w:rPr>
        <w:t>6</w:t>
      </w:r>
      <w:r w:rsidRPr="00834039">
        <w:rPr>
          <w:rFonts w:cs="Arial"/>
        </w:rPr>
        <w:t xml:space="preserve"> por ciento. </w:t>
      </w:r>
    </w:p>
    <w:p w14:paraId="61F29556" w14:textId="77777777" w:rsidR="00CA6D68" w:rsidRDefault="00614DC4" w:rsidP="008C2B8E">
      <w:pPr>
        <w:pStyle w:val="texto"/>
        <w:numPr>
          <w:ilvl w:val="0"/>
          <w:numId w:val="6"/>
        </w:numPr>
        <w:tabs>
          <w:tab w:val="clear" w:pos="360"/>
          <w:tab w:val="num" w:pos="300"/>
          <w:tab w:val="left" w:pos="480"/>
          <w:tab w:val="num" w:pos="600"/>
        </w:tabs>
        <w:spacing w:before="120"/>
        <w:ind w:firstLine="289"/>
        <w:jc w:val="both"/>
        <w:rPr>
          <w:rFonts w:cs="Arial"/>
        </w:rPr>
      </w:pPr>
      <w:r>
        <w:rPr>
          <w:rFonts w:cs="Arial"/>
        </w:rPr>
        <w:t xml:space="preserve">El resultado consolidado del ejercicio y el atribuido a la sociedad dominante </w:t>
      </w:r>
      <w:r w:rsidR="00CA6D68">
        <w:rPr>
          <w:rFonts w:cs="Arial"/>
        </w:rPr>
        <w:t xml:space="preserve">a pesar de seguir siendo negativo, </w:t>
      </w:r>
      <w:r>
        <w:rPr>
          <w:rFonts w:cs="Arial"/>
        </w:rPr>
        <w:t xml:space="preserve">han </w:t>
      </w:r>
      <w:r w:rsidR="00CA6D68">
        <w:rPr>
          <w:rFonts w:cs="Arial"/>
        </w:rPr>
        <w:t xml:space="preserve">mejorado </w:t>
      </w:r>
      <w:r>
        <w:rPr>
          <w:rFonts w:cs="Arial"/>
        </w:rPr>
        <w:t>significativamente en 202</w:t>
      </w:r>
      <w:r w:rsidR="00CA6D68">
        <w:rPr>
          <w:rFonts w:cs="Arial"/>
        </w:rPr>
        <w:t>3</w:t>
      </w:r>
      <w:r>
        <w:rPr>
          <w:rFonts w:cs="Arial"/>
        </w:rPr>
        <w:t xml:space="preserve">, reduciendo un </w:t>
      </w:r>
      <w:r w:rsidR="00CA6D68">
        <w:rPr>
          <w:rFonts w:cs="Arial"/>
        </w:rPr>
        <w:t>79</w:t>
      </w:r>
      <w:r>
        <w:rPr>
          <w:rFonts w:cs="Arial"/>
        </w:rPr>
        <w:t xml:space="preserve"> y un </w:t>
      </w:r>
      <w:r w:rsidR="00CA6D68">
        <w:rPr>
          <w:rFonts w:cs="Arial"/>
        </w:rPr>
        <w:t>73 por ciento respectivamente</w:t>
      </w:r>
      <w:r w:rsidR="00A6385E">
        <w:rPr>
          <w:rFonts w:cs="Arial"/>
        </w:rPr>
        <w:t xml:space="preserve">. </w:t>
      </w:r>
    </w:p>
    <w:p w14:paraId="3257F7B5" w14:textId="77777777" w:rsidR="00614DC4" w:rsidRDefault="00614DC4" w:rsidP="009A38AE">
      <w:pPr>
        <w:pStyle w:val="texto"/>
        <w:spacing w:before="240" w:after="240"/>
        <w:jc w:val="both"/>
        <w:rPr>
          <w:color w:val="000000" w:themeColor="text1"/>
        </w:rPr>
      </w:pPr>
      <w:r>
        <w:rPr>
          <w:color w:val="000000" w:themeColor="text1"/>
        </w:rPr>
        <w:t>La composición del grupo empresarial de la CPEN a efectos de consolidación contable es la siguiente:</w:t>
      </w:r>
    </w:p>
    <w:tbl>
      <w:tblPr>
        <w:tblW w:w="5000" w:type="pct"/>
        <w:jc w:val="center"/>
        <w:tblLook w:val="01E0" w:firstRow="1" w:lastRow="1" w:firstColumn="1" w:lastColumn="1" w:noHBand="0" w:noVBand="0"/>
      </w:tblPr>
      <w:tblGrid>
        <w:gridCol w:w="4635"/>
        <w:gridCol w:w="2078"/>
        <w:gridCol w:w="2076"/>
      </w:tblGrid>
      <w:tr w:rsidR="00614DC4" w14:paraId="346DA8E9" w14:textId="77777777" w:rsidTr="003E397E">
        <w:trPr>
          <w:trHeight w:val="255"/>
          <w:jc w:val="center"/>
        </w:trPr>
        <w:tc>
          <w:tcPr>
            <w:tcW w:w="2637" w:type="pct"/>
            <w:tcBorders>
              <w:top w:val="single" w:sz="4" w:space="0" w:color="auto"/>
              <w:left w:val="nil"/>
              <w:bottom w:val="single" w:sz="4" w:space="0" w:color="auto"/>
              <w:right w:val="nil"/>
            </w:tcBorders>
            <w:shd w:val="clear" w:color="auto" w:fill="8DB3E2"/>
            <w:vAlign w:val="center"/>
            <w:hideMark/>
          </w:tcPr>
          <w:p w14:paraId="73C6B112" w14:textId="77777777" w:rsidR="00614DC4" w:rsidRDefault="00614DC4" w:rsidP="00092EB2">
            <w:pPr>
              <w:pStyle w:val="cuadroCabe"/>
            </w:pPr>
            <w:r>
              <w:t>Composición Grupo CPEN</w:t>
            </w:r>
          </w:p>
        </w:tc>
        <w:tc>
          <w:tcPr>
            <w:tcW w:w="1182" w:type="pct"/>
            <w:tcBorders>
              <w:top w:val="single" w:sz="4" w:space="0" w:color="auto"/>
              <w:left w:val="nil"/>
              <w:bottom w:val="single" w:sz="4" w:space="0" w:color="auto"/>
              <w:right w:val="nil"/>
            </w:tcBorders>
            <w:shd w:val="clear" w:color="auto" w:fill="8DB3E2"/>
            <w:vAlign w:val="center"/>
            <w:hideMark/>
          </w:tcPr>
          <w:p w14:paraId="2883E2F8" w14:textId="77777777" w:rsidR="00614DC4" w:rsidRDefault="00614DC4" w:rsidP="00092EB2">
            <w:pPr>
              <w:pStyle w:val="cuadroCabe"/>
              <w:jc w:val="right"/>
            </w:pPr>
            <w:r>
              <w:t>202</w:t>
            </w:r>
            <w:r w:rsidR="005C3208">
              <w:t>2</w:t>
            </w:r>
          </w:p>
        </w:tc>
        <w:tc>
          <w:tcPr>
            <w:tcW w:w="1181" w:type="pct"/>
            <w:tcBorders>
              <w:top w:val="single" w:sz="4" w:space="0" w:color="auto"/>
              <w:left w:val="nil"/>
              <w:bottom w:val="single" w:sz="4" w:space="0" w:color="auto"/>
              <w:right w:val="nil"/>
            </w:tcBorders>
            <w:shd w:val="clear" w:color="auto" w:fill="8DB3E2"/>
            <w:vAlign w:val="center"/>
            <w:hideMark/>
          </w:tcPr>
          <w:p w14:paraId="66A71F6E" w14:textId="77777777" w:rsidR="00614DC4" w:rsidRDefault="00614DC4" w:rsidP="00092EB2">
            <w:pPr>
              <w:pStyle w:val="cuadroCabe"/>
              <w:jc w:val="right"/>
            </w:pPr>
            <w:r>
              <w:t>202</w:t>
            </w:r>
            <w:r w:rsidR="005C3208">
              <w:t>3</w:t>
            </w:r>
          </w:p>
        </w:tc>
      </w:tr>
      <w:tr w:rsidR="005C3208" w:rsidRPr="00834039" w14:paraId="4F7D6965" w14:textId="77777777" w:rsidTr="00530961">
        <w:trPr>
          <w:trHeight w:val="198"/>
          <w:jc w:val="center"/>
        </w:trPr>
        <w:tc>
          <w:tcPr>
            <w:tcW w:w="2637" w:type="pct"/>
            <w:tcBorders>
              <w:top w:val="single" w:sz="4" w:space="0" w:color="auto"/>
              <w:left w:val="nil"/>
              <w:bottom w:val="single" w:sz="2" w:space="0" w:color="auto"/>
              <w:right w:val="nil"/>
            </w:tcBorders>
            <w:vAlign w:val="center"/>
            <w:hideMark/>
          </w:tcPr>
          <w:p w14:paraId="6DF5C656" w14:textId="77777777" w:rsidR="005C3208" w:rsidRPr="00834039" w:rsidRDefault="005C3208" w:rsidP="00092EB2">
            <w:pPr>
              <w:pStyle w:val="cuatexto"/>
            </w:pPr>
            <w:r w:rsidRPr="00834039">
              <w:t>Dependientes-Sociedades públicas</w:t>
            </w:r>
          </w:p>
        </w:tc>
        <w:tc>
          <w:tcPr>
            <w:tcW w:w="1182" w:type="pct"/>
            <w:tcBorders>
              <w:top w:val="single" w:sz="4" w:space="0" w:color="auto"/>
              <w:left w:val="nil"/>
              <w:bottom w:val="single" w:sz="2" w:space="0" w:color="auto"/>
              <w:right w:val="nil"/>
            </w:tcBorders>
            <w:vAlign w:val="center"/>
          </w:tcPr>
          <w:p w14:paraId="08C6CD54" w14:textId="77777777" w:rsidR="005C3208" w:rsidRPr="00834039" w:rsidRDefault="005C3208" w:rsidP="00092EB2">
            <w:pPr>
              <w:pStyle w:val="cuatexto"/>
              <w:jc w:val="right"/>
            </w:pPr>
            <w:r w:rsidRPr="00834039">
              <w:t>17</w:t>
            </w:r>
          </w:p>
        </w:tc>
        <w:tc>
          <w:tcPr>
            <w:tcW w:w="1181" w:type="pct"/>
            <w:tcBorders>
              <w:top w:val="single" w:sz="4" w:space="0" w:color="auto"/>
              <w:left w:val="nil"/>
              <w:bottom w:val="single" w:sz="2" w:space="0" w:color="auto"/>
              <w:right w:val="nil"/>
            </w:tcBorders>
            <w:vAlign w:val="center"/>
          </w:tcPr>
          <w:p w14:paraId="4DBFBB33" w14:textId="77777777" w:rsidR="005C3208" w:rsidRPr="00834039" w:rsidRDefault="003141F4" w:rsidP="00092EB2">
            <w:pPr>
              <w:pStyle w:val="cuatexto"/>
              <w:jc w:val="right"/>
            </w:pPr>
            <w:r w:rsidRPr="00834039">
              <w:t>18</w:t>
            </w:r>
          </w:p>
        </w:tc>
      </w:tr>
      <w:tr w:rsidR="005C3208" w:rsidRPr="00834039" w14:paraId="482ED3F5" w14:textId="77777777" w:rsidTr="00530961">
        <w:trPr>
          <w:trHeight w:val="198"/>
          <w:jc w:val="center"/>
        </w:trPr>
        <w:tc>
          <w:tcPr>
            <w:tcW w:w="2637" w:type="pct"/>
            <w:tcBorders>
              <w:top w:val="single" w:sz="2" w:space="0" w:color="auto"/>
              <w:left w:val="nil"/>
              <w:bottom w:val="single" w:sz="2" w:space="0" w:color="auto"/>
              <w:right w:val="nil"/>
            </w:tcBorders>
            <w:vAlign w:val="center"/>
            <w:hideMark/>
          </w:tcPr>
          <w:p w14:paraId="194127AD" w14:textId="77777777" w:rsidR="005C3208" w:rsidRPr="00834039" w:rsidRDefault="005C3208" w:rsidP="00092EB2">
            <w:pPr>
              <w:pStyle w:val="cuatexto"/>
            </w:pPr>
            <w:r w:rsidRPr="00834039">
              <w:t>Asociadas y multigrupo</w:t>
            </w:r>
          </w:p>
        </w:tc>
        <w:tc>
          <w:tcPr>
            <w:tcW w:w="1182" w:type="pct"/>
            <w:tcBorders>
              <w:top w:val="single" w:sz="2" w:space="0" w:color="auto"/>
              <w:left w:val="nil"/>
              <w:bottom w:val="single" w:sz="2" w:space="0" w:color="auto"/>
              <w:right w:val="nil"/>
            </w:tcBorders>
            <w:vAlign w:val="center"/>
          </w:tcPr>
          <w:p w14:paraId="739BE578" w14:textId="77777777" w:rsidR="005C3208" w:rsidRPr="00834039" w:rsidRDefault="005C3208" w:rsidP="00092EB2">
            <w:pPr>
              <w:pStyle w:val="cuatexto"/>
              <w:jc w:val="right"/>
            </w:pPr>
            <w:r w:rsidRPr="00834039">
              <w:t>11</w:t>
            </w:r>
          </w:p>
        </w:tc>
        <w:tc>
          <w:tcPr>
            <w:tcW w:w="1181" w:type="pct"/>
            <w:tcBorders>
              <w:top w:val="single" w:sz="2" w:space="0" w:color="auto"/>
              <w:left w:val="nil"/>
              <w:bottom w:val="single" w:sz="2" w:space="0" w:color="auto"/>
              <w:right w:val="nil"/>
            </w:tcBorders>
            <w:vAlign w:val="center"/>
          </w:tcPr>
          <w:p w14:paraId="3EBF33B1" w14:textId="77777777" w:rsidR="005C3208" w:rsidRPr="00834039" w:rsidRDefault="003141F4" w:rsidP="00092EB2">
            <w:pPr>
              <w:pStyle w:val="cuatexto"/>
              <w:jc w:val="right"/>
            </w:pPr>
            <w:r w:rsidRPr="00834039">
              <w:t>11</w:t>
            </w:r>
          </w:p>
        </w:tc>
      </w:tr>
      <w:tr w:rsidR="005C3208" w:rsidRPr="00530961" w14:paraId="234720A1" w14:textId="77777777" w:rsidTr="00530961">
        <w:trPr>
          <w:trHeight w:val="198"/>
          <w:jc w:val="center"/>
        </w:trPr>
        <w:tc>
          <w:tcPr>
            <w:tcW w:w="2637" w:type="pct"/>
            <w:tcBorders>
              <w:top w:val="single" w:sz="2" w:space="0" w:color="auto"/>
              <w:left w:val="nil"/>
              <w:bottom w:val="single" w:sz="4" w:space="0" w:color="auto"/>
              <w:right w:val="nil"/>
            </w:tcBorders>
            <w:vAlign w:val="center"/>
            <w:hideMark/>
          </w:tcPr>
          <w:p w14:paraId="478642DB" w14:textId="77777777" w:rsidR="005C3208" w:rsidRPr="00530961" w:rsidRDefault="005C3208" w:rsidP="00092EB2">
            <w:pPr>
              <w:pStyle w:val="cuatexto"/>
              <w:rPr>
                <w:szCs w:val="20"/>
              </w:rPr>
            </w:pPr>
            <w:r w:rsidRPr="00530961">
              <w:rPr>
                <w:szCs w:val="20"/>
              </w:rPr>
              <w:t>Otras participadas</w:t>
            </w:r>
          </w:p>
        </w:tc>
        <w:tc>
          <w:tcPr>
            <w:tcW w:w="1182" w:type="pct"/>
            <w:tcBorders>
              <w:top w:val="single" w:sz="2" w:space="0" w:color="auto"/>
              <w:left w:val="nil"/>
              <w:bottom w:val="single" w:sz="4" w:space="0" w:color="auto"/>
              <w:right w:val="nil"/>
            </w:tcBorders>
            <w:vAlign w:val="center"/>
          </w:tcPr>
          <w:p w14:paraId="04BFB822" w14:textId="77777777" w:rsidR="005C3208" w:rsidRPr="00530961" w:rsidRDefault="005C3208" w:rsidP="00092EB2">
            <w:pPr>
              <w:pStyle w:val="cuatexto"/>
              <w:jc w:val="right"/>
              <w:rPr>
                <w:szCs w:val="20"/>
              </w:rPr>
            </w:pPr>
            <w:r w:rsidRPr="00530961">
              <w:rPr>
                <w:szCs w:val="20"/>
              </w:rPr>
              <w:t>56</w:t>
            </w:r>
          </w:p>
        </w:tc>
        <w:tc>
          <w:tcPr>
            <w:tcW w:w="1181" w:type="pct"/>
            <w:tcBorders>
              <w:top w:val="single" w:sz="2" w:space="0" w:color="auto"/>
              <w:left w:val="nil"/>
              <w:bottom w:val="single" w:sz="4" w:space="0" w:color="auto"/>
              <w:right w:val="nil"/>
            </w:tcBorders>
            <w:vAlign w:val="center"/>
          </w:tcPr>
          <w:p w14:paraId="4A07AB65" w14:textId="77777777" w:rsidR="005C3208" w:rsidRPr="00530961" w:rsidRDefault="003141F4" w:rsidP="00092EB2">
            <w:pPr>
              <w:pStyle w:val="cuatexto"/>
              <w:jc w:val="right"/>
              <w:rPr>
                <w:szCs w:val="20"/>
              </w:rPr>
            </w:pPr>
            <w:r w:rsidRPr="00530961">
              <w:rPr>
                <w:szCs w:val="20"/>
              </w:rPr>
              <w:t>58</w:t>
            </w:r>
          </w:p>
        </w:tc>
      </w:tr>
    </w:tbl>
    <w:p w14:paraId="7ABB7948" w14:textId="77777777" w:rsidR="00614DC4" w:rsidRDefault="00614DC4" w:rsidP="00A963CA">
      <w:pPr>
        <w:pStyle w:val="texto"/>
        <w:spacing w:before="240" w:after="240"/>
        <w:jc w:val="both"/>
        <w:rPr>
          <w:rFonts w:ascii="Times New (W1)" w:hAnsi="Times New (W1)"/>
          <w:color w:val="000000" w:themeColor="text1"/>
        </w:rPr>
      </w:pPr>
      <w:r>
        <w:rPr>
          <w:rFonts w:ascii="Times New (W1)" w:hAnsi="Times New (W1)"/>
          <w:color w:val="000000" w:themeColor="text1"/>
        </w:rPr>
        <w:t>El número de sociedades dependientes ha aumentado en una sociedad, por la creación en 202</w:t>
      </w:r>
      <w:r w:rsidR="003141F4">
        <w:rPr>
          <w:rFonts w:ascii="Times New (W1)" w:hAnsi="Times New (W1)"/>
          <w:color w:val="000000" w:themeColor="text1"/>
        </w:rPr>
        <w:t>3</w:t>
      </w:r>
      <w:r>
        <w:rPr>
          <w:rFonts w:ascii="Times New (W1)" w:hAnsi="Times New (W1)"/>
          <w:color w:val="000000" w:themeColor="text1"/>
        </w:rPr>
        <w:t xml:space="preserve"> de</w:t>
      </w:r>
      <w:r w:rsidR="003141F4">
        <w:rPr>
          <w:rFonts w:ascii="Times New (W1)" w:hAnsi="Times New (W1)"/>
          <w:color w:val="000000" w:themeColor="text1"/>
        </w:rPr>
        <w:t xml:space="preserve"> la empresa </w:t>
      </w:r>
      <w:r w:rsidR="00C32ED6">
        <w:rPr>
          <w:rFonts w:ascii="Times New (W1)" w:hAnsi="Times New (W1)"/>
          <w:color w:val="000000" w:themeColor="text1"/>
        </w:rPr>
        <w:t>“</w:t>
      </w:r>
      <w:r w:rsidR="003141F4">
        <w:rPr>
          <w:rFonts w:ascii="Times New (W1)" w:hAnsi="Times New (W1)"/>
          <w:color w:val="000000" w:themeColor="text1"/>
        </w:rPr>
        <w:t xml:space="preserve">Transporte sanitario de Navarra </w:t>
      </w:r>
      <w:proofErr w:type="spellStart"/>
      <w:r w:rsidR="003141F4">
        <w:rPr>
          <w:rFonts w:ascii="Times New (W1)" w:hAnsi="Times New (W1)"/>
          <w:color w:val="000000" w:themeColor="text1"/>
        </w:rPr>
        <w:t>Bidean</w:t>
      </w:r>
      <w:proofErr w:type="spellEnd"/>
      <w:r w:rsidR="003141F4">
        <w:rPr>
          <w:rFonts w:ascii="Times New (W1)" w:hAnsi="Times New (W1)"/>
          <w:color w:val="000000" w:themeColor="text1"/>
        </w:rPr>
        <w:t xml:space="preserve"> S.L.</w:t>
      </w:r>
      <w:r w:rsidR="00C32ED6">
        <w:rPr>
          <w:rFonts w:ascii="Times New (W1)" w:hAnsi="Times New (W1)"/>
          <w:color w:val="000000" w:themeColor="text1"/>
        </w:rPr>
        <w:t>”</w:t>
      </w:r>
      <w:r>
        <w:rPr>
          <w:rFonts w:ascii="Times New (W1)" w:hAnsi="Times New (W1)"/>
          <w:color w:val="000000" w:themeColor="text1"/>
        </w:rPr>
        <w:t xml:space="preserve"> y ha </w:t>
      </w:r>
      <w:r w:rsidR="003141F4">
        <w:rPr>
          <w:rFonts w:ascii="Times New (W1)" w:hAnsi="Times New (W1)"/>
          <w:color w:val="000000" w:themeColor="text1"/>
        </w:rPr>
        <w:t>aumentado</w:t>
      </w:r>
      <w:r>
        <w:rPr>
          <w:rFonts w:ascii="Times New (W1)" w:hAnsi="Times New (W1)"/>
          <w:color w:val="000000" w:themeColor="text1"/>
        </w:rPr>
        <w:t xml:space="preserve"> en </w:t>
      </w:r>
      <w:r w:rsidR="003141F4">
        <w:rPr>
          <w:rFonts w:ascii="Times New (W1)" w:hAnsi="Times New (W1)"/>
          <w:color w:val="000000" w:themeColor="text1"/>
        </w:rPr>
        <w:t xml:space="preserve">dos </w:t>
      </w:r>
      <w:r>
        <w:rPr>
          <w:rFonts w:ascii="Times New (W1)" w:hAnsi="Times New (W1)"/>
          <w:color w:val="000000" w:themeColor="text1"/>
        </w:rPr>
        <w:t xml:space="preserve">en el caso de las consideradas como otras participadas, según información de las cuentas anuales consolidadas. </w:t>
      </w:r>
    </w:p>
    <w:p w14:paraId="0528B339" w14:textId="77777777" w:rsidR="004B6248" w:rsidRPr="0017053D" w:rsidRDefault="004B6248" w:rsidP="0017053D">
      <w:pPr>
        <w:pStyle w:val="atitulo3"/>
        <w:spacing w:before="240"/>
      </w:pPr>
      <w:r w:rsidRPr="0017053D">
        <w:t xml:space="preserve">Transporte sanitario de Navarra </w:t>
      </w:r>
      <w:proofErr w:type="spellStart"/>
      <w:r w:rsidRPr="0017053D">
        <w:t>Bidean</w:t>
      </w:r>
      <w:proofErr w:type="spellEnd"/>
      <w:r w:rsidRPr="0017053D">
        <w:t xml:space="preserve"> S.L</w:t>
      </w:r>
    </w:p>
    <w:p w14:paraId="05705320" w14:textId="77777777" w:rsidR="00FC1FD7" w:rsidRDefault="004F2AF3" w:rsidP="00FC1FD7">
      <w:pPr>
        <w:pStyle w:val="texto"/>
        <w:tabs>
          <w:tab w:val="left" w:pos="480"/>
          <w:tab w:val="num" w:pos="600"/>
        </w:tabs>
        <w:spacing w:before="120"/>
        <w:jc w:val="both"/>
        <w:rPr>
          <w:rFonts w:cs="Arial"/>
        </w:rPr>
      </w:pPr>
      <w:r>
        <w:rPr>
          <w:rFonts w:cs="Arial"/>
        </w:rPr>
        <w:t xml:space="preserve">El </w:t>
      </w:r>
      <w:r w:rsidR="000F6549" w:rsidRPr="00834039">
        <w:rPr>
          <w:rFonts w:cs="Arial"/>
        </w:rPr>
        <w:t xml:space="preserve">Gobierno de Navarra mediante Acuerdo del cinco de </w:t>
      </w:r>
      <w:r>
        <w:rPr>
          <w:rFonts w:cs="Arial"/>
        </w:rPr>
        <w:t xml:space="preserve">abril </w:t>
      </w:r>
      <w:r w:rsidR="000F6549" w:rsidRPr="00834039">
        <w:rPr>
          <w:rFonts w:cs="Arial"/>
        </w:rPr>
        <w:t xml:space="preserve">de 2023 </w:t>
      </w:r>
      <w:r w:rsidR="00FC1FD7">
        <w:rPr>
          <w:rFonts w:cs="Arial"/>
        </w:rPr>
        <w:t xml:space="preserve">autorizó </w:t>
      </w:r>
      <w:r w:rsidR="00FC1FD7">
        <w:t xml:space="preserve">a la CPEN, a constituir una sociedad de responsabilidad limitada, bajo la denominación social “Transporte Sanitario de Navarra </w:t>
      </w:r>
      <w:proofErr w:type="spellStart"/>
      <w:r w:rsidR="00FC1FD7">
        <w:t>Bidean</w:t>
      </w:r>
      <w:proofErr w:type="spellEnd"/>
      <w:r w:rsidR="00FC1FD7">
        <w:t xml:space="preserve"> S.L. </w:t>
      </w:r>
      <w:r w:rsidR="00462BCC">
        <w:t xml:space="preserve">y su adscripción al Departamento de Salud. </w:t>
      </w:r>
    </w:p>
    <w:p w14:paraId="413195B1" w14:textId="77777777" w:rsidR="00F2564D" w:rsidRPr="00F2564D" w:rsidRDefault="00131A5E" w:rsidP="00FE3FC7">
      <w:pPr>
        <w:pStyle w:val="texto"/>
        <w:tabs>
          <w:tab w:val="left" w:pos="480"/>
          <w:tab w:val="num" w:pos="600"/>
        </w:tabs>
        <w:spacing w:before="120"/>
        <w:jc w:val="both"/>
        <w:rPr>
          <w:i/>
          <w:sz w:val="20"/>
          <w:szCs w:val="20"/>
        </w:rPr>
      </w:pPr>
      <w:r>
        <w:rPr>
          <w:rFonts w:cs="Arial"/>
        </w:rPr>
        <w:t xml:space="preserve">La sociedad tiene como objeto social </w:t>
      </w:r>
      <w:r w:rsidR="00F2564D">
        <w:rPr>
          <w:rFonts w:cs="Arial"/>
        </w:rPr>
        <w:t>“</w:t>
      </w:r>
      <w:r w:rsidR="00F2564D" w:rsidRPr="00F2564D">
        <w:rPr>
          <w:i/>
          <w:sz w:val="20"/>
          <w:szCs w:val="20"/>
        </w:rPr>
        <w:t>La prestación del transporte sanitario en sus diversas modalidades: urgente, programado y ordinario no programado. La elaboración integral de planes de transporte sanitario en coordinación con los servicios Sanitarios Públicos, así como con los servicios de Emergencia y Protección</w:t>
      </w:r>
      <w:r w:rsidR="00FE3FC7">
        <w:rPr>
          <w:i/>
          <w:sz w:val="20"/>
          <w:szCs w:val="20"/>
        </w:rPr>
        <w:t xml:space="preserve"> Civil del Gobierno de </w:t>
      </w:r>
      <w:proofErr w:type="gramStart"/>
      <w:r w:rsidR="00FE3FC7">
        <w:rPr>
          <w:i/>
          <w:sz w:val="20"/>
          <w:szCs w:val="20"/>
        </w:rPr>
        <w:t>Navarra.</w:t>
      </w:r>
      <w:r w:rsidR="00F2564D">
        <w:rPr>
          <w:i/>
          <w:sz w:val="20"/>
          <w:szCs w:val="20"/>
        </w:rPr>
        <w:t>.</w:t>
      </w:r>
      <w:proofErr w:type="gramEnd"/>
      <w:r w:rsidR="00F2564D">
        <w:rPr>
          <w:i/>
          <w:sz w:val="20"/>
          <w:szCs w:val="20"/>
        </w:rPr>
        <w:t>”</w:t>
      </w:r>
      <w:r w:rsidR="00530961">
        <w:rPr>
          <w:i/>
          <w:sz w:val="20"/>
          <w:szCs w:val="20"/>
        </w:rPr>
        <w:t>.</w:t>
      </w:r>
    </w:p>
    <w:p w14:paraId="26488171" w14:textId="77777777" w:rsidR="001828B4" w:rsidRDefault="001828B4" w:rsidP="001828B4">
      <w:pPr>
        <w:pStyle w:val="texto"/>
        <w:tabs>
          <w:tab w:val="left" w:pos="480"/>
          <w:tab w:val="num" w:pos="600"/>
        </w:tabs>
        <w:spacing w:before="120"/>
        <w:jc w:val="both"/>
        <w:rPr>
          <w:rFonts w:ascii="Century Gothic" w:eastAsia="Calibri" w:hAnsi="Century Gothic"/>
          <w:i/>
          <w:szCs w:val="26"/>
          <w:shd w:val="clear" w:color="auto" w:fill="FFFFFF"/>
          <w:lang w:val="es-ES_tradnl" w:eastAsia="en-US"/>
        </w:rPr>
      </w:pPr>
      <w:r>
        <w:rPr>
          <w:szCs w:val="26"/>
        </w:rPr>
        <w:t>Debe contextualizarse que l</w:t>
      </w:r>
      <w:r w:rsidRPr="00A5487E">
        <w:rPr>
          <w:szCs w:val="26"/>
        </w:rPr>
        <w:t xml:space="preserve">a prestación del transporte sanitario, </w:t>
      </w:r>
      <w:r w:rsidRPr="00A5487E">
        <w:rPr>
          <w:rFonts w:eastAsia="Calibri"/>
          <w:szCs w:val="26"/>
          <w:shd w:val="clear" w:color="auto" w:fill="FFFFFF"/>
          <w:lang w:val="es-ES_tradnl" w:eastAsia="en-US"/>
        </w:rPr>
        <w:t>e</w:t>
      </w:r>
      <w:r w:rsidRPr="000F6549">
        <w:rPr>
          <w:rFonts w:eastAsia="Calibri"/>
          <w:szCs w:val="26"/>
          <w:shd w:val="clear" w:color="auto" w:fill="FFFFFF"/>
          <w:lang w:val="es-ES_tradnl" w:eastAsia="en-US"/>
        </w:rPr>
        <w:t xml:space="preserve">n la actualidad </w:t>
      </w:r>
      <w:r>
        <w:rPr>
          <w:rFonts w:eastAsia="Calibri"/>
          <w:szCs w:val="26"/>
          <w:shd w:val="clear" w:color="auto" w:fill="FFFFFF"/>
          <w:lang w:val="es-ES_tradnl" w:eastAsia="en-US"/>
        </w:rPr>
        <w:t xml:space="preserve">se presta </w:t>
      </w:r>
      <w:r w:rsidR="00FC1FD7">
        <w:rPr>
          <w:rFonts w:eastAsia="Calibri"/>
          <w:szCs w:val="26"/>
          <w:shd w:val="clear" w:color="auto" w:fill="FFFFFF"/>
          <w:lang w:val="es-ES_tradnl" w:eastAsia="en-US"/>
        </w:rPr>
        <w:t xml:space="preserve">a la ACFN </w:t>
      </w:r>
      <w:r w:rsidRPr="000F6549">
        <w:rPr>
          <w:rFonts w:eastAsia="Calibri"/>
          <w:szCs w:val="26"/>
          <w:shd w:val="clear" w:color="auto" w:fill="FFFFFF"/>
          <w:lang w:val="es-ES_tradnl" w:eastAsia="en-US"/>
        </w:rPr>
        <w:t xml:space="preserve">por dos empresas que están operando </w:t>
      </w:r>
      <w:r>
        <w:rPr>
          <w:rFonts w:eastAsia="Calibri"/>
          <w:szCs w:val="26"/>
          <w:shd w:val="clear" w:color="auto" w:fill="FFFFFF"/>
          <w:lang w:val="es-ES_tradnl" w:eastAsia="en-US"/>
        </w:rPr>
        <w:t xml:space="preserve">desde hace siete </w:t>
      </w:r>
      <w:r>
        <w:rPr>
          <w:rFonts w:eastAsia="Calibri"/>
          <w:szCs w:val="26"/>
          <w:shd w:val="clear" w:color="auto" w:fill="FFFFFF"/>
          <w:lang w:val="es-ES_tradnl" w:eastAsia="en-US"/>
        </w:rPr>
        <w:lastRenderedPageBreak/>
        <w:t xml:space="preserve">años </w:t>
      </w:r>
      <w:r w:rsidRPr="000F6549">
        <w:rPr>
          <w:rFonts w:eastAsia="Calibri"/>
          <w:szCs w:val="26"/>
          <w:shd w:val="clear" w:color="auto" w:fill="FFFFFF"/>
          <w:lang w:val="es-ES_tradnl" w:eastAsia="en-US"/>
        </w:rPr>
        <w:t>sin contrato</w:t>
      </w:r>
      <w:r>
        <w:rPr>
          <w:rFonts w:eastAsia="Calibri"/>
          <w:szCs w:val="26"/>
          <w:shd w:val="clear" w:color="auto" w:fill="FFFFFF"/>
          <w:lang w:val="es-ES_tradnl" w:eastAsia="en-US"/>
        </w:rPr>
        <w:t>,</w:t>
      </w:r>
      <w:r w:rsidRPr="000F6549">
        <w:rPr>
          <w:rFonts w:eastAsia="Calibri"/>
          <w:szCs w:val="26"/>
          <w:shd w:val="clear" w:color="auto" w:fill="FFFFFF"/>
          <w:lang w:val="es-ES_tradnl" w:eastAsia="en-US"/>
        </w:rPr>
        <w:t xml:space="preserve"> por haber perdido vigencia la relación contractual que mantenían con el SNS-O</w:t>
      </w:r>
      <w:r w:rsidRPr="000F6549">
        <w:rPr>
          <w:rFonts w:ascii="Century Gothic" w:eastAsia="Calibri" w:hAnsi="Century Gothic"/>
          <w:i/>
          <w:szCs w:val="26"/>
          <w:shd w:val="clear" w:color="auto" w:fill="FFFFFF"/>
          <w:lang w:val="es-ES_tradnl" w:eastAsia="en-US"/>
        </w:rPr>
        <w:t>.</w:t>
      </w:r>
      <w:r w:rsidRPr="00A5487E">
        <w:rPr>
          <w:rStyle w:val="Refdenotaalpie"/>
          <w:rFonts w:ascii="Century Gothic" w:eastAsia="Calibri" w:hAnsi="Century Gothic"/>
          <w:i/>
          <w:szCs w:val="26"/>
          <w:shd w:val="clear" w:color="auto" w:fill="FFFFFF"/>
          <w:lang w:val="es-ES_tradnl" w:eastAsia="en-US"/>
        </w:rPr>
        <w:footnoteReference w:id="40"/>
      </w:r>
      <w:r>
        <w:rPr>
          <w:rFonts w:ascii="Century Gothic" w:eastAsia="Calibri" w:hAnsi="Century Gothic"/>
          <w:i/>
          <w:szCs w:val="26"/>
          <w:shd w:val="clear" w:color="auto" w:fill="FFFFFF"/>
          <w:lang w:val="es-ES_tradnl" w:eastAsia="en-US"/>
        </w:rPr>
        <w:t xml:space="preserve"> </w:t>
      </w:r>
    </w:p>
    <w:p w14:paraId="469A933C" w14:textId="77777777" w:rsidR="001828B4" w:rsidRPr="00D1173D" w:rsidRDefault="001828B4" w:rsidP="001828B4">
      <w:pPr>
        <w:pStyle w:val="texto"/>
        <w:tabs>
          <w:tab w:val="left" w:pos="480"/>
          <w:tab w:val="num" w:pos="600"/>
        </w:tabs>
        <w:spacing w:before="120"/>
        <w:jc w:val="both"/>
        <w:rPr>
          <w:rFonts w:cs="Arial"/>
        </w:rPr>
      </w:pPr>
      <w:r w:rsidRPr="00D1173D">
        <w:rPr>
          <w:rFonts w:cs="Arial"/>
        </w:rPr>
        <w:t>La sociedad pública está planteada desde una óptica de prestación del transporte sanitario continuista (en cuanto a las prestaciones), es decir, prestando el servicio de forma similar al realizado por las empresas privadas.</w:t>
      </w:r>
    </w:p>
    <w:p w14:paraId="330F2DB4" w14:textId="77777777" w:rsidR="00C32ED6" w:rsidRDefault="00614DC4" w:rsidP="009A38AE">
      <w:pPr>
        <w:pStyle w:val="texto"/>
        <w:spacing w:before="240"/>
        <w:jc w:val="both"/>
        <w:rPr>
          <w:rFonts w:ascii="Times New (W1)" w:hAnsi="Times New (W1)"/>
        </w:rPr>
      </w:pPr>
      <w:r>
        <w:rPr>
          <w:rFonts w:ascii="Times New (W1)" w:hAnsi="Times New (W1)"/>
        </w:rPr>
        <w:t>Sobre la creación en 202</w:t>
      </w:r>
      <w:r w:rsidR="00C32ED6">
        <w:rPr>
          <w:rFonts w:ascii="Times New (W1)" w:hAnsi="Times New (W1)"/>
        </w:rPr>
        <w:t>3 de la citada sociedad</w:t>
      </w:r>
      <w:r w:rsidR="00C32ED6" w:rsidRPr="00C32ED6">
        <w:rPr>
          <w:rFonts w:ascii="Times New (W1)" w:hAnsi="Times New (W1)"/>
        </w:rPr>
        <w:t xml:space="preserve"> </w:t>
      </w:r>
      <w:r w:rsidR="00C32ED6">
        <w:rPr>
          <w:rFonts w:ascii="Times New (W1)" w:hAnsi="Times New (W1)"/>
        </w:rPr>
        <w:t>hemos revisado el expediente administrativo, y destacamos los aspectos más relevantes:</w:t>
      </w:r>
    </w:p>
    <w:p w14:paraId="6859221D" w14:textId="77777777" w:rsidR="005770E9" w:rsidRPr="005770E9" w:rsidRDefault="005770E9" w:rsidP="008C2B8E">
      <w:pPr>
        <w:pStyle w:val="texto"/>
        <w:numPr>
          <w:ilvl w:val="0"/>
          <w:numId w:val="6"/>
        </w:numPr>
        <w:tabs>
          <w:tab w:val="clear" w:pos="360"/>
          <w:tab w:val="num" w:pos="300"/>
          <w:tab w:val="left" w:pos="480"/>
          <w:tab w:val="num" w:pos="600"/>
        </w:tabs>
        <w:spacing w:before="120"/>
        <w:ind w:firstLine="289"/>
        <w:jc w:val="both"/>
        <w:rPr>
          <w:rFonts w:cs="Arial"/>
        </w:rPr>
      </w:pPr>
      <w:r w:rsidRPr="000F6549">
        <w:rPr>
          <w:rFonts w:cs="Arial"/>
        </w:rPr>
        <w:t xml:space="preserve">La creación de la sociedad estaba prevista en el </w:t>
      </w:r>
      <w:r w:rsidRPr="005770E9">
        <w:rPr>
          <w:rFonts w:cs="Arial"/>
        </w:rPr>
        <w:t>“Acuerdo de Programa para una legislatura de Convivencia, Igualitaria, Innovadora y Progresista 201</w:t>
      </w:r>
      <w:r w:rsidR="000F6549">
        <w:rPr>
          <w:rFonts w:cs="Arial"/>
        </w:rPr>
        <w:t>9-2023”</w:t>
      </w:r>
      <w:r w:rsidRPr="005770E9">
        <w:rPr>
          <w:rFonts w:cs="Arial"/>
        </w:rPr>
        <w:t xml:space="preserve"> </w:t>
      </w:r>
    </w:p>
    <w:p w14:paraId="3E7E9691" w14:textId="77777777" w:rsidR="005770E9" w:rsidRPr="005770E9" w:rsidRDefault="00131A5E" w:rsidP="00530961">
      <w:pPr>
        <w:pStyle w:val="texto"/>
        <w:numPr>
          <w:ilvl w:val="0"/>
          <w:numId w:val="6"/>
        </w:numPr>
        <w:tabs>
          <w:tab w:val="clear" w:pos="360"/>
          <w:tab w:val="num" w:pos="300"/>
          <w:tab w:val="left" w:pos="480"/>
          <w:tab w:val="num" w:pos="600"/>
        </w:tabs>
        <w:spacing w:after="120"/>
        <w:ind w:firstLine="289"/>
        <w:jc w:val="both"/>
        <w:rPr>
          <w:rFonts w:cs="Arial"/>
        </w:rPr>
      </w:pPr>
      <w:r>
        <w:rPr>
          <w:rFonts w:cs="Arial"/>
        </w:rPr>
        <w:t>E</w:t>
      </w:r>
      <w:r w:rsidR="005770E9" w:rsidRPr="005770E9">
        <w:rPr>
          <w:rFonts w:cs="Arial"/>
        </w:rPr>
        <w:t xml:space="preserve">n la propuesta de creación de </w:t>
      </w:r>
      <w:r>
        <w:rPr>
          <w:rFonts w:cs="Arial"/>
        </w:rPr>
        <w:t xml:space="preserve">la </w:t>
      </w:r>
      <w:r w:rsidR="005770E9" w:rsidRPr="005770E9">
        <w:rPr>
          <w:rFonts w:cs="Arial"/>
        </w:rPr>
        <w:t xml:space="preserve">empresa pública </w:t>
      </w:r>
      <w:r>
        <w:rPr>
          <w:rFonts w:cs="Arial"/>
        </w:rPr>
        <w:t xml:space="preserve">por </w:t>
      </w:r>
      <w:r w:rsidR="005770E9" w:rsidRPr="005770E9">
        <w:rPr>
          <w:rFonts w:cs="Arial"/>
        </w:rPr>
        <w:t>el Director Gerente del SNS-O</w:t>
      </w:r>
      <w:r w:rsidR="006A3A92">
        <w:rPr>
          <w:rFonts w:cs="Arial"/>
        </w:rPr>
        <w:t>, consta un informe DAFO</w:t>
      </w:r>
      <w:r w:rsidR="006A3A92">
        <w:rPr>
          <w:rStyle w:val="Refdenotaalpie"/>
          <w:rFonts w:cs="Arial"/>
        </w:rPr>
        <w:footnoteReference w:id="41"/>
      </w:r>
      <w:r w:rsidR="008F0074">
        <w:rPr>
          <w:rFonts w:cs="Arial"/>
        </w:rPr>
        <w:t xml:space="preserve">, </w:t>
      </w:r>
      <w:r>
        <w:rPr>
          <w:rFonts w:cs="Arial"/>
        </w:rPr>
        <w:t>y e</w:t>
      </w:r>
      <w:r w:rsidR="005770E9" w:rsidRPr="005770E9">
        <w:rPr>
          <w:rFonts w:cs="Arial"/>
        </w:rPr>
        <w:t>l P</w:t>
      </w:r>
      <w:r w:rsidR="005770E9" w:rsidRPr="000F6549">
        <w:rPr>
          <w:rFonts w:cs="Arial"/>
        </w:rPr>
        <w:t>lan de Actuación, Inversiones y Financiación (en adelante P</w:t>
      </w:r>
      <w:r w:rsidR="005770E9" w:rsidRPr="005770E9">
        <w:rPr>
          <w:rFonts w:cs="Arial"/>
        </w:rPr>
        <w:t>AIF</w:t>
      </w:r>
      <w:r w:rsidR="005770E9" w:rsidRPr="000F6549">
        <w:rPr>
          <w:rFonts w:cs="Arial"/>
        </w:rPr>
        <w:t>)</w:t>
      </w:r>
      <w:r>
        <w:rPr>
          <w:rFonts w:cs="Arial"/>
        </w:rPr>
        <w:t xml:space="preserve">. Sobre estos informes </w:t>
      </w:r>
      <w:r w:rsidR="005770E9" w:rsidRPr="005770E9">
        <w:rPr>
          <w:rFonts w:cs="Arial"/>
        </w:rPr>
        <w:t xml:space="preserve">se justifican los motivos de creación de una empresa pública de transporte sanitario. </w:t>
      </w:r>
      <w:r w:rsidR="005770E9" w:rsidRPr="000F6549">
        <w:rPr>
          <w:rFonts w:cs="Arial"/>
        </w:rPr>
        <w:t>La propuesta de creación cuenta con el informe de la C</w:t>
      </w:r>
      <w:r w:rsidR="000F6549" w:rsidRPr="000F6549">
        <w:rPr>
          <w:rFonts w:cs="Arial"/>
        </w:rPr>
        <w:t>PEN, en el que</w:t>
      </w:r>
      <w:r w:rsidR="000F6549">
        <w:rPr>
          <w:rFonts w:cs="Arial"/>
        </w:rPr>
        <w:t>,</w:t>
      </w:r>
      <w:r w:rsidR="000F6549" w:rsidRPr="000F6549">
        <w:rPr>
          <w:rFonts w:cs="Arial"/>
        </w:rPr>
        <w:t xml:space="preserve"> si bien se apuntan determinadas debilidades y ciertos aspectos positivos, concluye favorablemente a la creación de la sociedad. </w:t>
      </w:r>
    </w:p>
    <w:p w14:paraId="1962FEF6" w14:textId="77777777" w:rsidR="009C7586" w:rsidRDefault="009C7586" w:rsidP="00530961">
      <w:pPr>
        <w:pStyle w:val="texto"/>
        <w:numPr>
          <w:ilvl w:val="0"/>
          <w:numId w:val="6"/>
        </w:numPr>
        <w:tabs>
          <w:tab w:val="clear" w:pos="360"/>
          <w:tab w:val="num" w:pos="300"/>
          <w:tab w:val="left" w:pos="480"/>
          <w:tab w:val="num" w:pos="600"/>
        </w:tabs>
        <w:spacing w:after="120"/>
        <w:ind w:firstLine="289"/>
        <w:jc w:val="both"/>
        <w:rPr>
          <w:rFonts w:cs="Arial"/>
        </w:rPr>
      </w:pPr>
      <w:r w:rsidRPr="00834039">
        <w:rPr>
          <w:rFonts w:cs="Arial"/>
        </w:rPr>
        <w:t xml:space="preserve">Con fecha </w:t>
      </w:r>
      <w:r w:rsidR="00FC1FD7">
        <w:rPr>
          <w:rFonts w:cs="Arial"/>
        </w:rPr>
        <w:t xml:space="preserve">4 de abril </w:t>
      </w:r>
      <w:r w:rsidRPr="00834039">
        <w:rPr>
          <w:rFonts w:cs="Arial"/>
        </w:rPr>
        <w:t xml:space="preserve">de 2023, se emite informe desfavorable por el Jefe de Sección de Sociedades Públicas, Avales y Asuntos Económicos. Este informe es avalado por la Directora del Servicio de Patrimonio, </w:t>
      </w:r>
      <w:r w:rsidR="00735746">
        <w:rPr>
          <w:rFonts w:cs="Arial"/>
        </w:rPr>
        <w:t xml:space="preserve">la </w:t>
      </w:r>
      <w:r w:rsidRPr="00834039">
        <w:rPr>
          <w:rFonts w:cs="Arial"/>
        </w:rPr>
        <w:t xml:space="preserve">Directora </w:t>
      </w:r>
      <w:r w:rsidR="00FC1FD7">
        <w:rPr>
          <w:rFonts w:cs="Arial"/>
        </w:rPr>
        <w:t xml:space="preserve">General </w:t>
      </w:r>
      <w:r w:rsidRPr="00834039">
        <w:rPr>
          <w:rFonts w:cs="Arial"/>
        </w:rPr>
        <w:t xml:space="preserve">de Presupuestos, Patrimonio y Política Económica, así como por el Interventor General.  </w:t>
      </w:r>
    </w:p>
    <w:p w14:paraId="05DBE562" w14:textId="77777777" w:rsidR="008B0497" w:rsidRDefault="00834039" w:rsidP="00530961">
      <w:pPr>
        <w:pStyle w:val="texto"/>
        <w:spacing w:after="120"/>
        <w:jc w:val="both"/>
      </w:pPr>
      <w:r w:rsidRPr="00834039">
        <w:t xml:space="preserve">En </w:t>
      </w:r>
      <w:r w:rsidR="00FC1FD7">
        <w:t xml:space="preserve">este </w:t>
      </w:r>
      <w:r w:rsidRPr="00834039">
        <w:t xml:space="preserve">informe </w:t>
      </w:r>
      <w:r w:rsidRPr="000F6549">
        <w:t xml:space="preserve">se </w:t>
      </w:r>
      <w:r w:rsidR="000554DA">
        <w:t>analiza</w:t>
      </w:r>
      <w:r w:rsidR="00683EDD">
        <w:t>n</w:t>
      </w:r>
      <w:r w:rsidR="000F6549" w:rsidRPr="000F6549">
        <w:t xml:space="preserve"> los datos </w:t>
      </w:r>
      <w:r w:rsidR="000554DA">
        <w:t xml:space="preserve">bajo la premisa del cumplimiento </w:t>
      </w:r>
      <w:r w:rsidR="006A3A92">
        <w:t xml:space="preserve">de los principios </w:t>
      </w:r>
      <w:r w:rsidR="00683EDD">
        <w:t xml:space="preserve">legales </w:t>
      </w:r>
      <w:r w:rsidR="006A3A92">
        <w:t>de eficacia</w:t>
      </w:r>
      <w:r w:rsidR="008B0497">
        <w:t xml:space="preserve"> (alcanzar lo</w:t>
      </w:r>
      <w:r w:rsidR="006A3A92">
        <w:t>s objetivos de calidad fijados) economía (</w:t>
      </w:r>
      <w:r w:rsidR="008B0497">
        <w:t>minimiza</w:t>
      </w:r>
      <w:r w:rsidR="000554DA">
        <w:t xml:space="preserve">r </w:t>
      </w:r>
      <w:r w:rsidR="008B0497">
        <w:t>el coste de los recursos) y eficiencia (lograr la mejor relación posible entre los resultados obtenidos y los recursos empleados para conseguirlos</w:t>
      </w:r>
      <w:r w:rsidR="004C74DD">
        <w:t>)</w:t>
      </w:r>
      <w:r w:rsidR="008B0497">
        <w:t xml:space="preserve">. A tal efecto, se </w:t>
      </w:r>
      <w:r w:rsidR="000C438B">
        <w:t xml:space="preserve">ha </w:t>
      </w:r>
      <w:r w:rsidR="008B0497">
        <w:t>lleva</w:t>
      </w:r>
      <w:r w:rsidR="000C438B">
        <w:t>do</w:t>
      </w:r>
      <w:r w:rsidR="008B0497">
        <w:t xml:space="preserve"> a cabo un estudio comparativo de la actividad que plantea desarrollar la sociedad pública </w:t>
      </w:r>
      <w:proofErr w:type="spellStart"/>
      <w:r w:rsidR="00B21024">
        <w:t>Bidean</w:t>
      </w:r>
      <w:proofErr w:type="spellEnd"/>
      <w:r w:rsidR="008B0497">
        <w:t xml:space="preserve">, </w:t>
      </w:r>
      <w:r w:rsidR="00B21024">
        <w:t xml:space="preserve">S.L., </w:t>
      </w:r>
      <w:r w:rsidR="008B0497">
        <w:t>su coste y calidad</w:t>
      </w:r>
      <w:r w:rsidR="006A3A92">
        <w:t xml:space="preserve"> propuesta</w:t>
      </w:r>
      <w:r w:rsidR="008B0497">
        <w:t xml:space="preserve">, con la situación de la prestación actual del servicio. </w:t>
      </w:r>
    </w:p>
    <w:p w14:paraId="5FFB950D" w14:textId="77777777" w:rsidR="001828B4" w:rsidRDefault="001828B4" w:rsidP="00530961">
      <w:pPr>
        <w:pStyle w:val="texto"/>
        <w:tabs>
          <w:tab w:val="left" w:pos="480"/>
          <w:tab w:val="num" w:pos="600"/>
        </w:tabs>
        <w:spacing w:before="120" w:after="120"/>
        <w:jc w:val="both"/>
      </w:pPr>
      <w:r>
        <w:t xml:space="preserve">En el citado informe, se </w:t>
      </w:r>
      <w:r w:rsidR="00FC1FD7">
        <w:t xml:space="preserve">efectúan entre otras, las siguientes advertencias: </w:t>
      </w:r>
    </w:p>
    <w:p w14:paraId="5191F341" w14:textId="77777777" w:rsidR="001828B4" w:rsidRDefault="003E397E" w:rsidP="00530961">
      <w:pPr>
        <w:pStyle w:val="texto"/>
        <w:spacing w:before="120" w:after="120"/>
        <w:jc w:val="both"/>
      </w:pPr>
      <w:r>
        <w:t xml:space="preserve">a) </w:t>
      </w:r>
      <w:r w:rsidR="00FC1FD7">
        <w:t>Sobre las c</w:t>
      </w:r>
      <w:r w:rsidR="001828B4">
        <w:t xml:space="preserve">uestiones </w:t>
      </w:r>
      <w:r w:rsidR="00FE3FC7">
        <w:t xml:space="preserve">argumentadas como </w:t>
      </w:r>
      <w:r w:rsidR="001828B4">
        <w:t>de</w:t>
      </w:r>
      <w:r w:rsidR="00FE3FC7">
        <w:t>ficiencias en el serv</w:t>
      </w:r>
      <w:r w:rsidR="00FC1FD7">
        <w:t>icio prestado por las empresas, s</w:t>
      </w:r>
      <w:r w:rsidR="006A3A92">
        <w:t xml:space="preserve">e concluye </w:t>
      </w:r>
      <w:r w:rsidR="001828B4">
        <w:t xml:space="preserve">que </w:t>
      </w:r>
      <w:r w:rsidR="006A3A92">
        <w:t>puede</w:t>
      </w:r>
      <w:r w:rsidR="001828B4">
        <w:t>n resolverse en el marco regulador de un contrato</w:t>
      </w:r>
      <w:r w:rsidR="000554DA">
        <w:t xml:space="preserve"> público. </w:t>
      </w:r>
    </w:p>
    <w:p w14:paraId="672DF527" w14:textId="77777777" w:rsidR="001828B4" w:rsidRDefault="003E397E" w:rsidP="00530961">
      <w:pPr>
        <w:pStyle w:val="texto"/>
        <w:spacing w:after="120"/>
        <w:jc w:val="both"/>
        <w:rPr>
          <w:rFonts w:cs="Arial"/>
        </w:rPr>
      </w:pPr>
      <w:r>
        <w:t xml:space="preserve">b) </w:t>
      </w:r>
      <w:r w:rsidR="001828B4">
        <w:t xml:space="preserve">El mayor coste del servicio en relación con la contratación actual, dado que </w:t>
      </w:r>
      <w:r w:rsidR="00FE3FC7">
        <w:t xml:space="preserve">las condiciones laborales que van a regir con la aplicación del convenio de las </w:t>
      </w:r>
      <w:r w:rsidR="00FE3FC7">
        <w:lastRenderedPageBreak/>
        <w:t>sociedades públicas (</w:t>
      </w:r>
      <w:r w:rsidR="002F2D8E">
        <w:t xml:space="preserve">derivada de </w:t>
      </w:r>
      <w:r w:rsidR="001828B4">
        <w:t>la subrogación de los trabajadores de las empresas</w:t>
      </w:r>
      <w:r w:rsidR="006A3A92">
        <w:t xml:space="preserve"> privadas </w:t>
      </w:r>
      <w:r w:rsidR="000554DA">
        <w:t xml:space="preserve">en </w:t>
      </w:r>
      <w:r w:rsidR="006A3A92">
        <w:t>la sociedad pública</w:t>
      </w:r>
      <w:r w:rsidR="00FE3FC7">
        <w:t>)</w:t>
      </w:r>
      <w:r w:rsidR="006A3A92">
        <w:t xml:space="preserve">, </w:t>
      </w:r>
      <w:r w:rsidR="001828B4" w:rsidRPr="00D1173D">
        <w:rPr>
          <w:rFonts w:cs="Arial"/>
        </w:rPr>
        <w:t>conlleva una jornada anual menor que el convenio de</w:t>
      </w:r>
      <w:r w:rsidR="00FE3FC7">
        <w:rPr>
          <w:rFonts w:cs="Arial"/>
        </w:rPr>
        <w:t xml:space="preserve">l sector privado aplicables a las empresas que prestan el servicio. </w:t>
      </w:r>
    </w:p>
    <w:p w14:paraId="6922D2A0" w14:textId="77777777" w:rsidR="00A436D6" w:rsidRDefault="00A436D6" w:rsidP="00530961">
      <w:pPr>
        <w:pStyle w:val="texto"/>
        <w:tabs>
          <w:tab w:val="left" w:pos="480"/>
        </w:tabs>
        <w:spacing w:after="120"/>
        <w:jc w:val="both"/>
        <w:rPr>
          <w:rFonts w:cs="Arial"/>
        </w:rPr>
      </w:pPr>
      <w:r>
        <w:rPr>
          <w:rFonts w:cs="Arial"/>
        </w:rPr>
        <w:t>Asimismo, se indica que</w:t>
      </w:r>
      <w:r w:rsidR="000A35FD">
        <w:rPr>
          <w:rFonts w:cs="Arial"/>
        </w:rPr>
        <w:t xml:space="preserve"> con</w:t>
      </w:r>
      <w:r>
        <w:rPr>
          <w:rFonts w:cs="Arial"/>
        </w:rPr>
        <w:t xml:space="preserve"> la subrogación </w:t>
      </w:r>
      <w:r w:rsidRPr="00002E06">
        <w:rPr>
          <w:rFonts w:cs="Arial"/>
        </w:rPr>
        <w:t xml:space="preserve">de los </w:t>
      </w:r>
      <w:r w:rsidRPr="00002E06">
        <w:t xml:space="preserve">trabajadores </w:t>
      </w:r>
      <w:r>
        <w:t xml:space="preserve">de las empresas privadas que venían realizando el servicio, va a ser necesario crear una estructura organizativa para poder coordinar y gestionar una plantilla con ese </w:t>
      </w:r>
      <w:r w:rsidR="001A1FCB">
        <w:t>volumen de personal</w:t>
      </w:r>
      <w:r w:rsidR="00FD3DAF">
        <w:t xml:space="preserve">. Esta cuestión supondrá un sobrecoste estructural permanente; </w:t>
      </w:r>
      <w:r w:rsidR="00FE4F38">
        <w:t>aspecto que no se aborda</w:t>
      </w:r>
      <w:r w:rsidR="00FD3DAF">
        <w:t xml:space="preserve"> en la propuesta de creación. </w:t>
      </w:r>
      <w:r>
        <w:t xml:space="preserve"> </w:t>
      </w:r>
    </w:p>
    <w:p w14:paraId="77F72ED2" w14:textId="77777777" w:rsidR="006A3A92" w:rsidRDefault="003E397E" w:rsidP="003E397E">
      <w:pPr>
        <w:pStyle w:val="texto"/>
        <w:spacing w:after="120"/>
        <w:jc w:val="both"/>
      </w:pPr>
      <w:r>
        <w:rPr>
          <w:rFonts w:cs="Arial"/>
        </w:rPr>
        <w:t xml:space="preserve">c) </w:t>
      </w:r>
      <w:r w:rsidR="006A3A92" w:rsidRPr="00A436D6">
        <w:rPr>
          <w:rFonts w:cs="Arial"/>
        </w:rPr>
        <w:t>El número de efectivos (ambulancias y personal) va a ser el mismo que el que actualmente se está llevando a cabo me</w:t>
      </w:r>
      <w:r w:rsidR="00A436D6" w:rsidRPr="00A436D6">
        <w:rPr>
          <w:rFonts w:cs="Arial"/>
        </w:rPr>
        <w:t xml:space="preserve">diante la contratación externa, </w:t>
      </w:r>
      <w:r w:rsidR="00A436D6">
        <w:rPr>
          <w:rFonts w:cs="Arial"/>
        </w:rPr>
        <w:t>por lo que n</w:t>
      </w:r>
      <w:r w:rsidR="006A3A92">
        <w:t xml:space="preserve">o se demuestra que el cambio en el modo de gestión vaya a provocar una mayor calidad de la prestación. </w:t>
      </w:r>
    </w:p>
    <w:p w14:paraId="60CC214D" w14:textId="77777777" w:rsidR="002F2D8E" w:rsidRDefault="003E397E" w:rsidP="00A963CA">
      <w:pPr>
        <w:pStyle w:val="texto"/>
        <w:spacing w:after="120"/>
        <w:jc w:val="both"/>
      </w:pPr>
      <w:r>
        <w:rPr>
          <w:rFonts w:cs="Arial"/>
        </w:rPr>
        <w:t xml:space="preserve">d) </w:t>
      </w:r>
      <w:r w:rsidR="00FC1FD7">
        <w:rPr>
          <w:rFonts w:cs="Arial"/>
        </w:rPr>
        <w:t>L</w:t>
      </w:r>
      <w:r w:rsidR="002F2D8E">
        <w:t>a sociedad propuesta consolidará sus cuentas con las cuentas de la A</w:t>
      </w:r>
      <w:r w:rsidR="004C74DD">
        <w:t>CFN</w:t>
      </w:r>
      <w:r w:rsidR="002F2D8E">
        <w:t xml:space="preserve">, dado que los ingresos que obtendrá procederán de esta última. </w:t>
      </w:r>
    </w:p>
    <w:p w14:paraId="12268049" w14:textId="77777777" w:rsidR="00965E66" w:rsidRDefault="003E397E" w:rsidP="003E397E">
      <w:pPr>
        <w:pStyle w:val="texto"/>
        <w:spacing w:after="120"/>
        <w:jc w:val="both"/>
      </w:pPr>
      <w:r>
        <w:t xml:space="preserve">e) </w:t>
      </w:r>
      <w:r w:rsidR="00965E66">
        <w:t>E</w:t>
      </w:r>
      <w:r w:rsidR="00965E66">
        <w:rPr>
          <w:rFonts w:cs="Arial"/>
        </w:rPr>
        <w:t>n el PAIF se indica que, en el plazo de un año desde el inicio de su funcionamiento, se va a realizar un plan estratégico de la empresa pública para determinar las líneas de actuación y evaluar la misma en términos de eficacia y eficiencia. Sobre esta cuestión se inform</w:t>
      </w:r>
      <w:r w:rsidR="00B948D0">
        <w:rPr>
          <w:rFonts w:cs="Arial"/>
        </w:rPr>
        <w:t>a</w:t>
      </w:r>
      <w:r w:rsidR="00965E66">
        <w:rPr>
          <w:rFonts w:cs="Arial"/>
        </w:rPr>
        <w:t xml:space="preserve"> que siendo el transporte sanitario un servicio que se viene realizando desde hace muchos años, el análisis de eficiencia y eficacia se debe realizar con carácter previo a la propuesta de creación de la sociedad pública</w:t>
      </w:r>
      <w:r w:rsidR="000A35FD">
        <w:rPr>
          <w:rFonts w:cs="Arial"/>
        </w:rPr>
        <w:t>.</w:t>
      </w:r>
    </w:p>
    <w:p w14:paraId="6A1426EA" w14:textId="77777777" w:rsidR="000F6549" w:rsidRDefault="00462BCC" w:rsidP="000F6549">
      <w:pPr>
        <w:pStyle w:val="texto"/>
        <w:jc w:val="both"/>
        <w:rPr>
          <w:i/>
        </w:rPr>
      </w:pPr>
      <w:r>
        <w:t xml:space="preserve">El citado informe </w:t>
      </w:r>
      <w:r w:rsidR="000F6549" w:rsidRPr="000F6549">
        <w:t>concluye lo siguiente:</w:t>
      </w:r>
      <w:r w:rsidR="00EA63A6" w:rsidRPr="000F6549">
        <w:t xml:space="preserve"> </w:t>
      </w:r>
      <w:r w:rsidR="00834039" w:rsidRPr="000F6549">
        <w:t>“</w:t>
      </w:r>
      <w:r w:rsidR="00834039" w:rsidRPr="000F6549">
        <w:rPr>
          <w:i/>
        </w:rPr>
        <w:t xml:space="preserve">Los informes presentados no justifican suficientemente las razones para el cambio en el modelo de prestación del servicio, ni justifican que tal decisión sea la más adecuada para los intereses públicos que deben atender. La situación actual de incumplimientos, que no han sido descritos y que no parecen generar un número excesivo de quejas a tenor de las cifras anteriormente expuestas, podría solventarse igualmente mediante la licitación de un contrato público. (…) </w:t>
      </w:r>
    </w:p>
    <w:p w14:paraId="2225DA44" w14:textId="77777777" w:rsidR="002866F3" w:rsidRPr="000F6549" w:rsidRDefault="002866F3" w:rsidP="000F6549">
      <w:pPr>
        <w:pStyle w:val="texto"/>
        <w:jc w:val="both"/>
        <w:rPr>
          <w:i/>
        </w:rPr>
      </w:pPr>
    </w:p>
    <w:p w14:paraId="213334D4" w14:textId="77777777" w:rsidR="00834039" w:rsidRPr="000F6549" w:rsidRDefault="00834039" w:rsidP="000F6549">
      <w:pPr>
        <w:pStyle w:val="texto"/>
        <w:jc w:val="both"/>
      </w:pPr>
      <w:r w:rsidRPr="000F6549">
        <w:rPr>
          <w:i/>
        </w:rPr>
        <w:t>Además, puede observarse que el servicio de transporte sanitario va a resultar más gravoso para las arcas públicas a través de la sociedad pública y no queda demostrado que el cambio en el modo de su gestión vaya a procurar una mayor calidad de la prestación, no cumpliéndose por lo tanto con los principios rectores de economía y eficiencia que deben regir en toda actuación pública</w:t>
      </w:r>
      <w:r w:rsidR="000F6549">
        <w:rPr>
          <w:i/>
        </w:rPr>
        <w:t>”</w:t>
      </w:r>
      <w:r w:rsidRPr="000F6549">
        <w:t xml:space="preserve">. </w:t>
      </w:r>
    </w:p>
    <w:p w14:paraId="447E5F7D" w14:textId="77777777" w:rsidR="00B65E31" w:rsidRDefault="00B65E31" w:rsidP="00256794">
      <w:pPr>
        <w:pStyle w:val="texto"/>
        <w:jc w:val="both"/>
      </w:pPr>
    </w:p>
    <w:p w14:paraId="3F221A46" w14:textId="77777777" w:rsidR="00FF6617" w:rsidRPr="00256794" w:rsidRDefault="000A35FD" w:rsidP="00FF6617">
      <w:pPr>
        <w:pStyle w:val="texto"/>
        <w:jc w:val="both"/>
      </w:pPr>
      <w:r>
        <w:t xml:space="preserve">Debe resaltarse </w:t>
      </w:r>
      <w:r w:rsidR="00FF6617" w:rsidRPr="00256794">
        <w:t xml:space="preserve">que el propio Acuerdo de Legislatura 2019-2023, que hemos citado anteriormente, recoge </w:t>
      </w:r>
      <w:r w:rsidR="001A1FCB">
        <w:t xml:space="preserve">lo siguiente </w:t>
      </w:r>
      <w:r w:rsidR="00FF6617" w:rsidRPr="00256794">
        <w:t>respecto al transporte sanitario, “</w:t>
      </w:r>
      <w:r w:rsidR="00FF6617" w:rsidRPr="00256794">
        <w:rPr>
          <w:i/>
        </w:rPr>
        <w:t>la búsqueda de la máxima calidad en la prestación del servicio y la mayor eficiencia en el uso de los recursos</w:t>
      </w:r>
      <w:r w:rsidR="00462BCC">
        <w:t>”, cuestiones que no han quedado acreditadas en la aprobación por parte del Gobierno de Navarra en la creación de</w:t>
      </w:r>
      <w:r w:rsidR="005C6A22">
        <w:t xml:space="preserve"> </w:t>
      </w:r>
      <w:r w:rsidR="00462BCC">
        <w:t xml:space="preserve">la sociedad pública. </w:t>
      </w:r>
    </w:p>
    <w:p w14:paraId="1A56BD6F" w14:textId="77777777" w:rsidR="002866F3" w:rsidRDefault="002866F3" w:rsidP="00256794">
      <w:pPr>
        <w:pStyle w:val="texto"/>
        <w:jc w:val="both"/>
      </w:pPr>
    </w:p>
    <w:p w14:paraId="0CAE022D" w14:textId="77777777" w:rsidR="00B65E31" w:rsidRPr="0017053D" w:rsidRDefault="00B65E31" w:rsidP="0017053D">
      <w:pPr>
        <w:pStyle w:val="atitulo3"/>
        <w:spacing w:before="240"/>
      </w:pPr>
      <w:proofErr w:type="spellStart"/>
      <w:r w:rsidRPr="0017053D">
        <w:lastRenderedPageBreak/>
        <w:t>Nafarbide</w:t>
      </w:r>
      <w:proofErr w:type="spellEnd"/>
      <w:r w:rsidRPr="0017053D">
        <w:t xml:space="preserve"> el camino de l</w:t>
      </w:r>
      <w:r w:rsidR="00A436D6" w:rsidRPr="0017053D">
        <w:t>os navarros, sociedad limitada</w:t>
      </w:r>
    </w:p>
    <w:p w14:paraId="0A962A54" w14:textId="77777777" w:rsidR="00FE335C" w:rsidRDefault="00FE335C" w:rsidP="003E397E">
      <w:pPr>
        <w:pStyle w:val="texto"/>
        <w:spacing w:after="120"/>
        <w:jc w:val="both"/>
        <w:rPr>
          <w:rFonts w:cs="Arial"/>
        </w:rPr>
      </w:pPr>
      <w:r w:rsidRPr="00FE335C">
        <w:rPr>
          <w:rFonts w:cs="Arial"/>
        </w:rPr>
        <w:t>Es necesario contextualizar la entrada en vigor de la Ley Foral 23/2022, de 1 de julio, reguladora del canon de uso de las carreteras de Navarra. Mediante esta ley, se crea el canon de uso de carreteras cuyo objeto es la utilización de determinadas infraestructuras de la Red de Vías de Gran Capacidad de Navarra, como recurso de la Hacienda Pública de Navarra</w:t>
      </w:r>
      <w:r>
        <w:rPr>
          <w:rFonts w:cs="Arial"/>
        </w:rPr>
        <w:t xml:space="preserve">. </w:t>
      </w:r>
    </w:p>
    <w:p w14:paraId="3DE291E9" w14:textId="77777777" w:rsidR="00FE335C" w:rsidRPr="00FE335C" w:rsidRDefault="00FE335C" w:rsidP="004528C1">
      <w:pPr>
        <w:pStyle w:val="texto"/>
        <w:spacing w:before="120"/>
        <w:jc w:val="both"/>
        <w:rPr>
          <w:rFonts w:cs="Arial"/>
        </w:rPr>
      </w:pPr>
      <w:r>
        <w:rPr>
          <w:rFonts w:cs="Arial"/>
        </w:rPr>
        <w:t xml:space="preserve">La recaudación que se obtenga </w:t>
      </w:r>
      <w:r w:rsidRPr="00FE335C">
        <w:rPr>
          <w:rFonts w:cs="Arial"/>
        </w:rPr>
        <w:t>se destinará a la financiación de las actuaciones de conservación y explotación viaria, así como a la construcción de nuevas infraestructuras e implantación de servicios asociados, que se integrarán, en su caso, en la Red de Carreteras de Navarra.</w:t>
      </w:r>
      <w:r w:rsidR="00B93200">
        <w:rPr>
          <w:rFonts w:cs="Arial"/>
        </w:rPr>
        <w:t xml:space="preserve"> </w:t>
      </w:r>
      <w:r w:rsidRPr="00FE335C">
        <w:rPr>
          <w:rFonts w:cs="Arial"/>
        </w:rPr>
        <w:t xml:space="preserve">A tal efecto, </w:t>
      </w:r>
      <w:r>
        <w:rPr>
          <w:rFonts w:cs="Arial"/>
        </w:rPr>
        <w:t xml:space="preserve">prevé la citada ley foral, que </w:t>
      </w:r>
      <w:r w:rsidRPr="00FE335C">
        <w:rPr>
          <w:rFonts w:cs="Arial"/>
        </w:rPr>
        <w:t>la exacción y gestión del canon de uso se efectuará por la A</w:t>
      </w:r>
      <w:r>
        <w:rPr>
          <w:rFonts w:cs="Arial"/>
        </w:rPr>
        <w:t>CFN</w:t>
      </w:r>
      <w:r w:rsidRPr="00FE335C">
        <w:rPr>
          <w:rFonts w:cs="Arial"/>
        </w:rPr>
        <w:t>, por sí o por sociedad pública creada por l</w:t>
      </w:r>
      <w:r>
        <w:rPr>
          <w:rFonts w:cs="Arial"/>
        </w:rPr>
        <w:t xml:space="preserve">a misma al efecto. </w:t>
      </w:r>
    </w:p>
    <w:p w14:paraId="380476BB" w14:textId="77777777" w:rsidR="00B65E31" w:rsidRDefault="00B65E31" w:rsidP="004528C1">
      <w:pPr>
        <w:pStyle w:val="texto"/>
        <w:spacing w:before="120"/>
        <w:jc w:val="both"/>
      </w:pPr>
      <w:r>
        <w:t xml:space="preserve">Los trámites administrativos de la creación de esta sociedad pública se inician en marzo de 2023, aprobándose en junio de 2023 mediante Acuerdo de Gobierno </w:t>
      </w:r>
      <w:r w:rsidR="00462BCC">
        <w:t>la autorización a la CPEN a constituir una sociedad de responsabilidad limitada, bajo la denominación social “</w:t>
      </w:r>
      <w:proofErr w:type="spellStart"/>
      <w:r w:rsidR="00462BCC">
        <w:t>Nafarbide</w:t>
      </w:r>
      <w:proofErr w:type="spellEnd"/>
      <w:r w:rsidR="00462BCC">
        <w:t xml:space="preserve">, el Camino de los navarros, S.L.” (NAFARBIDE) y su adscripción al Departamento de Cohesión Territorial. </w:t>
      </w:r>
      <w:r>
        <w:t>Posteriormente en febrero de 2024 se formaliza ante notario la escritura de constitución y en abril de 2024 se inscribe en el Registro Mercantil.</w:t>
      </w:r>
    </w:p>
    <w:p w14:paraId="1E4BAAAB" w14:textId="77777777" w:rsidR="00462BCC" w:rsidRDefault="00462BCC" w:rsidP="00B65E31">
      <w:pPr>
        <w:pStyle w:val="texto"/>
        <w:jc w:val="both"/>
      </w:pPr>
    </w:p>
    <w:p w14:paraId="57DF2794" w14:textId="77777777" w:rsidR="00B65E31" w:rsidRDefault="00B65E31" w:rsidP="00B65E31">
      <w:pPr>
        <w:pStyle w:val="texto"/>
        <w:jc w:val="both"/>
      </w:pPr>
      <w:r>
        <w:t xml:space="preserve">El objeto social de la sociedad de acuerdo con sus </w:t>
      </w:r>
      <w:proofErr w:type="gramStart"/>
      <w:r>
        <w:t>Estatutos,</w:t>
      </w:r>
      <w:proofErr w:type="gramEnd"/>
      <w:r>
        <w:t xml:space="preserve"> es el siguiente: </w:t>
      </w:r>
    </w:p>
    <w:p w14:paraId="26FE4138" w14:textId="77777777" w:rsidR="00B65E31" w:rsidRDefault="00B65E31" w:rsidP="008C2B8E">
      <w:pPr>
        <w:pStyle w:val="texto"/>
        <w:numPr>
          <w:ilvl w:val="0"/>
          <w:numId w:val="13"/>
        </w:numPr>
        <w:tabs>
          <w:tab w:val="clear" w:pos="360"/>
          <w:tab w:val="num" w:pos="300"/>
          <w:tab w:val="left" w:pos="480"/>
          <w:tab w:val="num" w:pos="600"/>
        </w:tabs>
        <w:spacing w:before="120"/>
        <w:ind w:firstLine="289"/>
        <w:jc w:val="both"/>
        <w:rPr>
          <w:rFonts w:cs="Arial"/>
          <w:i/>
          <w:sz w:val="18"/>
          <w:szCs w:val="18"/>
        </w:rPr>
      </w:pPr>
      <w:r>
        <w:rPr>
          <w:rFonts w:cs="Arial"/>
          <w:i/>
          <w:sz w:val="18"/>
          <w:szCs w:val="18"/>
        </w:rPr>
        <w:t>Mantener, conservar y explotar mediante la aplicación de un peaje o canon por uso, por sí o por terceras personas, los siguientes tramos de vías de gran capacidad que trascurren por el territorio de la Comunidad Foral de Navarra: los de las autovías A-1, A-10, A-15 y A-68 y el de la carretera de altas prestaciones N-121-A, y sus instalaciones, así como los servicios de cualquier naturaleza relacionados con dichas infraestructuras, tales como zonas funcionales y de servicio y centros de transportes.</w:t>
      </w:r>
    </w:p>
    <w:p w14:paraId="0318BCC4" w14:textId="77777777" w:rsidR="00B65E31" w:rsidRDefault="00B65E31" w:rsidP="008C2B8E">
      <w:pPr>
        <w:pStyle w:val="texto"/>
        <w:numPr>
          <w:ilvl w:val="0"/>
          <w:numId w:val="13"/>
        </w:numPr>
        <w:tabs>
          <w:tab w:val="clear" w:pos="360"/>
          <w:tab w:val="num" w:pos="300"/>
          <w:tab w:val="left" w:pos="480"/>
          <w:tab w:val="num" w:pos="600"/>
        </w:tabs>
        <w:spacing w:before="120"/>
        <w:ind w:firstLine="289"/>
        <w:jc w:val="both"/>
        <w:rPr>
          <w:rFonts w:cs="Arial"/>
          <w:i/>
          <w:sz w:val="18"/>
          <w:szCs w:val="18"/>
        </w:rPr>
      </w:pPr>
      <w:r>
        <w:rPr>
          <w:rFonts w:cs="Arial"/>
          <w:i/>
          <w:sz w:val="18"/>
          <w:szCs w:val="18"/>
        </w:rPr>
        <w:t>Proyectar, construir, mantener, conservar, financiar y explotar, por sí o por terceras personas, los nuevos tramos, las mejoras, las ampliaciones y las prolongaciones de las citadas infraestructuras que se decidan ejecutar por el Departamento de la Administración de la Comunidad Foral de Navarra competente en materia de carreteras.</w:t>
      </w:r>
    </w:p>
    <w:p w14:paraId="670E6040" w14:textId="77777777" w:rsidR="00B65E31" w:rsidRPr="00A963CA" w:rsidRDefault="00B65E31" w:rsidP="00A963CA">
      <w:pPr>
        <w:pStyle w:val="texto"/>
        <w:numPr>
          <w:ilvl w:val="0"/>
          <w:numId w:val="13"/>
        </w:numPr>
        <w:tabs>
          <w:tab w:val="clear" w:pos="360"/>
          <w:tab w:val="num" w:pos="300"/>
          <w:tab w:val="left" w:pos="480"/>
          <w:tab w:val="num" w:pos="600"/>
        </w:tabs>
        <w:spacing w:before="120"/>
        <w:ind w:firstLine="289"/>
        <w:jc w:val="both"/>
        <w:rPr>
          <w:rFonts w:cs="Arial"/>
          <w:i/>
          <w:sz w:val="18"/>
          <w:szCs w:val="18"/>
        </w:rPr>
      </w:pPr>
      <w:r>
        <w:rPr>
          <w:rFonts w:cs="Arial"/>
          <w:i/>
          <w:sz w:val="18"/>
          <w:szCs w:val="18"/>
        </w:rPr>
        <w:t>También podrán ser objeto de este sistema de gestión, los tramos de otras autopistas y autovías que trascurren por el territorio de la Comunidad Foral de Navarra cuando finalicen las actuales concesiones y las infraestructuras reviertan a la gestión de la Administración de la Comunidad Foral, en particular: los de las autovías A-12 y A-21, y los de la actual autopista AP-15, así como los servicios de cualquier naturaleza relacionados con dichas infraestructuras, tales como zonas funcionales y de servicio y centros de transportes</w:t>
      </w:r>
      <w:r w:rsidRPr="00A963CA">
        <w:rPr>
          <w:rFonts w:cs="Arial"/>
          <w:i/>
          <w:sz w:val="18"/>
          <w:szCs w:val="18"/>
        </w:rPr>
        <w:t>.</w:t>
      </w:r>
    </w:p>
    <w:p w14:paraId="2D8F682C" w14:textId="77777777" w:rsidR="00A963CA" w:rsidRDefault="00A963CA" w:rsidP="00B65E31">
      <w:pPr>
        <w:pStyle w:val="texto"/>
        <w:jc w:val="both"/>
      </w:pPr>
    </w:p>
    <w:p w14:paraId="719C2032" w14:textId="77777777" w:rsidR="00B65E31" w:rsidRDefault="00B65E31" w:rsidP="00B65E31">
      <w:pPr>
        <w:pStyle w:val="texto"/>
        <w:jc w:val="both"/>
        <w:rPr>
          <w:rFonts w:cs="Arial"/>
        </w:rPr>
      </w:pPr>
      <w:r>
        <w:t xml:space="preserve">El expediente consta con la propuesta del Director General de Obras Públicas e Infraestructuras y se incluye el correspondiente PAIF. </w:t>
      </w:r>
      <w:r w:rsidR="00F9613D">
        <w:t xml:space="preserve">Consta informe jurídico favorable del departamento, y </w:t>
      </w:r>
      <w:r>
        <w:t xml:space="preserve">se adjunta </w:t>
      </w:r>
      <w:r w:rsidRPr="000F6549">
        <w:rPr>
          <w:rFonts w:cs="Arial"/>
        </w:rPr>
        <w:t xml:space="preserve">el informe de la CPEN, </w:t>
      </w:r>
      <w:r>
        <w:rPr>
          <w:rFonts w:cs="Arial"/>
        </w:rPr>
        <w:t xml:space="preserve">que </w:t>
      </w:r>
      <w:r w:rsidRPr="000F6549">
        <w:rPr>
          <w:rFonts w:cs="Arial"/>
        </w:rPr>
        <w:t>concluye favorablemente a la creación de la sociedad</w:t>
      </w:r>
      <w:r>
        <w:rPr>
          <w:rFonts w:cs="Arial"/>
        </w:rPr>
        <w:t xml:space="preserve">. </w:t>
      </w:r>
    </w:p>
    <w:p w14:paraId="0D8C118F" w14:textId="77777777" w:rsidR="00965E66" w:rsidRDefault="00965E66" w:rsidP="00B65E31">
      <w:pPr>
        <w:pStyle w:val="texto"/>
        <w:jc w:val="both"/>
      </w:pPr>
    </w:p>
    <w:p w14:paraId="518A43EF" w14:textId="77777777" w:rsidR="000A35FD" w:rsidRDefault="00B65E31" w:rsidP="00B65E31">
      <w:pPr>
        <w:pStyle w:val="texto"/>
        <w:jc w:val="both"/>
        <w:rPr>
          <w:rFonts w:cs="Arial"/>
        </w:rPr>
      </w:pPr>
      <w:r>
        <w:t xml:space="preserve">En fecha 23 de mayo de 2023 </w:t>
      </w:r>
      <w:r>
        <w:rPr>
          <w:rFonts w:cs="Arial"/>
        </w:rPr>
        <w:t xml:space="preserve">se emite informe desfavorable por el Jefe de Sección de Sociedades Públicas, Avales y Asuntos Económicos. Este informe es avalado por la Directora del Servicio de Patrimonio, </w:t>
      </w:r>
      <w:r w:rsidR="00462BCC">
        <w:rPr>
          <w:rFonts w:cs="Arial"/>
        </w:rPr>
        <w:t xml:space="preserve">la </w:t>
      </w:r>
      <w:r>
        <w:rPr>
          <w:rFonts w:cs="Arial"/>
        </w:rPr>
        <w:t xml:space="preserve">Directora </w:t>
      </w:r>
      <w:r w:rsidR="00462BCC">
        <w:rPr>
          <w:rFonts w:cs="Arial"/>
        </w:rPr>
        <w:t xml:space="preserve">General </w:t>
      </w:r>
      <w:r>
        <w:rPr>
          <w:rFonts w:cs="Arial"/>
        </w:rPr>
        <w:t>de Pre</w:t>
      </w:r>
      <w:r>
        <w:rPr>
          <w:rFonts w:cs="Arial"/>
        </w:rPr>
        <w:lastRenderedPageBreak/>
        <w:t xml:space="preserve">supuestos, Patrimonio y Política Económica, así como por el Interventor General. Asimismo, el Interventor General emite en la misma fecha informe propio, también en sentido desfavorable. </w:t>
      </w:r>
    </w:p>
    <w:p w14:paraId="405D0F60" w14:textId="77777777" w:rsidR="00CB1960" w:rsidRDefault="00CB1960" w:rsidP="00B65E31">
      <w:pPr>
        <w:pStyle w:val="texto"/>
        <w:jc w:val="both"/>
        <w:rPr>
          <w:rFonts w:cs="Arial"/>
        </w:rPr>
      </w:pPr>
    </w:p>
    <w:p w14:paraId="4D23B0C3" w14:textId="77777777" w:rsidR="000A35FD" w:rsidRDefault="000A35FD" w:rsidP="00B65E31">
      <w:pPr>
        <w:pStyle w:val="texto"/>
        <w:jc w:val="both"/>
        <w:rPr>
          <w:rFonts w:cs="Arial"/>
        </w:rPr>
      </w:pPr>
      <w:r>
        <w:rPr>
          <w:rFonts w:cs="Arial"/>
        </w:rPr>
        <w:t xml:space="preserve">Los aspectos más relevantes de los citados </w:t>
      </w:r>
      <w:proofErr w:type="gramStart"/>
      <w:r>
        <w:rPr>
          <w:rFonts w:cs="Arial"/>
        </w:rPr>
        <w:t>informes,</w:t>
      </w:r>
      <w:proofErr w:type="gramEnd"/>
      <w:r>
        <w:rPr>
          <w:rFonts w:cs="Arial"/>
        </w:rPr>
        <w:t xml:space="preserve"> son los siguientes: </w:t>
      </w:r>
    </w:p>
    <w:p w14:paraId="6D410F57" w14:textId="77777777" w:rsidR="00965E66" w:rsidRDefault="00965E66" w:rsidP="00B65E31">
      <w:pPr>
        <w:pStyle w:val="texto"/>
        <w:jc w:val="both"/>
        <w:rPr>
          <w:rFonts w:cs="Arial"/>
        </w:rPr>
      </w:pPr>
    </w:p>
    <w:p w14:paraId="73F66906" w14:textId="77777777" w:rsidR="00B65E31" w:rsidRDefault="002A155D" w:rsidP="002A155D">
      <w:pPr>
        <w:pStyle w:val="texto"/>
        <w:spacing w:after="120"/>
        <w:jc w:val="both"/>
        <w:rPr>
          <w:rFonts w:cs="Arial"/>
        </w:rPr>
      </w:pPr>
      <w:r>
        <w:rPr>
          <w:rFonts w:cs="Arial"/>
        </w:rPr>
        <w:t xml:space="preserve">a) </w:t>
      </w:r>
      <w:r w:rsidR="00B65E31" w:rsidRPr="00F9613D">
        <w:rPr>
          <w:rFonts w:cs="Arial"/>
        </w:rPr>
        <w:t>El PAIF, sob</w:t>
      </w:r>
      <w:r w:rsidR="00F2564D">
        <w:rPr>
          <w:rFonts w:cs="Arial"/>
        </w:rPr>
        <w:t xml:space="preserve">re el que se indica que se debería </w:t>
      </w:r>
      <w:r w:rsidR="00B65E31" w:rsidRPr="00F2564D">
        <w:rPr>
          <w:rFonts w:cs="Arial"/>
        </w:rPr>
        <w:t>haber realizado un análisis de sensibilidad s</w:t>
      </w:r>
      <w:r w:rsidR="00F2564D">
        <w:rPr>
          <w:rFonts w:cs="Arial"/>
        </w:rPr>
        <w:t>obre la afluencia de vehículos.</w:t>
      </w:r>
      <w:r w:rsidR="00EC6C4D">
        <w:rPr>
          <w:rFonts w:cs="Arial"/>
        </w:rPr>
        <w:t xml:space="preserve"> </w:t>
      </w:r>
    </w:p>
    <w:p w14:paraId="4F280516" w14:textId="77777777" w:rsidR="00B93200" w:rsidRDefault="00B93200" w:rsidP="006051BE">
      <w:pPr>
        <w:tabs>
          <w:tab w:val="center" w:pos="2835"/>
          <w:tab w:val="center" w:pos="3969"/>
          <w:tab w:val="center" w:pos="5103"/>
          <w:tab w:val="center" w:pos="6237"/>
          <w:tab w:val="center" w:pos="7371"/>
        </w:tabs>
        <w:ind w:firstLine="284"/>
        <w:jc w:val="both"/>
        <w:rPr>
          <w:spacing w:val="6"/>
          <w:sz w:val="26"/>
        </w:rPr>
      </w:pPr>
      <w:r>
        <w:rPr>
          <w:rFonts w:cs="Arial"/>
          <w:spacing w:val="6"/>
          <w:sz w:val="26"/>
        </w:rPr>
        <w:t xml:space="preserve">Por otro lado, está previsto </w:t>
      </w:r>
      <w:r>
        <w:rPr>
          <w:spacing w:val="6"/>
          <w:sz w:val="26"/>
        </w:rPr>
        <w:t xml:space="preserve">(según el PAIF) </w:t>
      </w:r>
      <w:r w:rsidRPr="00B93200">
        <w:rPr>
          <w:spacing w:val="6"/>
          <w:sz w:val="26"/>
        </w:rPr>
        <w:t xml:space="preserve">recaudar más de 2.600 millones en 30 años, cantidad que pudiera incrementarse sustancialmente cuando parte de las carreteras de altas prestaciones existentes y no contempladas en el PAIF, pudieran pasar a ser gestionadas por la sociedad.  </w:t>
      </w:r>
      <w:r>
        <w:rPr>
          <w:spacing w:val="6"/>
          <w:sz w:val="26"/>
        </w:rPr>
        <w:t xml:space="preserve">Sobre esta cuestión, el Servicio de Patrimonio, entiende que no se aborda ninguna cuestión sobre el control que se va a efectuar respecto a las aplicaciones de los recursos económicos obtenidos en la sociedad pública. </w:t>
      </w:r>
    </w:p>
    <w:p w14:paraId="4D580B36" w14:textId="77777777" w:rsidR="006051BE" w:rsidRDefault="006051BE" w:rsidP="006051BE">
      <w:pPr>
        <w:tabs>
          <w:tab w:val="center" w:pos="2835"/>
          <w:tab w:val="center" w:pos="3969"/>
          <w:tab w:val="center" w:pos="5103"/>
          <w:tab w:val="center" w:pos="6237"/>
          <w:tab w:val="center" w:pos="7371"/>
        </w:tabs>
        <w:ind w:firstLine="284"/>
        <w:jc w:val="both"/>
        <w:rPr>
          <w:rFonts w:cs="Arial"/>
        </w:rPr>
      </w:pPr>
    </w:p>
    <w:p w14:paraId="45B2F7E0" w14:textId="77777777" w:rsidR="00CB1960" w:rsidRPr="00C12E3B" w:rsidRDefault="002A155D" w:rsidP="00CB1960">
      <w:pPr>
        <w:pStyle w:val="texto"/>
        <w:jc w:val="both"/>
      </w:pPr>
      <w:r>
        <w:rPr>
          <w:rFonts w:cs="Arial"/>
        </w:rPr>
        <w:t xml:space="preserve">b) </w:t>
      </w:r>
      <w:r w:rsidR="00F2564D" w:rsidRPr="00F2564D">
        <w:rPr>
          <w:rFonts w:cs="Arial"/>
        </w:rPr>
        <w:t xml:space="preserve">Contrariamente a lo pretendido en los informes justificativos, en </w:t>
      </w:r>
      <w:r w:rsidR="00FD3DAF">
        <w:rPr>
          <w:rFonts w:cs="Arial"/>
        </w:rPr>
        <w:t xml:space="preserve">los </w:t>
      </w:r>
      <w:r w:rsidR="00F2564D" w:rsidRPr="00F2564D">
        <w:rPr>
          <w:rFonts w:cs="Arial"/>
        </w:rPr>
        <w:t xml:space="preserve">que se </w:t>
      </w:r>
      <w:r w:rsidR="00B65E31" w:rsidRPr="00C12E3B">
        <w:rPr>
          <w:rFonts w:cs="Arial"/>
        </w:rPr>
        <w:t>intenta demostrar que NAFARBIDE cumple los requisitos exigidos por el Sistema Europeo de Cuentas (SEC 2010), para que sus cuentas no consoliden con las cuentas de la A</w:t>
      </w:r>
      <w:r w:rsidR="00E673DD" w:rsidRPr="00C12E3B">
        <w:rPr>
          <w:rFonts w:cs="Arial"/>
        </w:rPr>
        <w:t>CFN</w:t>
      </w:r>
      <w:r w:rsidR="00F2564D" w:rsidRPr="00C12E3B">
        <w:rPr>
          <w:rFonts w:cs="Arial"/>
        </w:rPr>
        <w:t xml:space="preserve">, las cuentas de la citada sociedad </w:t>
      </w:r>
      <w:r w:rsidR="00B65E31" w:rsidRPr="00C12E3B">
        <w:rPr>
          <w:rFonts w:cs="Arial"/>
        </w:rPr>
        <w:t xml:space="preserve">van a consolidar con las de la </w:t>
      </w:r>
      <w:r w:rsidR="001A1FCB" w:rsidRPr="00C12E3B">
        <w:rPr>
          <w:rFonts w:cs="Arial"/>
        </w:rPr>
        <w:t>ACFN</w:t>
      </w:r>
      <w:r w:rsidR="00F2564D" w:rsidRPr="00C12E3B">
        <w:rPr>
          <w:rFonts w:cs="Arial"/>
        </w:rPr>
        <w:t>, según comunicación de la IGAE.</w:t>
      </w:r>
      <w:r w:rsidR="00CB1960" w:rsidRPr="00C12E3B">
        <w:rPr>
          <w:rFonts w:cs="Arial"/>
        </w:rPr>
        <w:t xml:space="preserve"> Este hecho es relevante, dado que el endeudamiento necesario para afrontar inversiones según el </w:t>
      </w:r>
      <w:proofErr w:type="gramStart"/>
      <w:r w:rsidR="00CB1960" w:rsidRPr="00C12E3B">
        <w:rPr>
          <w:rFonts w:cs="Arial"/>
        </w:rPr>
        <w:t>PAIF,</w:t>
      </w:r>
      <w:proofErr w:type="gramEnd"/>
      <w:r w:rsidR="00CB1960" w:rsidRPr="00C12E3B">
        <w:rPr>
          <w:rFonts w:cs="Arial"/>
        </w:rPr>
        <w:t xml:space="preserve"> finalmente </w:t>
      </w:r>
      <w:r w:rsidR="00CB1960" w:rsidRPr="00C12E3B">
        <w:t>c</w:t>
      </w:r>
      <w:r w:rsidR="008607E4" w:rsidRPr="00C12E3B">
        <w:t>omputará como deuda de la ACFN.</w:t>
      </w:r>
    </w:p>
    <w:p w14:paraId="7DDC1D5E" w14:textId="77777777" w:rsidR="00EC6C4D" w:rsidRDefault="00EC6C4D" w:rsidP="00EC6C4D">
      <w:pPr>
        <w:pStyle w:val="texto"/>
        <w:jc w:val="both"/>
      </w:pPr>
    </w:p>
    <w:p w14:paraId="005FACEB" w14:textId="77777777" w:rsidR="00B65E31" w:rsidRDefault="00EC6C4D" w:rsidP="00EC6C4D">
      <w:pPr>
        <w:pStyle w:val="texto"/>
        <w:spacing w:after="120"/>
        <w:jc w:val="both"/>
        <w:rPr>
          <w:szCs w:val="26"/>
        </w:rPr>
      </w:pPr>
      <w:r>
        <w:rPr>
          <w:rFonts w:cs="Arial"/>
        </w:rPr>
        <w:t xml:space="preserve">c) </w:t>
      </w:r>
      <w:r w:rsidR="00CB1960">
        <w:rPr>
          <w:rFonts w:cs="Arial"/>
        </w:rPr>
        <w:t>N</w:t>
      </w:r>
      <w:r w:rsidR="00B65E31" w:rsidRPr="00F2564D">
        <w:rPr>
          <w:szCs w:val="26"/>
          <w:shd w:val="clear" w:color="auto" w:fill="FFFFFF"/>
        </w:rPr>
        <w:t>o se</w:t>
      </w:r>
      <w:r w:rsidR="00B65E31" w:rsidRPr="00F2564D">
        <w:rPr>
          <w:szCs w:val="26"/>
        </w:rPr>
        <w:t xml:space="preserve"> describe el modo en que la sociedad pública llevará a cabo la ejecución de las obras y el mantenimiento de los viales, aunque se intuye que esos trabajos serán contratados a terceros. En </w:t>
      </w:r>
      <w:r w:rsidR="00F2564D">
        <w:rPr>
          <w:szCs w:val="26"/>
        </w:rPr>
        <w:t>consecuencia</w:t>
      </w:r>
      <w:r w:rsidR="004B317A">
        <w:rPr>
          <w:szCs w:val="26"/>
        </w:rPr>
        <w:t>,</w:t>
      </w:r>
      <w:r w:rsidR="00F2564D">
        <w:rPr>
          <w:szCs w:val="26"/>
        </w:rPr>
        <w:t xml:space="preserve"> </w:t>
      </w:r>
      <w:r w:rsidR="00B65E31" w:rsidRPr="00F2564D">
        <w:rPr>
          <w:szCs w:val="26"/>
        </w:rPr>
        <w:t>no se justifica la capacidad de la sociedad para dar cumplimiento al límite establecido en el apartado 7 del artículo 8 de la L</w:t>
      </w:r>
      <w:r w:rsidR="00CB1960">
        <w:rPr>
          <w:szCs w:val="26"/>
        </w:rPr>
        <w:t xml:space="preserve">FC </w:t>
      </w:r>
      <w:r w:rsidR="00B65E31" w:rsidRPr="00F2564D">
        <w:rPr>
          <w:szCs w:val="26"/>
        </w:rPr>
        <w:t>en cuanto a las prestaciones contratadas con terceros</w:t>
      </w:r>
      <w:r w:rsidR="00512F56">
        <w:rPr>
          <w:i/>
          <w:sz w:val="20"/>
          <w:szCs w:val="20"/>
        </w:rPr>
        <w:t xml:space="preserve"> </w:t>
      </w:r>
      <w:r w:rsidR="00512F56">
        <w:rPr>
          <w:szCs w:val="26"/>
        </w:rPr>
        <w:t>(máximo del 50 por ciento del importe del encargo)</w:t>
      </w:r>
      <w:r w:rsidR="001A1FCB">
        <w:rPr>
          <w:szCs w:val="26"/>
        </w:rPr>
        <w:t>.</w:t>
      </w:r>
    </w:p>
    <w:p w14:paraId="717959F5" w14:textId="77777777" w:rsidR="00EC6C4D" w:rsidRDefault="00EC6C4D" w:rsidP="00965E66">
      <w:pPr>
        <w:pStyle w:val="texto"/>
        <w:spacing w:after="120"/>
        <w:jc w:val="both"/>
        <w:rPr>
          <w:rFonts w:cs="Arial"/>
        </w:rPr>
      </w:pPr>
      <w:r>
        <w:rPr>
          <w:rFonts w:cs="Arial"/>
        </w:rPr>
        <w:t xml:space="preserve">d) </w:t>
      </w:r>
      <w:r w:rsidR="00965E66">
        <w:rPr>
          <w:rFonts w:cs="Arial"/>
        </w:rPr>
        <w:t xml:space="preserve">Se considera </w:t>
      </w:r>
      <w:r w:rsidRPr="00CF62E6">
        <w:rPr>
          <w:rFonts w:cs="Arial"/>
        </w:rPr>
        <w:t>que se realizan varias afirmaciones pero que no son justificadas de ningún modo</w:t>
      </w:r>
      <w:r w:rsidR="00CB1960">
        <w:rPr>
          <w:rFonts w:cs="Arial"/>
        </w:rPr>
        <w:t xml:space="preserve"> de una mayor eficiencia por la sociedad</w:t>
      </w:r>
      <w:r w:rsidRPr="00CF62E6">
        <w:rPr>
          <w:rFonts w:cs="Arial"/>
        </w:rPr>
        <w:t>, dando por hecho</w:t>
      </w:r>
      <w:r>
        <w:rPr>
          <w:rFonts w:cs="Arial"/>
        </w:rPr>
        <w:t xml:space="preserve">, entre otros motivos, </w:t>
      </w:r>
      <w:r w:rsidRPr="00CF62E6">
        <w:rPr>
          <w:rFonts w:cs="Arial"/>
        </w:rPr>
        <w:t>que la contratación de una sociedad pública instrumental puede ser a más largo plazo que la contratación de la Administración, cuando ambas están sujetas a la L</w:t>
      </w:r>
      <w:r>
        <w:rPr>
          <w:rFonts w:cs="Arial"/>
        </w:rPr>
        <w:t>FC</w:t>
      </w:r>
      <w:r w:rsidRPr="00CF62E6">
        <w:rPr>
          <w:rFonts w:cs="Arial"/>
        </w:rPr>
        <w:t xml:space="preserve">; y que el endeudamiento a largo plazo (más de 20 años) solo puede llevarse a cabo a través de una sociedad pública, cuando el Gobierno de Navarra tiene endeudamiento que alcanza los 25 años. </w:t>
      </w:r>
      <w:r>
        <w:rPr>
          <w:rFonts w:cs="Arial"/>
        </w:rPr>
        <w:t xml:space="preserve"> </w:t>
      </w:r>
    </w:p>
    <w:p w14:paraId="577CFAC0" w14:textId="77777777" w:rsidR="00EC6C4D" w:rsidRDefault="00965E66" w:rsidP="00EC6C4D">
      <w:pPr>
        <w:pStyle w:val="texto"/>
        <w:spacing w:after="120"/>
        <w:jc w:val="both"/>
        <w:rPr>
          <w:rFonts w:cs="Arial"/>
        </w:rPr>
      </w:pPr>
      <w:r>
        <w:rPr>
          <w:rFonts w:cs="Arial"/>
        </w:rPr>
        <w:t>e</w:t>
      </w:r>
      <w:r w:rsidR="00EC6C4D">
        <w:rPr>
          <w:rFonts w:cs="Arial"/>
        </w:rPr>
        <w:t xml:space="preserve">) </w:t>
      </w:r>
      <w:r w:rsidR="00420955">
        <w:rPr>
          <w:rFonts w:cs="Arial"/>
        </w:rPr>
        <w:t>L</w:t>
      </w:r>
      <w:r w:rsidR="00EC6C4D">
        <w:rPr>
          <w:rFonts w:cs="Arial"/>
        </w:rPr>
        <w:t>a ausencia de pronunciamiento de la Comisión Europea respecto a la aprobación del sistema tarifario. Sin esta aprobación, no podr</w:t>
      </w:r>
      <w:r w:rsidR="00420955">
        <w:rPr>
          <w:rFonts w:cs="Arial"/>
        </w:rPr>
        <w:t xml:space="preserve">ía </w:t>
      </w:r>
      <w:r w:rsidR="00EC6C4D">
        <w:rPr>
          <w:rFonts w:cs="Arial"/>
        </w:rPr>
        <w:t>cobrarse peajes y por lo tanto sería innecesaria la creación de la sociedad pública.</w:t>
      </w:r>
      <w:r w:rsidR="00420955">
        <w:rPr>
          <w:rFonts w:cs="Arial"/>
        </w:rPr>
        <w:t xml:space="preserve"> No obstante, como hecho posterior, indicamos que el 12 de septiembre de 2024, la citada comisión se ha pronunciado favorablemente sobre la adecuación al derecho comunitario </w:t>
      </w:r>
      <w:r w:rsidR="00420955">
        <w:rPr>
          <w:rFonts w:cs="Arial"/>
        </w:rPr>
        <w:lastRenderedPageBreak/>
        <w:t xml:space="preserve">del nuevo régimen de peaje de tasas por infraestructuras, en la Comunidad Foral de Navarra. </w:t>
      </w:r>
    </w:p>
    <w:p w14:paraId="70AC6B71" w14:textId="77777777" w:rsidR="00B65E31" w:rsidRDefault="00CB1960" w:rsidP="00EE60CB">
      <w:pPr>
        <w:tabs>
          <w:tab w:val="center" w:pos="2835"/>
          <w:tab w:val="center" w:pos="3969"/>
          <w:tab w:val="center" w:pos="5103"/>
          <w:tab w:val="center" w:pos="6237"/>
          <w:tab w:val="center" w:pos="7371"/>
        </w:tabs>
        <w:spacing w:before="120" w:after="120"/>
        <w:ind w:firstLine="284"/>
        <w:jc w:val="both"/>
      </w:pPr>
      <w:r w:rsidRPr="00241BA4">
        <w:rPr>
          <w:rFonts w:cs="Arial"/>
          <w:spacing w:val="6"/>
          <w:sz w:val="26"/>
          <w:szCs w:val="26"/>
        </w:rPr>
        <w:t>Consecuentemente</w:t>
      </w:r>
      <w:r w:rsidRPr="00241BA4">
        <w:rPr>
          <w:sz w:val="26"/>
          <w:szCs w:val="26"/>
        </w:rPr>
        <w:t>, e</w:t>
      </w:r>
      <w:r w:rsidR="00420955" w:rsidRPr="00241BA4">
        <w:rPr>
          <w:sz w:val="26"/>
          <w:szCs w:val="26"/>
        </w:rPr>
        <w:t xml:space="preserve">l informe anteriormente citado de 23 de mayo de </w:t>
      </w:r>
      <w:proofErr w:type="gramStart"/>
      <w:r w:rsidR="00420955" w:rsidRPr="00241BA4">
        <w:rPr>
          <w:sz w:val="26"/>
          <w:szCs w:val="26"/>
        </w:rPr>
        <w:t>2023,</w:t>
      </w:r>
      <w:proofErr w:type="gramEnd"/>
      <w:r w:rsidR="00420955" w:rsidRPr="00241BA4">
        <w:rPr>
          <w:sz w:val="26"/>
          <w:szCs w:val="26"/>
        </w:rPr>
        <w:t xml:space="preserve"> c</w:t>
      </w:r>
      <w:r w:rsidR="00B65E31" w:rsidRPr="00241BA4">
        <w:rPr>
          <w:sz w:val="26"/>
          <w:szCs w:val="26"/>
        </w:rPr>
        <w:t>oncluye que “</w:t>
      </w:r>
      <w:r w:rsidR="00B65E31">
        <w:rPr>
          <w:i/>
        </w:rPr>
        <w:t>dada la información aportada y las deficiencias observadas en la misma, el Servicio de Patrimonio no puede informar favorablemente a la creación de la sociedad pública NAFARBIDE, hasta la subsanación de dichas deficiencias</w:t>
      </w:r>
      <w:r w:rsidR="00B65E31">
        <w:t xml:space="preserve">”. </w:t>
      </w:r>
    </w:p>
    <w:p w14:paraId="21A2CA22" w14:textId="77777777" w:rsidR="00EE4E0A" w:rsidRDefault="00CB1960" w:rsidP="00A963CA">
      <w:pPr>
        <w:tabs>
          <w:tab w:val="center" w:pos="2835"/>
          <w:tab w:val="center" w:pos="3969"/>
          <w:tab w:val="center" w:pos="5103"/>
          <w:tab w:val="center" w:pos="6237"/>
          <w:tab w:val="center" w:pos="7371"/>
        </w:tabs>
        <w:ind w:firstLine="284"/>
        <w:jc w:val="both"/>
        <w:rPr>
          <w:rFonts w:cs="Arial"/>
        </w:rPr>
      </w:pPr>
      <w:r w:rsidRPr="00241BA4">
        <w:rPr>
          <w:rFonts w:cs="Arial"/>
          <w:sz w:val="26"/>
          <w:szCs w:val="26"/>
        </w:rPr>
        <w:t>Por otro lado, e</w:t>
      </w:r>
      <w:r w:rsidR="00B65E31" w:rsidRPr="00241BA4">
        <w:rPr>
          <w:rFonts w:cs="Arial"/>
          <w:sz w:val="26"/>
          <w:szCs w:val="26"/>
        </w:rPr>
        <w:t xml:space="preserve">l informe del </w:t>
      </w:r>
      <w:r w:rsidRPr="00241BA4">
        <w:rPr>
          <w:rFonts w:cs="Arial"/>
          <w:sz w:val="26"/>
          <w:szCs w:val="26"/>
        </w:rPr>
        <w:t xml:space="preserve">Interventor </w:t>
      </w:r>
      <w:proofErr w:type="gramStart"/>
      <w:r w:rsidRPr="00241BA4">
        <w:rPr>
          <w:rFonts w:cs="Arial"/>
          <w:sz w:val="26"/>
          <w:szCs w:val="26"/>
        </w:rPr>
        <w:t>General</w:t>
      </w:r>
      <w:r w:rsidR="00B65E31" w:rsidRPr="00241BA4">
        <w:rPr>
          <w:rFonts w:cs="Arial"/>
          <w:sz w:val="26"/>
          <w:szCs w:val="26"/>
        </w:rPr>
        <w:t>,</w:t>
      </w:r>
      <w:proofErr w:type="gramEnd"/>
      <w:r w:rsidR="00B65E31" w:rsidRPr="00241BA4">
        <w:rPr>
          <w:rFonts w:cs="Arial"/>
          <w:sz w:val="26"/>
          <w:szCs w:val="26"/>
        </w:rPr>
        <w:t xml:space="preserve"> </w:t>
      </w:r>
      <w:r w:rsidR="00EE4E0A" w:rsidRPr="00241BA4">
        <w:rPr>
          <w:rFonts w:cs="Arial"/>
          <w:sz w:val="26"/>
          <w:szCs w:val="26"/>
        </w:rPr>
        <w:t xml:space="preserve">concluye en los siguientes términos: </w:t>
      </w:r>
      <w:r w:rsidR="00EE4E0A">
        <w:rPr>
          <w:rFonts w:cs="Arial"/>
        </w:rPr>
        <w:t>“</w:t>
      </w:r>
      <w:r w:rsidR="00EE4E0A">
        <w:rPr>
          <w:rFonts w:cs="Arial"/>
          <w:i/>
        </w:rPr>
        <w:t>Por estas razones, no debería crearse la sociedad que se propone hasta tanto no se garantice plenamente su capacidad jurídica para obtener los recursos que se prevén en el estudio de viabilidad. Debe señalarse que esta capacidad jurídica es también condición necesaria para que pueda formalizarse el encargo que se prevé, bajo el que esta sociedad asumiría las labores de conservación de las infraestructuras viarias</w:t>
      </w:r>
      <w:r w:rsidR="00EE4E0A">
        <w:rPr>
          <w:rFonts w:cs="Arial"/>
        </w:rPr>
        <w:t>.”</w:t>
      </w:r>
      <w:r w:rsidR="00735746">
        <w:rPr>
          <w:rFonts w:cs="Arial"/>
        </w:rPr>
        <w:t xml:space="preserve"> </w:t>
      </w:r>
    </w:p>
    <w:p w14:paraId="7D314C65" w14:textId="77777777" w:rsidR="00EC6C4D" w:rsidRDefault="00EC6C4D" w:rsidP="004B317A">
      <w:pPr>
        <w:pStyle w:val="texto"/>
        <w:jc w:val="both"/>
      </w:pPr>
    </w:p>
    <w:p w14:paraId="674CBAEC" w14:textId="77777777" w:rsidR="004B317A" w:rsidRDefault="004B317A" w:rsidP="00EE60CB">
      <w:pPr>
        <w:pStyle w:val="texto"/>
        <w:spacing w:before="120" w:after="120"/>
        <w:jc w:val="both"/>
      </w:pPr>
      <w:r>
        <w:t xml:space="preserve">A pesar de las advertencias realizadas y el sentido desfavorable de los citados informes, el Gobierno mediante Acuerdo de 28 de junio de 2023 aprobó la creación de la citada sociedad. </w:t>
      </w:r>
    </w:p>
    <w:p w14:paraId="05ABCFDF" w14:textId="77777777" w:rsidR="003C1F18" w:rsidRDefault="00A875A8" w:rsidP="00EE60CB">
      <w:pPr>
        <w:pStyle w:val="texto"/>
        <w:tabs>
          <w:tab w:val="left" w:pos="480"/>
          <w:tab w:val="num" w:pos="600"/>
        </w:tabs>
        <w:spacing w:before="120" w:after="120"/>
        <w:jc w:val="both"/>
        <w:rPr>
          <w:szCs w:val="20"/>
        </w:rPr>
      </w:pPr>
      <w:r>
        <w:rPr>
          <w:szCs w:val="20"/>
        </w:rPr>
        <w:t>Asimismo, y además de lo relatado anteriormente sobre el contenido de las advertencias</w:t>
      </w:r>
      <w:r w:rsidR="00AF5AB8">
        <w:rPr>
          <w:szCs w:val="20"/>
        </w:rPr>
        <w:t xml:space="preserve"> efectuadas</w:t>
      </w:r>
      <w:r>
        <w:rPr>
          <w:szCs w:val="20"/>
        </w:rPr>
        <w:t xml:space="preserve">, indicamos </w:t>
      </w:r>
      <w:r w:rsidR="00B96058">
        <w:rPr>
          <w:szCs w:val="20"/>
        </w:rPr>
        <w:t>lo siguiente:</w:t>
      </w:r>
    </w:p>
    <w:p w14:paraId="2B525336" w14:textId="77777777" w:rsidR="00DE4C04" w:rsidRPr="00CB1960" w:rsidRDefault="00DE4C04" w:rsidP="00EE60CB">
      <w:pPr>
        <w:pStyle w:val="texto"/>
        <w:spacing w:before="120" w:after="120"/>
        <w:jc w:val="both"/>
        <w:rPr>
          <w:rFonts w:cs="Arial"/>
        </w:rPr>
      </w:pPr>
      <w:r>
        <w:rPr>
          <w:rFonts w:cs="Arial"/>
        </w:rPr>
        <w:t>a) S</w:t>
      </w:r>
      <w:r w:rsidRPr="000F7DE3">
        <w:rPr>
          <w:szCs w:val="20"/>
        </w:rPr>
        <w:t xml:space="preserve">i lo que se pretende es la “autofinanciación” para </w:t>
      </w:r>
      <w:r>
        <w:rPr>
          <w:szCs w:val="20"/>
        </w:rPr>
        <w:t xml:space="preserve">la construcción, mantenimiento y </w:t>
      </w:r>
      <w:r w:rsidRPr="000F7DE3">
        <w:rPr>
          <w:szCs w:val="20"/>
        </w:rPr>
        <w:t xml:space="preserve">conservación de estas carreteras, no </w:t>
      </w:r>
      <w:r>
        <w:rPr>
          <w:szCs w:val="20"/>
        </w:rPr>
        <w:t xml:space="preserve">existe </w:t>
      </w:r>
      <w:r w:rsidRPr="000F7DE3">
        <w:rPr>
          <w:szCs w:val="20"/>
        </w:rPr>
        <w:t xml:space="preserve">impedimento </w:t>
      </w:r>
      <w:r>
        <w:rPr>
          <w:szCs w:val="20"/>
        </w:rPr>
        <w:t xml:space="preserve">legal </w:t>
      </w:r>
      <w:r w:rsidRPr="000F7DE3">
        <w:rPr>
          <w:szCs w:val="20"/>
        </w:rPr>
        <w:t xml:space="preserve">para </w:t>
      </w:r>
      <w:r>
        <w:rPr>
          <w:szCs w:val="20"/>
        </w:rPr>
        <w:t>llevarse a cabo por la propia ACFN, dado que la financiación afectada es una de las posibilidades presupuestarias que la L</w:t>
      </w:r>
      <w:r w:rsidR="008F0074">
        <w:rPr>
          <w:szCs w:val="20"/>
        </w:rPr>
        <w:t>FHPN</w:t>
      </w:r>
      <w:r>
        <w:rPr>
          <w:szCs w:val="20"/>
        </w:rPr>
        <w:t>. No consta en el expediente análisis sobre esta alternativa</w:t>
      </w:r>
      <w:r w:rsidR="003C1F18">
        <w:rPr>
          <w:szCs w:val="20"/>
        </w:rPr>
        <w:t xml:space="preserve">. </w:t>
      </w:r>
    </w:p>
    <w:p w14:paraId="104F171C" w14:textId="77777777" w:rsidR="007C5E2D" w:rsidRDefault="00B96058" w:rsidP="00FD3DAF">
      <w:pPr>
        <w:pStyle w:val="texto"/>
        <w:tabs>
          <w:tab w:val="left" w:pos="480"/>
        </w:tabs>
        <w:spacing w:before="120" w:after="120"/>
        <w:jc w:val="both"/>
        <w:rPr>
          <w:rFonts w:cs="Arial"/>
        </w:rPr>
      </w:pPr>
      <w:r>
        <w:rPr>
          <w:rFonts w:cs="Arial"/>
        </w:rPr>
        <w:t xml:space="preserve">b) </w:t>
      </w:r>
      <w:r w:rsidR="00CB1960">
        <w:rPr>
          <w:rFonts w:cs="Arial"/>
        </w:rPr>
        <w:t xml:space="preserve">El Acuerdo del Gobierno de Navarra de 28 de junio de 2023, además de los informes citados, incluye un informe en el que se justifica la urgencia </w:t>
      </w:r>
      <w:r w:rsidR="008A597D">
        <w:rPr>
          <w:rFonts w:cs="Arial"/>
        </w:rPr>
        <w:t xml:space="preserve">e interés foral </w:t>
      </w:r>
      <w:r w:rsidR="007C5E2D">
        <w:rPr>
          <w:rFonts w:cs="Arial"/>
        </w:rPr>
        <w:t xml:space="preserve">de la creación de </w:t>
      </w:r>
      <w:proofErr w:type="spellStart"/>
      <w:r w:rsidR="007C5E2D">
        <w:rPr>
          <w:rFonts w:cs="Arial"/>
        </w:rPr>
        <w:t>Nafarbide</w:t>
      </w:r>
      <w:proofErr w:type="spellEnd"/>
      <w:r w:rsidR="007C5E2D">
        <w:rPr>
          <w:rFonts w:cs="Arial"/>
        </w:rPr>
        <w:t xml:space="preserve">, argumentando que la financiación de los túneles de </w:t>
      </w:r>
      <w:proofErr w:type="spellStart"/>
      <w:r w:rsidR="007C5E2D">
        <w:rPr>
          <w:rFonts w:cs="Arial"/>
        </w:rPr>
        <w:t>Belate</w:t>
      </w:r>
      <w:proofErr w:type="spellEnd"/>
      <w:r w:rsidR="007C5E2D">
        <w:rPr>
          <w:rFonts w:cs="Arial"/>
        </w:rPr>
        <w:t xml:space="preserve"> y </w:t>
      </w:r>
      <w:proofErr w:type="spellStart"/>
      <w:r w:rsidR="007C5E2D">
        <w:rPr>
          <w:rFonts w:cs="Arial"/>
        </w:rPr>
        <w:t>Almándoz</w:t>
      </w:r>
      <w:proofErr w:type="spellEnd"/>
      <w:r w:rsidR="007C5E2D">
        <w:rPr>
          <w:rFonts w:cs="Arial"/>
        </w:rPr>
        <w:t xml:space="preserve"> no está garantizada sin el respaldo de la citada sociedad. Llama la atenci</w:t>
      </w:r>
      <w:r w:rsidR="00FD3DAF">
        <w:rPr>
          <w:rFonts w:cs="Arial"/>
        </w:rPr>
        <w:t xml:space="preserve">ón esta </w:t>
      </w:r>
      <w:r w:rsidR="007C5E2D">
        <w:rPr>
          <w:rFonts w:cs="Arial"/>
        </w:rPr>
        <w:t xml:space="preserve">cuestión, dado que tal y como desarrollamos en el Apéndice 6, respecto al contrato “Duplicación del túnel de Belate”, el Gobierno de Navarra ya había aprobado el gasto plurianual, asegurando por lo tanto la financiación. </w:t>
      </w:r>
    </w:p>
    <w:p w14:paraId="45365481" w14:textId="77777777" w:rsidR="00677F80" w:rsidRDefault="00E82E97" w:rsidP="00EE60CB">
      <w:pPr>
        <w:pStyle w:val="texto"/>
        <w:spacing w:before="120"/>
        <w:jc w:val="both"/>
        <w:rPr>
          <w:szCs w:val="20"/>
        </w:rPr>
      </w:pPr>
      <w:r w:rsidRPr="00364860">
        <w:rPr>
          <w:b/>
          <w:szCs w:val="20"/>
        </w:rPr>
        <w:t>Para finalizar</w:t>
      </w:r>
      <w:r>
        <w:rPr>
          <w:szCs w:val="20"/>
        </w:rPr>
        <w:t xml:space="preserve">, esta Cámara destaca una cuestión relevante, </w:t>
      </w:r>
      <w:r w:rsidR="003C1F18">
        <w:rPr>
          <w:szCs w:val="20"/>
        </w:rPr>
        <w:t xml:space="preserve">sobre </w:t>
      </w:r>
      <w:r>
        <w:rPr>
          <w:szCs w:val="20"/>
        </w:rPr>
        <w:t>la revisión de los contratos de obra</w:t>
      </w:r>
      <w:r w:rsidR="00364860">
        <w:rPr>
          <w:szCs w:val="20"/>
        </w:rPr>
        <w:t xml:space="preserve"> que hemos llevado a cabo en este informe</w:t>
      </w:r>
      <w:r>
        <w:rPr>
          <w:szCs w:val="20"/>
        </w:rPr>
        <w:t xml:space="preserve">, </w:t>
      </w:r>
      <w:r w:rsidR="003C1F18">
        <w:rPr>
          <w:szCs w:val="20"/>
        </w:rPr>
        <w:t xml:space="preserve">y en el que hemos constatado la evidencia de </w:t>
      </w:r>
      <w:r>
        <w:rPr>
          <w:szCs w:val="20"/>
        </w:rPr>
        <w:t xml:space="preserve">un nivel de riesgo </w:t>
      </w:r>
      <w:r w:rsidR="005F7E92">
        <w:rPr>
          <w:szCs w:val="20"/>
        </w:rPr>
        <w:t xml:space="preserve">en </w:t>
      </w:r>
      <w:r>
        <w:rPr>
          <w:szCs w:val="20"/>
        </w:rPr>
        <w:t xml:space="preserve">el proceso de contratación que debe tenerse en cuenta. </w:t>
      </w:r>
    </w:p>
    <w:p w14:paraId="5054AFB4" w14:textId="77777777" w:rsidR="00364860" w:rsidRDefault="00364860" w:rsidP="00EE60CB">
      <w:pPr>
        <w:pStyle w:val="texto"/>
        <w:spacing w:before="120"/>
        <w:jc w:val="both"/>
        <w:rPr>
          <w:szCs w:val="20"/>
        </w:rPr>
      </w:pPr>
      <w:r>
        <w:rPr>
          <w:szCs w:val="20"/>
        </w:rPr>
        <w:t>Sin perjuicio de los controles de legalidad que llevan a cabo los funcionarios letrados de los distintos departamentos, u</w:t>
      </w:r>
      <w:r w:rsidR="00677F80">
        <w:rPr>
          <w:szCs w:val="20"/>
        </w:rPr>
        <w:t xml:space="preserve">no de los elementos básicos del control previo administrativo es la existencia de </w:t>
      </w:r>
      <w:r>
        <w:rPr>
          <w:szCs w:val="20"/>
        </w:rPr>
        <w:t xml:space="preserve">la </w:t>
      </w:r>
      <w:r w:rsidR="00677F80">
        <w:rPr>
          <w:szCs w:val="20"/>
        </w:rPr>
        <w:t xml:space="preserve">fiscalización previa </w:t>
      </w:r>
      <w:r w:rsidR="00C739AB">
        <w:rPr>
          <w:szCs w:val="20"/>
        </w:rPr>
        <w:t xml:space="preserve">que ejerce la Intervención, </w:t>
      </w:r>
      <w:r>
        <w:rPr>
          <w:szCs w:val="20"/>
        </w:rPr>
        <w:t xml:space="preserve">lo que aporta </w:t>
      </w:r>
      <w:r w:rsidR="00677F80">
        <w:rPr>
          <w:szCs w:val="20"/>
        </w:rPr>
        <w:t xml:space="preserve">un valor esencial en la garantía de </w:t>
      </w:r>
      <w:r w:rsidR="00A83470">
        <w:rPr>
          <w:szCs w:val="20"/>
        </w:rPr>
        <w:t xml:space="preserve">legalidad, dado que </w:t>
      </w:r>
      <w:r w:rsidR="00C739AB">
        <w:rPr>
          <w:szCs w:val="20"/>
        </w:rPr>
        <w:t xml:space="preserve">la función interventora </w:t>
      </w:r>
      <w:r w:rsidR="00A83470">
        <w:rPr>
          <w:szCs w:val="20"/>
        </w:rPr>
        <w:t xml:space="preserve">responde a los </w:t>
      </w:r>
      <w:r w:rsidR="00677F80">
        <w:rPr>
          <w:szCs w:val="20"/>
        </w:rPr>
        <w:t>principio</w:t>
      </w:r>
      <w:r w:rsidR="00A83470">
        <w:rPr>
          <w:szCs w:val="20"/>
        </w:rPr>
        <w:t xml:space="preserve">s de autonomía, ejercicio desconcentrado y no dependencia jerárquica </w:t>
      </w:r>
      <w:r w:rsidR="00C739AB">
        <w:rPr>
          <w:szCs w:val="20"/>
        </w:rPr>
        <w:t xml:space="preserve">respecto a los </w:t>
      </w:r>
      <w:r w:rsidR="00677F80">
        <w:rPr>
          <w:szCs w:val="20"/>
        </w:rPr>
        <w:t>órgano</w:t>
      </w:r>
      <w:r w:rsidR="00C739AB">
        <w:rPr>
          <w:szCs w:val="20"/>
        </w:rPr>
        <w:t>s</w:t>
      </w:r>
      <w:r w:rsidR="00677F80">
        <w:rPr>
          <w:szCs w:val="20"/>
        </w:rPr>
        <w:t xml:space="preserve"> de contrataci</w:t>
      </w:r>
      <w:r w:rsidR="00C739AB">
        <w:rPr>
          <w:szCs w:val="20"/>
        </w:rPr>
        <w:t xml:space="preserve">ón. </w:t>
      </w:r>
    </w:p>
    <w:p w14:paraId="5BE57A3C" w14:textId="77777777" w:rsidR="005A03CB" w:rsidRDefault="00C739AB" w:rsidP="00EE60CB">
      <w:pPr>
        <w:pStyle w:val="texto"/>
        <w:spacing w:before="120"/>
        <w:jc w:val="both"/>
        <w:rPr>
          <w:szCs w:val="20"/>
        </w:rPr>
      </w:pPr>
      <w:r>
        <w:rPr>
          <w:szCs w:val="20"/>
        </w:rPr>
        <w:lastRenderedPageBreak/>
        <w:t xml:space="preserve">Este tipo de control previo </w:t>
      </w:r>
      <w:r w:rsidR="00364860">
        <w:rPr>
          <w:szCs w:val="20"/>
        </w:rPr>
        <w:t>ni resulta ni puede resultar aplicable a lo</w:t>
      </w:r>
      <w:r w:rsidR="00A83470">
        <w:rPr>
          <w:szCs w:val="20"/>
        </w:rPr>
        <w:t>s entes instrumentales que se rigen por el derecho privado, dado que</w:t>
      </w:r>
      <w:r>
        <w:rPr>
          <w:szCs w:val="20"/>
        </w:rPr>
        <w:t>,</w:t>
      </w:r>
      <w:r w:rsidR="00A83470">
        <w:rPr>
          <w:szCs w:val="20"/>
        </w:rPr>
        <w:t xml:space="preserve"> las actuaciones de fiscalización que lleva a cabo la Intervención</w:t>
      </w:r>
      <w:r>
        <w:rPr>
          <w:szCs w:val="20"/>
        </w:rPr>
        <w:t xml:space="preserve"> sobre estas entidades s</w:t>
      </w:r>
      <w:r w:rsidR="00364860">
        <w:rPr>
          <w:szCs w:val="20"/>
        </w:rPr>
        <w:t xml:space="preserve">egún establece su marco normativo, es </w:t>
      </w:r>
      <w:r>
        <w:rPr>
          <w:szCs w:val="20"/>
        </w:rPr>
        <w:t>siempre a posteriori mediante lo</w:t>
      </w:r>
      <w:r w:rsidR="00364860">
        <w:rPr>
          <w:szCs w:val="20"/>
        </w:rPr>
        <w:t xml:space="preserve">s correspondientes </w:t>
      </w:r>
      <w:r>
        <w:rPr>
          <w:szCs w:val="20"/>
        </w:rPr>
        <w:t>informes de auditoría pública</w:t>
      </w:r>
      <w:r w:rsidR="00231201">
        <w:rPr>
          <w:szCs w:val="20"/>
        </w:rPr>
        <w:t xml:space="preserve">, que son llevadas a cabo por firmas privadas de auditoría bajo la tutela de la Dirección General de Intervención. </w:t>
      </w:r>
    </w:p>
    <w:p w14:paraId="0D8F3494" w14:textId="77777777" w:rsidR="00677F80" w:rsidRDefault="00C739AB" w:rsidP="00EE60CB">
      <w:pPr>
        <w:pStyle w:val="texto"/>
        <w:spacing w:before="120"/>
        <w:jc w:val="both"/>
        <w:rPr>
          <w:szCs w:val="20"/>
        </w:rPr>
      </w:pPr>
      <w:r>
        <w:rPr>
          <w:szCs w:val="20"/>
        </w:rPr>
        <w:t>En este sentido, l</w:t>
      </w:r>
      <w:r w:rsidR="00364860">
        <w:rPr>
          <w:szCs w:val="20"/>
        </w:rPr>
        <w:t>lamamos la atenci</w:t>
      </w:r>
      <w:r w:rsidR="005A03CB">
        <w:rPr>
          <w:szCs w:val="20"/>
        </w:rPr>
        <w:t xml:space="preserve">ón, </w:t>
      </w:r>
      <w:r w:rsidR="003753B5">
        <w:rPr>
          <w:szCs w:val="20"/>
        </w:rPr>
        <w:t xml:space="preserve">que </w:t>
      </w:r>
      <w:r w:rsidR="005A03CB">
        <w:rPr>
          <w:szCs w:val="20"/>
        </w:rPr>
        <w:t xml:space="preserve">según nos consta en datos facilitados por la Intervención General que, en el periodo 2019-2023, </w:t>
      </w:r>
      <w:r w:rsidR="00420955">
        <w:rPr>
          <w:szCs w:val="20"/>
        </w:rPr>
        <w:t xml:space="preserve">el área de </w:t>
      </w:r>
      <w:r w:rsidR="005A03CB">
        <w:rPr>
          <w:szCs w:val="20"/>
        </w:rPr>
        <w:t xml:space="preserve">obras públicas </w:t>
      </w:r>
      <w:r w:rsidR="00420955">
        <w:rPr>
          <w:szCs w:val="20"/>
        </w:rPr>
        <w:t xml:space="preserve">del Departamento de Cohesión </w:t>
      </w:r>
      <w:proofErr w:type="gramStart"/>
      <w:r w:rsidR="00420955">
        <w:rPr>
          <w:szCs w:val="20"/>
        </w:rPr>
        <w:t>Territorial,</w:t>
      </w:r>
      <w:proofErr w:type="gramEnd"/>
      <w:r w:rsidR="00420955">
        <w:rPr>
          <w:szCs w:val="20"/>
        </w:rPr>
        <w:t xml:space="preserve"> </w:t>
      </w:r>
      <w:r w:rsidR="005A03CB">
        <w:rPr>
          <w:szCs w:val="20"/>
        </w:rPr>
        <w:t xml:space="preserve">concentró el mayor porcentaje de informes de reparo al haber supuesto el 25 por ciento de los reparos en materia de contratación. Asimismo, en el ejercicio 2023 consta la publicación de diez reparos incluido el reparo que afecta al contrato de “Duplicación del túnel de Belate”, que analizamos en el Apéndice </w:t>
      </w:r>
      <w:r w:rsidR="00141260">
        <w:rPr>
          <w:szCs w:val="20"/>
        </w:rPr>
        <w:t>6</w:t>
      </w:r>
      <w:r w:rsidR="005A03CB">
        <w:rPr>
          <w:szCs w:val="20"/>
        </w:rPr>
        <w:t>. Como hech</w:t>
      </w:r>
      <w:r w:rsidR="00420955">
        <w:rPr>
          <w:szCs w:val="20"/>
        </w:rPr>
        <w:t xml:space="preserve">o posterior, </w:t>
      </w:r>
      <w:r w:rsidR="005A03CB">
        <w:rPr>
          <w:szCs w:val="20"/>
        </w:rPr>
        <w:t xml:space="preserve">en 2024, la primera certificación del citado </w:t>
      </w:r>
      <w:proofErr w:type="gramStart"/>
      <w:r w:rsidR="005A03CB">
        <w:rPr>
          <w:szCs w:val="20"/>
        </w:rPr>
        <w:t>contrato</w:t>
      </w:r>
      <w:r>
        <w:rPr>
          <w:szCs w:val="20"/>
        </w:rPr>
        <w:t>,</w:t>
      </w:r>
      <w:proofErr w:type="gramEnd"/>
      <w:r w:rsidR="005A03CB">
        <w:rPr>
          <w:szCs w:val="20"/>
        </w:rPr>
        <w:t xml:space="preserve"> asimismo ha sido objeto de reparo. </w:t>
      </w:r>
    </w:p>
    <w:p w14:paraId="49E0D101" w14:textId="77777777" w:rsidR="00C214C4" w:rsidRPr="00C12E3B" w:rsidRDefault="00364860" w:rsidP="00EE60CB">
      <w:pPr>
        <w:pStyle w:val="texto"/>
        <w:spacing w:before="120"/>
        <w:jc w:val="both"/>
        <w:rPr>
          <w:szCs w:val="20"/>
        </w:rPr>
      </w:pPr>
      <w:r w:rsidRPr="00C12E3B">
        <w:rPr>
          <w:szCs w:val="20"/>
        </w:rPr>
        <w:t xml:space="preserve">En el PAIF se contempla una financiación en inversiones como mínimo de 2.600 millones en 30 años. </w:t>
      </w:r>
      <w:r w:rsidR="009A4ADC" w:rsidRPr="00C12E3B">
        <w:rPr>
          <w:szCs w:val="20"/>
        </w:rPr>
        <w:t>S</w:t>
      </w:r>
      <w:r w:rsidR="003753B5" w:rsidRPr="00C12E3B">
        <w:rPr>
          <w:szCs w:val="20"/>
        </w:rPr>
        <w:t>in cuestionar el ejercicio de las funciones</w:t>
      </w:r>
      <w:r w:rsidR="009A4ADC" w:rsidRPr="00C12E3B">
        <w:rPr>
          <w:szCs w:val="20"/>
        </w:rPr>
        <w:t xml:space="preserve"> de los entes instrumentales, en opinión de esta Cámara, </w:t>
      </w:r>
      <w:r w:rsidR="00C214C4" w:rsidRPr="00C12E3B">
        <w:rPr>
          <w:szCs w:val="20"/>
        </w:rPr>
        <w:t xml:space="preserve">desplazar semejante nivel de inversión pública desde los presupuestos de una administración pública en la que operan por ley controles previos preceptivos, a un ente instrumental, supone en un área tan sensible como la obra pública, rebajar el nivel de control y consecuentemente elevar el nivel de riesgo. </w:t>
      </w:r>
    </w:p>
    <w:p w14:paraId="50BEF8E4" w14:textId="77777777" w:rsidR="00CF62E6" w:rsidRPr="00C12E3B" w:rsidRDefault="00CF62E6" w:rsidP="0017053D">
      <w:pPr>
        <w:pStyle w:val="atitulo3"/>
        <w:spacing w:before="240"/>
        <w:rPr>
          <w:color w:val="auto"/>
        </w:rPr>
      </w:pPr>
      <w:r w:rsidRPr="00C12E3B">
        <w:rPr>
          <w:color w:val="auto"/>
        </w:rPr>
        <w:t>Instituto Navarro de Inversiones (INI</w:t>
      </w:r>
      <w:r w:rsidR="0010006F" w:rsidRPr="00C12E3B">
        <w:rPr>
          <w:color w:val="auto"/>
        </w:rPr>
        <w:t>)</w:t>
      </w:r>
    </w:p>
    <w:p w14:paraId="495F2163" w14:textId="77777777" w:rsidR="00CF62E6" w:rsidRDefault="00CF62E6" w:rsidP="009A38AE">
      <w:pPr>
        <w:pStyle w:val="texto"/>
        <w:jc w:val="both"/>
        <w:rPr>
          <w:color w:val="000000" w:themeColor="text1"/>
        </w:rPr>
      </w:pPr>
      <w:r>
        <w:rPr>
          <w:color w:val="000000" w:themeColor="text1"/>
        </w:rPr>
        <w:t xml:space="preserve">En nuestro informe de las Cuentas Generales de 2022, </w:t>
      </w:r>
      <w:r w:rsidR="007C5E2D">
        <w:rPr>
          <w:color w:val="000000" w:themeColor="text1"/>
        </w:rPr>
        <w:t xml:space="preserve">emitimos unas </w:t>
      </w:r>
      <w:r>
        <w:rPr>
          <w:color w:val="000000" w:themeColor="text1"/>
        </w:rPr>
        <w:t xml:space="preserve">concluimos </w:t>
      </w:r>
      <w:r w:rsidR="007C5E2D">
        <w:rPr>
          <w:color w:val="000000" w:themeColor="text1"/>
        </w:rPr>
        <w:t xml:space="preserve">y recomendaciones sobre la creación de la sociedad pública </w:t>
      </w:r>
      <w:r>
        <w:rPr>
          <w:color w:val="000000" w:themeColor="text1"/>
        </w:rPr>
        <w:t>I</w:t>
      </w:r>
      <w:r w:rsidR="007C5E2D">
        <w:rPr>
          <w:color w:val="000000" w:themeColor="text1"/>
        </w:rPr>
        <w:t xml:space="preserve">NI, al que nos remitimos. </w:t>
      </w:r>
    </w:p>
    <w:p w14:paraId="6190B5A5" w14:textId="77777777" w:rsidR="00CF62E6" w:rsidRDefault="00CF62E6" w:rsidP="009A38AE">
      <w:pPr>
        <w:pStyle w:val="texto"/>
        <w:spacing w:before="120" w:after="120"/>
        <w:jc w:val="both"/>
        <w:rPr>
          <w:rFonts w:ascii="Times New (W1)" w:hAnsi="Times New (W1)"/>
          <w:color w:val="000000" w:themeColor="text1"/>
        </w:rPr>
      </w:pPr>
      <w:r>
        <w:rPr>
          <w:rFonts w:ascii="Times New (W1)" w:hAnsi="Times New (W1)"/>
          <w:color w:val="000000" w:themeColor="text1"/>
        </w:rPr>
        <w:t>A la fecha de emisión de este informe, la situación es la siguiente:</w:t>
      </w:r>
    </w:p>
    <w:p w14:paraId="07955D40" w14:textId="77777777" w:rsidR="009B1D77" w:rsidRDefault="000E169C" w:rsidP="008C2B8E">
      <w:pPr>
        <w:pStyle w:val="texto"/>
        <w:numPr>
          <w:ilvl w:val="0"/>
          <w:numId w:val="6"/>
        </w:numPr>
        <w:tabs>
          <w:tab w:val="clear" w:pos="360"/>
          <w:tab w:val="num" w:pos="300"/>
          <w:tab w:val="left" w:pos="480"/>
          <w:tab w:val="num" w:pos="600"/>
        </w:tabs>
        <w:spacing w:before="120"/>
        <w:ind w:firstLine="289"/>
        <w:jc w:val="both"/>
        <w:rPr>
          <w:rFonts w:cs="Arial"/>
        </w:rPr>
      </w:pPr>
      <w:r w:rsidRPr="000E169C">
        <w:rPr>
          <w:rFonts w:cs="Arial"/>
        </w:rPr>
        <w:t>Una de las justificaciones que se argumentaron para la creación de</w:t>
      </w:r>
      <w:r w:rsidR="0010006F">
        <w:rPr>
          <w:rFonts w:cs="Arial"/>
        </w:rPr>
        <w:t xml:space="preserve">l INI </w:t>
      </w:r>
      <w:r w:rsidR="006E7B9E">
        <w:rPr>
          <w:rFonts w:cs="Arial"/>
        </w:rPr>
        <w:t xml:space="preserve">era que no iba a estar clasificada como sociedad integrante de la ACFN, desde el punto de vista del Sistema Europeo de Cuentas (SEC2010) y por lo tanto sus operaciones no computarían como déficit ni deuda pública de la </w:t>
      </w:r>
      <w:r w:rsidR="005832CA">
        <w:rPr>
          <w:rFonts w:cs="Arial"/>
        </w:rPr>
        <w:t>ACFN</w:t>
      </w:r>
      <w:r w:rsidR="006E7B9E">
        <w:rPr>
          <w:rFonts w:cs="Arial"/>
        </w:rPr>
        <w:t xml:space="preserve">. En este sentido, se consideraba que aportaba un </w:t>
      </w:r>
      <w:r w:rsidR="00501AE4" w:rsidRPr="000E169C">
        <w:rPr>
          <w:rFonts w:cs="Arial"/>
        </w:rPr>
        <w:t xml:space="preserve">valor añadido respecto a </w:t>
      </w:r>
      <w:r w:rsidR="006E7B9E">
        <w:rPr>
          <w:rFonts w:cs="Arial"/>
        </w:rPr>
        <w:t xml:space="preserve">SODENA. </w:t>
      </w:r>
      <w:r w:rsidR="00501AE4" w:rsidRPr="000E169C">
        <w:rPr>
          <w:rFonts w:cs="Arial"/>
        </w:rPr>
        <w:t xml:space="preserve"> </w:t>
      </w:r>
    </w:p>
    <w:p w14:paraId="08271FB8" w14:textId="77777777" w:rsidR="00515493" w:rsidRDefault="00E673DD" w:rsidP="00E673DD">
      <w:pPr>
        <w:pStyle w:val="texto"/>
        <w:tabs>
          <w:tab w:val="left" w:pos="480"/>
          <w:tab w:val="num" w:pos="600"/>
        </w:tabs>
        <w:spacing w:before="120"/>
        <w:jc w:val="both"/>
      </w:pPr>
      <w:r>
        <w:rPr>
          <w:rFonts w:cs="Arial"/>
        </w:rPr>
        <w:t xml:space="preserve">Sobre esta cuestión la IGAE </w:t>
      </w:r>
      <w:r w:rsidRPr="00E673DD">
        <w:t xml:space="preserve">ha encuadrado </w:t>
      </w:r>
      <w:r>
        <w:t xml:space="preserve">definitivamente </w:t>
      </w:r>
      <w:r w:rsidRPr="00E673DD">
        <w:t>a la sociedad pública como integrante del Se</w:t>
      </w:r>
      <w:r w:rsidR="006E7B9E">
        <w:t xml:space="preserve">ctor Administraciones Públicas. </w:t>
      </w:r>
      <w:r w:rsidRPr="00E673DD">
        <w:t>Ello implica que</w:t>
      </w:r>
      <w:r w:rsidR="00F03270">
        <w:t xml:space="preserve"> sus operaciones y saldos serán registrados en las cuentas económicas de la ACFN afectando a los saldos de déficit/superávit y endeudamiento públicos, para el cumplimiento de las</w:t>
      </w:r>
      <w:r w:rsidR="00515493">
        <w:t xml:space="preserve"> reglas fiscales.</w:t>
      </w:r>
    </w:p>
    <w:p w14:paraId="5FF8838C" w14:textId="77777777" w:rsidR="00515493" w:rsidRDefault="00515493">
      <w:pPr>
        <w:rPr>
          <w:spacing w:val="6"/>
          <w:sz w:val="26"/>
        </w:rPr>
      </w:pPr>
      <w:r>
        <w:br w:type="page"/>
      </w:r>
    </w:p>
    <w:p w14:paraId="5BDB8A6B" w14:textId="77777777" w:rsidR="009B1D77" w:rsidRDefault="005C6A22" w:rsidP="008C2B8E">
      <w:pPr>
        <w:pStyle w:val="texto"/>
        <w:numPr>
          <w:ilvl w:val="0"/>
          <w:numId w:val="6"/>
        </w:numPr>
        <w:tabs>
          <w:tab w:val="clear" w:pos="360"/>
          <w:tab w:val="num" w:pos="300"/>
          <w:tab w:val="left" w:pos="480"/>
          <w:tab w:val="num" w:pos="600"/>
        </w:tabs>
        <w:spacing w:before="120"/>
        <w:ind w:firstLine="289"/>
        <w:jc w:val="both"/>
        <w:rPr>
          <w:rFonts w:cs="Arial"/>
        </w:rPr>
      </w:pPr>
      <w:r>
        <w:rPr>
          <w:rFonts w:cs="Arial"/>
        </w:rPr>
        <w:lastRenderedPageBreak/>
        <w:t>N</w:t>
      </w:r>
      <w:r w:rsidR="009B1D77" w:rsidRPr="007C5E2D">
        <w:rPr>
          <w:rFonts w:cs="Arial"/>
        </w:rPr>
        <w:t xml:space="preserve">inguna de </w:t>
      </w:r>
      <w:r w:rsidR="00D571C3">
        <w:rPr>
          <w:rFonts w:cs="Arial"/>
        </w:rPr>
        <w:t xml:space="preserve">las </w:t>
      </w:r>
      <w:r w:rsidR="0010006F" w:rsidRPr="007C5E2D">
        <w:rPr>
          <w:rFonts w:cs="Arial"/>
        </w:rPr>
        <w:t xml:space="preserve">tres </w:t>
      </w:r>
      <w:r w:rsidR="009B1D77" w:rsidRPr="007C5E2D">
        <w:rPr>
          <w:rFonts w:cs="Arial"/>
        </w:rPr>
        <w:t xml:space="preserve">actuaciones </w:t>
      </w:r>
      <w:r w:rsidR="00D571C3">
        <w:rPr>
          <w:rFonts w:cs="Arial"/>
        </w:rPr>
        <w:t>previstas para evitar la dup</w:t>
      </w:r>
      <w:r w:rsidR="00F03270">
        <w:rPr>
          <w:rFonts w:cs="Arial"/>
        </w:rPr>
        <w:t>licidad que existe entre el INI</w:t>
      </w:r>
      <w:r w:rsidR="00D571C3">
        <w:rPr>
          <w:rFonts w:cs="Arial"/>
        </w:rPr>
        <w:t xml:space="preserve"> y </w:t>
      </w:r>
      <w:proofErr w:type="spellStart"/>
      <w:r w:rsidR="00D571C3">
        <w:rPr>
          <w:rFonts w:cs="Arial"/>
        </w:rPr>
        <w:t>Sodena</w:t>
      </w:r>
      <w:proofErr w:type="spellEnd"/>
      <w:r w:rsidR="00D571C3">
        <w:rPr>
          <w:rFonts w:cs="Arial"/>
        </w:rPr>
        <w:t xml:space="preserve">, </w:t>
      </w:r>
      <w:r w:rsidR="009B1D77" w:rsidRPr="007C5E2D">
        <w:rPr>
          <w:rFonts w:cs="Arial"/>
        </w:rPr>
        <w:t>se ha</w:t>
      </w:r>
      <w:r w:rsidR="00D571C3">
        <w:rPr>
          <w:rFonts w:cs="Arial"/>
        </w:rPr>
        <w:t>n</w:t>
      </w:r>
      <w:r w:rsidR="005F7E92">
        <w:rPr>
          <w:rFonts w:cs="Arial"/>
        </w:rPr>
        <w:t xml:space="preserve"> llevado a cabo, en concreto:</w:t>
      </w:r>
    </w:p>
    <w:p w14:paraId="105A0EAE" w14:textId="77777777" w:rsidR="006E7B9E" w:rsidRDefault="00530961" w:rsidP="00530961">
      <w:pPr>
        <w:pStyle w:val="texto"/>
        <w:tabs>
          <w:tab w:val="left" w:pos="480"/>
          <w:tab w:val="num" w:pos="600"/>
        </w:tabs>
        <w:spacing w:before="120"/>
        <w:jc w:val="both"/>
      </w:pPr>
      <w:r>
        <w:t xml:space="preserve">a) </w:t>
      </w:r>
      <w:r w:rsidR="005F7E92">
        <w:t>Desarrollar una mayor integración entre las sociedades públicas SODENA y CEIN</w:t>
      </w:r>
    </w:p>
    <w:p w14:paraId="69F1DA96" w14:textId="77777777" w:rsidR="006E7B9E" w:rsidRDefault="00530961" w:rsidP="00530961">
      <w:pPr>
        <w:pStyle w:val="texto"/>
        <w:tabs>
          <w:tab w:val="left" w:pos="480"/>
          <w:tab w:val="num" w:pos="600"/>
        </w:tabs>
        <w:spacing w:before="120"/>
        <w:jc w:val="both"/>
      </w:pPr>
      <w:r>
        <w:t xml:space="preserve">b) </w:t>
      </w:r>
      <w:r w:rsidR="006E7B9E">
        <w:t xml:space="preserve">Proceder a la integración en el INI del área de Creación de Valor y Ca pital Riesgo de SODENA. </w:t>
      </w:r>
    </w:p>
    <w:p w14:paraId="7E5BA13A" w14:textId="77777777" w:rsidR="006E7B9E" w:rsidRPr="006E7B9E" w:rsidRDefault="00530961" w:rsidP="00530961">
      <w:pPr>
        <w:pStyle w:val="texto"/>
        <w:tabs>
          <w:tab w:val="left" w:pos="480"/>
          <w:tab w:val="num" w:pos="600"/>
        </w:tabs>
        <w:spacing w:before="120"/>
        <w:jc w:val="both"/>
      </w:pPr>
      <w:r>
        <w:t xml:space="preserve">c) </w:t>
      </w:r>
      <w:r w:rsidR="006E7B9E">
        <w:t>Modificar el objeto social de SODENA.</w:t>
      </w:r>
    </w:p>
    <w:p w14:paraId="1C452E20" w14:textId="77777777" w:rsidR="004B317A" w:rsidRPr="009C6532" w:rsidRDefault="004B317A" w:rsidP="009C6532">
      <w:pPr>
        <w:pStyle w:val="texto"/>
        <w:jc w:val="both"/>
        <w:rPr>
          <w:color w:val="000000" w:themeColor="text1"/>
        </w:rPr>
      </w:pPr>
    </w:p>
    <w:p w14:paraId="25074570" w14:textId="77777777" w:rsidR="00232430" w:rsidRDefault="009C6532" w:rsidP="004B317A">
      <w:pPr>
        <w:pStyle w:val="texto"/>
        <w:jc w:val="both"/>
      </w:pPr>
      <w:r w:rsidRPr="004B317A">
        <w:t xml:space="preserve">No obstante, </w:t>
      </w:r>
      <w:r w:rsidR="00232430">
        <w:t>como hechos posteriores, indicamos los siguientes:</w:t>
      </w:r>
    </w:p>
    <w:p w14:paraId="22FF9BED" w14:textId="77777777" w:rsidR="009C6532" w:rsidRPr="00232430" w:rsidRDefault="00232430" w:rsidP="008C2B8E">
      <w:pPr>
        <w:pStyle w:val="texto"/>
        <w:numPr>
          <w:ilvl w:val="0"/>
          <w:numId w:val="6"/>
        </w:numPr>
        <w:tabs>
          <w:tab w:val="clear" w:pos="360"/>
          <w:tab w:val="num" w:pos="300"/>
          <w:tab w:val="left" w:pos="480"/>
          <w:tab w:val="num" w:pos="600"/>
        </w:tabs>
        <w:spacing w:before="120"/>
        <w:ind w:firstLine="289"/>
        <w:jc w:val="both"/>
        <w:rPr>
          <w:rFonts w:cs="Arial"/>
        </w:rPr>
      </w:pPr>
      <w:r w:rsidRPr="00232430">
        <w:rPr>
          <w:rFonts w:cs="Arial"/>
        </w:rPr>
        <w:t>C</w:t>
      </w:r>
      <w:r w:rsidR="009C6532" w:rsidRPr="00232430">
        <w:rPr>
          <w:rFonts w:cs="Arial"/>
        </w:rPr>
        <w:t xml:space="preserve">on fecha 26 de enero de 2024 el Consejero Delegado de </w:t>
      </w:r>
      <w:r w:rsidR="0019308E" w:rsidRPr="00232430">
        <w:rPr>
          <w:rFonts w:cs="Arial"/>
        </w:rPr>
        <w:t xml:space="preserve">la </w:t>
      </w:r>
      <w:r w:rsidR="009C6532" w:rsidRPr="00232430">
        <w:rPr>
          <w:rFonts w:cs="Arial"/>
        </w:rPr>
        <w:t>CPEN emitió una instrucción sobre el alcance de las actividades a llevar a cabo por el INI y SODENA en relación a los apoyos financieros</w:t>
      </w:r>
      <w:r w:rsidR="0019308E" w:rsidRPr="00232430">
        <w:rPr>
          <w:rFonts w:cs="Arial"/>
        </w:rPr>
        <w:t xml:space="preserve">, </w:t>
      </w:r>
      <w:r w:rsidR="009C6532" w:rsidRPr="00232430">
        <w:rPr>
          <w:rFonts w:cs="Arial"/>
        </w:rPr>
        <w:t>“</w:t>
      </w:r>
      <w:r w:rsidR="009C6532" w:rsidRPr="00232430">
        <w:rPr>
          <w:rFonts w:cs="Arial"/>
          <w:i/>
        </w:rPr>
        <w:t>siguiendo la recomendación de la Cámara de Comptos de Navarra, adoptar medidas para evitar la coincidencia o duplicidad en el ejercicio de las actividades del INI y SODENA</w:t>
      </w:r>
      <w:r w:rsidR="009C6532" w:rsidRPr="00232430">
        <w:rPr>
          <w:rFonts w:cs="Arial"/>
        </w:rPr>
        <w:t>.”.</w:t>
      </w:r>
    </w:p>
    <w:p w14:paraId="430D9C74" w14:textId="77777777" w:rsidR="00084E45" w:rsidRDefault="00084E45" w:rsidP="009C6532">
      <w:pPr>
        <w:pStyle w:val="texto"/>
        <w:jc w:val="both"/>
        <w:rPr>
          <w:color w:val="000000" w:themeColor="text1"/>
        </w:rPr>
      </w:pPr>
    </w:p>
    <w:p w14:paraId="7C37E14F" w14:textId="77777777" w:rsidR="00F03270" w:rsidRDefault="00515493" w:rsidP="00D43038">
      <w:pPr>
        <w:pStyle w:val="texto"/>
        <w:spacing w:after="120"/>
        <w:jc w:val="both"/>
        <w:rPr>
          <w:color w:val="000000" w:themeColor="text1"/>
        </w:rPr>
      </w:pPr>
      <w:r>
        <w:rPr>
          <w:color w:val="000000" w:themeColor="text1"/>
        </w:rPr>
        <w:t xml:space="preserve">En </w:t>
      </w:r>
      <w:r w:rsidR="009C6532" w:rsidRPr="009C6532">
        <w:rPr>
          <w:color w:val="000000" w:themeColor="text1"/>
        </w:rPr>
        <w:t>esta instrucc</w:t>
      </w:r>
      <w:r w:rsidR="00A155BF">
        <w:rPr>
          <w:color w:val="000000" w:themeColor="text1"/>
        </w:rPr>
        <w:t>ión, se definen los ámbitos de actuación de las citadas sociedades, los cuales</w:t>
      </w:r>
      <w:r w:rsidR="0010006F">
        <w:rPr>
          <w:color w:val="000000" w:themeColor="text1"/>
        </w:rPr>
        <w:t xml:space="preserve">, </w:t>
      </w:r>
      <w:r w:rsidR="00A155BF">
        <w:rPr>
          <w:color w:val="000000" w:themeColor="text1"/>
        </w:rPr>
        <w:t xml:space="preserve">a nuestro juicio, no hacen </w:t>
      </w:r>
      <w:r w:rsidR="001A1FCB">
        <w:rPr>
          <w:color w:val="000000" w:themeColor="text1"/>
        </w:rPr>
        <w:t xml:space="preserve">sino </w:t>
      </w:r>
      <w:r w:rsidR="00A155BF">
        <w:rPr>
          <w:color w:val="000000" w:themeColor="text1"/>
        </w:rPr>
        <w:t xml:space="preserve">reafirmarnos en que no hay diferencias esenciales entre ellas, </w:t>
      </w:r>
      <w:r w:rsidR="00084E45">
        <w:rPr>
          <w:color w:val="000000" w:themeColor="text1"/>
        </w:rPr>
        <w:t xml:space="preserve">es decir todo lo que está previsto para </w:t>
      </w:r>
      <w:r w:rsidR="00A155BF">
        <w:rPr>
          <w:color w:val="000000" w:themeColor="text1"/>
        </w:rPr>
        <w:t>el INI, entran en el ámbito de actuación de SODENA</w:t>
      </w:r>
      <w:r w:rsidR="00084E45">
        <w:rPr>
          <w:color w:val="000000" w:themeColor="text1"/>
        </w:rPr>
        <w:t xml:space="preserve">. </w:t>
      </w:r>
    </w:p>
    <w:p w14:paraId="06CB855F" w14:textId="77777777" w:rsidR="00A155BF" w:rsidRDefault="00A67251" w:rsidP="00D43038">
      <w:pPr>
        <w:pStyle w:val="texto"/>
        <w:spacing w:after="120"/>
        <w:jc w:val="both"/>
        <w:rPr>
          <w:color w:val="000000" w:themeColor="text1"/>
        </w:rPr>
      </w:pPr>
      <w:r>
        <w:rPr>
          <w:color w:val="000000" w:themeColor="text1"/>
        </w:rPr>
        <w:t>Sobre los apoyos financieros</w:t>
      </w:r>
      <w:r w:rsidR="00515493">
        <w:rPr>
          <w:color w:val="000000" w:themeColor="text1"/>
        </w:rPr>
        <w:t xml:space="preserve"> que contempla la citada instrucción</w:t>
      </w:r>
      <w:r>
        <w:rPr>
          <w:color w:val="000000" w:themeColor="text1"/>
        </w:rPr>
        <w:t xml:space="preserve">, </w:t>
      </w:r>
      <w:r w:rsidR="00F03270">
        <w:rPr>
          <w:color w:val="000000" w:themeColor="text1"/>
        </w:rPr>
        <w:t xml:space="preserve">se </w:t>
      </w:r>
      <w:r w:rsidR="00515493">
        <w:rPr>
          <w:color w:val="000000" w:themeColor="text1"/>
        </w:rPr>
        <w:t xml:space="preserve">establecen </w:t>
      </w:r>
      <w:r w:rsidR="00A155BF">
        <w:rPr>
          <w:color w:val="000000" w:themeColor="text1"/>
        </w:rPr>
        <w:t>los importes mínimos y máximos de acuerdo al siguiente reparto:</w:t>
      </w:r>
    </w:p>
    <w:p w14:paraId="48C82FC1" w14:textId="77777777" w:rsidR="00A155BF" w:rsidRPr="0010006F" w:rsidRDefault="00D43038" w:rsidP="00D43038">
      <w:pPr>
        <w:pStyle w:val="texto"/>
        <w:shd w:val="clear" w:color="auto" w:fill="FFFFFF"/>
        <w:tabs>
          <w:tab w:val="left" w:pos="480"/>
          <w:tab w:val="num" w:pos="600"/>
        </w:tabs>
        <w:spacing w:after="120"/>
        <w:jc w:val="both"/>
        <w:outlineLvl w:val="0"/>
        <w:rPr>
          <w:rFonts w:cs="Arial"/>
          <w:i/>
        </w:rPr>
      </w:pPr>
      <w:r>
        <w:rPr>
          <w:rFonts w:cs="Arial"/>
          <w:i/>
        </w:rPr>
        <w:t xml:space="preserve">- </w:t>
      </w:r>
      <w:r w:rsidR="0010006F">
        <w:rPr>
          <w:rFonts w:cs="Arial"/>
          <w:i/>
        </w:rPr>
        <w:t>“</w:t>
      </w:r>
      <w:r w:rsidR="00084E45" w:rsidRPr="0010006F">
        <w:rPr>
          <w:rFonts w:cs="Arial"/>
          <w:i/>
        </w:rPr>
        <w:t xml:space="preserve">INI: Importe mínimo del apoyo financiero: cinco millones </w:t>
      </w:r>
      <w:r w:rsidR="00A155BF" w:rsidRPr="0010006F">
        <w:rPr>
          <w:rFonts w:cs="Arial"/>
          <w:i/>
        </w:rPr>
        <w:t>por operación</w:t>
      </w:r>
      <w:r w:rsidR="00084E45" w:rsidRPr="0010006F">
        <w:rPr>
          <w:rFonts w:cs="Arial"/>
          <w:i/>
        </w:rPr>
        <w:t xml:space="preserve">. No intervención en empresas en crisis ni coberturas de riesgos financieros. </w:t>
      </w:r>
    </w:p>
    <w:p w14:paraId="42DCD954" w14:textId="77777777" w:rsidR="00084E45" w:rsidRPr="0010006F" w:rsidRDefault="00D43038" w:rsidP="00D43038">
      <w:pPr>
        <w:pStyle w:val="texto"/>
        <w:shd w:val="clear" w:color="auto" w:fill="FFFFFF"/>
        <w:tabs>
          <w:tab w:val="left" w:pos="480"/>
          <w:tab w:val="num" w:pos="600"/>
        </w:tabs>
        <w:jc w:val="both"/>
        <w:outlineLvl w:val="0"/>
        <w:rPr>
          <w:rFonts w:cs="Arial"/>
        </w:rPr>
      </w:pPr>
      <w:r>
        <w:rPr>
          <w:color w:val="000000" w:themeColor="text1"/>
        </w:rPr>
        <w:t xml:space="preserve">- </w:t>
      </w:r>
      <w:r w:rsidR="00084E45" w:rsidRPr="00D43038">
        <w:rPr>
          <w:color w:val="000000" w:themeColor="text1"/>
        </w:rPr>
        <w:t>SODENA</w:t>
      </w:r>
      <w:r w:rsidR="00084E45" w:rsidRPr="0010006F">
        <w:rPr>
          <w:rFonts w:cs="Arial"/>
          <w:i/>
        </w:rPr>
        <w:t>: Importe máximo del apoyo financiero: Menor de cinco millones por operación, salvo en el caso de empresas en crisis y/o coberturas de riesgos financieros/necesidades de circulante. Dicha limitación no afecta al otorgamiento de avales y fianzas</w:t>
      </w:r>
      <w:r w:rsidR="0010006F">
        <w:rPr>
          <w:rFonts w:cs="Arial"/>
        </w:rPr>
        <w:t>.”</w:t>
      </w:r>
    </w:p>
    <w:p w14:paraId="2D8A39AB" w14:textId="77777777" w:rsidR="00A155BF" w:rsidRDefault="00A155BF" w:rsidP="009C6532">
      <w:pPr>
        <w:pStyle w:val="texto"/>
        <w:jc w:val="both"/>
        <w:rPr>
          <w:color w:val="000000" w:themeColor="text1"/>
        </w:rPr>
      </w:pPr>
    </w:p>
    <w:p w14:paraId="2AD319E8" w14:textId="77777777" w:rsidR="001A1FCB" w:rsidRDefault="00084E45" w:rsidP="002A155D">
      <w:pPr>
        <w:pStyle w:val="texto"/>
        <w:spacing w:after="120"/>
        <w:jc w:val="both"/>
        <w:rPr>
          <w:color w:val="000000" w:themeColor="text1"/>
        </w:rPr>
      </w:pPr>
      <w:r w:rsidRPr="00084E45">
        <w:rPr>
          <w:color w:val="000000" w:themeColor="text1"/>
        </w:rPr>
        <w:t xml:space="preserve">Por tanto, </w:t>
      </w:r>
      <w:r w:rsidR="00F03270">
        <w:rPr>
          <w:color w:val="000000" w:themeColor="text1"/>
        </w:rPr>
        <w:t xml:space="preserve">a juicio de esta Cámara, </w:t>
      </w:r>
      <w:r w:rsidR="00A67251">
        <w:rPr>
          <w:color w:val="000000" w:themeColor="text1"/>
        </w:rPr>
        <w:t xml:space="preserve">de todos los argumentos, </w:t>
      </w:r>
      <w:r w:rsidRPr="00084E45">
        <w:rPr>
          <w:color w:val="000000" w:themeColor="text1"/>
        </w:rPr>
        <w:t xml:space="preserve">el factor determinante en la distribución de las competencias entre INI y SODENA, </w:t>
      </w:r>
      <w:r w:rsidR="00A67251">
        <w:rPr>
          <w:color w:val="000000" w:themeColor="text1"/>
        </w:rPr>
        <w:t xml:space="preserve">sería </w:t>
      </w:r>
      <w:r w:rsidR="001A1FCB">
        <w:rPr>
          <w:color w:val="000000" w:themeColor="text1"/>
        </w:rPr>
        <w:t>el importe mín</w:t>
      </w:r>
      <w:r w:rsidR="00C12E3B">
        <w:rPr>
          <w:color w:val="000000" w:themeColor="text1"/>
        </w:rPr>
        <w:t xml:space="preserve">imo y/o máximo de financiación. </w:t>
      </w:r>
      <w:r w:rsidR="00A67251">
        <w:rPr>
          <w:color w:val="000000" w:themeColor="text1"/>
        </w:rPr>
        <w:t xml:space="preserve">Al respecto, </w:t>
      </w:r>
      <w:r w:rsidR="001A1FCB">
        <w:rPr>
          <w:color w:val="000000" w:themeColor="text1"/>
        </w:rPr>
        <w:t xml:space="preserve">indicamos lo siguiente: </w:t>
      </w:r>
    </w:p>
    <w:p w14:paraId="7F95A960" w14:textId="77777777" w:rsidR="003E397E" w:rsidRDefault="003E397E" w:rsidP="003E397E">
      <w:pPr>
        <w:pStyle w:val="texto"/>
        <w:shd w:val="clear" w:color="auto" w:fill="FFFFFF"/>
        <w:tabs>
          <w:tab w:val="left" w:pos="480"/>
          <w:tab w:val="num" w:pos="600"/>
        </w:tabs>
        <w:spacing w:after="120"/>
        <w:jc w:val="both"/>
        <w:outlineLvl w:val="0"/>
        <w:rPr>
          <w:color w:val="000000" w:themeColor="text1"/>
        </w:rPr>
      </w:pPr>
      <w:r>
        <w:rPr>
          <w:color w:val="000000" w:themeColor="text1"/>
        </w:rPr>
        <w:t xml:space="preserve">- </w:t>
      </w:r>
      <w:r w:rsidR="001A1FCB">
        <w:rPr>
          <w:color w:val="000000" w:themeColor="text1"/>
        </w:rPr>
        <w:t>Sobre los límites financieros, e</w:t>
      </w:r>
      <w:r w:rsidR="0019308E">
        <w:rPr>
          <w:color w:val="000000" w:themeColor="text1"/>
        </w:rPr>
        <w:t>n los últimos diez</w:t>
      </w:r>
      <w:r w:rsidR="001A1FCB">
        <w:rPr>
          <w:color w:val="000000" w:themeColor="text1"/>
        </w:rPr>
        <w:t xml:space="preserve"> años, SODENA ha llevado 13 operaciones que superan los cinco millones (un promedio de 1,3 </w:t>
      </w:r>
      <w:r w:rsidR="0019308E">
        <w:rPr>
          <w:color w:val="000000" w:themeColor="text1"/>
        </w:rPr>
        <w:t xml:space="preserve">millones </w:t>
      </w:r>
      <w:r w:rsidR="001A1FCB">
        <w:rPr>
          <w:color w:val="000000" w:themeColor="text1"/>
        </w:rPr>
        <w:t>por año)</w:t>
      </w:r>
      <w:r>
        <w:rPr>
          <w:color w:val="000000" w:themeColor="text1"/>
        </w:rPr>
        <w:t>.</w:t>
      </w:r>
    </w:p>
    <w:p w14:paraId="2B8FCEBF" w14:textId="77777777" w:rsidR="00081778" w:rsidRDefault="003E397E" w:rsidP="003E397E">
      <w:pPr>
        <w:pStyle w:val="texto"/>
        <w:shd w:val="clear" w:color="auto" w:fill="FFFFFF"/>
        <w:tabs>
          <w:tab w:val="left" w:pos="480"/>
          <w:tab w:val="num" w:pos="600"/>
        </w:tabs>
        <w:jc w:val="both"/>
        <w:outlineLvl w:val="0"/>
        <w:rPr>
          <w:szCs w:val="20"/>
        </w:rPr>
      </w:pPr>
      <w:r>
        <w:rPr>
          <w:color w:val="000000" w:themeColor="text1"/>
        </w:rPr>
        <w:lastRenderedPageBreak/>
        <w:t xml:space="preserve">- </w:t>
      </w:r>
      <w:r w:rsidR="001A1FCB" w:rsidRPr="00A6385E">
        <w:rPr>
          <w:color w:val="000000" w:themeColor="text1"/>
        </w:rPr>
        <w:t xml:space="preserve">Sobre los </w:t>
      </w:r>
      <w:r w:rsidR="0010006F" w:rsidRPr="00A6385E">
        <w:rPr>
          <w:color w:val="000000" w:themeColor="text1"/>
        </w:rPr>
        <w:t xml:space="preserve">sectores de actuación, cabe destacar que </w:t>
      </w:r>
      <w:r w:rsidR="0010006F" w:rsidRPr="00A6385E">
        <w:rPr>
          <w:szCs w:val="20"/>
        </w:rPr>
        <w:t xml:space="preserve">SODENA no tiene limitaciones en cuanto a sectores de apoyo. Dicho de otro modo, los sectores </w:t>
      </w:r>
      <w:r w:rsidR="0019308E" w:rsidRPr="00A6385E">
        <w:rPr>
          <w:szCs w:val="20"/>
        </w:rPr>
        <w:t xml:space="preserve">decididos </w:t>
      </w:r>
      <w:proofErr w:type="gramStart"/>
      <w:r w:rsidR="0019308E" w:rsidRPr="00A6385E">
        <w:rPr>
          <w:szCs w:val="20"/>
        </w:rPr>
        <w:t xml:space="preserve">para  </w:t>
      </w:r>
      <w:r w:rsidR="000F03D3" w:rsidRPr="00A6385E">
        <w:rPr>
          <w:szCs w:val="20"/>
        </w:rPr>
        <w:t>el</w:t>
      </w:r>
      <w:proofErr w:type="gramEnd"/>
      <w:r w:rsidR="000F03D3" w:rsidRPr="00A6385E">
        <w:rPr>
          <w:szCs w:val="20"/>
        </w:rPr>
        <w:t xml:space="preserve"> INI</w:t>
      </w:r>
      <w:r w:rsidR="000F03D3">
        <w:rPr>
          <w:rStyle w:val="Refdenotaalpie"/>
          <w:szCs w:val="20"/>
        </w:rPr>
        <w:footnoteReference w:id="42"/>
      </w:r>
      <w:r w:rsidR="000F03D3" w:rsidRPr="00A6385E">
        <w:rPr>
          <w:szCs w:val="20"/>
        </w:rPr>
        <w:t xml:space="preserve"> los puede desarrollar SODENA. </w:t>
      </w:r>
    </w:p>
    <w:p w14:paraId="46FB4D6D" w14:textId="77777777" w:rsidR="00081778" w:rsidRDefault="00081778" w:rsidP="003E397E">
      <w:pPr>
        <w:pStyle w:val="texto"/>
        <w:shd w:val="clear" w:color="auto" w:fill="FFFFFF"/>
        <w:tabs>
          <w:tab w:val="left" w:pos="480"/>
          <w:tab w:val="num" w:pos="600"/>
        </w:tabs>
        <w:jc w:val="both"/>
        <w:outlineLvl w:val="0"/>
        <w:rPr>
          <w:szCs w:val="20"/>
        </w:rPr>
      </w:pPr>
    </w:p>
    <w:p w14:paraId="31D638D9" w14:textId="77777777" w:rsidR="00081778" w:rsidRDefault="00081778" w:rsidP="00081778">
      <w:pPr>
        <w:pStyle w:val="texto"/>
        <w:shd w:val="clear" w:color="auto" w:fill="FFFFFF"/>
        <w:tabs>
          <w:tab w:val="left" w:pos="480"/>
          <w:tab w:val="num" w:pos="600"/>
        </w:tabs>
        <w:jc w:val="both"/>
        <w:outlineLvl w:val="0"/>
        <w:rPr>
          <w:szCs w:val="20"/>
        </w:rPr>
      </w:pPr>
      <w:r>
        <w:rPr>
          <w:color w:val="000000" w:themeColor="text1"/>
        </w:rPr>
        <w:t>- Llama la atención que teniendo en cuenta que las sociedades públicas, según la LF</w:t>
      </w:r>
      <w:r w:rsidR="00553222">
        <w:rPr>
          <w:color w:val="000000" w:themeColor="text1"/>
        </w:rPr>
        <w:t>H</w:t>
      </w:r>
      <w:r>
        <w:rPr>
          <w:color w:val="000000" w:themeColor="text1"/>
        </w:rPr>
        <w:t xml:space="preserve">P, se adscriben al departamento </w:t>
      </w:r>
      <w:proofErr w:type="gramStart"/>
      <w:r>
        <w:rPr>
          <w:color w:val="000000" w:themeColor="text1"/>
        </w:rPr>
        <w:t>“….</w:t>
      </w:r>
      <w:proofErr w:type="gramEnd"/>
      <w:r>
        <w:rPr>
          <w:color w:val="000000" w:themeColor="text1"/>
        </w:rPr>
        <w:t>.</w:t>
      </w:r>
      <w:r w:rsidRPr="00081778">
        <w:rPr>
          <w:i/>
          <w:color w:val="000000" w:themeColor="text1"/>
        </w:rPr>
        <w:t>cuyas competencias guarden relación específica con el objeto social…</w:t>
      </w:r>
      <w:r>
        <w:rPr>
          <w:color w:val="000000" w:themeColor="text1"/>
        </w:rPr>
        <w:t xml:space="preserve">.” estén adscritas a departamentos diferentes, SODENA al Departamento de Industria y de Transición Económica y Digital Empresarial, y el INI al Departamento de Economía y Hacienda. </w:t>
      </w:r>
    </w:p>
    <w:p w14:paraId="024FA60B" w14:textId="77777777" w:rsidR="00C12E3B" w:rsidRPr="00C12E3B" w:rsidRDefault="00232430" w:rsidP="00E570F4">
      <w:pPr>
        <w:pStyle w:val="texto"/>
        <w:numPr>
          <w:ilvl w:val="0"/>
          <w:numId w:val="6"/>
        </w:numPr>
        <w:shd w:val="clear" w:color="auto" w:fill="FFFFFF"/>
        <w:tabs>
          <w:tab w:val="clear" w:pos="360"/>
          <w:tab w:val="num" w:pos="300"/>
          <w:tab w:val="left" w:pos="480"/>
          <w:tab w:val="num" w:pos="600"/>
        </w:tabs>
        <w:spacing w:before="300" w:after="100" w:afterAutospacing="1"/>
        <w:jc w:val="both"/>
        <w:outlineLvl w:val="0"/>
        <w:rPr>
          <w:rFonts w:cs="Arial"/>
          <w:szCs w:val="26"/>
        </w:rPr>
      </w:pPr>
      <w:r w:rsidRPr="00C12E3B">
        <w:rPr>
          <w:rFonts w:cs="Arial"/>
        </w:rPr>
        <w:t>E</w:t>
      </w:r>
      <w:r w:rsidR="00095245" w:rsidRPr="00C12E3B">
        <w:rPr>
          <w:rFonts w:cs="Arial"/>
        </w:rPr>
        <w:t xml:space="preserve">l INI publicó el 27 de marzo de 2024, </w:t>
      </w:r>
      <w:r w:rsidR="001A1FCB" w:rsidRPr="00C12E3B">
        <w:rPr>
          <w:rFonts w:cs="Arial"/>
        </w:rPr>
        <w:t xml:space="preserve">la licitación del contrato de servicios </w:t>
      </w:r>
      <w:r w:rsidR="001A1FCB" w:rsidRPr="00C12E3B">
        <w:t>“</w:t>
      </w:r>
      <w:r w:rsidR="00095245" w:rsidRPr="00C12E3B">
        <w:t>C</w:t>
      </w:r>
      <w:r w:rsidR="001A1FCB" w:rsidRPr="00C12E3B">
        <w:rPr>
          <w:i/>
        </w:rPr>
        <w:t>ontratación de la asistencia técnica para el diagnóstico, el plan de acción y el seguimiento de evaluación, orientado a potenciar el crecimiento económico de Navarra</w:t>
      </w:r>
      <w:r w:rsidR="00BD74D7" w:rsidRPr="00C12E3B">
        <w:t xml:space="preserve">”, con un valor estimado de </w:t>
      </w:r>
      <w:r w:rsidR="00425F94" w:rsidRPr="00C12E3B">
        <w:t>72</w:t>
      </w:r>
      <w:r w:rsidR="00BD74D7" w:rsidRPr="00C12E3B">
        <w:t>0.000 euros. A</w:t>
      </w:r>
      <w:r w:rsidR="00C55887" w:rsidRPr="00C12E3B">
        <w:rPr>
          <w:szCs w:val="20"/>
        </w:rPr>
        <w:t xml:space="preserve"> diferencia del INI, los estatutos de </w:t>
      </w:r>
      <w:r w:rsidR="008F3A18" w:rsidRPr="00C12E3B">
        <w:rPr>
          <w:szCs w:val="20"/>
        </w:rPr>
        <w:t>SODENA contempla</w:t>
      </w:r>
      <w:r w:rsidR="00C55887" w:rsidRPr="00C12E3B">
        <w:rPr>
          <w:szCs w:val="20"/>
        </w:rPr>
        <w:t>n</w:t>
      </w:r>
      <w:r w:rsidR="008F3A18" w:rsidRPr="00C12E3B">
        <w:rPr>
          <w:szCs w:val="20"/>
        </w:rPr>
        <w:t xml:space="preserve"> expresamente en su objeto social la realización de este tipo de estudios estratégicos</w:t>
      </w:r>
      <w:r w:rsidR="00C12E3B" w:rsidRPr="00C12E3B">
        <w:rPr>
          <w:szCs w:val="20"/>
        </w:rPr>
        <w:t>, en concreto</w:t>
      </w:r>
      <w:r w:rsidR="00C12E3B" w:rsidRPr="00C12E3B">
        <w:rPr>
          <w:szCs w:val="26"/>
        </w:rPr>
        <w:t>: “</w:t>
      </w:r>
      <w:r w:rsidR="00C12E3B" w:rsidRPr="00C12E3B">
        <w:rPr>
          <w:bCs/>
          <w:i/>
          <w:szCs w:val="26"/>
        </w:rPr>
        <w:t>Promover y prestar la realización de estudios estratégicos, económicos, tecnológicos, de investigación o innovación y de mercado, que sean de interés para la Comunidad Foral de Navarra</w:t>
      </w:r>
      <w:r w:rsidR="00C12E3B" w:rsidRPr="00C12E3B">
        <w:rPr>
          <w:bCs/>
          <w:szCs w:val="26"/>
        </w:rPr>
        <w:t>, ……”</w:t>
      </w:r>
    </w:p>
    <w:p w14:paraId="44A192DE" w14:textId="77777777" w:rsidR="001A1FCB" w:rsidRDefault="005218CE" w:rsidP="001A1FCB">
      <w:pPr>
        <w:pStyle w:val="texto"/>
        <w:tabs>
          <w:tab w:val="left" w:pos="480"/>
          <w:tab w:val="num" w:pos="600"/>
        </w:tabs>
        <w:spacing w:before="120"/>
        <w:jc w:val="both"/>
        <w:rPr>
          <w:rFonts w:cs="Arial"/>
        </w:rPr>
      </w:pPr>
      <w:r>
        <w:rPr>
          <w:rFonts w:cs="Arial"/>
        </w:rPr>
        <w:t xml:space="preserve">Por todo lo anterior, </w:t>
      </w:r>
      <w:r w:rsidR="001A1FCB">
        <w:rPr>
          <w:rFonts w:cs="Arial"/>
        </w:rPr>
        <w:t xml:space="preserve">seguimos considerando que </w:t>
      </w:r>
      <w:r w:rsidR="001A1FCB" w:rsidRPr="00CF62E6">
        <w:rPr>
          <w:rFonts w:cs="Arial"/>
        </w:rPr>
        <w:t>persisten dos sociedades públicas en las que el objeto social de una de ellas ya está previsto en otra sociedad</w:t>
      </w:r>
      <w:r w:rsidR="00D571C3">
        <w:rPr>
          <w:rFonts w:cs="Arial"/>
        </w:rPr>
        <w:t xml:space="preserve"> y que no se han adoptado </w:t>
      </w:r>
      <w:r w:rsidR="001A1FCB">
        <w:rPr>
          <w:rFonts w:cs="Arial"/>
        </w:rPr>
        <w:t xml:space="preserve">medidas que eviten esta duplicidad. Al respecto, indicamos que la duplicación de entidades con práctica identidad en funciones y competencias, </w:t>
      </w:r>
      <w:r w:rsidR="00553222">
        <w:rPr>
          <w:rFonts w:cs="Arial"/>
        </w:rPr>
        <w:t xml:space="preserve">tiene incidencia en la asignación de recursos públicos, y consecuentemente a los </w:t>
      </w:r>
      <w:r w:rsidR="001A1FCB">
        <w:rPr>
          <w:rFonts w:cs="Arial"/>
        </w:rPr>
        <w:t>principios de eficacia y ef</w:t>
      </w:r>
      <w:r w:rsidR="00553222">
        <w:rPr>
          <w:rFonts w:cs="Arial"/>
        </w:rPr>
        <w:t xml:space="preserve">iciencia exigidos legalmente. </w:t>
      </w:r>
    </w:p>
    <w:p w14:paraId="058C2233" w14:textId="77777777" w:rsidR="001A1FCB" w:rsidRDefault="001A1FCB" w:rsidP="00FA4027">
      <w:pPr>
        <w:pStyle w:val="texto"/>
        <w:tabs>
          <w:tab w:val="left" w:pos="480"/>
          <w:tab w:val="num" w:pos="600"/>
        </w:tabs>
        <w:spacing w:before="120" w:after="120"/>
        <w:jc w:val="both"/>
        <w:rPr>
          <w:rFonts w:cs="Arial"/>
        </w:rPr>
      </w:pPr>
      <w:r>
        <w:rPr>
          <w:rFonts w:cs="Arial"/>
        </w:rPr>
        <w:t xml:space="preserve">En este sentido, nos reiteramos en otra de las conclusiones del informe del ejercicio 2022: </w:t>
      </w:r>
    </w:p>
    <w:p w14:paraId="6C08B6F2" w14:textId="77777777" w:rsidR="001A1FCB" w:rsidRDefault="001A1FCB" w:rsidP="00D43038">
      <w:pPr>
        <w:pStyle w:val="texto"/>
        <w:tabs>
          <w:tab w:val="left" w:pos="480"/>
          <w:tab w:val="num" w:pos="600"/>
        </w:tabs>
        <w:jc w:val="both"/>
        <w:rPr>
          <w:rFonts w:cs="Arial"/>
        </w:rPr>
      </w:pPr>
      <w:r>
        <w:rPr>
          <w:rFonts w:cs="Arial"/>
        </w:rPr>
        <w:t>“……</w:t>
      </w:r>
      <w:r w:rsidRPr="000E169C">
        <w:rPr>
          <w:rFonts w:cs="Arial"/>
        </w:rPr>
        <w:t>que esta situación no e</w:t>
      </w:r>
      <w:r>
        <w:rPr>
          <w:rFonts w:cs="Arial"/>
        </w:rPr>
        <w:t>s</w:t>
      </w:r>
      <w:r w:rsidRPr="000E169C">
        <w:rPr>
          <w:rFonts w:cs="Arial"/>
        </w:rPr>
        <w:t xml:space="preserve"> coherente con la exposición de motivos de la Ley Foral 8/2009, de 18 de junio, de creación de la Sociedad Corporación Pública Empresarial de Navarra, que establece textualmente lo siguiente: “…</w:t>
      </w:r>
      <w:r w:rsidRPr="000E169C">
        <w:rPr>
          <w:rFonts w:cs="Arial"/>
          <w:i/>
        </w:rPr>
        <w:t>cuyo sentido no es otro que el de crear un escenario y un instrumento unitario y específico de ordenación y control que permita racionalizar, coordinar y optimizar la eficacia y eficiencia de una parte sustancial del patrimonio empresarial público de la Comunidad Foral de Navarra</w:t>
      </w:r>
      <w:r w:rsidRPr="000E169C">
        <w:rPr>
          <w:rFonts w:cs="Arial"/>
        </w:rPr>
        <w:t>…..”</w:t>
      </w:r>
      <w:r>
        <w:rPr>
          <w:rFonts w:cs="Arial"/>
        </w:rPr>
        <w:t>.</w:t>
      </w:r>
    </w:p>
    <w:p w14:paraId="255F5980" w14:textId="77777777" w:rsidR="00614DC4" w:rsidRPr="0017053D" w:rsidRDefault="00614DC4" w:rsidP="0017053D">
      <w:pPr>
        <w:pStyle w:val="atitulo3"/>
        <w:spacing w:before="240"/>
      </w:pPr>
      <w:r w:rsidRPr="0017053D">
        <w:lastRenderedPageBreak/>
        <w:t>Auditorias de las sociedades públicas</w:t>
      </w:r>
    </w:p>
    <w:p w14:paraId="55F95971" w14:textId="77777777" w:rsidR="002542B7" w:rsidRDefault="00614DC4" w:rsidP="009A38AE">
      <w:pPr>
        <w:pStyle w:val="texto"/>
        <w:jc w:val="both"/>
      </w:pPr>
      <w:r>
        <w:t xml:space="preserve">Las sociedades públicas presentan auditoría de cuentas anuales y de cumplimiento de legalidad, realizadas de forma externa por firmas privadas de auditoria, </w:t>
      </w:r>
      <w:r w:rsidR="002542B7">
        <w:t xml:space="preserve">a excepción de </w:t>
      </w:r>
      <w:r w:rsidR="005A4269">
        <w:t xml:space="preserve">la auditoria de </w:t>
      </w:r>
      <w:proofErr w:type="spellStart"/>
      <w:r w:rsidR="002542B7">
        <w:t>Bidean</w:t>
      </w:r>
      <w:proofErr w:type="spellEnd"/>
      <w:r w:rsidR="002542B7">
        <w:t xml:space="preserve"> S.L. que ha sido realizada directamente por el Servicio de control financiero y auditoria, bajo la </w:t>
      </w:r>
      <w:r>
        <w:t xml:space="preserve">supervisión de la Dirección General de Intervención. </w:t>
      </w:r>
    </w:p>
    <w:p w14:paraId="59E92B00" w14:textId="77777777" w:rsidR="009D532A" w:rsidRDefault="009D532A" w:rsidP="009A38AE">
      <w:pPr>
        <w:pStyle w:val="texto"/>
        <w:jc w:val="both"/>
      </w:pPr>
    </w:p>
    <w:p w14:paraId="61238EDE" w14:textId="77777777" w:rsidR="00614DC4" w:rsidRDefault="00614DC4" w:rsidP="00D43038">
      <w:pPr>
        <w:pStyle w:val="texto"/>
        <w:jc w:val="both"/>
      </w:pPr>
      <w:r>
        <w:t xml:space="preserve">Todas las auditorías de cuentas anuales presentan </w:t>
      </w:r>
      <w:r w:rsidR="0003157C">
        <w:t xml:space="preserve">opinión favorable. </w:t>
      </w:r>
    </w:p>
    <w:p w14:paraId="2C2CBBC2" w14:textId="77777777" w:rsidR="001A1FCB" w:rsidRDefault="001A1FCB" w:rsidP="009A38AE">
      <w:pPr>
        <w:pStyle w:val="texto"/>
        <w:jc w:val="both"/>
      </w:pPr>
    </w:p>
    <w:p w14:paraId="4B2BC489" w14:textId="77777777" w:rsidR="005C247D" w:rsidRDefault="00682F31" w:rsidP="009A38AE">
      <w:pPr>
        <w:pStyle w:val="texto"/>
        <w:jc w:val="both"/>
      </w:pPr>
      <w:r>
        <w:t xml:space="preserve">No obstante </w:t>
      </w:r>
      <w:r w:rsidR="005C247D">
        <w:t xml:space="preserve">lo anterior, esta Cámara emitió en noviembre de 2023 el informe “Aportaciones financieras de </w:t>
      </w:r>
      <w:proofErr w:type="spellStart"/>
      <w:r w:rsidR="005C247D">
        <w:t>Sodena</w:t>
      </w:r>
      <w:proofErr w:type="spellEnd"/>
      <w:r w:rsidR="005C247D">
        <w:t xml:space="preserve"> a </w:t>
      </w:r>
      <w:proofErr w:type="spellStart"/>
      <w:r w:rsidR="005C247D">
        <w:t>Parquenasa</w:t>
      </w:r>
      <w:proofErr w:type="spellEnd"/>
      <w:r w:rsidR="005C247D">
        <w:t xml:space="preserve"> (2001-2023)”. En el citado informe, entre otras consideraciones, se hizo la siguiente mención sobre los créditos concedidos de </w:t>
      </w:r>
      <w:proofErr w:type="spellStart"/>
      <w:r w:rsidR="005C247D">
        <w:t>Sodena</w:t>
      </w:r>
      <w:proofErr w:type="spellEnd"/>
      <w:r w:rsidR="005C247D">
        <w:t xml:space="preserve"> a </w:t>
      </w:r>
      <w:proofErr w:type="spellStart"/>
      <w:r w:rsidR="005C247D">
        <w:t>Parquenasa</w:t>
      </w:r>
      <w:proofErr w:type="spellEnd"/>
      <w:r w:rsidR="005C247D">
        <w:t xml:space="preserve">, y que figuraban en las cuentas anuales del ejercicio 2022 de </w:t>
      </w:r>
      <w:proofErr w:type="spellStart"/>
      <w:r w:rsidR="005C247D">
        <w:t>Sodena</w:t>
      </w:r>
      <w:proofErr w:type="spellEnd"/>
      <w:r w:rsidR="005C247D">
        <w:t xml:space="preserve">: </w:t>
      </w:r>
    </w:p>
    <w:p w14:paraId="691FAB69" w14:textId="77777777" w:rsidR="000F65E3" w:rsidRDefault="000F65E3" w:rsidP="009A38AE">
      <w:pPr>
        <w:pStyle w:val="texto"/>
        <w:jc w:val="both"/>
      </w:pPr>
    </w:p>
    <w:p w14:paraId="7EFFCDB5" w14:textId="77777777" w:rsidR="000F65E3" w:rsidRPr="000F65E3" w:rsidRDefault="000F65E3" w:rsidP="00D43038">
      <w:pPr>
        <w:pStyle w:val="texto"/>
        <w:jc w:val="both"/>
        <w:rPr>
          <w:i/>
        </w:rPr>
      </w:pPr>
      <w:r w:rsidRPr="000F65E3">
        <w:rPr>
          <w:i/>
        </w:rPr>
        <w:t>“En las solicitudes anuales de autorizac</w:t>
      </w:r>
      <w:r>
        <w:rPr>
          <w:i/>
        </w:rPr>
        <w:t>ión para la concesión de présta</w:t>
      </w:r>
      <w:r w:rsidRPr="000F65E3">
        <w:rPr>
          <w:i/>
        </w:rPr>
        <w:t xml:space="preserve">mos, </w:t>
      </w:r>
      <w:proofErr w:type="spellStart"/>
      <w:r w:rsidRPr="000F65E3">
        <w:rPr>
          <w:i/>
        </w:rPr>
        <w:t>Sodena</w:t>
      </w:r>
      <w:proofErr w:type="spellEnd"/>
      <w:r w:rsidRPr="000F65E3">
        <w:rPr>
          <w:i/>
        </w:rPr>
        <w:t xml:space="preserve"> considera que son préstamos que se dotan como fallidos en su totalidad. Sobre esta cuestión, llama la atención que siguen figurando créditos recuperables por importe de 22,51 millones, a pesar de su consideración como fallidos en las citadas solicitudes, la ausencia de un plan de viabilidad que tenga como objetivo su devolución y la propia situación financiera de </w:t>
      </w:r>
      <w:proofErr w:type="spellStart"/>
      <w:r w:rsidRPr="000F65E3">
        <w:rPr>
          <w:i/>
        </w:rPr>
        <w:t>Parquenasa</w:t>
      </w:r>
      <w:proofErr w:type="spellEnd"/>
      <w:r w:rsidRPr="000F65E3">
        <w:rPr>
          <w:i/>
        </w:rPr>
        <w:t>”</w:t>
      </w:r>
      <w:r w:rsidR="00D43038">
        <w:rPr>
          <w:i/>
        </w:rPr>
        <w:t>.</w:t>
      </w:r>
    </w:p>
    <w:p w14:paraId="36838E8B" w14:textId="77777777" w:rsidR="000F65E3" w:rsidRDefault="000F65E3" w:rsidP="009A38AE">
      <w:pPr>
        <w:pStyle w:val="texto"/>
        <w:jc w:val="both"/>
      </w:pPr>
    </w:p>
    <w:p w14:paraId="700032A6" w14:textId="77777777" w:rsidR="005C247D" w:rsidRPr="005C247D" w:rsidRDefault="005C247D" w:rsidP="009A38AE">
      <w:pPr>
        <w:pStyle w:val="texto"/>
        <w:jc w:val="both"/>
        <w:rPr>
          <w:i/>
        </w:rPr>
      </w:pPr>
      <w:r w:rsidRPr="005C247D">
        <w:rPr>
          <w:i/>
        </w:rPr>
        <w:t xml:space="preserve">“Entendemos que los créditos no deteriorados por 22,51 millones sí que </w:t>
      </w:r>
      <w:proofErr w:type="spellStart"/>
      <w:r w:rsidRPr="005C247D">
        <w:rPr>
          <w:i/>
        </w:rPr>
        <w:t>debie</w:t>
      </w:r>
      <w:proofErr w:type="spellEnd"/>
      <w:r w:rsidRPr="005C247D">
        <w:rPr>
          <w:i/>
        </w:rPr>
        <w:t xml:space="preserve"> </w:t>
      </w:r>
      <w:proofErr w:type="spellStart"/>
      <w:r w:rsidRPr="005C247D">
        <w:rPr>
          <w:i/>
        </w:rPr>
        <w:t>ran</w:t>
      </w:r>
      <w:proofErr w:type="spellEnd"/>
      <w:r w:rsidRPr="005C247D">
        <w:rPr>
          <w:i/>
        </w:rPr>
        <w:t xml:space="preserve"> haber sido objeto de la oportuna corrección valorativa en la contabilidad, dada la existencia de evidencias objetivas de duda en su recuperabilidad”</w:t>
      </w:r>
      <w:r w:rsidR="00D43038">
        <w:rPr>
          <w:i/>
        </w:rPr>
        <w:t>.</w:t>
      </w:r>
    </w:p>
    <w:p w14:paraId="52A4076F" w14:textId="77777777" w:rsidR="001A1FCB" w:rsidRDefault="001A1FCB" w:rsidP="009A38AE">
      <w:pPr>
        <w:pStyle w:val="texto"/>
        <w:jc w:val="both"/>
      </w:pPr>
    </w:p>
    <w:p w14:paraId="79BE1459" w14:textId="77777777" w:rsidR="005C247D" w:rsidRPr="0029215B" w:rsidRDefault="000F65E3" w:rsidP="002A155D">
      <w:pPr>
        <w:pStyle w:val="texto"/>
        <w:spacing w:after="120"/>
        <w:jc w:val="both"/>
        <w:rPr>
          <w:color w:val="FF0000"/>
        </w:rPr>
      </w:pPr>
      <w:r w:rsidRPr="00A91934">
        <w:t xml:space="preserve">En las </w:t>
      </w:r>
      <w:r w:rsidR="005C247D" w:rsidRPr="00A91934">
        <w:t xml:space="preserve">cuentas anuales del ejercicio 2023 de </w:t>
      </w:r>
      <w:proofErr w:type="spellStart"/>
      <w:r w:rsidR="005C247D" w:rsidRPr="00A91934">
        <w:t>Sodena</w:t>
      </w:r>
      <w:proofErr w:type="spellEnd"/>
      <w:r w:rsidR="005C247D" w:rsidRPr="00A91934">
        <w:t xml:space="preserve"> siguen figurando los citados créditos sin </w:t>
      </w:r>
      <w:r w:rsidR="009D532A" w:rsidRPr="00A91934">
        <w:t xml:space="preserve">que se haya contabilizado </w:t>
      </w:r>
      <w:r w:rsidRPr="00A91934">
        <w:t xml:space="preserve">su </w:t>
      </w:r>
      <w:r w:rsidR="005C247D" w:rsidRPr="00A91934">
        <w:t>corrección v</w:t>
      </w:r>
      <w:r w:rsidRPr="00A91934">
        <w:t xml:space="preserve">alorativa, por lo que consideramos </w:t>
      </w:r>
      <w:r w:rsidR="009D532A" w:rsidRPr="00A91934">
        <w:t>que</w:t>
      </w:r>
      <w:r w:rsidR="00A91934" w:rsidRPr="00A91934">
        <w:t xml:space="preserve"> el neto patrimonial que figura en las citadas </w:t>
      </w:r>
      <w:proofErr w:type="gramStart"/>
      <w:r w:rsidR="00A91934" w:rsidRPr="00A91934">
        <w:t>cuentas,</w:t>
      </w:r>
      <w:proofErr w:type="gramEnd"/>
      <w:r w:rsidR="00A91934" w:rsidRPr="00A91934">
        <w:t xml:space="preserve"> </w:t>
      </w:r>
      <w:r w:rsidR="009D532A" w:rsidRPr="00A91934">
        <w:t xml:space="preserve">estaría </w:t>
      </w:r>
      <w:r w:rsidR="009D532A" w:rsidRPr="009C3603">
        <w:t>infravalorado,</w:t>
      </w:r>
      <w:r w:rsidR="00FD3DAF">
        <w:t xml:space="preserve"> como mínimo en 22,51 millones.</w:t>
      </w:r>
    </w:p>
    <w:p w14:paraId="0C1F912C" w14:textId="77777777" w:rsidR="00614DC4" w:rsidRPr="00ED5152" w:rsidRDefault="00614DC4" w:rsidP="002A155D">
      <w:pPr>
        <w:pStyle w:val="texto"/>
        <w:spacing w:after="120"/>
        <w:jc w:val="both"/>
      </w:pPr>
      <w:r w:rsidRPr="00ED5152">
        <w:t xml:space="preserve">Sobre las auditorias de cumplimiento de legalidad, los objetivos fueron comprobar los siguientes aspectos: cumplimiento de la Ley Foral de Hacienda Pública en lo relativo a operaciones de endeudamiento y avales; cumplimiento de la normativa de contratación aplicable a obras, suministro, servicios y concesiones de obras públicas y servicios; cumplimiento de la normativa de contrataciones de personal y sistemas retributivos; cumplimiento de la normativa en lo que se refiere a entregadas dinerarias sin contraprestación realizadas y de contratos de patrocinio; cumplimiento de otros requerimientos legales recogidos en la Ley Foral 13/2007, de 4 de abril, de la Hacienda Pública de Navarra y de la Ley Foral </w:t>
      </w:r>
      <w:r w:rsidRPr="00ED5152">
        <w:lastRenderedPageBreak/>
        <w:t>5/2018, de 17 de mayo, de Transparencia, Acceso a la Información Pública y Buen Gobierno. Los resultados</w:t>
      </w:r>
      <w:r w:rsidRPr="00ED5152">
        <w:rPr>
          <w:rStyle w:val="Refdenotaalpie"/>
        </w:rPr>
        <w:footnoteReference w:id="43"/>
      </w:r>
      <w:r w:rsidRPr="00ED5152">
        <w:t xml:space="preserve"> de estas auditorías son:</w:t>
      </w:r>
    </w:p>
    <w:p w14:paraId="3210FBC2" w14:textId="77777777" w:rsidR="00614DC4" w:rsidRPr="00ED5152" w:rsidRDefault="00614DC4" w:rsidP="002A155D">
      <w:pPr>
        <w:pStyle w:val="texto"/>
        <w:spacing w:after="120"/>
        <w:jc w:val="both"/>
      </w:pPr>
      <w:r w:rsidRPr="00ED5152">
        <w:t xml:space="preserve">a) Respecto a las operaciones de endeudamiento, se concluye que se cumple con la normativa aplicable, si bien en </w:t>
      </w:r>
      <w:r w:rsidR="004B7884" w:rsidRPr="00ED5152">
        <w:t xml:space="preserve">dos </w:t>
      </w:r>
      <w:r w:rsidRPr="00ED5152">
        <w:t>sociedad</w:t>
      </w:r>
      <w:r w:rsidR="004B7884" w:rsidRPr="00ED5152">
        <w:t>es</w:t>
      </w:r>
      <w:r w:rsidRPr="00ED5152">
        <w:t xml:space="preserve"> se pone de manifiesto </w:t>
      </w:r>
      <w:r w:rsidR="004B7884" w:rsidRPr="00ED5152">
        <w:t xml:space="preserve">dos </w:t>
      </w:r>
      <w:r w:rsidRPr="00ED5152">
        <w:t>excepci</w:t>
      </w:r>
      <w:r w:rsidR="004B7884" w:rsidRPr="00ED5152">
        <w:t>ones, una por la concesión de un aval que supera el plazo máximo establecido por el Gobierno de Navarra y en otra por concesión de un préstamo sin solicitar la preceptiva autorización por parte del Gobierno de Navarra.</w:t>
      </w:r>
      <w:r w:rsidRPr="00ED5152">
        <w:t xml:space="preserve"> </w:t>
      </w:r>
    </w:p>
    <w:p w14:paraId="509712D9" w14:textId="77777777" w:rsidR="00614DC4" w:rsidRDefault="00614DC4" w:rsidP="002A155D">
      <w:pPr>
        <w:pStyle w:val="texto"/>
        <w:spacing w:after="120"/>
        <w:jc w:val="both"/>
      </w:pPr>
      <w:r w:rsidRPr="00685778">
        <w:t xml:space="preserve">b) En cuanto a las contrataciones públicas, </w:t>
      </w:r>
      <w:r w:rsidR="00685778" w:rsidRPr="00685778">
        <w:t xml:space="preserve">sobre una muestra de 131 contratos, </w:t>
      </w:r>
      <w:r w:rsidRPr="00685778">
        <w:t xml:space="preserve">se concluye que en general se cumple con la normativa aplicable en los expedientes revisados, si bien se ponen de manifiesto </w:t>
      </w:r>
      <w:r w:rsidR="00C17959" w:rsidRPr="00685778">
        <w:t xml:space="preserve">en siete sociedades, la existencia de </w:t>
      </w:r>
      <w:r w:rsidR="004B7884" w:rsidRPr="00685778">
        <w:t xml:space="preserve">13 </w:t>
      </w:r>
      <w:r w:rsidRPr="00685778">
        <w:t>incidencias</w:t>
      </w:r>
      <w:r w:rsidR="00C17959" w:rsidRPr="00685778">
        <w:t xml:space="preserve">, de las cuales ocho son </w:t>
      </w:r>
      <w:r w:rsidRPr="00685778">
        <w:t>de escasa relevancia,</w:t>
      </w:r>
      <w:r w:rsidR="00C17959" w:rsidRPr="00685778">
        <w:t xml:space="preserve"> </w:t>
      </w:r>
      <w:r w:rsidR="009B06E3">
        <w:t xml:space="preserve">dos </w:t>
      </w:r>
      <w:r w:rsidR="00C17959" w:rsidRPr="00685778">
        <w:t xml:space="preserve">hacen referencia a contratos que </w:t>
      </w:r>
      <w:r w:rsidR="005A4269" w:rsidRPr="00685778">
        <w:t>han perdido su vigencia</w:t>
      </w:r>
      <w:r w:rsidR="00C17959" w:rsidRPr="00685778">
        <w:t>,</w:t>
      </w:r>
      <w:r w:rsidRPr="00685778">
        <w:t xml:space="preserve"> así como </w:t>
      </w:r>
      <w:r w:rsidR="00C17959" w:rsidRPr="00685778">
        <w:t xml:space="preserve">otras </w:t>
      </w:r>
      <w:r w:rsidR="009B06E3">
        <w:t xml:space="preserve">tres </w:t>
      </w:r>
      <w:r w:rsidRPr="00685778">
        <w:t xml:space="preserve">por </w:t>
      </w:r>
      <w:r w:rsidR="005A4269" w:rsidRPr="00685778">
        <w:t>recurso indebido a la figura del contrato de menor cuantía</w:t>
      </w:r>
      <w:r w:rsidRPr="00685778">
        <w:t xml:space="preserve">. </w:t>
      </w:r>
    </w:p>
    <w:p w14:paraId="4EBAF2B6" w14:textId="77777777" w:rsidR="00614DC4" w:rsidRPr="00076EDD" w:rsidRDefault="00614DC4" w:rsidP="002A155D">
      <w:pPr>
        <w:pStyle w:val="texto"/>
        <w:spacing w:after="120"/>
        <w:jc w:val="both"/>
      </w:pPr>
      <w:r w:rsidRPr="00ED5152">
        <w:t xml:space="preserve">c) De la revisión de las contrataciones de personal y sistemas retributivos se concluye que, en general, se cumple con </w:t>
      </w:r>
      <w:r w:rsidR="00C17959" w:rsidRPr="00ED5152">
        <w:t>la normativa, si bien se señala respecto a sociedad, una excepción</w:t>
      </w:r>
      <w:r w:rsidRPr="00ED5152">
        <w:t xml:space="preserve"> referida a la superación de los límites retributivos de </w:t>
      </w:r>
      <w:r w:rsidRPr="00076EDD">
        <w:t>directores de dep</w:t>
      </w:r>
      <w:r w:rsidR="00C17959" w:rsidRPr="00076EDD">
        <w:t>artamentos.</w:t>
      </w:r>
    </w:p>
    <w:p w14:paraId="74FE0ED3" w14:textId="77777777" w:rsidR="00614DC4" w:rsidRPr="00076EDD" w:rsidRDefault="00614DC4" w:rsidP="002A155D">
      <w:pPr>
        <w:pStyle w:val="texto"/>
        <w:spacing w:after="120"/>
        <w:jc w:val="both"/>
      </w:pPr>
      <w:r w:rsidRPr="00076EDD">
        <w:t xml:space="preserve">d) En cuanto al cumplimiento de la normativa, en lo que se refiere a entregas dinerarias sin contraprestación, se concluye que se cumple con la legislación aplicable. </w:t>
      </w:r>
    </w:p>
    <w:p w14:paraId="518BA545" w14:textId="77777777" w:rsidR="00614DC4" w:rsidRPr="00076EDD" w:rsidRDefault="00614DC4" w:rsidP="009A38AE">
      <w:pPr>
        <w:pStyle w:val="texto"/>
        <w:jc w:val="both"/>
      </w:pPr>
      <w:r w:rsidRPr="00076EDD">
        <w:t>e) En lo que se refiere al cumplimiento de otros requerimientos legales, se concluye que se cumple con la normativa aplicable.</w:t>
      </w:r>
    </w:p>
    <w:p w14:paraId="75502234" w14:textId="77777777" w:rsidR="0030794D" w:rsidRDefault="0030794D">
      <w:pPr>
        <w:rPr>
          <w:rFonts w:ascii="Arial" w:hAnsi="Arial"/>
          <w:i/>
          <w:iCs/>
          <w:color w:val="000000"/>
          <w:spacing w:val="10"/>
          <w:kern w:val="28"/>
          <w:sz w:val="25"/>
          <w:szCs w:val="26"/>
        </w:rPr>
      </w:pPr>
      <w:r>
        <w:br w:type="page"/>
      </w:r>
    </w:p>
    <w:p w14:paraId="1E3D1270" w14:textId="77777777" w:rsidR="007F0457" w:rsidRPr="0017053D" w:rsidRDefault="00614DC4" w:rsidP="0017053D">
      <w:pPr>
        <w:pStyle w:val="atitulo3"/>
        <w:spacing w:before="240"/>
      </w:pPr>
      <w:r w:rsidRPr="0017053D">
        <w:lastRenderedPageBreak/>
        <w:t>Fundaciones Públicas</w:t>
      </w:r>
    </w:p>
    <w:p w14:paraId="27F91BBF" w14:textId="77777777" w:rsidR="000F65E3" w:rsidRDefault="00614DC4" w:rsidP="007F0457">
      <w:pPr>
        <w:pStyle w:val="texto"/>
        <w:spacing w:after="120"/>
        <w:jc w:val="both"/>
      </w:pPr>
      <w:r w:rsidRPr="007F0457">
        <w:t>En el siguiente cuadro mostramos algunos datos agregados de las fundaciones públicas en 202</w:t>
      </w:r>
      <w:r w:rsidR="009874BC" w:rsidRPr="007F0457">
        <w:t>3</w:t>
      </w:r>
      <w:r w:rsidRPr="007F0457">
        <w:t xml:space="preserve"> y su comparación con los referidos a 202</w:t>
      </w:r>
      <w:r w:rsidR="009874BC" w:rsidRPr="007F0457">
        <w:t>2</w:t>
      </w:r>
      <w:r w:rsidR="007F0457" w:rsidRPr="007F0457">
        <w:t xml:space="preserve">. </w:t>
      </w:r>
    </w:p>
    <w:p w14:paraId="1AAA25B0" w14:textId="77777777" w:rsidR="007F0457" w:rsidRDefault="007F0457" w:rsidP="00D43038">
      <w:pPr>
        <w:pStyle w:val="texto"/>
        <w:spacing w:after="240"/>
        <w:jc w:val="both"/>
      </w:pPr>
      <w:r w:rsidRPr="007F0457">
        <w:t xml:space="preserve">No obstante, indicamos que </w:t>
      </w:r>
      <w:r w:rsidR="000F65E3">
        <w:t>sólo constan los informes de auditoría de cinco de las ocho fundaciones</w:t>
      </w:r>
      <w:r w:rsidR="00141260">
        <w:rPr>
          <w:rStyle w:val="Refdenotaalpie"/>
        </w:rPr>
        <w:footnoteReference w:id="44"/>
      </w:r>
      <w:r w:rsidR="000F65E3">
        <w:t>, contempladas en el documento “Delimitación del sector público foral” de la Memoria de las Cuentas G</w:t>
      </w:r>
      <w:r w:rsidR="00076EDD">
        <w:t xml:space="preserve">enerales, por lo que </w:t>
      </w:r>
      <w:r w:rsidRPr="007F0457">
        <w:t xml:space="preserve">la comparativa se realiza teniendo en cuenta los datos de cinco fundaciones en 2023 frente a los datos de seis fundaciones en 2022. </w:t>
      </w:r>
    </w:p>
    <w:tbl>
      <w:tblPr>
        <w:tblW w:w="5001" w:type="pct"/>
        <w:jc w:val="center"/>
        <w:tblBorders>
          <w:top w:val="single" w:sz="4" w:space="0" w:color="auto"/>
          <w:bottom w:val="single" w:sz="4" w:space="0" w:color="auto"/>
        </w:tblBorders>
        <w:tblLook w:val="01E0" w:firstRow="1" w:lastRow="1" w:firstColumn="1" w:lastColumn="1" w:noHBand="0" w:noVBand="0"/>
      </w:tblPr>
      <w:tblGrid>
        <w:gridCol w:w="4819"/>
        <w:gridCol w:w="963"/>
        <w:gridCol w:w="32"/>
        <w:gridCol w:w="1275"/>
        <w:gridCol w:w="1702"/>
      </w:tblGrid>
      <w:tr w:rsidR="00614DC4" w:rsidRPr="007F0457" w14:paraId="0B53CEB4" w14:textId="77777777" w:rsidTr="005204E6">
        <w:trPr>
          <w:trHeight w:val="255"/>
          <w:jc w:val="center"/>
        </w:trPr>
        <w:tc>
          <w:tcPr>
            <w:tcW w:w="2741" w:type="pct"/>
            <w:tcBorders>
              <w:top w:val="single" w:sz="4" w:space="0" w:color="auto"/>
              <w:left w:val="nil"/>
              <w:bottom w:val="single" w:sz="4" w:space="0" w:color="auto"/>
              <w:right w:val="nil"/>
            </w:tcBorders>
            <w:shd w:val="clear" w:color="auto" w:fill="8DB3E2"/>
            <w:vAlign w:val="center"/>
            <w:hideMark/>
          </w:tcPr>
          <w:p w14:paraId="0C74865D" w14:textId="77777777" w:rsidR="00614DC4" w:rsidRPr="007F0457" w:rsidRDefault="00614DC4" w:rsidP="00092EB2">
            <w:pPr>
              <w:pStyle w:val="cuadroCabe"/>
            </w:pPr>
            <w:r w:rsidRPr="007F0457">
              <w:t>Indicadores Fundaciones</w:t>
            </w:r>
          </w:p>
        </w:tc>
        <w:tc>
          <w:tcPr>
            <w:tcW w:w="566" w:type="pct"/>
            <w:gridSpan w:val="2"/>
            <w:tcBorders>
              <w:top w:val="single" w:sz="4" w:space="0" w:color="auto"/>
              <w:left w:val="nil"/>
              <w:bottom w:val="single" w:sz="4" w:space="0" w:color="auto"/>
              <w:right w:val="nil"/>
            </w:tcBorders>
            <w:shd w:val="clear" w:color="auto" w:fill="8DB3E2"/>
            <w:vAlign w:val="center"/>
            <w:hideMark/>
          </w:tcPr>
          <w:p w14:paraId="6D5364D1" w14:textId="77777777" w:rsidR="00614DC4" w:rsidRPr="007F0457" w:rsidRDefault="00614DC4" w:rsidP="00092EB2">
            <w:pPr>
              <w:pStyle w:val="cuadroCabe"/>
              <w:jc w:val="right"/>
            </w:pPr>
            <w:r w:rsidRPr="007F0457">
              <w:t>202</w:t>
            </w:r>
            <w:r w:rsidR="005C3208" w:rsidRPr="007F0457">
              <w:t>2</w:t>
            </w:r>
          </w:p>
        </w:tc>
        <w:tc>
          <w:tcPr>
            <w:tcW w:w="725" w:type="pct"/>
            <w:tcBorders>
              <w:top w:val="single" w:sz="4" w:space="0" w:color="auto"/>
              <w:left w:val="nil"/>
              <w:bottom w:val="single" w:sz="4" w:space="0" w:color="auto"/>
              <w:right w:val="nil"/>
            </w:tcBorders>
            <w:shd w:val="clear" w:color="auto" w:fill="8DB3E2"/>
            <w:vAlign w:val="center"/>
            <w:hideMark/>
          </w:tcPr>
          <w:p w14:paraId="334F8742" w14:textId="77777777" w:rsidR="00614DC4" w:rsidRPr="007F0457" w:rsidRDefault="00614DC4" w:rsidP="00092EB2">
            <w:pPr>
              <w:pStyle w:val="cuadroCabe"/>
              <w:jc w:val="right"/>
            </w:pPr>
            <w:r w:rsidRPr="007F0457">
              <w:t>202</w:t>
            </w:r>
            <w:r w:rsidR="005C3208" w:rsidRPr="007F0457">
              <w:t>3</w:t>
            </w:r>
          </w:p>
        </w:tc>
        <w:tc>
          <w:tcPr>
            <w:tcW w:w="968" w:type="pct"/>
            <w:tcBorders>
              <w:top w:val="single" w:sz="4" w:space="0" w:color="auto"/>
              <w:left w:val="nil"/>
              <w:bottom w:val="single" w:sz="4" w:space="0" w:color="auto"/>
              <w:right w:val="nil"/>
            </w:tcBorders>
            <w:shd w:val="clear" w:color="auto" w:fill="8DB3E2"/>
            <w:vAlign w:val="center"/>
            <w:hideMark/>
          </w:tcPr>
          <w:p w14:paraId="0D04C705" w14:textId="77777777" w:rsidR="00614DC4" w:rsidRPr="007F0457" w:rsidRDefault="00614DC4" w:rsidP="005204E6">
            <w:pPr>
              <w:pStyle w:val="cuadroCabe"/>
              <w:jc w:val="right"/>
            </w:pPr>
            <w:r w:rsidRPr="007F0457">
              <w:t>% Variación 202</w:t>
            </w:r>
            <w:r w:rsidR="005C3208" w:rsidRPr="007F0457">
              <w:t>3</w:t>
            </w:r>
            <w:r w:rsidRPr="007F0457">
              <w:t>/202</w:t>
            </w:r>
            <w:r w:rsidR="005C3208" w:rsidRPr="007F0457">
              <w:t>2</w:t>
            </w:r>
          </w:p>
        </w:tc>
      </w:tr>
      <w:tr w:rsidR="00300A45" w:rsidRPr="007F0457" w14:paraId="2B1770F3" w14:textId="77777777" w:rsidTr="00530961">
        <w:trPr>
          <w:trHeight w:val="198"/>
          <w:jc w:val="center"/>
        </w:trPr>
        <w:tc>
          <w:tcPr>
            <w:tcW w:w="2741" w:type="pct"/>
            <w:tcBorders>
              <w:top w:val="single" w:sz="2" w:space="0" w:color="auto"/>
              <w:left w:val="nil"/>
              <w:bottom w:val="single" w:sz="2" w:space="0" w:color="auto"/>
              <w:right w:val="nil"/>
            </w:tcBorders>
            <w:vAlign w:val="center"/>
            <w:hideMark/>
          </w:tcPr>
          <w:p w14:paraId="292D9899" w14:textId="77777777" w:rsidR="00300A45" w:rsidRPr="007F0457" w:rsidRDefault="00300A45" w:rsidP="00092EB2">
            <w:pPr>
              <w:pStyle w:val="cuatexto"/>
            </w:pPr>
            <w:r w:rsidRPr="007F0457">
              <w:t>Patrimonio Neto</w:t>
            </w:r>
          </w:p>
        </w:tc>
        <w:tc>
          <w:tcPr>
            <w:tcW w:w="548" w:type="pct"/>
            <w:tcBorders>
              <w:top w:val="nil"/>
              <w:left w:val="nil"/>
              <w:bottom w:val="single" w:sz="2" w:space="0" w:color="auto"/>
              <w:right w:val="nil"/>
            </w:tcBorders>
            <w:shd w:val="clear" w:color="auto" w:fill="FFFFFF"/>
            <w:vAlign w:val="center"/>
          </w:tcPr>
          <w:p w14:paraId="5543EAD1" w14:textId="77777777" w:rsidR="00300A45" w:rsidRPr="007F0457" w:rsidRDefault="00300A45" w:rsidP="00092EB2">
            <w:pPr>
              <w:pStyle w:val="cuatexto"/>
              <w:jc w:val="right"/>
              <w:rPr>
                <w:rFonts w:cs="Calibri"/>
              </w:rPr>
            </w:pPr>
            <w:r w:rsidRPr="007F0457">
              <w:rPr>
                <w:rFonts w:cs="Calibri"/>
              </w:rPr>
              <w:t>4.913</w:t>
            </w:r>
          </w:p>
        </w:tc>
        <w:tc>
          <w:tcPr>
            <w:tcW w:w="743" w:type="pct"/>
            <w:gridSpan w:val="2"/>
            <w:tcBorders>
              <w:top w:val="nil"/>
              <w:left w:val="nil"/>
              <w:bottom w:val="single" w:sz="2" w:space="0" w:color="auto"/>
              <w:right w:val="nil"/>
            </w:tcBorders>
            <w:shd w:val="clear" w:color="000000" w:fill="FFFFFF"/>
            <w:vAlign w:val="center"/>
          </w:tcPr>
          <w:p w14:paraId="29942779" w14:textId="77777777" w:rsidR="00300A45" w:rsidRPr="007F0457" w:rsidRDefault="005A4269" w:rsidP="005A4269">
            <w:pPr>
              <w:pStyle w:val="cuatexto"/>
              <w:jc w:val="right"/>
              <w:rPr>
                <w:rFonts w:cs="Calibri"/>
              </w:rPr>
            </w:pPr>
            <w:r>
              <w:rPr>
                <w:rFonts w:cs="Calibri"/>
              </w:rPr>
              <w:t>4.726</w:t>
            </w:r>
          </w:p>
        </w:tc>
        <w:tc>
          <w:tcPr>
            <w:tcW w:w="968" w:type="pct"/>
            <w:tcBorders>
              <w:top w:val="nil"/>
              <w:left w:val="nil"/>
              <w:bottom w:val="single" w:sz="2" w:space="0" w:color="auto"/>
              <w:right w:val="nil"/>
            </w:tcBorders>
            <w:shd w:val="clear" w:color="000000" w:fill="FFFFFF"/>
            <w:vAlign w:val="bottom"/>
          </w:tcPr>
          <w:p w14:paraId="33BB14BD" w14:textId="77777777" w:rsidR="00300A45" w:rsidRPr="007F0457" w:rsidRDefault="00300A45" w:rsidP="00092EB2">
            <w:pPr>
              <w:pStyle w:val="cuatexto"/>
              <w:jc w:val="right"/>
              <w:rPr>
                <w:rFonts w:cs="Calibri"/>
              </w:rPr>
            </w:pPr>
            <w:r w:rsidRPr="007F0457">
              <w:rPr>
                <w:rFonts w:cs="Calibri"/>
              </w:rPr>
              <w:t>-4</w:t>
            </w:r>
          </w:p>
        </w:tc>
      </w:tr>
      <w:tr w:rsidR="00300A45" w:rsidRPr="007F0457" w14:paraId="22186CB0" w14:textId="77777777" w:rsidTr="005204E6">
        <w:trPr>
          <w:trHeight w:val="198"/>
          <w:jc w:val="center"/>
        </w:trPr>
        <w:tc>
          <w:tcPr>
            <w:tcW w:w="2741" w:type="pct"/>
            <w:tcBorders>
              <w:top w:val="single" w:sz="2" w:space="0" w:color="auto"/>
              <w:left w:val="nil"/>
              <w:bottom w:val="single" w:sz="2" w:space="0" w:color="auto"/>
              <w:right w:val="nil"/>
            </w:tcBorders>
            <w:vAlign w:val="center"/>
            <w:hideMark/>
          </w:tcPr>
          <w:p w14:paraId="3D54EF65" w14:textId="77777777" w:rsidR="00300A45" w:rsidRPr="007F0457" w:rsidRDefault="00300A45" w:rsidP="00092EB2">
            <w:pPr>
              <w:pStyle w:val="cuatexto"/>
            </w:pPr>
            <w:r w:rsidRPr="007F0457">
              <w:t>Deuda a largo plazo</w:t>
            </w:r>
          </w:p>
        </w:tc>
        <w:tc>
          <w:tcPr>
            <w:tcW w:w="548" w:type="pct"/>
            <w:tcBorders>
              <w:top w:val="single" w:sz="2" w:space="0" w:color="auto"/>
              <w:left w:val="nil"/>
              <w:bottom w:val="single" w:sz="2" w:space="0" w:color="auto"/>
              <w:right w:val="nil"/>
            </w:tcBorders>
            <w:shd w:val="clear" w:color="auto" w:fill="FFFFFF"/>
            <w:vAlign w:val="center"/>
          </w:tcPr>
          <w:p w14:paraId="7E70DCB7" w14:textId="77777777" w:rsidR="00300A45" w:rsidRPr="007F0457" w:rsidRDefault="00300A45" w:rsidP="00092EB2">
            <w:pPr>
              <w:pStyle w:val="cuatexto"/>
              <w:jc w:val="right"/>
            </w:pPr>
            <w:r w:rsidRPr="007F0457">
              <w:t>5.008</w:t>
            </w:r>
          </w:p>
        </w:tc>
        <w:tc>
          <w:tcPr>
            <w:tcW w:w="743" w:type="pct"/>
            <w:gridSpan w:val="2"/>
            <w:tcBorders>
              <w:top w:val="single" w:sz="2" w:space="0" w:color="auto"/>
              <w:left w:val="nil"/>
              <w:bottom w:val="single" w:sz="2" w:space="0" w:color="auto"/>
              <w:right w:val="nil"/>
            </w:tcBorders>
            <w:shd w:val="clear" w:color="000000" w:fill="FFFFFF"/>
            <w:vAlign w:val="center"/>
          </w:tcPr>
          <w:p w14:paraId="4AD04F51" w14:textId="77777777" w:rsidR="00300A45" w:rsidRPr="007F0457" w:rsidRDefault="007808B8" w:rsidP="00092EB2">
            <w:pPr>
              <w:pStyle w:val="cuatexto"/>
              <w:jc w:val="right"/>
            </w:pPr>
            <w:r>
              <w:t>4.876</w:t>
            </w:r>
          </w:p>
        </w:tc>
        <w:tc>
          <w:tcPr>
            <w:tcW w:w="968" w:type="pct"/>
            <w:tcBorders>
              <w:top w:val="single" w:sz="2" w:space="0" w:color="auto"/>
              <w:left w:val="nil"/>
              <w:bottom w:val="single" w:sz="2" w:space="0" w:color="auto"/>
              <w:right w:val="nil"/>
            </w:tcBorders>
            <w:shd w:val="clear" w:color="000000" w:fill="FFFFFF"/>
            <w:vAlign w:val="bottom"/>
          </w:tcPr>
          <w:p w14:paraId="347FB390" w14:textId="77777777" w:rsidR="00300A45" w:rsidRPr="007F0457" w:rsidRDefault="007808B8" w:rsidP="007808B8">
            <w:pPr>
              <w:pStyle w:val="cuatexto"/>
              <w:jc w:val="right"/>
            </w:pPr>
            <w:r>
              <w:t>-3</w:t>
            </w:r>
          </w:p>
        </w:tc>
      </w:tr>
      <w:tr w:rsidR="00300A45" w:rsidRPr="007F0457" w14:paraId="766785AE" w14:textId="77777777" w:rsidTr="005204E6">
        <w:trPr>
          <w:trHeight w:val="198"/>
          <w:jc w:val="center"/>
        </w:trPr>
        <w:tc>
          <w:tcPr>
            <w:tcW w:w="2741" w:type="pct"/>
            <w:tcBorders>
              <w:top w:val="single" w:sz="2" w:space="0" w:color="auto"/>
              <w:left w:val="nil"/>
              <w:bottom w:val="single" w:sz="2" w:space="0" w:color="auto"/>
              <w:right w:val="nil"/>
            </w:tcBorders>
            <w:vAlign w:val="center"/>
            <w:hideMark/>
          </w:tcPr>
          <w:p w14:paraId="1E0E5975" w14:textId="77777777" w:rsidR="00300A45" w:rsidRPr="007F0457" w:rsidRDefault="00300A45" w:rsidP="00092EB2">
            <w:pPr>
              <w:pStyle w:val="cuatexto"/>
            </w:pPr>
            <w:r w:rsidRPr="007F0457">
              <w:t>Ingresos derivados de la actividad propia</w:t>
            </w:r>
          </w:p>
        </w:tc>
        <w:tc>
          <w:tcPr>
            <w:tcW w:w="548" w:type="pct"/>
            <w:tcBorders>
              <w:top w:val="single" w:sz="2" w:space="0" w:color="auto"/>
              <w:left w:val="nil"/>
              <w:bottom w:val="single" w:sz="2" w:space="0" w:color="auto"/>
              <w:right w:val="nil"/>
            </w:tcBorders>
            <w:shd w:val="clear" w:color="auto" w:fill="FFFFFF"/>
            <w:vAlign w:val="center"/>
          </w:tcPr>
          <w:p w14:paraId="278A95DA" w14:textId="77777777" w:rsidR="00300A45" w:rsidRPr="007F0457" w:rsidRDefault="00300A45" w:rsidP="00092EB2">
            <w:pPr>
              <w:pStyle w:val="cuatexto"/>
              <w:jc w:val="right"/>
            </w:pPr>
            <w:r w:rsidRPr="007F0457">
              <w:t>22.701</w:t>
            </w:r>
          </w:p>
        </w:tc>
        <w:tc>
          <w:tcPr>
            <w:tcW w:w="743" w:type="pct"/>
            <w:gridSpan w:val="2"/>
            <w:tcBorders>
              <w:top w:val="single" w:sz="2" w:space="0" w:color="auto"/>
              <w:left w:val="nil"/>
              <w:bottom w:val="single" w:sz="2" w:space="0" w:color="auto"/>
              <w:right w:val="nil"/>
            </w:tcBorders>
            <w:shd w:val="clear" w:color="000000" w:fill="FFFFFF"/>
            <w:vAlign w:val="center"/>
          </w:tcPr>
          <w:p w14:paraId="0AA39674" w14:textId="77777777" w:rsidR="00300A45" w:rsidRPr="007F0457" w:rsidRDefault="00300A45" w:rsidP="00092EB2">
            <w:pPr>
              <w:pStyle w:val="cuatexto"/>
              <w:jc w:val="right"/>
            </w:pPr>
            <w:r w:rsidRPr="007F0457">
              <w:t>28.465</w:t>
            </w:r>
          </w:p>
        </w:tc>
        <w:tc>
          <w:tcPr>
            <w:tcW w:w="968" w:type="pct"/>
            <w:tcBorders>
              <w:top w:val="single" w:sz="2" w:space="0" w:color="auto"/>
              <w:left w:val="nil"/>
              <w:bottom w:val="single" w:sz="2" w:space="0" w:color="auto"/>
              <w:right w:val="nil"/>
            </w:tcBorders>
            <w:shd w:val="clear" w:color="000000" w:fill="FFFFFF"/>
            <w:vAlign w:val="bottom"/>
          </w:tcPr>
          <w:p w14:paraId="40CF93D7" w14:textId="77777777" w:rsidR="00300A45" w:rsidRPr="007F0457" w:rsidRDefault="00300A45" w:rsidP="00092EB2">
            <w:pPr>
              <w:pStyle w:val="cuatexto"/>
              <w:jc w:val="right"/>
            </w:pPr>
            <w:r w:rsidRPr="007F0457">
              <w:t>26</w:t>
            </w:r>
          </w:p>
        </w:tc>
      </w:tr>
      <w:tr w:rsidR="00300A45" w:rsidRPr="007F0457" w14:paraId="20A37D08" w14:textId="77777777" w:rsidTr="005204E6">
        <w:trPr>
          <w:trHeight w:val="198"/>
          <w:jc w:val="center"/>
        </w:trPr>
        <w:tc>
          <w:tcPr>
            <w:tcW w:w="2741" w:type="pct"/>
            <w:tcBorders>
              <w:top w:val="single" w:sz="2" w:space="0" w:color="auto"/>
              <w:left w:val="nil"/>
              <w:bottom w:val="single" w:sz="2" w:space="0" w:color="auto"/>
              <w:right w:val="nil"/>
            </w:tcBorders>
            <w:vAlign w:val="center"/>
            <w:hideMark/>
          </w:tcPr>
          <w:p w14:paraId="7C805799" w14:textId="77777777" w:rsidR="00300A45" w:rsidRPr="007F0457" w:rsidRDefault="00300A45" w:rsidP="00092EB2">
            <w:pPr>
              <w:pStyle w:val="cuatexto"/>
            </w:pPr>
            <w:r w:rsidRPr="007F0457">
              <w:t>Subvenciones recibidas del Gobierno de Navarra</w:t>
            </w:r>
          </w:p>
        </w:tc>
        <w:tc>
          <w:tcPr>
            <w:tcW w:w="548" w:type="pct"/>
            <w:tcBorders>
              <w:top w:val="single" w:sz="2" w:space="0" w:color="auto"/>
              <w:left w:val="nil"/>
              <w:bottom w:val="single" w:sz="2" w:space="0" w:color="auto"/>
              <w:right w:val="nil"/>
            </w:tcBorders>
            <w:shd w:val="clear" w:color="auto" w:fill="FFFFFF"/>
            <w:vAlign w:val="center"/>
          </w:tcPr>
          <w:p w14:paraId="62AD7E4B" w14:textId="77777777" w:rsidR="00300A45" w:rsidRPr="007F0457" w:rsidRDefault="00300A45" w:rsidP="00092EB2">
            <w:pPr>
              <w:pStyle w:val="cuatexto"/>
              <w:jc w:val="right"/>
            </w:pPr>
            <w:r w:rsidRPr="007F0457">
              <w:t>11.521</w:t>
            </w:r>
          </w:p>
        </w:tc>
        <w:tc>
          <w:tcPr>
            <w:tcW w:w="743" w:type="pct"/>
            <w:gridSpan w:val="2"/>
            <w:tcBorders>
              <w:top w:val="single" w:sz="2" w:space="0" w:color="auto"/>
              <w:left w:val="nil"/>
              <w:bottom w:val="single" w:sz="2" w:space="0" w:color="auto"/>
              <w:right w:val="nil"/>
            </w:tcBorders>
            <w:shd w:val="clear" w:color="000000" w:fill="FFFFFF"/>
            <w:vAlign w:val="center"/>
          </w:tcPr>
          <w:p w14:paraId="34D2EADF" w14:textId="77777777" w:rsidR="00300A45" w:rsidRPr="007F0457" w:rsidRDefault="00300A45" w:rsidP="00092EB2">
            <w:pPr>
              <w:pStyle w:val="cuatexto"/>
              <w:jc w:val="right"/>
            </w:pPr>
            <w:r w:rsidRPr="007F0457">
              <w:t>11.387</w:t>
            </w:r>
          </w:p>
        </w:tc>
        <w:tc>
          <w:tcPr>
            <w:tcW w:w="968" w:type="pct"/>
            <w:tcBorders>
              <w:top w:val="single" w:sz="2" w:space="0" w:color="auto"/>
              <w:left w:val="nil"/>
              <w:bottom w:val="single" w:sz="2" w:space="0" w:color="auto"/>
              <w:right w:val="nil"/>
            </w:tcBorders>
            <w:shd w:val="clear" w:color="000000" w:fill="FFFFFF"/>
            <w:vAlign w:val="bottom"/>
          </w:tcPr>
          <w:p w14:paraId="1A894EDF" w14:textId="77777777" w:rsidR="00300A45" w:rsidRPr="007F0457" w:rsidRDefault="00300A45" w:rsidP="00092EB2">
            <w:pPr>
              <w:pStyle w:val="cuatexto"/>
              <w:jc w:val="right"/>
            </w:pPr>
            <w:r w:rsidRPr="007F0457">
              <w:t>-1</w:t>
            </w:r>
          </w:p>
        </w:tc>
      </w:tr>
      <w:tr w:rsidR="00092EB2" w:rsidRPr="007F0457" w14:paraId="45BA6410" w14:textId="77777777" w:rsidTr="005204E6">
        <w:trPr>
          <w:trHeight w:val="198"/>
          <w:jc w:val="center"/>
        </w:trPr>
        <w:tc>
          <w:tcPr>
            <w:tcW w:w="2741" w:type="pct"/>
            <w:tcBorders>
              <w:top w:val="single" w:sz="2" w:space="0" w:color="auto"/>
              <w:left w:val="nil"/>
              <w:bottom w:val="single" w:sz="2" w:space="0" w:color="auto"/>
              <w:right w:val="nil"/>
            </w:tcBorders>
            <w:vAlign w:val="center"/>
            <w:hideMark/>
          </w:tcPr>
          <w:p w14:paraId="3B006257" w14:textId="77777777" w:rsidR="00300A45" w:rsidRPr="007F0457" w:rsidRDefault="00300A45" w:rsidP="00092EB2">
            <w:pPr>
              <w:pStyle w:val="cuatexto"/>
            </w:pPr>
            <w:r w:rsidRPr="007F0457">
              <w:t>Gastos de personal</w:t>
            </w:r>
          </w:p>
        </w:tc>
        <w:tc>
          <w:tcPr>
            <w:tcW w:w="548" w:type="pct"/>
            <w:tcBorders>
              <w:top w:val="single" w:sz="2" w:space="0" w:color="auto"/>
              <w:left w:val="nil"/>
              <w:bottom w:val="single" w:sz="2" w:space="0" w:color="auto"/>
              <w:right w:val="nil"/>
            </w:tcBorders>
            <w:shd w:val="clear" w:color="auto" w:fill="FFFFFF"/>
            <w:vAlign w:val="center"/>
          </w:tcPr>
          <w:p w14:paraId="18C9738F" w14:textId="77777777" w:rsidR="00300A45" w:rsidRPr="007F0457" w:rsidRDefault="00300A45" w:rsidP="00092EB2">
            <w:pPr>
              <w:pStyle w:val="cuatexto"/>
              <w:jc w:val="right"/>
            </w:pPr>
            <w:r w:rsidRPr="007F0457">
              <w:t>14.530</w:t>
            </w:r>
          </w:p>
        </w:tc>
        <w:tc>
          <w:tcPr>
            <w:tcW w:w="743" w:type="pct"/>
            <w:gridSpan w:val="2"/>
            <w:tcBorders>
              <w:top w:val="single" w:sz="2" w:space="0" w:color="auto"/>
              <w:left w:val="nil"/>
              <w:bottom w:val="single" w:sz="2" w:space="0" w:color="auto"/>
              <w:right w:val="nil"/>
            </w:tcBorders>
            <w:shd w:val="clear" w:color="000000" w:fill="FFFFFF"/>
            <w:vAlign w:val="center"/>
          </w:tcPr>
          <w:p w14:paraId="0362E129" w14:textId="77777777" w:rsidR="00300A45" w:rsidRPr="007F0457" w:rsidRDefault="00300A45" w:rsidP="00092EB2">
            <w:pPr>
              <w:pStyle w:val="cuatexto"/>
              <w:jc w:val="right"/>
            </w:pPr>
            <w:r w:rsidRPr="007F0457">
              <w:t>20.593</w:t>
            </w:r>
          </w:p>
        </w:tc>
        <w:tc>
          <w:tcPr>
            <w:tcW w:w="968" w:type="pct"/>
            <w:tcBorders>
              <w:top w:val="single" w:sz="2" w:space="0" w:color="auto"/>
              <w:left w:val="nil"/>
              <w:bottom w:val="single" w:sz="2" w:space="0" w:color="auto"/>
              <w:right w:val="nil"/>
            </w:tcBorders>
            <w:shd w:val="clear" w:color="000000" w:fill="FFFFFF"/>
            <w:vAlign w:val="bottom"/>
          </w:tcPr>
          <w:p w14:paraId="03649BD1" w14:textId="77777777" w:rsidR="00300A45" w:rsidRPr="007F0457" w:rsidRDefault="00300A45" w:rsidP="00092EB2">
            <w:pPr>
              <w:pStyle w:val="cuatexto"/>
              <w:jc w:val="right"/>
            </w:pPr>
            <w:r w:rsidRPr="007F0457">
              <w:t>42</w:t>
            </w:r>
          </w:p>
        </w:tc>
      </w:tr>
      <w:tr w:rsidR="00300A45" w:rsidRPr="007F0457" w14:paraId="61565BCE" w14:textId="77777777" w:rsidTr="005204E6">
        <w:trPr>
          <w:trHeight w:val="198"/>
          <w:jc w:val="center"/>
        </w:trPr>
        <w:tc>
          <w:tcPr>
            <w:tcW w:w="2741" w:type="pct"/>
            <w:tcBorders>
              <w:top w:val="single" w:sz="2" w:space="0" w:color="auto"/>
              <w:left w:val="nil"/>
              <w:bottom w:val="single" w:sz="2" w:space="0" w:color="auto"/>
              <w:right w:val="nil"/>
            </w:tcBorders>
            <w:vAlign w:val="center"/>
            <w:hideMark/>
          </w:tcPr>
          <w:p w14:paraId="1A9D8A10" w14:textId="77777777" w:rsidR="00300A45" w:rsidRPr="007F0457" w:rsidRDefault="00300A45" w:rsidP="00092EB2">
            <w:pPr>
              <w:pStyle w:val="cuatexto"/>
            </w:pPr>
            <w:r w:rsidRPr="007F0457">
              <w:t>Efectivo y otros activos líquidos</w:t>
            </w:r>
          </w:p>
        </w:tc>
        <w:tc>
          <w:tcPr>
            <w:tcW w:w="548" w:type="pct"/>
            <w:tcBorders>
              <w:top w:val="single" w:sz="2" w:space="0" w:color="auto"/>
              <w:left w:val="nil"/>
              <w:bottom w:val="single" w:sz="2" w:space="0" w:color="auto"/>
              <w:right w:val="nil"/>
            </w:tcBorders>
            <w:shd w:val="clear" w:color="auto" w:fill="FFFFFF"/>
            <w:vAlign w:val="center"/>
          </w:tcPr>
          <w:p w14:paraId="28C64FE5" w14:textId="77777777" w:rsidR="00300A45" w:rsidRPr="007F0457" w:rsidRDefault="00300A45" w:rsidP="00092EB2">
            <w:pPr>
              <w:pStyle w:val="cuatexto"/>
              <w:jc w:val="right"/>
            </w:pPr>
            <w:r w:rsidRPr="007F0457">
              <w:t>11.067</w:t>
            </w:r>
          </w:p>
        </w:tc>
        <w:tc>
          <w:tcPr>
            <w:tcW w:w="743" w:type="pct"/>
            <w:gridSpan w:val="2"/>
            <w:tcBorders>
              <w:top w:val="single" w:sz="2" w:space="0" w:color="auto"/>
              <w:left w:val="nil"/>
              <w:bottom w:val="single" w:sz="2" w:space="0" w:color="auto"/>
              <w:right w:val="nil"/>
            </w:tcBorders>
            <w:shd w:val="clear" w:color="000000" w:fill="FFFFFF"/>
            <w:vAlign w:val="center"/>
          </w:tcPr>
          <w:p w14:paraId="5AF3D3FD" w14:textId="77777777" w:rsidR="00300A45" w:rsidRPr="007F0457" w:rsidRDefault="00300A45" w:rsidP="00092EB2">
            <w:pPr>
              <w:pStyle w:val="cuatexto"/>
              <w:jc w:val="right"/>
            </w:pPr>
            <w:r w:rsidRPr="007F0457">
              <w:t>11.706</w:t>
            </w:r>
          </w:p>
        </w:tc>
        <w:tc>
          <w:tcPr>
            <w:tcW w:w="968" w:type="pct"/>
            <w:tcBorders>
              <w:top w:val="single" w:sz="2" w:space="0" w:color="auto"/>
              <w:left w:val="nil"/>
              <w:bottom w:val="single" w:sz="2" w:space="0" w:color="auto"/>
              <w:right w:val="nil"/>
            </w:tcBorders>
            <w:shd w:val="clear" w:color="000000" w:fill="FFFFFF"/>
            <w:vAlign w:val="bottom"/>
          </w:tcPr>
          <w:p w14:paraId="57187BE8" w14:textId="77777777" w:rsidR="00300A45" w:rsidRPr="007F0457" w:rsidRDefault="00300A45" w:rsidP="00092EB2">
            <w:pPr>
              <w:pStyle w:val="cuatexto"/>
              <w:jc w:val="right"/>
            </w:pPr>
            <w:r w:rsidRPr="007F0457">
              <w:t>6</w:t>
            </w:r>
          </w:p>
        </w:tc>
      </w:tr>
      <w:tr w:rsidR="00300A45" w:rsidRPr="007F0457" w14:paraId="1341585F" w14:textId="77777777" w:rsidTr="005204E6">
        <w:trPr>
          <w:trHeight w:val="198"/>
          <w:jc w:val="center"/>
        </w:trPr>
        <w:tc>
          <w:tcPr>
            <w:tcW w:w="2741" w:type="pct"/>
            <w:tcBorders>
              <w:top w:val="single" w:sz="2" w:space="0" w:color="auto"/>
              <w:left w:val="nil"/>
              <w:bottom w:val="single" w:sz="2" w:space="0" w:color="auto"/>
              <w:right w:val="nil"/>
            </w:tcBorders>
            <w:vAlign w:val="center"/>
            <w:hideMark/>
          </w:tcPr>
          <w:p w14:paraId="490CD696" w14:textId="77777777" w:rsidR="00300A45" w:rsidRPr="007F0457" w:rsidRDefault="00300A45" w:rsidP="00092EB2">
            <w:pPr>
              <w:pStyle w:val="cuatexto"/>
            </w:pPr>
            <w:r w:rsidRPr="007F0457">
              <w:t>Fondo de maniobra</w:t>
            </w:r>
          </w:p>
        </w:tc>
        <w:tc>
          <w:tcPr>
            <w:tcW w:w="548" w:type="pct"/>
            <w:tcBorders>
              <w:top w:val="single" w:sz="2" w:space="0" w:color="auto"/>
              <w:left w:val="nil"/>
              <w:bottom w:val="single" w:sz="2" w:space="0" w:color="auto"/>
              <w:right w:val="nil"/>
            </w:tcBorders>
            <w:shd w:val="clear" w:color="auto" w:fill="FFFFFF"/>
            <w:vAlign w:val="center"/>
          </w:tcPr>
          <w:p w14:paraId="0C910FCA" w14:textId="77777777" w:rsidR="00300A45" w:rsidRPr="007F0457" w:rsidRDefault="00300A45" w:rsidP="00092EB2">
            <w:pPr>
              <w:pStyle w:val="cuatexto"/>
              <w:jc w:val="right"/>
            </w:pPr>
            <w:r w:rsidRPr="007F0457">
              <w:t>7.083</w:t>
            </w:r>
          </w:p>
        </w:tc>
        <w:tc>
          <w:tcPr>
            <w:tcW w:w="743" w:type="pct"/>
            <w:gridSpan w:val="2"/>
            <w:tcBorders>
              <w:top w:val="single" w:sz="2" w:space="0" w:color="auto"/>
              <w:left w:val="nil"/>
              <w:bottom w:val="single" w:sz="2" w:space="0" w:color="auto"/>
              <w:right w:val="nil"/>
            </w:tcBorders>
            <w:shd w:val="clear" w:color="000000" w:fill="FFFFFF"/>
            <w:vAlign w:val="center"/>
          </w:tcPr>
          <w:p w14:paraId="34175CF3" w14:textId="77777777" w:rsidR="00300A45" w:rsidRPr="007F0457" w:rsidRDefault="00300A45" w:rsidP="00092EB2">
            <w:pPr>
              <w:pStyle w:val="cuatexto"/>
              <w:jc w:val="right"/>
            </w:pPr>
            <w:r w:rsidRPr="007F0457">
              <w:t>6.979</w:t>
            </w:r>
          </w:p>
        </w:tc>
        <w:tc>
          <w:tcPr>
            <w:tcW w:w="968" w:type="pct"/>
            <w:tcBorders>
              <w:top w:val="single" w:sz="2" w:space="0" w:color="auto"/>
              <w:left w:val="nil"/>
              <w:bottom w:val="single" w:sz="2" w:space="0" w:color="auto"/>
              <w:right w:val="nil"/>
            </w:tcBorders>
            <w:shd w:val="clear" w:color="000000" w:fill="FFFFFF"/>
            <w:vAlign w:val="bottom"/>
          </w:tcPr>
          <w:p w14:paraId="7F55A253" w14:textId="77777777" w:rsidR="00300A45" w:rsidRPr="007F0457" w:rsidRDefault="00300A45" w:rsidP="00092EB2">
            <w:pPr>
              <w:pStyle w:val="cuatexto"/>
              <w:jc w:val="right"/>
            </w:pPr>
            <w:r w:rsidRPr="007F0457">
              <w:t>-1</w:t>
            </w:r>
          </w:p>
        </w:tc>
      </w:tr>
      <w:tr w:rsidR="00300A45" w:rsidRPr="007F0457" w14:paraId="383A0D5D" w14:textId="77777777" w:rsidTr="005204E6">
        <w:trPr>
          <w:trHeight w:val="198"/>
          <w:jc w:val="center"/>
        </w:trPr>
        <w:tc>
          <w:tcPr>
            <w:tcW w:w="2741" w:type="pct"/>
            <w:tcBorders>
              <w:top w:val="single" w:sz="2" w:space="0" w:color="auto"/>
              <w:left w:val="nil"/>
              <w:bottom w:val="single" w:sz="2" w:space="0" w:color="auto"/>
              <w:right w:val="nil"/>
            </w:tcBorders>
            <w:vAlign w:val="center"/>
            <w:hideMark/>
          </w:tcPr>
          <w:p w14:paraId="4CE7DEB2" w14:textId="77777777" w:rsidR="00300A45" w:rsidRPr="007F0457" w:rsidRDefault="00300A45" w:rsidP="00092EB2">
            <w:pPr>
              <w:pStyle w:val="cuatexto"/>
            </w:pPr>
            <w:r w:rsidRPr="007F0457">
              <w:t>Resultado total</w:t>
            </w:r>
          </w:p>
        </w:tc>
        <w:tc>
          <w:tcPr>
            <w:tcW w:w="548" w:type="pct"/>
            <w:tcBorders>
              <w:top w:val="single" w:sz="2" w:space="0" w:color="auto"/>
              <w:left w:val="nil"/>
              <w:bottom w:val="single" w:sz="2" w:space="0" w:color="auto"/>
              <w:right w:val="nil"/>
            </w:tcBorders>
            <w:shd w:val="clear" w:color="auto" w:fill="FFFFFF"/>
            <w:vAlign w:val="center"/>
          </w:tcPr>
          <w:p w14:paraId="7657369E" w14:textId="77777777" w:rsidR="00300A45" w:rsidRPr="007F0457" w:rsidRDefault="00300A45" w:rsidP="00092EB2">
            <w:pPr>
              <w:pStyle w:val="cuatexto"/>
              <w:jc w:val="right"/>
            </w:pPr>
            <w:r w:rsidRPr="007F0457">
              <w:t>1.478</w:t>
            </w:r>
          </w:p>
        </w:tc>
        <w:tc>
          <w:tcPr>
            <w:tcW w:w="743" w:type="pct"/>
            <w:gridSpan w:val="2"/>
            <w:tcBorders>
              <w:top w:val="single" w:sz="2" w:space="0" w:color="auto"/>
              <w:left w:val="nil"/>
              <w:bottom w:val="single" w:sz="2" w:space="0" w:color="auto"/>
              <w:right w:val="nil"/>
            </w:tcBorders>
            <w:shd w:val="clear" w:color="000000" w:fill="FFFFFF"/>
            <w:vAlign w:val="center"/>
          </w:tcPr>
          <w:p w14:paraId="0AD73114" w14:textId="77777777" w:rsidR="00300A45" w:rsidRPr="007F0457" w:rsidRDefault="00300A45" w:rsidP="00092EB2">
            <w:pPr>
              <w:pStyle w:val="cuatexto"/>
              <w:jc w:val="right"/>
            </w:pPr>
            <w:r w:rsidRPr="007F0457">
              <w:t>15</w:t>
            </w:r>
          </w:p>
        </w:tc>
        <w:tc>
          <w:tcPr>
            <w:tcW w:w="968" w:type="pct"/>
            <w:tcBorders>
              <w:top w:val="single" w:sz="2" w:space="0" w:color="auto"/>
              <w:left w:val="nil"/>
              <w:bottom w:val="single" w:sz="2" w:space="0" w:color="auto"/>
              <w:right w:val="nil"/>
            </w:tcBorders>
            <w:shd w:val="clear" w:color="000000" w:fill="FFFFFF"/>
            <w:vAlign w:val="bottom"/>
          </w:tcPr>
          <w:p w14:paraId="7C829278" w14:textId="77777777" w:rsidR="00300A45" w:rsidRPr="007F0457" w:rsidRDefault="00300A45" w:rsidP="00092EB2">
            <w:pPr>
              <w:pStyle w:val="cuatexto"/>
              <w:jc w:val="right"/>
            </w:pPr>
            <w:r w:rsidRPr="007F0457">
              <w:t>-99</w:t>
            </w:r>
          </w:p>
        </w:tc>
      </w:tr>
      <w:tr w:rsidR="00092EB2" w:rsidRPr="00043811" w14:paraId="5455886A" w14:textId="77777777" w:rsidTr="005204E6">
        <w:trPr>
          <w:trHeight w:val="198"/>
          <w:jc w:val="center"/>
        </w:trPr>
        <w:tc>
          <w:tcPr>
            <w:tcW w:w="2741" w:type="pct"/>
            <w:tcBorders>
              <w:top w:val="single" w:sz="2" w:space="0" w:color="auto"/>
              <w:left w:val="nil"/>
              <w:bottom w:val="single" w:sz="2" w:space="0" w:color="auto"/>
              <w:right w:val="nil"/>
            </w:tcBorders>
            <w:vAlign w:val="center"/>
            <w:hideMark/>
          </w:tcPr>
          <w:p w14:paraId="261F87B9" w14:textId="77777777" w:rsidR="00300A45" w:rsidRPr="00043811" w:rsidRDefault="00300A45" w:rsidP="00092EB2">
            <w:pPr>
              <w:pStyle w:val="cuatexto"/>
            </w:pPr>
            <w:r w:rsidRPr="00043811">
              <w:t>Número de altos cargos (A)</w:t>
            </w:r>
          </w:p>
        </w:tc>
        <w:tc>
          <w:tcPr>
            <w:tcW w:w="548" w:type="pct"/>
            <w:tcBorders>
              <w:top w:val="single" w:sz="2" w:space="0" w:color="auto"/>
              <w:left w:val="nil"/>
              <w:bottom w:val="single" w:sz="2" w:space="0" w:color="auto"/>
              <w:right w:val="nil"/>
            </w:tcBorders>
            <w:shd w:val="clear" w:color="auto" w:fill="FFFFFF"/>
            <w:vAlign w:val="center"/>
          </w:tcPr>
          <w:p w14:paraId="22A67D01" w14:textId="77777777" w:rsidR="00300A45" w:rsidRPr="00043811" w:rsidRDefault="00300A45" w:rsidP="00092EB2">
            <w:pPr>
              <w:pStyle w:val="cuatexto"/>
              <w:jc w:val="right"/>
            </w:pPr>
            <w:r w:rsidRPr="00043811">
              <w:t>5</w:t>
            </w:r>
          </w:p>
        </w:tc>
        <w:tc>
          <w:tcPr>
            <w:tcW w:w="743" w:type="pct"/>
            <w:gridSpan w:val="2"/>
            <w:tcBorders>
              <w:top w:val="single" w:sz="2" w:space="0" w:color="auto"/>
              <w:left w:val="nil"/>
              <w:bottom w:val="single" w:sz="2" w:space="0" w:color="auto"/>
              <w:right w:val="nil"/>
            </w:tcBorders>
            <w:shd w:val="clear" w:color="000000" w:fill="FFFFFF"/>
            <w:vAlign w:val="center"/>
          </w:tcPr>
          <w:p w14:paraId="68165D10" w14:textId="77777777" w:rsidR="00300A45" w:rsidRPr="00043811" w:rsidRDefault="00043811" w:rsidP="00092EB2">
            <w:pPr>
              <w:pStyle w:val="cuatexto"/>
              <w:jc w:val="right"/>
            </w:pPr>
            <w:r>
              <w:t>7</w:t>
            </w:r>
          </w:p>
        </w:tc>
        <w:tc>
          <w:tcPr>
            <w:tcW w:w="968" w:type="pct"/>
            <w:tcBorders>
              <w:top w:val="single" w:sz="2" w:space="0" w:color="auto"/>
              <w:left w:val="nil"/>
              <w:bottom w:val="single" w:sz="2" w:space="0" w:color="auto"/>
              <w:right w:val="nil"/>
            </w:tcBorders>
            <w:shd w:val="clear" w:color="000000" w:fill="FFFFFF"/>
            <w:vAlign w:val="bottom"/>
          </w:tcPr>
          <w:p w14:paraId="3CFD1684" w14:textId="77777777" w:rsidR="00300A45" w:rsidRPr="00043811" w:rsidRDefault="00043811" w:rsidP="00092EB2">
            <w:pPr>
              <w:pStyle w:val="cuatexto"/>
              <w:jc w:val="right"/>
            </w:pPr>
            <w:r>
              <w:t>36</w:t>
            </w:r>
          </w:p>
        </w:tc>
      </w:tr>
      <w:tr w:rsidR="00092EB2" w:rsidRPr="007F0457" w14:paraId="2A98D705" w14:textId="77777777" w:rsidTr="00EE60CB">
        <w:trPr>
          <w:trHeight w:val="198"/>
          <w:jc w:val="center"/>
        </w:trPr>
        <w:tc>
          <w:tcPr>
            <w:tcW w:w="2741" w:type="pct"/>
            <w:tcBorders>
              <w:top w:val="single" w:sz="2" w:space="0" w:color="auto"/>
              <w:left w:val="nil"/>
              <w:bottom w:val="single" w:sz="4" w:space="0" w:color="auto"/>
              <w:right w:val="nil"/>
            </w:tcBorders>
            <w:vAlign w:val="center"/>
            <w:hideMark/>
          </w:tcPr>
          <w:p w14:paraId="705F28C4" w14:textId="77777777" w:rsidR="00300A45" w:rsidRPr="007F0457" w:rsidRDefault="00300A45" w:rsidP="00092EB2">
            <w:pPr>
              <w:pStyle w:val="cuatexto"/>
            </w:pPr>
            <w:r w:rsidRPr="007F0457">
              <w:t>Número medio resto de empleados (B)</w:t>
            </w:r>
          </w:p>
        </w:tc>
        <w:tc>
          <w:tcPr>
            <w:tcW w:w="548" w:type="pct"/>
            <w:tcBorders>
              <w:top w:val="single" w:sz="2" w:space="0" w:color="auto"/>
              <w:left w:val="nil"/>
              <w:bottom w:val="single" w:sz="4" w:space="0" w:color="auto"/>
              <w:right w:val="nil"/>
            </w:tcBorders>
            <w:shd w:val="clear" w:color="auto" w:fill="FFFFFF"/>
            <w:vAlign w:val="center"/>
          </w:tcPr>
          <w:p w14:paraId="0DABD461" w14:textId="77777777" w:rsidR="00300A45" w:rsidRPr="007F0457" w:rsidRDefault="00300A45" w:rsidP="00092EB2">
            <w:pPr>
              <w:pStyle w:val="cuatexto"/>
              <w:jc w:val="right"/>
            </w:pPr>
            <w:r w:rsidRPr="007F0457">
              <w:t>326</w:t>
            </w:r>
          </w:p>
        </w:tc>
        <w:tc>
          <w:tcPr>
            <w:tcW w:w="743" w:type="pct"/>
            <w:gridSpan w:val="2"/>
            <w:tcBorders>
              <w:top w:val="single" w:sz="2" w:space="0" w:color="auto"/>
              <w:left w:val="nil"/>
              <w:bottom w:val="single" w:sz="4" w:space="0" w:color="auto"/>
              <w:right w:val="nil"/>
            </w:tcBorders>
            <w:shd w:val="clear" w:color="000000" w:fill="FFFFFF"/>
            <w:vAlign w:val="center"/>
          </w:tcPr>
          <w:p w14:paraId="13FF3361" w14:textId="77777777" w:rsidR="00300A45" w:rsidRPr="007F0457" w:rsidRDefault="00300A45" w:rsidP="00092EB2">
            <w:pPr>
              <w:pStyle w:val="cuatexto"/>
              <w:jc w:val="right"/>
            </w:pPr>
            <w:r w:rsidRPr="007F0457">
              <w:t>454</w:t>
            </w:r>
          </w:p>
        </w:tc>
        <w:tc>
          <w:tcPr>
            <w:tcW w:w="968" w:type="pct"/>
            <w:tcBorders>
              <w:top w:val="single" w:sz="2" w:space="0" w:color="auto"/>
              <w:left w:val="nil"/>
              <w:bottom w:val="single" w:sz="4" w:space="0" w:color="auto"/>
              <w:right w:val="nil"/>
            </w:tcBorders>
            <w:shd w:val="clear" w:color="000000" w:fill="FFFFFF"/>
            <w:vAlign w:val="bottom"/>
          </w:tcPr>
          <w:p w14:paraId="4062D52C" w14:textId="77777777" w:rsidR="00300A45" w:rsidRPr="007F0457" w:rsidRDefault="007F0457" w:rsidP="00092EB2">
            <w:pPr>
              <w:pStyle w:val="cuatexto"/>
              <w:jc w:val="right"/>
            </w:pPr>
            <w:r>
              <w:t>39</w:t>
            </w:r>
          </w:p>
        </w:tc>
      </w:tr>
      <w:tr w:rsidR="00092EB2" w:rsidRPr="007F0457" w14:paraId="3C72B92E" w14:textId="77777777" w:rsidTr="00EE60CB">
        <w:trPr>
          <w:trHeight w:val="198"/>
          <w:jc w:val="center"/>
        </w:trPr>
        <w:tc>
          <w:tcPr>
            <w:tcW w:w="2741" w:type="pct"/>
            <w:tcBorders>
              <w:top w:val="single" w:sz="4" w:space="0" w:color="auto"/>
              <w:left w:val="nil"/>
              <w:bottom w:val="single" w:sz="4" w:space="0" w:color="auto"/>
              <w:right w:val="nil"/>
            </w:tcBorders>
            <w:vAlign w:val="center"/>
            <w:hideMark/>
          </w:tcPr>
          <w:p w14:paraId="447DB315" w14:textId="77777777" w:rsidR="00300A45" w:rsidRPr="007F0457" w:rsidRDefault="00300A45" w:rsidP="00092EB2">
            <w:pPr>
              <w:pStyle w:val="cuatexto"/>
            </w:pPr>
            <w:r w:rsidRPr="007F0457">
              <w:t>Número total de empleados (A+B)</w:t>
            </w:r>
          </w:p>
        </w:tc>
        <w:tc>
          <w:tcPr>
            <w:tcW w:w="548" w:type="pct"/>
            <w:tcBorders>
              <w:top w:val="single" w:sz="4" w:space="0" w:color="auto"/>
              <w:left w:val="nil"/>
              <w:bottom w:val="single" w:sz="4" w:space="0" w:color="auto"/>
              <w:right w:val="nil"/>
            </w:tcBorders>
            <w:shd w:val="clear" w:color="auto" w:fill="FFFFFF"/>
            <w:vAlign w:val="center"/>
          </w:tcPr>
          <w:p w14:paraId="254C056C" w14:textId="77777777" w:rsidR="00300A45" w:rsidRPr="007F0457" w:rsidRDefault="00300A45" w:rsidP="00092EB2">
            <w:pPr>
              <w:pStyle w:val="cuatexto"/>
              <w:jc w:val="right"/>
            </w:pPr>
            <w:r w:rsidRPr="007F0457">
              <w:t>331</w:t>
            </w:r>
          </w:p>
        </w:tc>
        <w:tc>
          <w:tcPr>
            <w:tcW w:w="743" w:type="pct"/>
            <w:gridSpan w:val="2"/>
            <w:tcBorders>
              <w:top w:val="single" w:sz="4" w:space="0" w:color="auto"/>
              <w:left w:val="nil"/>
              <w:bottom w:val="single" w:sz="4" w:space="0" w:color="auto"/>
              <w:right w:val="nil"/>
            </w:tcBorders>
            <w:shd w:val="clear" w:color="000000" w:fill="FFFFFF"/>
            <w:vAlign w:val="center"/>
          </w:tcPr>
          <w:p w14:paraId="7078BD13" w14:textId="77777777" w:rsidR="00300A45" w:rsidRPr="007F0457" w:rsidRDefault="00300A45" w:rsidP="0035013A">
            <w:pPr>
              <w:pStyle w:val="cuatexto"/>
              <w:jc w:val="right"/>
            </w:pPr>
            <w:r w:rsidRPr="0035013A">
              <w:t>4</w:t>
            </w:r>
            <w:r w:rsidR="00501AE4" w:rsidRPr="0035013A">
              <w:t>6</w:t>
            </w:r>
            <w:r w:rsidR="0035013A" w:rsidRPr="0035013A">
              <w:t>1</w:t>
            </w:r>
          </w:p>
        </w:tc>
        <w:tc>
          <w:tcPr>
            <w:tcW w:w="968" w:type="pct"/>
            <w:tcBorders>
              <w:top w:val="single" w:sz="4" w:space="0" w:color="auto"/>
              <w:left w:val="nil"/>
              <w:bottom w:val="single" w:sz="4" w:space="0" w:color="auto"/>
              <w:right w:val="nil"/>
            </w:tcBorders>
            <w:shd w:val="clear" w:color="000000" w:fill="FFFFFF"/>
            <w:vAlign w:val="bottom"/>
          </w:tcPr>
          <w:p w14:paraId="62FA6E9F" w14:textId="77777777" w:rsidR="00300A45" w:rsidRPr="007F0457" w:rsidRDefault="007F0457" w:rsidP="00092EB2">
            <w:pPr>
              <w:pStyle w:val="cuatexto"/>
              <w:jc w:val="right"/>
            </w:pPr>
            <w:r>
              <w:t>39</w:t>
            </w:r>
          </w:p>
        </w:tc>
      </w:tr>
    </w:tbl>
    <w:p w14:paraId="1836F760" w14:textId="77777777" w:rsidR="00837461" w:rsidRDefault="00837461" w:rsidP="00837461">
      <w:pPr>
        <w:pStyle w:val="texto"/>
        <w:spacing w:after="120"/>
        <w:jc w:val="both"/>
      </w:pPr>
    </w:p>
    <w:p w14:paraId="0FBCD34D" w14:textId="77777777" w:rsidR="00A70F92" w:rsidRDefault="007F0457" w:rsidP="00837461">
      <w:pPr>
        <w:pStyle w:val="texto"/>
        <w:spacing w:after="120"/>
        <w:jc w:val="both"/>
      </w:pPr>
      <w:r w:rsidRPr="00837461">
        <w:t>Sobre esta información, destacamos la evolución tan significativa que existe en la cifra del resultado total</w:t>
      </w:r>
      <w:r w:rsidR="00837461" w:rsidRPr="00837461">
        <w:t xml:space="preserve">, así como en el incremento del personal. </w:t>
      </w:r>
    </w:p>
    <w:p w14:paraId="5A02F801" w14:textId="77777777" w:rsidR="00837461" w:rsidRPr="00A70F92" w:rsidRDefault="00682F31" w:rsidP="00837461">
      <w:pPr>
        <w:pStyle w:val="texto"/>
        <w:spacing w:after="120"/>
        <w:jc w:val="both"/>
      </w:pPr>
      <w:r>
        <w:t>En relación con e</w:t>
      </w:r>
      <w:r w:rsidR="00837461" w:rsidRPr="00A70F92">
        <w:t>l resultado total, debe indicarse que en las fundaciones este concepto no es equivalente al del resultado en las sociedades. En el caso de las fundaciones, el resultado es un único estado contable que refunde la información de</w:t>
      </w:r>
      <w:r>
        <w:t xml:space="preserve">l excedente del ejercicio </w:t>
      </w:r>
      <w:r w:rsidR="00837461" w:rsidRPr="00A70F92">
        <w:t xml:space="preserve">y </w:t>
      </w:r>
      <w:r>
        <w:t xml:space="preserve">las variaciones </w:t>
      </w:r>
      <w:r w:rsidR="00A70F92" w:rsidRPr="00A70F92">
        <w:t>en el patrimo</w:t>
      </w:r>
      <w:r>
        <w:t>nio neto. Por lo tanto, la diferencia obedece</w:t>
      </w:r>
      <w:r w:rsidR="00A70F92" w:rsidRPr="00A70F92">
        <w:t xml:space="preserve"> a una variación del patrimonio neto por subvenciones recibidas en la Fundación Miguel Servet, de un millón más en 2022 respecto a 2023. </w:t>
      </w:r>
    </w:p>
    <w:p w14:paraId="3EF11FB2" w14:textId="77777777" w:rsidR="00837461" w:rsidRPr="007F0457" w:rsidRDefault="00837461" w:rsidP="00837461">
      <w:pPr>
        <w:pStyle w:val="texto"/>
        <w:spacing w:before="240" w:after="240"/>
        <w:jc w:val="both"/>
        <w:rPr>
          <w:rFonts w:cs="Arial"/>
        </w:rPr>
      </w:pPr>
      <w:r>
        <w:rPr>
          <w:rFonts w:cs="Arial"/>
        </w:rPr>
        <w:t>Por otro lado, s</w:t>
      </w:r>
      <w:r w:rsidRPr="007F0457">
        <w:rPr>
          <w:rFonts w:cs="Arial"/>
        </w:rPr>
        <w:t xml:space="preserve">egún se desprende de la información de las cuentas, la Fundación </w:t>
      </w:r>
      <w:proofErr w:type="spellStart"/>
      <w:r w:rsidRPr="007F0457">
        <w:rPr>
          <w:rFonts w:cs="Arial"/>
        </w:rPr>
        <w:t>Gizain</w:t>
      </w:r>
      <w:proofErr w:type="spellEnd"/>
      <w:r w:rsidRPr="007F0457">
        <w:rPr>
          <w:rFonts w:cs="Arial"/>
        </w:rPr>
        <w:t>, ha tenido un incremento significativo de su actividad a través</w:t>
      </w:r>
      <w:r>
        <w:rPr>
          <w:rFonts w:cs="Arial"/>
        </w:rPr>
        <w:t xml:space="preserve"> de sucesivos encargos desde la ACFN, </w:t>
      </w:r>
      <w:r w:rsidR="00076EDD">
        <w:rPr>
          <w:rFonts w:cs="Arial"/>
        </w:rPr>
        <w:t xml:space="preserve">lo </w:t>
      </w:r>
      <w:r>
        <w:rPr>
          <w:rFonts w:cs="Arial"/>
        </w:rPr>
        <w:t xml:space="preserve">que ha </w:t>
      </w:r>
      <w:r w:rsidR="00076EDD">
        <w:rPr>
          <w:rFonts w:cs="Arial"/>
        </w:rPr>
        <w:t xml:space="preserve">supuesto </w:t>
      </w:r>
      <w:r>
        <w:rPr>
          <w:rFonts w:cs="Arial"/>
        </w:rPr>
        <w:t xml:space="preserve">una mayor contratación de personal. </w:t>
      </w:r>
    </w:p>
    <w:p w14:paraId="4359C7A1" w14:textId="77777777" w:rsidR="0030794D" w:rsidRDefault="0030794D">
      <w:pPr>
        <w:rPr>
          <w:rFonts w:cs="Arial"/>
          <w:spacing w:val="6"/>
          <w:sz w:val="26"/>
        </w:rPr>
      </w:pPr>
      <w:r>
        <w:rPr>
          <w:rFonts w:cs="Arial"/>
        </w:rPr>
        <w:br w:type="page"/>
      </w:r>
    </w:p>
    <w:p w14:paraId="664C4EC4" w14:textId="77777777" w:rsidR="00594FED" w:rsidRDefault="00594FED" w:rsidP="00594FED">
      <w:pPr>
        <w:pStyle w:val="texto"/>
        <w:tabs>
          <w:tab w:val="left" w:pos="480"/>
          <w:tab w:val="num" w:pos="600"/>
        </w:tabs>
        <w:spacing w:before="120"/>
        <w:jc w:val="both"/>
        <w:rPr>
          <w:rFonts w:cs="Arial"/>
        </w:rPr>
      </w:pPr>
      <w:r w:rsidRPr="001A22EB">
        <w:rPr>
          <w:rFonts w:cs="Arial"/>
        </w:rPr>
        <w:lastRenderedPageBreak/>
        <w:t>En el siguiente cuadro, reflejamos la evolución del personal de</w:t>
      </w:r>
      <w:r>
        <w:rPr>
          <w:rFonts w:cs="Arial"/>
        </w:rPr>
        <w:t xml:space="preserve"> las fundaciones y su número</w:t>
      </w:r>
      <w:r w:rsidRPr="001A22EB">
        <w:rPr>
          <w:rFonts w:cs="Arial"/>
        </w:rPr>
        <w:t xml:space="preserve">: </w:t>
      </w:r>
    </w:p>
    <w:p w14:paraId="1876A8E5" w14:textId="77777777" w:rsidR="00594FED" w:rsidRDefault="00594FED" w:rsidP="00594FED">
      <w:pPr>
        <w:pStyle w:val="texto"/>
        <w:tabs>
          <w:tab w:val="left" w:pos="480"/>
          <w:tab w:val="num" w:pos="600"/>
        </w:tabs>
        <w:spacing w:before="120"/>
        <w:jc w:val="both"/>
        <w:rPr>
          <w:rFonts w:cs="Arial"/>
          <w:color w:val="FF0000"/>
        </w:rPr>
      </w:pPr>
    </w:p>
    <w:tbl>
      <w:tblPr>
        <w:tblW w:w="8806" w:type="dxa"/>
        <w:tblCellMar>
          <w:left w:w="70" w:type="dxa"/>
          <w:right w:w="70" w:type="dxa"/>
        </w:tblCellMar>
        <w:tblLook w:val="04A0" w:firstRow="1" w:lastRow="0" w:firstColumn="1" w:lastColumn="0" w:noHBand="0" w:noVBand="1"/>
      </w:tblPr>
      <w:tblGrid>
        <w:gridCol w:w="1659"/>
        <w:gridCol w:w="1176"/>
        <w:gridCol w:w="567"/>
        <w:gridCol w:w="663"/>
        <w:gridCol w:w="232"/>
        <w:gridCol w:w="402"/>
        <w:gridCol w:w="566"/>
        <w:gridCol w:w="18"/>
        <w:gridCol w:w="548"/>
        <w:gridCol w:w="18"/>
        <w:gridCol w:w="548"/>
        <w:gridCol w:w="18"/>
        <w:gridCol w:w="548"/>
        <w:gridCol w:w="18"/>
        <w:gridCol w:w="547"/>
        <w:gridCol w:w="18"/>
        <w:gridCol w:w="1243"/>
        <w:gridCol w:w="17"/>
      </w:tblGrid>
      <w:tr w:rsidR="00EE60CB" w14:paraId="36B65AAC" w14:textId="77777777" w:rsidTr="00EE60CB">
        <w:trPr>
          <w:gridAfter w:val="1"/>
          <w:wAfter w:w="17" w:type="dxa"/>
          <w:trHeight w:val="255"/>
        </w:trPr>
        <w:tc>
          <w:tcPr>
            <w:tcW w:w="0" w:type="auto"/>
            <w:tcBorders>
              <w:top w:val="single" w:sz="4" w:space="0" w:color="auto"/>
              <w:left w:val="nil"/>
              <w:bottom w:val="single" w:sz="4" w:space="0" w:color="auto"/>
              <w:right w:val="nil"/>
            </w:tcBorders>
            <w:shd w:val="clear" w:color="000000" w:fill="8DB3E2"/>
            <w:noWrap/>
            <w:vAlign w:val="center"/>
            <w:hideMark/>
          </w:tcPr>
          <w:p w14:paraId="1B3A1E0E" w14:textId="77777777" w:rsidR="00594FED" w:rsidRDefault="00594FED">
            <w:pPr>
              <w:rPr>
                <w:rFonts w:ascii="Arial" w:hAnsi="Arial" w:cs="Arial"/>
                <w:color w:val="000000"/>
                <w:sz w:val="18"/>
                <w:szCs w:val="18"/>
              </w:rPr>
            </w:pPr>
            <w:r>
              <w:rPr>
                <w:rFonts w:ascii="Arial" w:hAnsi="Arial" w:cs="Arial"/>
                <w:color w:val="000000"/>
                <w:sz w:val="18"/>
                <w:szCs w:val="18"/>
              </w:rPr>
              <w:t> </w:t>
            </w:r>
            <w:r w:rsidR="000710BC">
              <w:rPr>
                <w:rFonts w:ascii="Arial" w:hAnsi="Arial" w:cs="Arial"/>
                <w:color w:val="000000"/>
                <w:sz w:val="18"/>
                <w:szCs w:val="18"/>
              </w:rPr>
              <w:t>Fundaciones</w:t>
            </w:r>
          </w:p>
        </w:tc>
        <w:tc>
          <w:tcPr>
            <w:tcW w:w="1176" w:type="dxa"/>
            <w:tcBorders>
              <w:top w:val="single" w:sz="4" w:space="0" w:color="auto"/>
              <w:left w:val="nil"/>
              <w:bottom w:val="single" w:sz="4" w:space="0" w:color="auto"/>
              <w:right w:val="nil"/>
            </w:tcBorders>
            <w:shd w:val="clear" w:color="000000" w:fill="8DB3E2"/>
            <w:vAlign w:val="center"/>
            <w:hideMark/>
          </w:tcPr>
          <w:p w14:paraId="1F9FAFCB" w14:textId="77777777" w:rsidR="00594FED" w:rsidRDefault="00594FED" w:rsidP="00EE60CB">
            <w:pPr>
              <w:jc w:val="right"/>
              <w:rPr>
                <w:rFonts w:ascii="Arial" w:hAnsi="Arial" w:cs="Arial"/>
                <w:color w:val="000000"/>
                <w:sz w:val="18"/>
                <w:szCs w:val="18"/>
              </w:rPr>
            </w:pPr>
            <w:r>
              <w:rPr>
                <w:rFonts w:ascii="Arial" w:hAnsi="Arial" w:cs="Arial"/>
                <w:color w:val="000000"/>
                <w:sz w:val="18"/>
                <w:szCs w:val="18"/>
              </w:rPr>
              <w:t>2015</w:t>
            </w:r>
          </w:p>
        </w:tc>
        <w:tc>
          <w:tcPr>
            <w:tcW w:w="567" w:type="dxa"/>
            <w:tcBorders>
              <w:top w:val="single" w:sz="4" w:space="0" w:color="auto"/>
              <w:left w:val="nil"/>
              <w:bottom w:val="single" w:sz="4" w:space="0" w:color="auto"/>
              <w:right w:val="nil"/>
            </w:tcBorders>
            <w:shd w:val="clear" w:color="000000" w:fill="8DB3E2"/>
            <w:vAlign w:val="center"/>
            <w:hideMark/>
          </w:tcPr>
          <w:p w14:paraId="4C27B4C5" w14:textId="77777777" w:rsidR="00594FED" w:rsidRDefault="00594FED" w:rsidP="00EE60CB">
            <w:pPr>
              <w:jc w:val="right"/>
              <w:rPr>
                <w:rFonts w:ascii="Arial" w:hAnsi="Arial" w:cs="Arial"/>
                <w:color w:val="000000"/>
                <w:sz w:val="18"/>
                <w:szCs w:val="18"/>
              </w:rPr>
            </w:pPr>
            <w:r>
              <w:rPr>
                <w:rFonts w:ascii="Arial" w:hAnsi="Arial" w:cs="Arial"/>
                <w:color w:val="000000"/>
                <w:sz w:val="18"/>
                <w:szCs w:val="18"/>
              </w:rPr>
              <w:t>2016</w:t>
            </w:r>
          </w:p>
        </w:tc>
        <w:tc>
          <w:tcPr>
            <w:tcW w:w="663" w:type="dxa"/>
            <w:tcBorders>
              <w:top w:val="single" w:sz="4" w:space="0" w:color="auto"/>
              <w:left w:val="nil"/>
              <w:bottom w:val="single" w:sz="4" w:space="0" w:color="auto"/>
              <w:right w:val="nil"/>
            </w:tcBorders>
            <w:shd w:val="clear" w:color="000000" w:fill="8DB3E2"/>
            <w:vAlign w:val="center"/>
            <w:hideMark/>
          </w:tcPr>
          <w:p w14:paraId="2A4EC1FC" w14:textId="77777777" w:rsidR="00594FED" w:rsidRDefault="00594FED" w:rsidP="00EE60CB">
            <w:pPr>
              <w:jc w:val="right"/>
              <w:rPr>
                <w:rFonts w:ascii="Arial" w:hAnsi="Arial" w:cs="Arial"/>
                <w:color w:val="000000"/>
                <w:sz w:val="18"/>
                <w:szCs w:val="18"/>
              </w:rPr>
            </w:pPr>
            <w:r>
              <w:rPr>
                <w:rFonts w:ascii="Arial" w:hAnsi="Arial" w:cs="Arial"/>
                <w:color w:val="000000"/>
                <w:sz w:val="18"/>
                <w:szCs w:val="18"/>
              </w:rPr>
              <w:t>2017</w:t>
            </w:r>
          </w:p>
        </w:tc>
        <w:tc>
          <w:tcPr>
            <w:tcW w:w="634" w:type="dxa"/>
            <w:gridSpan w:val="2"/>
            <w:tcBorders>
              <w:top w:val="single" w:sz="4" w:space="0" w:color="auto"/>
              <w:left w:val="nil"/>
              <w:bottom w:val="single" w:sz="4" w:space="0" w:color="auto"/>
              <w:right w:val="nil"/>
            </w:tcBorders>
            <w:shd w:val="clear" w:color="000000" w:fill="8DB3E2"/>
            <w:vAlign w:val="center"/>
            <w:hideMark/>
          </w:tcPr>
          <w:p w14:paraId="2A74A0E9" w14:textId="77777777" w:rsidR="00594FED" w:rsidRDefault="00594FED" w:rsidP="00EE60CB">
            <w:pPr>
              <w:jc w:val="right"/>
              <w:rPr>
                <w:rFonts w:ascii="Arial" w:hAnsi="Arial" w:cs="Arial"/>
                <w:color w:val="000000"/>
                <w:sz w:val="18"/>
                <w:szCs w:val="18"/>
              </w:rPr>
            </w:pPr>
            <w:r>
              <w:rPr>
                <w:rFonts w:ascii="Arial" w:hAnsi="Arial" w:cs="Arial"/>
                <w:color w:val="000000"/>
                <w:sz w:val="18"/>
                <w:szCs w:val="18"/>
              </w:rPr>
              <w:t>2018</w:t>
            </w:r>
          </w:p>
        </w:tc>
        <w:tc>
          <w:tcPr>
            <w:tcW w:w="566" w:type="dxa"/>
            <w:tcBorders>
              <w:top w:val="single" w:sz="4" w:space="0" w:color="auto"/>
              <w:left w:val="nil"/>
              <w:bottom w:val="single" w:sz="4" w:space="0" w:color="auto"/>
              <w:right w:val="nil"/>
            </w:tcBorders>
            <w:shd w:val="clear" w:color="000000" w:fill="8DB3E2"/>
            <w:vAlign w:val="center"/>
            <w:hideMark/>
          </w:tcPr>
          <w:p w14:paraId="574DE59B" w14:textId="77777777" w:rsidR="00594FED" w:rsidRDefault="00594FED" w:rsidP="00EE60CB">
            <w:pPr>
              <w:jc w:val="right"/>
              <w:rPr>
                <w:rFonts w:ascii="Arial" w:hAnsi="Arial" w:cs="Arial"/>
                <w:color w:val="000000"/>
                <w:sz w:val="18"/>
                <w:szCs w:val="18"/>
              </w:rPr>
            </w:pPr>
            <w:r>
              <w:rPr>
                <w:rFonts w:ascii="Arial" w:hAnsi="Arial" w:cs="Arial"/>
                <w:color w:val="000000"/>
                <w:sz w:val="18"/>
                <w:szCs w:val="18"/>
              </w:rPr>
              <w:t>2019</w:t>
            </w:r>
          </w:p>
        </w:tc>
        <w:tc>
          <w:tcPr>
            <w:tcW w:w="566" w:type="dxa"/>
            <w:gridSpan w:val="2"/>
            <w:tcBorders>
              <w:top w:val="single" w:sz="4" w:space="0" w:color="auto"/>
              <w:left w:val="nil"/>
              <w:bottom w:val="single" w:sz="4" w:space="0" w:color="auto"/>
              <w:right w:val="nil"/>
            </w:tcBorders>
            <w:shd w:val="clear" w:color="000000" w:fill="8DB3E2"/>
            <w:vAlign w:val="center"/>
            <w:hideMark/>
          </w:tcPr>
          <w:p w14:paraId="626E58C7" w14:textId="77777777" w:rsidR="00594FED" w:rsidRDefault="00594FED" w:rsidP="00EE60CB">
            <w:pPr>
              <w:jc w:val="right"/>
              <w:rPr>
                <w:rFonts w:ascii="Arial" w:hAnsi="Arial" w:cs="Arial"/>
                <w:color w:val="000000"/>
                <w:sz w:val="18"/>
                <w:szCs w:val="18"/>
              </w:rPr>
            </w:pPr>
            <w:r>
              <w:rPr>
                <w:rFonts w:ascii="Arial" w:hAnsi="Arial" w:cs="Arial"/>
                <w:color w:val="000000"/>
                <w:sz w:val="18"/>
                <w:szCs w:val="18"/>
              </w:rPr>
              <w:t>2020</w:t>
            </w:r>
          </w:p>
        </w:tc>
        <w:tc>
          <w:tcPr>
            <w:tcW w:w="566" w:type="dxa"/>
            <w:gridSpan w:val="2"/>
            <w:tcBorders>
              <w:top w:val="single" w:sz="4" w:space="0" w:color="auto"/>
              <w:left w:val="nil"/>
              <w:bottom w:val="single" w:sz="4" w:space="0" w:color="auto"/>
              <w:right w:val="nil"/>
            </w:tcBorders>
            <w:shd w:val="clear" w:color="000000" w:fill="8DB3E2"/>
            <w:vAlign w:val="center"/>
            <w:hideMark/>
          </w:tcPr>
          <w:p w14:paraId="3E50B298" w14:textId="77777777" w:rsidR="00594FED" w:rsidRDefault="00594FED" w:rsidP="00EE60CB">
            <w:pPr>
              <w:jc w:val="right"/>
              <w:rPr>
                <w:rFonts w:ascii="Arial" w:hAnsi="Arial" w:cs="Arial"/>
                <w:color w:val="000000"/>
                <w:sz w:val="18"/>
                <w:szCs w:val="18"/>
              </w:rPr>
            </w:pPr>
            <w:r>
              <w:rPr>
                <w:rFonts w:ascii="Arial" w:hAnsi="Arial" w:cs="Arial"/>
                <w:color w:val="000000"/>
                <w:sz w:val="18"/>
                <w:szCs w:val="18"/>
              </w:rPr>
              <w:t>2021</w:t>
            </w:r>
          </w:p>
        </w:tc>
        <w:tc>
          <w:tcPr>
            <w:tcW w:w="566" w:type="dxa"/>
            <w:gridSpan w:val="2"/>
            <w:tcBorders>
              <w:top w:val="single" w:sz="4" w:space="0" w:color="auto"/>
              <w:left w:val="nil"/>
              <w:bottom w:val="single" w:sz="4" w:space="0" w:color="auto"/>
              <w:right w:val="nil"/>
            </w:tcBorders>
            <w:shd w:val="clear" w:color="000000" w:fill="8DB3E2"/>
            <w:vAlign w:val="center"/>
            <w:hideMark/>
          </w:tcPr>
          <w:p w14:paraId="38E04510" w14:textId="77777777" w:rsidR="00594FED" w:rsidRDefault="00594FED" w:rsidP="00EE60CB">
            <w:pPr>
              <w:jc w:val="right"/>
              <w:rPr>
                <w:rFonts w:ascii="Arial" w:hAnsi="Arial" w:cs="Arial"/>
                <w:color w:val="000000"/>
                <w:sz w:val="18"/>
                <w:szCs w:val="18"/>
              </w:rPr>
            </w:pPr>
            <w:r>
              <w:rPr>
                <w:rFonts w:ascii="Arial" w:hAnsi="Arial" w:cs="Arial"/>
                <w:color w:val="000000"/>
                <w:sz w:val="18"/>
                <w:szCs w:val="18"/>
              </w:rPr>
              <w:t>2022</w:t>
            </w:r>
          </w:p>
        </w:tc>
        <w:tc>
          <w:tcPr>
            <w:tcW w:w="565" w:type="dxa"/>
            <w:gridSpan w:val="2"/>
            <w:tcBorders>
              <w:top w:val="single" w:sz="4" w:space="0" w:color="auto"/>
              <w:left w:val="nil"/>
              <w:bottom w:val="single" w:sz="4" w:space="0" w:color="auto"/>
              <w:right w:val="nil"/>
            </w:tcBorders>
            <w:shd w:val="clear" w:color="000000" w:fill="8DB3E2"/>
            <w:vAlign w:val="center"/>
            <w:hideMark/>
          </w:tcPr>
          <w:p w14:paraId="0EC65A78" w14:textId="77777777" w:rsidR="00594FED" w:rsidRDefault="00594FED" w:rsidP="00EE60CB">
            <w:pPr>
              <w:jc w:val="right"/>
              <w:rPr>
                <w:rFonts w:ascii="Arial" w:hAnsi="Arial" w:cs="Arial"/>
                <w:color w:val="000000"/>
                <w:sz w:val="18"/>
                <w:szCs w:val="18"/>
              </w:rPr>
            </w:pPr>
            <w:r>
              <w:rPr>
                <w:rFonts w:ascii="Arial" w:hAnsi="Arial" w:cs="Arial"/>
                <w:color w:val="000000"/>
                <w:sz w:val="18"/>
                <w:szCs w:val="18"/>
              </w:rPr>
              <w:t>2023</w:t>
            </w:r>
          </w:p>
        </w:tc>
        <w:tc>
          <w:tcPr>
            <w:tcW w:w="1261" w:type="dxa"/>
            <w:gridSpan w:val="2"/>
            <w:tcBorders>
              <w:top w:val="single" w:sz="4" w:space="0" w:color="auto"/>
              <w:left w:val="nil"/>
              <w:bottom w:val="single" w:sz="4" w:space="0" w:color="auto"/>
              <w:right w:val="nil"/>
            </w:tcBorders>
            <w:shd w:val="clear" w:color="000000" w:fill="8DB3E2"/>
            <w:vAlign w:val="center"/>
            <w:hideMark/>
          </w:tcPr>
          <w:p w14:paraId="6A897765" w14:textId="77777777" w:rsidR="00594FED" w:rsidRDefault="00594FED" w:rsidP="00EE60CB">
            <w:pPr>
              <w:jc w:val="right"/>
              <w:rPr>
                <w:rFonts w:ascii="Arial" w:hAnsi="Arial" w:cs="Arial"/>
                <w:color w:val="000000"/>
                <w:sz w:val="18"/>
                <w:szCs w:val="18"/>
              </w:rPr>
            </w:pPr>
            <w:r>
              <w:rPr>
                <w:rFonts w:ascii="Arial" w:hAnsi="Arial" w:cs="Arial"/>
                <w:color w:val="000000"/>
                <w:sz w:val="18"/>
                <w:szCs w:val="18"/>
              </w:rPr>
              <w:t>% variación 2023/2015</w:t>
            </w:r>
          </w:p>
        </w:tc>
      </w:tr>
      <w:tr w:rsidR="00EE60CB" w:rsidRPr="0035013A" w14:paraId="74227542" w14:textId="77777777" w:rsidTr="00EE60CB">
        <w:trPr>
          <w:gridAfter w:val="1"/>
          <w:wAfter w:w="17" w:type="dxa"/>
          <w:trHeight w:val="198"/>
        </w:trPr>
        <w:tc>
          <w:tcPr>
            <w:tcW w:w="0" w:type="auto"/>
            <w:tcBorders>
              <w:top w:val="single" w:sz="4" w:space="0" w:color="auto"/>
              <w:left w:val="nil"/>
              <w:bottom w:val="single" w:sz="2" w:space="0" w:color="auto"/>
              <w:right w:val="nil"/>
            </w:tcBorders>
            <w:shd w:val="clear" w:color="auto" w:fill="auto"/>
            <w:noWrap/>
            <w:vAlign w:val="center"/>
            <w:hideMark/>
          </w:tcPr>
          <w:p w14:paraId="0CC1516D" w14:textId="77777777" w:rsidR="00594FED" w:rsidRPr="005204E6" w:rsidRDefault="00594FED">
            <w:pPr>
              <w:rPr>
                <w:rFonts w:ascii="Arial Narrow" w:hAnsi="Arial Narrow" w:cs="Calibri"/>
                <w:sz w:val="20"/>
                <w:szCs w:val="20"/>
              </w:rPr>
            </w:pPr>
            <w:r w:rsidRPr="005204E6">
              <w:rPr>
                <w:rFonts w:ascii="Arial Narrow" w:hAnsi="Arial Narrow" w:cs="Arial"/>
                <w:sz w:val="20"/>
                <w:szCs w:val="20"/>
              </w:rPr>
              <w:t>Nº medio empleados</w:t>
            </w:r>
          </w:p>
        </w:tc>
        <w:tc>
          <w:tcPr>
            <w:tcW w:w="1176" w:type="dxa"/>
            <w:tcBorders>
              <w:top w:val="single" w:sz="4" w:space="0" w:color="auto"/>
              <w:left w:val="nil"/>
              <w:bottom w:val="single" w:sz="2" w:space="0" w:color="auto"/>
              <w:right w:val="nil"/>
            </w:tcBorders>
            <w:shd w:val="clear" w:color="auto" w:fill="auto"/>
            <w:vAlign w:val="center"/>
            <w:hideMark/>
          </w:tcPr>
          <w:p w14:paraId="6F5D8D60" w14:textId="77777777" w:rsidR="00594FED" w:rsidRPr="005204E6" w:rsidRDefault="00594FED" w:rsidP="00EE60CB">
            <w:pPr>
              <w:jc w:val="right"/>
              <w:rPr>
                <w:rFonts w:ascii="Arial Narrow" w:hAnsi="Arial Narrow" w:cs="Calibri"/>
                <w:sz w:val="20"/>
                <w:szCs w:val="20"/>
              </w:rPr>
            </w:pPr>
            <w:r w:rsidRPr="005204E6">
              <w:rPr>
                <w:rFonts w:ascii="Arial Narrow" w:hAnsi="Arial Narrow" w:cs="Arial"/>
                <w:sz w:val="20"/>
                <w:szCs w:val="20"/>
              </w:rPr>
              <w:t>78</w:t>
            </w:r>
          </w:p>
        </w:tc>
        <w:tc>
          <w:tcPr>
            <w:tcW w:w="567" w:type="dxa"/>
            <w:tcBorders>
              <w:top w:val="single" w:sz="4" w:space="0" w:color="auto"/>
              <w:left w:val="nil"/>
              <w:bottom w:val="single" w:sz="2" w:space="0" w:color="auto"/>
              <w:right w:val="nil"/>
            </w:tcBorders>
            <w:shd w:val="clear" w:color="auto" w:fill="auto"/>
            <w:vAlign w:val="center"/>
            <w:hideMark/>
          </w:tcPr>
          <w:p w14:paraId="7305805A" w14:textId="77777777" w:rsidR="00594FED" w:rsidRPr="005204E6" w:rsidRDefault="00594FED" w:rsidP="00EE60CB">
            <w:pPr>
              <w:jc w:val="right"/>
              <w:rPr>
                <w:rFonts w:ascii="Arial Narrow" w:hAnsi="Arial Narrow" w:cs="Calibri"/>
                <w:sz w:val="20"/>
                <w:szCs w:val="20"/>
              </w:rPr>
            </w:pPr>
            <w:r w:rsidRPr="005204E6">
              <w:rPr>
                <w:rFonts w:ascii="Arial Narrow" w:hAnsi="Arial Narrow" w:cs="Arial"/>
                <w:sz w:val="20"/>
                <w:szCs w:val="20"/>
              </w:rPr>
              <w:t>84</w:t>
            </w:r>
          </w:p>
        </w:tc>
        <w:tc>
          <w:tcPr>
            <w:tcW w:w="663" w:type="dxa"/>
            <w:tcBorders>
              <w:top w:val="single" w:sz="4" w:space="0" w:color="auto"/>
              <w:left w:val="nil"/>
              <w:bottom w:val="single" w:sz="2" w:space="0" w:color="auto"/>
              <w:right w:val="nil"/>
            </w:tcBorders>
            <w:shd w:val="clear" w:color="auto" w:fill="auto"/>
            <w:vAlign w:val="center"/>
            <w:hideMark/>
          </w:tcPr>
          <w:p w14:paraId="3519ECDD" w14:textId="77777777" w:rsidR="00594FED" w:rsidRPr="005204E6" w:rsidRDefault="00594FED" w:rsidP="00EE60CB">
            <w:pPr>
              <w:jc w:val="right"/>
              <w:rPr>
                <w:rFonts w:ascii="Arial Narrow" w:hAnsi="Arial Narrow" w:cs="Calibri"/>
                <w:sz w:val="20"/>
                <w:szCs w:val="20"/>
              </w:rPr>
            </w:pPr>
            <w:r w:rsidRPr="005204E6">
              <w:rPr>
                <w:rFonts w:ascii="Arial Narrow" w:hAnsi="Arial Narrow" w:cs="Arial"/>
                <w:sz w:val="20"/>
                <w:szCs w:val="20"/>
              </w:rPr>
              <w:t>154</w:t>
            </w:r>
          </w:p>
        </w:tc>
        <w:tc>
          <w:tcPr>
            <w:tcW w:w="634" w:type="dxa"/>
            <w:gridSpan w:val="2"/>
            <w:tcBorders>
              <w:top w:val="single" w:sz="4" w:space="0" w:color="auto"/>
              <w:left w:val="nil"/>
              <w:bottom w:val="single" w:sz="2" w:space="0" w:color="auto"/>
              <w:right w:val="nil"/>
            </w:tcBorders>
            <w:shd w:val="clear" w:color="auto" w:fill="auto"/>
            <w:vAlign w:val="center"/>
            <w:hideMark/>
          </w:tcPr>
          <w:p w14:paraId="3EA0B0FA" w14:textId="77777777" w:rsidR="00594FED" w:rsidRPr="005204E6" w:rsidRDefault="00594FED" w:rsidP="00EE60CB">
            <w:pPr>
              <w:jc w:val="right"/>
              <w:rPr>
                <w:rFonts w:ascii="Arial Narrow" w:hAnsi="Arial Narrow" w:cs="Calibri"/>
                <w:sz w:val="20"/>
                <w:szCs w:val="20"/>
              </w:rPr>
            </w:pPr>
            <w:r w:rsidRPr="005204E6">
              <w:rPr>
                <w:rFonts w:ascii="Arial Narrow" w:hAnsi="Arial Narrow" w:cs="Arial"/>
                <w:sz w:val="20"/>
                <w:szCs w:val="20"/>
              </w:rPr>
              <w:t>161</w:t>
            </w:r>
          </w:p>
        </w:tc>
        <w:tc>
          <w:tcPr>
            <w:tcW w:w="566" w:type="dxa"/>
            <w:tcBorders>
              <w:top w:val="single" w:sz="4" w:space="0" w:color="auto"/>
              <w:left w:val="nil"/>
              <w:bottom w:val="single" w:sz="2" w:space="0" w:color="auto"/>
              <w:right w:val="nil"/>
            </w:tcBorders>
            <w:shd w:val="clear" w:color="auto" w:fill="auto"/>
            <w:vAlign w:val="center"/>
            <w:hideMark/>
          </w:tcPr>
          <w:p w14:paraId="35B246BB" w14:textId="77777777" w:rsidR="00594FED" w:rsidRPr="005204E6" w:rsidRDefault="00594FED" w:rsidP="00EE60CB">
            <w:pPr>
              <w:jc w:val="right"/>
              <w:rPr>
                <w:rFonts w:ascii="Arial Narrow" w:hAnsi="Arial Narrow" w:cs="Calibri"/>
                <w:sz w:val="20"/>
                <w:szCs w:val="20"/>
              </w:rPr>
            </w:pPr>
            <w:r w:rsidRPr="005204E6">
              <w:rPr>
                <w:rFonts w:ascii="Arial Narrow" w:hAnsi="Arial Narrow" w:cs="Calibri"/>
                <w:sz w:val="20"/>
                <w:szCs w:val="20"/>
              </w:rPr>
              <w:t>221</w:t>
            </w:r>
          </w:p>
        </w:tc>
        <w:tc>
          <w:tcPr>
            <w:tcW w:w="566" w:type="dxa"/>
            <w:gridSpan w:val="2"/>
            <w:tcBorders>
              <w:top w:val="single" w:sz="4" w:space="0" w:color="auto"/>
              <w:left w:val="nil"/>
              <w:bottom w:val="single" w:sz="2" w:space="0" w:color="auto"/>
              <w:right w:val="nil"/>
            </w:tcBorders>
            <w:shd w:val="clear" w:color="auto" w:fill="auto"/>
            <w:vAlign w:val="center"/>
            <w:hideMark/>
          </w:tcPr>
          <w:p w14:paraId="13503A98" w14:textId="77777777" w:rsidR="00594FED" w:rsidRPr="005204E6" w:rsidRDefault="00594FED" w:rsidP="00EE60CB">
            <w:pPr>
              <w:jc w:val="right"/>
              <w:rPr>
                <w:rFonts w:ascii="Arial Narrow" w:hAnsi="Arial Narrow" w:cs="Calibri"/>
                <w:sz w:val="20"/>
                <w:szCs w:val="20"/>
              </w:rPr>
            </w:pPr>
            <w:r w:rsidRPr="005204E6">
              <w:rPr>
                <w:rFonts w:ascii="Arial Narrow" w:hAnsi="Arial Narrow" w:cs="Arial"/>
                <w:sz w:val="20"/>
                <w:szCs w:val="20"/>
              </w:rPr>
              <w:t>272</w:t>
            </w:r>
          </w:p>
        </w:tc>
        <w:tc>
          <w:tcPr>
            <w:tcW w:w="566" w:type="dxa"/>
            <w:gridSpan w:val="2"/>
            <w:tcBorders>
              <w:top w:val="single" w:sz="4" w:space="0" w:color="auto"/>
              <w:left w:val="nil"/>
              <w:bottom w:val="single" w:sz="2" w:space="0" w:color="auto"/>
              <w:right w:val="nil"/>
            </w:tcBorders>
            <w:shd w:val="clear" w:color="auto" w:fill="auto"/>
            <w:vAlign w:val="center"/>
            <w:hideMark/>
          </w:tcPr>
          <w:p w14:paraId="07E497B6" w14:textId="77777777" w:rsidR="00594FED" w:rsidRPr="005204E6" w:rsidRDefault="00594FED" w:rsidP="00EE60CB">
            <w:pPr>
              <w:jc w:val="right"/>
              <w:rPr>
                <w:rFonts w:ascii="Arial Narrow" w:hAnsi="Arial Narrow" w:cs="Calibri"/>
                <w:sz w:val="20"/>
                <w:szCs w:val="20"/>
              </w:rPr>
            </w:pPr>
            <w:r w:rsidRPr="005204E6">
              <w:rPr>
                <w:rFonts w:ascii="Arial Narrow" w:hAnsi="Arial Narrow" w:cs="Arial"/>
                <w:sz w:val="20"/>
                <w:szCs w:val="20"/>
              </w:rPr>
              <w:t>275</w:t>
            </w:r>
          </w:p>
        </w:tc>
        <w:tc>
          <w:tcPr>
            <w:tcW w:w="566" w:type="dxa"/>
            <w:gridSpan w:val="2"/>
            <w:tcBorders>
              <w:top w:val="single" w:sz="4" w:space="0" w:color="auto"/>
              <w:left w:val="nil"/>
              <w:bottom w:val="single" w:sz="2" w:space="0" w:color="auto"/>
              <w:right w:val="nil"/>
            </w:tcBorders>
            <w:shd w:val="clear" w:color="auto" w:fill="auto"/>
            <w:vAlign w:val="center"/>
            <w:hideMark/>
          </w:tcPr>
          <w:p w14:paraId="679CE753" w14:textId="77777777" w:rsidR="00594FED" w:rsidRPr="005204E6" w:rsidRDefault="00594FED" w:rsidP="00EE60CB">
            <w:pPr>
              <w:jc w:val="right"/>
              <w:rPr>
                <w:rFonts w:ascii="Arial Narrow" w:hAnsi="Arial Narrow" w:cs="Calibri"/>
                <w:sz w:val="20"/>
                <w:szCs w:val="20"/>
              </w:rPr>
            </w:pPr>
            <w:r w:rsidRPr="005204E6">
              <w:rPr>
                <w:rFonts w:ascii="Arial Narrow" w:hAnsi="Arial Narrow" w:cs="Arial"/>
                <w:sz w:val="20"/>
                <w:szCs w:val="20"/>
              </w:rPr>
              <w:t>331</w:t>
            </w:r>
          </w:p>
        </w:tc>
        <w:tc>
          <w:tcPr>
            <w:tcW w:w="565" w:type="dxa"/>
            <w:gridSpan w:val="2"/>
            <w:tcBorders>
              <w:top w:val="single" w:sz="4" w:space="0" w:color="auto"/>
              <w:left w:val="nil"/>
              <w:bottom w:val="single" w:sz="2" w:space="0" w:color="auto"/>
              <w:right w:val="nil"/>
            </w:tcBorders>
            <w:shd w:val="clear" w:color="auto" w:fill="auto"/>
            <w:vAlign w:val="center"/>
            <w:hideMark/>
          </w:tcPr>
          <w:p w14:paraId="09633C90" w14:textId="77777777" w:rsidR="00594FED" w:rsidRPr="005204E6" w:rsidRDefault="005A4269" w:rsidP="00EE60CB">
            <w:pPr>
              <w:jc w:val="right"/>
              <w:rPr>
                <w:rFonts w:ascii="Arial Narrow" w:hAnsi="Arial Narrow" w:cs="Calibri"/>
                <w:sz w:val="20"/>
                <w:szCs w:val="20"/>
              </w:rPr>
            </w:pPr>
            <w:r>
              <w:rPr>
                <w:rFonts w:ascii="Arial Narrow" w:hAnsi="Arial Narrow" w:cs="Calibri"/>
                <w:sz w:val="20"/>
                <w:szCs w:val="20"/>
              </w:rPr>
              <w:t>461</w:t>
            </w:r>
          </w:p>
        </w:tc>
        <w:tc>
          <w:tcPr>
            <w:tcW w:w="1261" w:type="dxa"/>
            <w:gridSpan w:val="2"/>
            <w:tcBorders>
              <w:top w:val="single" w:sz="4" w:space="0" w:color="auto"/>
              <w:left w:val="nil"/>
              <w:bottom w:val="single" w:sz="2" w:space="0" w:color="auto"/>
              <w:right w:val="nil"/>
            </w:tcBorders>
            <w:shd w:val="clear" w:color="auto" w:fill="auto"/>
            <w:vAlign w:val="center"/>
            <w:hideMark/>
          </w:tcPr>
          <w:p w14:paraId="3F1718E2" w14:textId="77777777" w:rsidR="00594FED" w:rsidRPr="005204E6" w:rsidRDefault="0035013A" w:rsidP="00B81AF3">
            <w:pPr>
              <w:jc w:val="right"/>
              <w:rPr>
                <w:rFonts w:ascii="Arial Narrow" w:hAnsi="Arial Narrow" w:cs="Calibri"/>
                <w:sz w:val="20"/>
                <w:szCs w:val="20"/>
              </w:rPr>
            </w:pPr>
            <w:r w:rsidRPr="005204E6">
              <w:rPr>
                <w:rFonts w:ascii="Arial Narrow" w:hAnsi="Arial Narrow" w:cs="Calibri"/>
                <w:sz w:val="20"/>
                <w:szCs w:val="20"/>
              </w:rPr>
              <w:t>493</w:t>
            </w:r>
          </w:p>
        </w:tc>
      </w:tr>
      <w:tr w:rsidR="00EE60CB" w14:paraId="73BF0D87" w14:textId="77777777" w:rsidTr="00EE60CB">
        <w:trPr>
          <w:trHeight w:val="198"/>
        </w:trPr>
        <w:tc>
          <w:tcPr>
            <w:tcW w:w="0" w:type="auto"/>
            <w:tcBorders>
              <w:top w:val="single" w:sz="2" w:space="0" w:color="auto"/>
              <w:left w:val="nil"/>
              <w:bottom w:val="single" w:sz="4" w:space="0" w:color="auto"/>
              <w:right w:val="nil"/>
            </w:tcBorders>
            <w:shd w:val="clear" w:color="auto" w:fill="auto"/>
            <w:noWrap/>
            <w:vAlign w:val="center"/>
            <w:hideMark/>
          </w:tcPr>
          <w:p w14:paraId="68F9590A" w14:textId="77777777" w:rsidR="00594FED" w:rsidRPr="005204E6" w:rsidRDefault="00594FED">
            <w:pPr>
              <w:rPr>
                <w:rFonts w:ascii="Arial Narrow" w:hAnsi="Arial Narrow" w:cs="Calibri"/>
                <w:color w:val="000000"/>
                <w:sz w:val="20"/>
                <w:szCs w:val="20"/>
              </w:rPr>
            </w:pPr>
            <w:r w:rsidRPr="005204E6">
              <w:rPr>
                <w:rFonts w:ascii="Arial Narrow" w:hAnsi="Arial Narrow" w:cs="Arial"/>
                <w:color w:val="000000"/>
                <w:sz w:val="20"/>
                <w:szCs w:val="20"/>
              </w:rPr>
              <w:t xml:space="preserve">Nº de fundaciones </w:t>
            </w:r>
          </w:p>
        </w:tc>
        <w:tc>
          <w:tcPr>
            <w:tcW w:w="1176" w:type="dxa"/>
            <w:tcBorders>
              <w:top w:val="single" w:sz="2" w:space="0" w:color="auto"/>
              <w:left w:val="nil"/>
              <w:bottom w:val="single" w:sz="4" w:space="0" w:color="auto"/>
              <w:right w:val="nil"/>
            </w:tcBorders>
            <w:shd w:val="clear" w:color="auto" w:fill="auto"/>
            <w:vAlign w:val="center"/>
            <w:hideMark/>
          </w:tcPr>
          <w:p w14:paraId="40D9BC69" w14:textId="77777777" w:rsidR="00594FED" w:rsidRPr="005204E6" w:rsidRDefault="00594FED" w:rsidP="00EE60CB">
            <w:pPr>
              <w:jc w:val="right"/>
              <w:rPr>
                <w:rFonts w:ascii="Arial Narrow" w:hAnsi="Arial Narrow" w:cs="Calibri"/>
                <w:color w:val="000000"/>
                <w:sz w:val="20"/>
                <w:szCs w:val="20"/>
              </w:rPr>
            </w:pPr>
            <w:r w:rsidRPr="005204E6">
              <w:rPr>
                <w:rFonts w:ascii="Arial Narrow" w:hAnsi="Arial Narrow" w:cs="Arial"/>
                <w:color w:val="000000"/>
                <w:sz w:val="20"/>
                <w:szCs w:val="20"/>
              </w:rPr>
              <w:t>4</w:t>
            </w:r>
          </w:p>
        </w:tc>
        <w:tc>
          <w:tcPr>
            <w:tcW w:w="567" w:type="dxa"/>
            <w:tcBorders>
              <w:top w:val="single" w:sz="2" w:space="0" w:color="auto"/>
              <w:left w:val="nil"/>
              <w:bottom w:val="single" w:sz="4" w:space="0" w:color="auto"/>
              <w:right w:val="nil"/>
            </w:tcBorders>
            <w:shd w:val="clear" w:color="auto" w:fill="auto"/>
            <w:vAlign w:val="center"/>
            <w:hideMark/>
          </w:tcPr>
          <w:p w14:paraId="7C1DD192" w14:textId="77777777" w:rsidR="00594FED" w:rsidRPr="005204E6" w:rsidRDefault="00594FED" w:rsidP="00EE60CB">
            <w:pPr>
              <w:jc w:val="right"/>
              <w:rPr>
                <w:rFonts w:ascii="Arial Narrow" w:hAnsi="Arial Narrow" w:cs="Calibri"/>
                <w:color w:val="000000"/>
                <w:sz w:val="20"/>
                <w:szCs w:val="20"/>
              </w:rPr>
            </w:pPr>
            <w:r w:rsidRPr="005204E6">
              <w:rPr>
                <w:rFonts w:ascii="Arial Narrow" w:hAnsi="Arial Narrow" w:cs="Arial"/>
                <w:color w:val="000000"/>
                <w:sz w:val="20"/>
                <w:szCs w:val="20"/>
              </w:rPr>
              <w:t>4</w:t>
            </w:r>
          </w:p>
        </w:tc>
        <w:tc>
          <w:tcPr>
            <w:tcW w:w="663" w:type="dxa"/>
            <w:tcBorders>
              <w:top w:val="single" w:sz="2" w:space="0" w:color="auto"/>
              <w:left w:val="nil"/>
              <w:bottom w:val="single" w:sz="4" w:space="0" w:color="auto"/>
              <w:right w:val="nil"/>
            </w:tcBorders>
            <w:shd w:val="clear" w:color="auto" w:fill="auto"/>
            <w:vAlign w:val="center"/>
            <w:hideMark/>
          </w:tcPr>
          <w:p w14:paraId="1EFDCE8B" w14:textId="77777777" w:rsidR="00594FED" w:rsidRPr="005204E6" w:rsidRDefault="00594FED" w:rsidP="00EE60CB">
            <w:pPr>
              <w:jc w:val="right"/>
              <w:rPr>
                <w:rFonts w:ascii="Arial Narrow" w:hAnsi="Arial Narrow" w:cs="Calibri"/>
                <w:color w:val="000000"/>
                <w:sz w:val="20"/>
                <w:szCs w:val="20"/>
              </w:rPr>
            </w:pPr>
            <w:r w:rsidRPr="005204E6">
              <w:rPr>
                <w:rFonts w:ascii="Arial Narrow" w:hAnsi="Arial Narrow" w:cs="Arial"/>
                <w:color w:val="000000"/>
                <w:sz w:val="20"/>
                <w:szCs w:val="20"/>
              </w:rPr>
              <w:t>5</w:t>
            </w:r>
            <w:r w:rsidRPr="005204E6">
              <w:rPr>
                <w:rStyle w:val="Refdenotaalpie"/>
                <w:rFonts w:ascii="Arial Narrow" w:hAnsi="Arial Narrow" w:cs="Arial"/>
                <w:color w:val="000000"/>
                <w:sz w:val="20"/>
                <w:szCs w:val="20"/>
              </w:rPr>
              <w:footnoteReference w:id="45"/>
            </w:r>
          </w:p>
        </w:tc>
        <w:tc>
          <w:tcPr>
            <w:tcW w:w="232" w:type="dxa"/>
            <w:tcBorders>
              <w:top w:val="single" w:sz="2" w:space="0" w:color="auto"/>
              <w:left w:val="nil"/>
              <w:bottom w:val="single" w:sz="4" w:space="0" w:color="auto"/>
              <w:right w:val="nil"/>
            </w:tcBorders>
            <w:shd w:val="clear" w:color="auto" w:fill="auto"/>
            <w:vAlign w:val="center"/>
            <w:hideMark/>
          </w:tcPr>
          <w:p w14:paraId="09E971C2" w14:textId="77777777" w:rsidR="00594FED" w:rsidRPr="005204E6" w:rsidRDefault="00594FED" w:rsidP="00EE60CB">
            <w:pPr>
              <w:jc w:val="right"/>
              <w:rPr>
                <w:rFonts w:ascii="Arial Narrow" w:hAnsi="Arial Narrow" w:cs="Calibri"/>
                <w:color w:val="000000"/>
                <w:sz w:val="20"/>
                <w:szCs w:val="20"/>
              </w:rPr>
            </w:pPr>
            <w:r w:rsidRPr="005204E6">
              <w:rPr>
                <w:rFonts w:ascii="Arial Narrow" w:hAnsi="Arial Narrow" w:cs="Arial"/>
                <w:color w:val="000000"/>
                <w:sz w:val="20"/>
                <w:szCs w:val="20"/>
              </w:rPr>
              <w:t>5</w:t>
            </w:r>
          </w:p>
        </w:tc>
        <w:tc>
          <w:tcPr>
            <w:tcW w:w="986" w:type="dxa"/>
            <w:gridSpan w:val="3"/>
            <w:tcBorders>
              <w:top w:val="single" w:sz="2" w:space="0" w:color="auto"/>
              <w:left w:val="nil"/>
              <w:bottom w:val="single" w:sz="4" w:space="0" w:color="auto"/>
              <w:right w:val="nil"/>
            </w:tcBorders>
            <w:shd w:val="clear" w:color="auto" w:fill="auto"/>
            <w:vAlign w:val="center"/>
            <w:hideMark/>
          </w:tcPr>
          <w:p w14:paraId="5BBDC8FC" w14:textId="77777777" w:rsidR="00594FED" w:rsidRPr="005204E6" w:rsidRDefault="00594FED" w:rsidP="00EE60CB">
            <w:pPr>
              <w:jc w:val="right"/>
              <w:rPr>
                <w:rFonts w:ascii="Arial Narrow" w:hAnsi="Arial Narrow" w:cs="Calibri"/>
                <w:color w:val="000000"/>
                <w:sz w:val="20"/>
                <w:szCs w:val="20"/>
              </w:rPr>
            </w:pPr>
            <w:r w:rsidRPr="005204E6">
              <w:rPr>
                <w:rFonts w:ascii="Arial Narrow" w:hAnsi="Arial Narrow" w:cs="Calibri"/>
                <w:color w:val="000000"/>
                <w:sz w:val="20"/>
                <w:szCs w:val="20"/>
              </w:rPr>
              <w:t>6</w:t>
            </w:r>
            <w:r w:rsidRPr="005204E6">
              <w:rPr>
                <w:rStyle w:val="Refdenotaalpie"/>
                <w:rFonts w:ascii="Arial Narrow" w:hAnsi="Arial Narrow" w:cs="Calibri"/>
                <w:color w:val="000000"/>
                <w:sz w:val="20"/>
                <w:szCs w:val="20"/>
              </w:rPr>
              <w:footnoteReference w:id="46"/>
            </w:r>
          </w:p>
        </w:tc>
        <w:tc>
          <w:tcPr>
            <w:tcW w:w="566" w:type="dxa"/>
            <w:gridSpan w:val="2"/>
            <w:tcBorders>
              <w:top w:val="single" w:sz="2" w:space="0" w:color="auto"/>
              <w:left w:val="nil"/>
              <w:bottom w:val="single" w:sz="4" w:space="0" w:color="auto"/>
              <w:right w:val="nil"/>
            </w:tcBorders>
            <w:shd w:val="clear" w:color="auto" w:fill="auto"/>
            <w:vAlign w:val="center"/>
            <w:hideMark/>
          </w:tcPr>
          <w:p w14:paraId="1AD45D84" w14:textId="77777777" w:rsidR="00594FED" w:rsidRPr="005204E6" w:rsidRDefault="00594FED" w:rsidP="00EE60CB">
            <w:pPr>
              <w:jc w:val="right"/>
              <w:rPr>
                <w:rFonts w:ascii="Arial Narrow" w:hAnsi="Arial Narrow" w:cs="Calibri"/>
                <w:color w:val="000000"/>
                <w:sz w:val="20"/>
                <w:szCs w:val="20"/>
              </w:rPr>
            </w:pPr>
            <w:r w:rsidRPr="005204E6">
              <w:rPr>
                <w:rFonts w:ascii="Arial Narrow" w:hAnsi="Arial Narrow" w:cs="Arial"/>
                <w:color w:val="000000"/>
                <w:sz w:val="20"/>
                <w:szCs w:val="20"/>
              </w:rPr>
              <w:t>6</w:t>
            </w:r>
          </w:p>
        </w:tc>
        <w:tc>
          <w:tcPr>
            <w:tcW w:w="566" w:type="dxa"/>
            <w:gridSpan w:val="2"/>
            <w:tcBorders>
              <w:top w:val="single" w:sz="2" w:space="0" w:color="auto"/>
              <w:left w:val="nil"/>
              <w:bottom w:val="single" w:sz="4" w:space="0" w:color="auto"/>
              <w:right w:val="nil"/>
            </w:tcBorders>
            <w:shd w:val="clear" w:color="auto" w:fill="auto"/>
            <w:vAlign w:val="center"/>
            <w:hideMark/>
          </w:tcPr>
          <w:p w14:paraId="60144EFE" w14:textId="77777777" w:rsidR="00594FED" w:rsidRPr="005204E6" w:rsidRDefault="00594FED" w:rsidP="00EE60CB">
            <w:pPr>
              <w:jc w:val="right"/>
              <w:rPr>
                <w:rFonts w:ascii="Arial Narrow" w:hAnsi="Arial Narrow" w:cs="Calibri"/>
                <w:color w:val="000000"/>
                <w:sz w:val="20"/>
                <w:szCs w:val="20"/>
              </w:rPr>
            </w:pPr>
            <w:r w:rsidRPr="005204E6">
              <w:rPr>
                <w:rFonts w:ascii="Arial Narrow" w:hAnsi="Arial Narrow" w:cs="Arial"/>
                <w:color w:val="000000"/>
                <w:sz w:val="20"/>
                <w:szCs w:val="20"/>
              </w:rPr>
              <w:t>6</w:t>
            </w:r>
          </w:p>
        </w:tc>
        <w:tc>
          <w:tcPr>
            <w:tcW w:w="566" w:type="dxa"/>
            <w:gridSpan w:val="2"/>
            <w:tcBorders>
              <w:top w:val="single" w:sz="2" w:space="0" w:color="auto"/>
              <w:left w:val="nil"/>
              <w:bottom w:val="single" w:sz="4" w:space="0" w:color="auto"/>
              <w:right w:val="nil"/>
            </w:tcBorders>
            <w:shd w:val="clear" w:color="auto" w:fill="auto"/>
            <w:vAlign w:val="center"/>
            <w:hideMark/>
          </w:tcPr>
          <w:p w14:paraId="06274F67" w14:textId="77777777" w:rsidR="00594FED" w:rsidRPr="005204E6" w:rsidRDefault="00594FED" w:rsidP="00EE60CB">
            <w:pPr>
              <w:jc w:val="right"/>
              <w:rPr>
                <w:rFonts w:ascii="Arial Narrow" w:hAnsi="Arial Narrow" w:cs="Calibri"/>
                <w:color w:val="000000"/>
                <w:sz w:val="20"/>
                <w:szCs w:val="20"/>
              </w:rPr>
            </w:pPr>
            <w:r w:rsidRPr="005204E6">
              <w:rPr>
                <w:rFonts w:ascii="Arial Narrow" w:hAnsi="Arial Narrow" w:cs="Arial"/>
                <w:color w:val="000000"/>
                <w:sz w:val="20"/>
                <w:szCs w:val="20"/>
              </w:rPr>
              <w:t>6</w:t>
            </w:r>
          </w:p>
        </w:tc>
        <w:tc>
          <w:tcPr>
            <w:tcW w:w="565" w:type="dxa"/>
            <w:gridSpan w:val="2"/>
            <w:tcBorders>
              <w:top w:val="single" w:sz="2" w:space="0" w:color="auto"/>
              <w:left w:val="nil"/>
              <w:bottom w:val="single" w:sz="4" w:space="0" w:color="auto"/>
              <w:right w:val="nil"/>
            </w:tcBorders>
            <w:shd w:val="clear" w:color="auto" w:fill="auto"/>
            <w:vAlign w:val="center"/>
            <w:hideMark/>
          </w:tcPr>
          <w:p w14:paraId="2D1DCFD3" w14:textId="77777777" w:rsidR="00594FED" w:rsidRPr="005204E6" w:rsidRDefault="00594FED" w:rsidP="00EE60CB">
            <w:pPr>
              <w:jc w:val="right"/>
              <w:rPr>
                <w:rFonts w:ascii="Arial Narrow" w:hAnsi="Arial Narrow" w:cs="Calibri"/>
                <w:color w:val="000000"/>
                <w:sz w:val="20"/>
                <w:szCs w:val="20"/>
              </w:rPr>
            </w:pPr>
            <w:r w:rsidRPr="005204E6">
              <w:rPr>
                <w:rFonts w:ascii="Arial Narrow" w:hAnsi="Arial Narrow" w:cs="Arial"/>
                <w:color w:val="000000"/>
                <w:sz w:val="20"/>
                <w:szCs w:val="20"/>
              </w:rPr>
              <w:t>8</w:t>
            </w:r>
            <w:r w:rsidR="000710BC" w:rsidRPr="005204E6">
              <w:rPr>
                <w:rStyle w:val="Refdenotaalpie"/>
                <w:rFonts w:ascii="Arial Narrow" w:hAnsi="Arial Narrow" w:cs="Arial"/>
                <w:color w:val="000000"/>
                <w:sz w:val="20"/>
                <w:szCs w:val="20"/>
              </w:rPr>
              <w:footnoteReference w:id="47"/>
            </w:r>
          </w:p>
        </w:tc>
        <w:tc>
          <w:tcPr>
            <w:tcW w:w="1260" w:type="dxa"/>
            <w:gridSpan w:val="2"/>
            <w:tcBorders>
              <w:top w:val="single" w:sz="2" w:space="0" w:color="auto"/>
              <w:left w:val="nil"/>
              <w:bottom w:val="single" w:sz="4" w:space="0" w:color="auto"/>
              <w:right w:val="nil"/>
            </w:tcBorders>
            <w:shd w:val="clear" w:color="auto" w:fill="auto"/>
            <w:vAlign w:val="center"/>
            <w:hideMark/>
          </w:tcPr>
          <w:p w14:paraId="6BBAAE56" w14:textId="77777777" w:rsidR="00594FED" w:rsidRPr="005204E6" w:rsidRDefault="00594FED" w:rsidP="00B81AF3">
            <w:pPr>
              <w:jc w:val="right"/>
              <w:rPr>
                <w:rFonts w:ascii="Arial Narrow" w:hAnsi="Arial Narrow" w:cs="Calibri"/>
                <w:color w:val="000000"/>
                <w:sz w:val="20"/>
                <w:szCs w:val="20"/>
              </w:rPr>
            </w:pPr>
            <w:r w:rsidRPr="005204E6">
              <w:rPr>
                <w:rFonts w:ascii="Arial Narrow" w:hAnsi="Arial Narrow" w:cs="Calibri"/>
                <w:color w:val="000000"/>
                <w:sz w:val="20"/>
                <w:szCs w:val="20"/>
              </w:rPr>
              <w:t>100</w:t>
            </w:r>
          </w:p>
        </w:tc>
      </w:tr>
    </w:tbl>
    <w:p w14:paraId="0376F0A7" w14:textId="77777777" w:rsidR="0035013A" w:rsidRDefault="0035013A" w:rsidP="009401E9">
      <w:pPr>
        <w:pStyle w:val="texto"/>
        <w:spacing w:before="240" w:after="240"/>
        <w:jc w:val="both"/>
        <w:rPr>
          <w:rFonts w:cs="Arial"/>
        </w:rPr>
      </w:pPr>
      <w:r>
        <w:rPr>
          <w:rFonts w:cs="Arial"/>
        </w:rPr>
        <w:t xml:space="preserve">Debe tenerse en cuenta que, en esta comparativa, en 2015 había cuatro fundaciones y en 2023, según los datos de la memoria son ocho. Asimismo, en este cuadro, no consta la información del personal de las fundaciones CENER e IDISNA. </w:t>
      </w:r>
    </w:p>
    <w:p w14:paraId="04FAECD8" w14:textId="77777777" w:rsidR="00594FED" w:rsidRPr="000710BC" w:rsidRDefault="000710BC" w:rsidP="009401E9">
      <w:pPr>
        <w:pStyle w:val="texto"/>
        <w:spacing w:before="240" w:after="240"/>
        <w:jc w:val="both"/>
        <w:rPr>
          <w:rFonts w:cs="Arial"/>
        </w:rPr>
      </w:pPr>
      <w:r w:rsidRPr="000710BC">
        <w:rPr>
          <w:rFonts w:cs="Arial"/>
        </w:rPr>
        <w:t xml:space="preserve">El personal se concentra </w:t>
      </w:r>
      <w:r w:rsidR="009401E9">
        <w:rPr>
          <w:rFonts w:cs="Arial"/>
        </w:rPr>
        <w:t xml:space="preserve">principalmente </w:t>
      </w:r>
      <w:r w:rsidRPr="000710BC">
        <w:rPr>
          <w:rFonts w:cs="Arial"/>
        </w:rPr>
        <w:t xml:space="preserve">en las fundaciones Miguel Servet y </w:t>
      </w:r>
      <w:proofErr w:type="spellStart"/>
      <w:r w:rsidRPr="000710BC">
        <w:rPr>
          <w:rFonts w:cs="Arial"/>
        </w:rPr>
        <w:t>Gizain</w:t>
      </w:r>
      <w:proofErr w:type="spellEnd"/>
      <w:r w:rsidRPr="000710BC">
        <w:rPr>
          <w:rFonts w:cs="Arial"/>
        </w:rPr>
        <w:t xml:space="preserve">. Asimismo, son las que han reflejado un mayor aumento en el personal. </w:t>
      </w:r>
    </w:p>
    <w:p w14:paraId="295CDA76" w14:textId="77777777" w:rsidR="00614DC4" w:rsidRDefault="00614DC4" w:rsidP="009A38AE">
      <w:pPr>
        <w:pStyle w:val="texto"/>
        <w:spacing w:before="240"/>
        <w:jc w:val="both"/>
      </w:pPr>
      <w:r>
        <w:t xml:space="preserve">Las cuentas anuales de las </w:t>
      </w:r>
      <w:r w:rsidR="005A4269">
        <w:t xml:space="preserve">cinco </w:t>
      </w:r>
      <w:r>
        <w:t xml:space="preserve">fundaciones </w:t>
      </w:r>
      <w:r w:rsidR="00141260">
        <w:t>han sido aud</w:t>
      </w:r>
      <w:r>
        <w:t xml:space="preserve">itadas y el tipo de opinión en todas ellas </w:t>
      </w:r>
      <w:r w:rsidR="00141260">
        <w:t>ha sido favorable</w:t>
      </w:r>
      <w:r>
        <w:t>.</w:t>
      </w:r>
    </w:p>
    <w:p w14:paraId="6A3598FC" w14:textId="77777777" w:rsidR="00910A55" w:rsidRDefault="00910A55" w:rsidP="009E408E">
      <w:pPr>
        <w:pStyle w:val="texto"/>
        <w:spacing w:before="240" w:after="120"/>
        <w:jc w:val="both"/>
      </w:pPr>
      <w:r>
        <w:t>No obstante, destacamos la inclusión de dos párrafos de énfasis en los informes de auditoría correspondientes a las siguientes fundaciones:</w:t>
      </w:r>
    </w:p>
    <w:p w14:paraId="253AFDA0" w14:textId="77777777" w:rsidR="00614DC4" w:rsidRDefault="009E408E" w:rsidP="009E408E">
      <w:pPr>
        <w:pStyle w:val="texto"/>
        <w:spacing w:before="240"/>
        <w:jc w:val="both"/>
      </w:pPr>
      <w:r>
        <w:t xml:space="preserve">a) </w:t>
      </w:r>
      <w:r w:rsidR="00614DC4" w:rsidRPr="00E75C09">
        <w:t>Fundación Baluarte incluye un párrafo de énfasis sobre su patrimonio neto negativo.  Al respecto, el Gobierno de Navarra ya ha manifestado expresamente que prestará apoyo financiero para posibilitar el cumplimiento de los compromisos y las obligaciones de pago y asegurar la continuidad de sus operaciones. Esta misma situación fue puesta de manifiesto en nuestro de informe de cuentas generales del ejercicio anterior.</w:t>
      </w:r>
    </w:p>
    <w:p w14:paraId="6320A330" w14:textId="77777777" w:rsidR="00405412" w:rsidRPr="00E75C09" w:rsidRDefault="009E408E" w:rsidP="009E408E">
      <w:pPr>
        <w:pStyle w:val="texto"/>
        <w:spacing w:before="240" w:after="120"/>
        <w:jc w:val="both"/>
      </w:pPr>
      <w:r>
        <w:t xml:space="preserve">b) </w:t>
      </w:r>
      <w:r w:rsidR="00910A55" w:rsidRPr="00E75C09">
        <w:t xml:space="preserve">Fundación </w:t>
      </w:r>
      <w:r w:rsidR="005A4269">
        <w:t xml:space="preserve">pública navarra para la provisión de apoyos a personas con discapacidad, </w:t>
      </w:r>
      <w:r w:rsidR="00910A55" w:rsidRPr="00E75C09">
        <w:t>incluye un párrafo de énfasis sobre su</w:t>
      </w:r>
      <w:r w:rsidR="005A4269">
        <w:t xml:space="preserve">s fondos propios </w:t>
      </w:r>
      <w:r w:rsidR="00910A55" w:rsidRPr="00E75C09">
        <w:t>negat</w:t>
      </w:r>
      <w:r w:rsidR="00405412" w:rsidRPr="00E75C09">
        <w:t>ivo</w:t>
      </w:r>
      <w:r w:rsidR="005A4269">
        <w:t>s</w:t>
      </w:r>
      <w:r w:rsidR="00405412" w:rsidRPr="00E75C09">
        <w:t xml:space="preserve">. No obstante, se menciona que la fundación obtiene los recursos necesarios para el desarrollo de su actividad fundamentalmente a través de las aportaciones del Gobierno de Navarra, su entidad fundadora. En este sentido, se indica como hecho posterior, que ha recibido en el mes de abril de 2024, la aportación dineraria para los presupuestos de gastos de funcionamiento y de inversión del ejercicio 2024 lo </w:t>
      </w:r>
      <w:r w:rsidR="00E75C09">
        <w:t xml:space="preserve">que </w:t>
      </w:r>
      <w:r w:rsidR="00405412" w:rsidRPr="00E75C09">
        <w:t xml:space="preserve">garantiza la continuidad de sus actividades. </w:t>
      </w:r>
    </w:p>
    <w:p w14:paraId="76214DE3" w14:textId="77777777" w:rsidR="00614DC4" w:rsidRDefault="00614DC4" w:rsidP="009A38AE">
      <w:pPr>
        <w:pStyle w:val="texto"/>
        <w:spacing w:after="120"/>
        <w:jc w:val="both"/>
      </w:pPr>
      <w:r>
        <w:t>Al igual que con las empresas públicas, en 202</w:t>
      </w:r>
      <w:r w:rsidR="00405412">
        <w:t>4</w:t>
      </w:r>
      <w:r>
        <w:t xml:space="preserve"> se emitieron los correspondientes informes de auditoría de cumplimiento de legalidad de 202</w:t>
      </w:r>
      <w:r w:rsidR="00405412">
        <w:t>3</w:t>
      </w:r>
      <w:r>
        <w:t xml:space="preserve"> con los mismos objetivos descritos para las empresas públicas. </w:t>
      </w:r>
    </w:p>
    <w:p w14:paraId="76B5FB6B" w14:textId="77777777" w:rsidR="00614DC4" w:rsidRPr="008F171A" w:rsidRDefault="00614DC4" w:rsidP="009A38AE">
      <w:pPr>
        <w:pStyle w:val="texto"/>
        <w:spacing w:after="120"/>
        <w:jc w:val="both"/>
      </w:pPr>
      <w:r w:rsidRPr="008F171A">
        <w:lastRenderedPageBreak/>
        <w:t xml:space="preserve">Los resultados de las </w:t>
      </w:r>
      <w:r w:rsidR="00682F31">
        <w:t xml:space="preserve">cinco </w:t>
      </w:r>
      <w:r w:rsidRPr="008F171A">
        <w:t>auditorías</w:t>
      </w:r>
      <w:r w:rsidRPr="008F171A">
        <w:rPr>
          <w:rStyle w:val="Refdenotaalpie"/>
        </w:rPr>
        <w:footnoteReference w:id="48"/>
      </w:r>
      <w:r w:rsidRPr="008F171A">
        <w:t xml:space="preserve"> que han sido </w:t>
      </w:r>
      <w:r w:rsidR="008F171A" w:rsidRPr="008F171A">
        <w:t xml:space="preserve">recibidas </w:t>
      </w:r>
      <w:r w:rsidRPr="008F171A">
        <w:t>por la Dirección General de la Intervención, son los siguientes:</w:t>
      </w:r>
    </w:p>
    <w:p w14:paraId="3E7B1EC0" w14:textId="77777777" w:rsidR="00614DC4" w:rsidRPr="008F171A" w:rsidRDefault="00614DC4" w:rsidP="009E408E">
      <w:pPr>
        <w:pStyle w:val="texto"/>
        <w:spacing w:after="120"/>
        <w:jc w:val="both"/>
      </w:pPr>
      <w:r w:rsidRPr="008F171A">
        <w:t>a) Respecto a las operaciones de endeudamiento, se concluye que se cum</w:t>
      </w:r>
      <w:r w:rsidR="008F171A" w:rsidRPr="008F171A">
        <w:t xml:space="preserve">ple con la normativa aplicable, si bien se señala una excepción en una fundación al haber solicitado concertado un crédito sin la preceptiva autorización del Gobierno de Navarra. </w:t>
      </w:r>
    </w:p>
    <w:p w14:paraId="14576E5D" w14:textId="77777777" w:rsidR="00614DC4" w:rsidRPr="008F171A" w:rsidRDefault="00614DC4" w:rsidP="009E408E">
      <w:pPr>
        <w:pStyle w:val="texto"/>
        <w:spacing w:after="120"/>
        <w:jc w:val="both"/>
        <w:rPr>
          <w:rFonts w:cs="Arial"/>
        </w:rPr>
      </w:pPr>
      <w:r w:rsidRPr="008F171A">
        <w:t xml:space="preserve">b) En cuanto a las contrataciones públicas </w:t>
      </w:r>
      <w:r w:rsidR="00685778">
        <w:t xml:space="preserve">sobre una muestra de 33 contratos, </w:t>
      </w:r>
      <w:r w:rsidRPr="008F171A">
        <w:t>se concluye que se cumple con la normativa</w:t>
      </w:r>
      <w:r w:rsidR="008F171A" w:rsidRPr="008F171A">
        <w:t xml:space="preserve"> aplicable, si bien, se señala una excepción </w:t>
      </w:r>
      <w:r w:rsidR="009B06E3">
        <w:t xml:space="preserve">que afecta a tres contratos </w:t>
      </w:r>
      <w:r w:rsidR="008F171A" w:rsidRPr="008F171A">
        <w:t xml:space="preserve">en una fundación, soportada en </w:t>
      </w:r>
      <w:r w:rsidRPr="008F171A">
        <w:t xml:space="preserve">el recurso indebido a la figura del contrato de menor cuantía. </w:t>
      </w:r>
    </w:p>
    <w:p w14:paraId="7931AB9D" w14:textId="77777777" w:rsidR="00614DC4" w:rsidRPr="008F171A" w:rsidRDefault="00614DC4" w:rsidP="009E408E">
      <w:pPr>
        <w:tabs>
          <w:tab w:val="center" w:pos="2835"/>
          <w:tab w:val="center" w:pos="3969"/>
          <w:tab w:val="center" w:pos="5103"/>
          <w:tab w:val="center" w:pos="6237"/>
          <w:tab w:val="center" w:pos="7371"/>
        </w:tabs>
        <w:spacing w:after="120"/>
        <w:ind w:firstLine="284"/>
        <w:jc w:val="both"/>
        <w:rPr>
          <w:spacing w:val="6"/>
          <w:sz w:val="26"/>
        </w:rPr>
      </w:pPr>
      <w:r w:rsidRPr="008F171A">
        <w:rPr>
          <w:spacing w:val="6"/>
          <w:sz w:val="26"/>
        </w:rPr>
        <w:t xml:space="preserve">c) De la revisión de las contrataciones de personal y sistemas retributivos se concluye que, en general, se cumple con la normativa, si bien se señalan </w:t>
      </w:r>
      <w:r w:rsidR="005A4269">
        <w:rPr>
          <w:spacing w:val="6"/>
          <w:sz w:val="26"/>
        </w:rPr>
        <w:t>cuatro excepciones (</w:t>
      </w:r>
      <w:r w:rsidR="008F171A" w:rsidRPr="008F171A">
        <w:rPr>
          <w:spacing w:val="6"/>
          <w:sz w:val="26"/>
        </w:rPr>
        <w:t xml:space="preserve">dos </w:t>
      </w:r>
      <w:r w:rsidRPr="008F171A">
        <w:rPr>
          <w:spacing w:val="6"/>
          <w:sz w:val="26"/>
        </w:rPr>
        <w:t xml:space="preserve">excepciones en </w:t>
      </w:r>
      <w:r w:rsidR="008F171A" w:rsidRPr="008F171A">
        <w:rPr>
          <w:spacing w:val="6"/>
          <w:sz w:val="26"/>
        </w:rPr>
        <w:t>dos fundaciones</w:t>
      </w:r>
      <w:r w:rsidR="005A4269">
        <w:rPr>
          <w:spacing w:val="6"/>
          <w:sz w:val="26"/>
        </w:rPr>
        <w:t>)</w:t>
      </w:r>
      <w:r w:rsidR="00CD03F4">
        <w:rPr>
          <w:spacing w:val="6"/>
          <w:sz w:val="26"/>
        </w:rPr>
        <w:t xml:space="preserve">, relativas </w:t>
      </w:r>
      <w:r w:rsidRPr="008F171A">
        <w:rPr>
          <w:spacing w:val="6"/>
          <w:sz w:val="26"/>
        </w:rPr>
        <w:t>al recurso a listas de contratación que no estaban vigentes o no disponibl</w:t>
      </w:r>
      <w:r w:rsidR="008F171A" w:rsidRPr="008F171A">
        <w:rPr>
          <w:spacing w:val="6"/>
          <w:sz w:val="26"/>
        </w:rPr>
        <w:t xml:space="preserve">es y </w:t>
      </w:r>
      <w:r w:rsidRPr="008F171A">
        <w:rPr>
          <w:spacing w:val="6"/>
          <w:sz w:val="26"/>
        </w:rPr>
        <w:t>al abono de retribuciones según un Convenio Colectivo, que han superado las previstas legalmente para los empleados públicos.</w:t>
      </w:r>
    </w:p>
    <w:p w14:paraId="0191B155" w14:textId="77777777" w:rsidR="00614DC4" w:rsidRPr="008F171A" w:rsidRDefault="00614DC4" w:rsidP="009E408E">
      <w:pPr>
        <w:pStyle w:val="texto"/>
        <w:spacing w:after="120"/>
        <w:jc w:val="both"/>
      </w:pPr>
      <w:r w:rsidRPr="008F171A">
        <w:t>d) En cuanto al cumplimiento de la normativa referidas a entregas dinerarias sin contraprestación, se concluye que se cumple con la legislación aplicable.</w:t>
      </w:r>
    </w:p>
    <w:p w14:paraId="4D4CB0C4" w14:textId="77777777" w:rsidR="00614DC4" w:rsidRPr="008F171A" w:rsidRDefault="00614DC4" w:rsidP="009A38AE">
      <w:pPr>
        <w:pStyle w:val="texto"/>
        <w:jc w:val="both"/>
      </w:pPr>
      <w:r w:rsidRPr="008F171A">
        <w:t xml:space="preserve">e) En lo que se refiere al cumplimiento de otros requerimientos legales, se concluye que, en general, se cumple con la normativa aplicable, si bien se señala que las páginas web de </w:t>
      </w:r>
      <w:r w:rsidR="008F171A" w:rsidRPr="008F171A">
        <w:t xml:space="preserve">tres </w:t>
      </w:r>
      <w:r w:rsidRPr="008F171A">
        <w:t>fundaciones no contienen toda la información establecida en determinados artículos de la Ley Foral 5/2018, de 17 de mayo, de Transparencia, Acceso a la Información Pública y Buen Gobierno.</w:t>
      </w:r>
    </w:p>
    <w:p w14:paraId="12263376" w14:textId="77777777" w:rsidR="00614DC4" w:rsidRDefault="00614DC4" w:rsidP="009A38AE">
      <w:pPr>
        <w:jc w:val="both"/>
        <w:rPr>
          <w:rFonts w:cs="Arial"/>
          <w:color w:val="000000" w:themeColor="text1"/>
        </w:rPr>
      </w:pPr>
    </w:p>
    <w:p w14:paraId="5E90F627" w14:textId="77777777" w:rsidR="00614DC4" w:rsidRDefault="00843450" w:rsidP="009E408E">
      <w:pPr>
        <w:pStyle w:val="texto"/>
        <w:spacing w:after="120"/>
        <w:jc w:val="both"/>
      </w:pPr>
      <w:r>
        <w:t xml:space="preserve">Para finalizar, indicamos que </w:t>
      </w:r>
      <w:r w:rsidR="00405412">
        <w:t xml:space="preserve">en </w:t>
      </w:r>
      <w:r>
        <w:t xml:space="preserve">febrero </w:t>
      </w:r>
      <w:r w:rsidR="00405412">
        <w:t>de 202</w:t>
      </w:r>
      <w:r>
        <w:t>4</w:t>
      </w:r>
      <w:r w:rsidR="00027224">
        <w:rPr>
          <w:rStyle w:val="Refdenotaalpie"/>
        </w:rPr>
        <w:footnoteReference w:id="49"/>
      </w:r>
      <w:r w:rsidR="00405412">
        <w:t>, se ha emitido y publicado</w:t>
      </w:r>
      <w:r>
        <w:t xml:space="preserve"> </w:t>
      </w:r>
      <w:r w:rsidR="00405412">
        <w:t>el Informe-Resumen de resultados del ejercici</w:t>
      </w:r>
      <w:r>
        <w:t>o 2022, que aprueba la Interven</w:t>
      </w:r>
      <w:r w:rsidR="00405412">
        <w:t xml:space="preserve">ción General, correspondiente a las auditorías </w:t>
      </w:r>
      <w:r>
        <w:t>de cuentas anuales y de procedi</w:t>
      </w:r>
      <w:r w:rsidR="00405412">
        <w:t>mientos acordados sobre cumplimiento de leg</w:t>
      </w:r>
      <w:r>
        <w:t>alidad de las sociedades y funda</w:t>
      </w:r>
      <w:r w:rsidR="00405412">
        <w:t>ciones públicas de la Administración de la Comunidad Foral de Navarra y de sus Organismos Públicos.</w:t>
      </w:r>
    </w:p>
    <w:p w14:paraId="7A403086" w14:textId="77777777" w:rsidR="00843450" w:rsidRPr="00682F31" w:rsidRDefault="00843450" w:rsidP="00682F31">
      <w:pPr>
        <w:pStyle w:val="texto"/>
        <w:spacing w:after="120"/>
        <w:jc w:val="both"/>
      </w:pPr>
      <w:bookmarkStart w:id="175" w:name="_Toc146471256"/>
      <w:r w:rsidRPr="00682F31">
        <w:t>De este proceso de revisión se concluyó en la existencia de más incumplimientos de los señalados por los auditores privados. En concreto se señalan las siguientes cuestiones adicionales:</w:t>
      </w:r>
    </w:p>
    <w:p w14:paraId="0B927646" w14:textId="77777777" w:rsidR="00843450" w:rsidRPr="00C12E3B" w:rsidRDefault="00843450" w:rsidP="00843450">
      <w:pPr>
        <w:numPr>
          <w:ilvl w:val="0"/>
          <w:numId w:val="3"/>
        </w:numPr>
        <w:tabs>
          <w:tab w:val="num" w:pos="300"/>
          <w:tab w:val="num" w:pos="360"/>
          <w:tab w:val="left" w:pos="480"/>
          <w:tab w:val="num" w:pos="600"/>
          <w:tab w:val="num" w:pos="720"/>
          <w:tab w:val="num" w:pos="1320"/>
          <w:tab w:val="num" w:pos="2062"/>
          <w:tab w:val="num" w:pos="4472"/>
          <w:tab w:val="center" w:pos="5103"/>
          <w:tab w:val="center" w:pos="6237"/>
          <w:tab w:val="center" w:pos="7371"/>
        </w:tabs>
        <w:spacing w:after="140"/>
        <w:ind w:left="0" w:firstLine="289"/>
        <w:jc w:val="both"/>
        <w:rPr>
          <w:spacing w:val="6"/>
          <w:sz w:val="26"/>
          <w:lang w:val="es-ES_tradnl" w:eastAsia="en-US"/>
        </w:rPr>
      </w:pPr>
      <w:r w:rsidRPr="00C12E3B">
        <w:rPr>
          <w:spacing w:val="6"/>
          <w:sz w:val="26"/>
          <w:lang w:val="es-ES_tradnl" w:eastAsia="en-US"/>
        </w:rPr>
        <w:t xml:space="preserve">Incumplimientos en tasas de reposición en </w:t>
      </w:r>
      <w:r w:rsidR="005812B1" w:rsidRPr="00C12E3B">
        <w:rPr>
          <w:spacing w:val="6"/>
          <w:sz w:val="26"/>
          <w:lang w:val="es-ES_tradnl" w:eastAsia="en-US"/>
        </w:rPr>
        <w:t xml:space="preserve">cinco </w:t>
      </w:r>
      <w:r w:rsidRPr="00C12E3B">
        <w:rPr>
          <w:spacing w:val="6"/>
          <w:sz w:val="26"/>
          <w:lang w:val="es-ES_tradnl" w:eastAsia="en-US"/>
        </w:rPr>
        <w:t>sociedades</w:t>
      </w:r>
      <w:r w:rsidR="009B06E3" w:rsidRPr="00C12E3B">
        <w:rPr>
          <w:spacing w:val="6"/>
          <w:sz w:val="26"/>
          <w:lang w:val="es-ES_tradnl" w:eastAsia="en-US"/>
        </w:rPr>
        <w:t xml:space="preserve"> </w:t>
      </w:r>
      <w:r w:rsidR="009B06E3" w:rsidRPr="00C12E3B">
        <w:t>y en una fundación.</w:t>
      </w:r>
    </w:p>
    <w:p w14:paraId="0CD01CFF" w14:textId="77777777" w:rsidR="00843450" w:rsidRPr="00C12E3B" w:rsidRDefault="00843450" w:rsidP="00843450">
      <w:pPr>
        <w:numPr>
          <w:ilvl w:val="0"/>
          <w:numId w:val="3"/>
        </w:numPr>
        <w:tabs>
          <w:tab w:val="num" w:pos="300"/>
          <w:tab w:val="num" w:pos="360"/>
          <w:tab w:val="left" w:pos="480"/>
          <w:tab w:val="num" w:pos="600"/>
          <w:tab w:val="num" w:pos="720"/>
          <w:tab w:val="num" w:pos="1320"/>
          <w:tab w:val="num" w:pos="2062"/>
          <w:tab w:val="num" w:pos="4472"/>
          <w:tab w:val="center" w:pos="5103"/>
          <w:tab w:val="center" w:pos="6237"/>
          <w:tab w:val="center" w:pos="7371"/>
        </w:tabs>
        <w:spacing w:after="140"/>
        <w:ind w:left="0" w:firstLine="289"/>
        <w:jc w:val="both"/>
        <w:rPr>
          <w:spacing w:val="6"/>
          <w:sz w:val="26"/>
          <w:lang w:val="es-ES_tradnl" w:eastAsia="en-US"/>
        </w:rPr>
      </w:pPr>
      <w:r w:rsidRPr="00C12E3B">
        <w:rPr>
          <w:spacing w:val="6"/>
          <w:sz w:val="26"/>
          <w:lang w:val="es-ES_tradnl" w:eastAsia="en-US"/>
        </w:rPr>
        <w:lastRenderedPageBreak/>
        <w:t xml:space="preserve">Incumplimientos en </w:t>
      </w:r>
      <w:r w:rsidR="005812B1" w:rsidRPr="00C12E3B">
        <w:rPr>
          <w:spacing w:val="6"/>
          <w:sz w:val="26"/>
          <w:lang w:val="es-ES_tradnl" w:eastAsia="en-US"/>
        </w:rPr>
        <w:t xml:space="preserve">incrementos </w:t>
      </w:r>
      <w:r w:rsidRPr="00C12E3B">
        <w:rPr>
          <w:spacing w:val="6"/>
          <w:sz w:val="26"/>
          <w:lang w:val="es-ES_tradnl" w:eastAsia="en-US"/>
        </w:rPr>
        <w:t>retribu</w:t>
      </w:r>
      <w:r w:rsidR="005812B1" w:rsidRPr="00C12E3B">
        <w:rPr>
          <w:spacing w:val="6"/>
          <w:sz w:val="26"/>
          <w:lang w:val="es-ES_tradnl" w:eastAsia="en-US"/>
        </w:rPr>
        <w:t xml:space="preserve">tivos </w:t>
      </w:r>
      <w:r w:rsidRPr="00C12E3B">
        <w:rPr>
          <w:spacing w:val="6"/>
          <w:sz w:val="26"/>
          <w:lang w:val="es-ES_tradnl" w:eastAsia="en-US"/>
        </w:rPr>
        <w:t>en</w:t>
      </w:r>
      <w:r w:rsidR="00CD03F4" w:rsidRPr="00C12E3B">
        <w:rPr>
          <w:spacing w:val="6"/>
          <w:sz w:val="26"/>
          <w:lang w:val="es-ES_tradnl" w:eastAsia="en-US"/>
        </w:rPr>
        <w:t xml:space="preserve"> una sociedad</w:t>
      </w:r>
      <w:r w:rsidRPr="00C12E3B">
        <w:rPr>
          <w:spacing w:val="6"/>
          <w:sz w:val="26"/>
          <w:lang w:val="es-ES_tradnl" w:eastAsia="en-US"/>
        </w:rPr>
        <w:t xml:space="preserve"> y </w:t>
      </w:r>
      <w:r w:rsidR="00CD03F4" w:rsidRPr="00C12E3B">
        <w:rPr>
          <w:spacing w:val="6"/>
          <w:sz w:val="26"/>
          <w:lang w:val="es-ES_tradnl" w:eastAsia="en-US"/>
        </w:rPr>
        <w:t xml:space="preserve">en </w:t>
      </w:r>
      <w:r w:rsidRPr="00C12E3B">
        <w:rPr>
          <w:spacing w:val="6"/>
          <w:sz w:val="26"/>
          <w:lang w:val="es-ES_tradnl" w:eastAsia="en-US"/>
        </w:rPr>
        <w:t>una fundación.</w:t>
      </w:r>
    </w:p>
    <w:p w14:paraId="26F513A4" w14:textId="77777777" w:rsidR="00CD03F4" w:rsidRDefault="005812B1" w:rsidP="00843450">
      <w:pPr>
        <w:numPr>
          <w:ilvl w:val="0"/>
          <w:numId w:val="3"/>
        </w:numPr>
        <w:tabs>
          <w:tab w:val="num" w:pos="300"/>
          <w:tab w:val="num" w:pos="360"/>
          <w:tab w:val="left" w:pos="480"/>
          <w:tab w:val="num" w:pos="600"/>
          <w:tab w:val="num" w:pos="720"/>
          <w:tab w:val="num" w:pos="1320"/>
          <w:tab w:val="num" w:pos="2062"/>
          <w:tab w:val="num" w:pos="4472"/>
          <w:tab w:val="center" w:pos="5103"/>
          <w:tab w:val="center" w:pos="6237"/>
          <w:tab w:val="center" w:pos="7371"/>
        </w:tabs>
        <w:spacing w:after="140"/>
        <w:ind w:left="0" w:firstLine="289"/>
        <w:jc w:val="both"/>
        <w:rPr>
          <w:spacing w:val="6"/>
          <w:sz w:val="26"/>
          <w:lang w:val="es-ES_tradnl" w:eastAsia="en-US"/>
        </w:rPr>
      </w:pPr>
      <w:r w:rsidRPr="005812B1">
        <w:rPr>
          <w:spacing w:val="6"/>
          <w:sz w:val="26"/>
          <w:lang w:val="es-ES_tradnl" w:eastAsia="en-US"/>
        </w:rPr>
        <w:t xml:space="preserve">Incumplimiento </w:t>
      </w:r>
      <w:r w:rsidR="00CD03F4">
        <w:rPr>
          <w:spacing w:val="6"/>
          <w:sz w:val="26"/>
          <w:lang w:val="es-ES_tradnl" w:eastAsia="en-US"/>
        </w:rPr>
        <w:t>en</w:t>
      </w:r>
      <w:r w:rsidR="00CD03F4" w:rsidRPr="00CD03F4">
        <w:rPr>
          <w:spacing w:val="6"/>
          <w:sz w:val="26"/>
          <w:lang w:val="es-ES_tradnl" w:eastAsia="en-US"/>
        </w:rPr>
        <w:t xml:space="preserve"> un contrato para el que el procedimiento de </w:t>
      </w:r>
      <w:r w:rsidR="00CD03F4">
        <w:rPr>
          <w:spacing w:val="6"/>
          <w:sz w:val="26"/>
          <w:lang w:val="es-ES_tradnl" w:eastAsia="en-US"/>
        </w:rPr>
        <w:t xml:space="preserve">contratación de menor </w:t>
      </w:r>
      <w:proofErr w:type="gramStart"/>
      <w:r w:rsidR="00CD03F4">
        <w:rPr>
          <w:spacing w:val="6"/>
          <w:sz w:val="26"/>
          <w:lang w:val="es-ES_tradnl" w:eastAsia="en-US"/>
        </w:rPr>
        <w:t>cuantía,</w:t>
      </w:r>
      <w:proofErr w:type="gramEnd"/>
      <w:r w:rsidR="00CD03F4">
        <w:rPr>
          <w:spacing w:val="6"/>
          <w:sz w:val="26"/>
          <w:lang w:val="es-ES_tradnl" w:eastAsia="en-US"/>
        </w:rPr>
        <w:t xml:space="preserve"> </w:t>
      </w:r>
      <w:r w:rsidR="00CD03F4" w:rsidRPr="00CD03F4">
        <w:rPr>
          <w:spacing w:val="6"/>
          <w:sz w:val="26"/>
          <w:lang w:val="es-ES_tradnl" w:eastAsia="en-US"/>
        </w:rPr>
        <w:t xml:space="preserve">no es el que debería haberse llevado a cabo para el volumen </w:t>
      </w:r>
      <w:r w:rsidR="00D83A5A">
        <w:rPr>
          <w:spacing w:val="6"/>
          <w:sz w:val="26"/>
          <w:lang w:val="es-ES_tradnl" w:eastAsia="en-US"/>
        </w:rPr>
        <w:t>contratado.</w:t>
      </w:r>
    </w:p>
    <w:p w14:paraId="22FF4C7A" w14:textId="77777777" w:rsidR="00843450" w:rsidRDefault="00CD03F4" w:rsidP="00843450">
      <w:pPr>
        <w:numPr>
          <w:ilvl w:val="0"/>
          <w:numId w:val="3"/>
        </w:numPr>
        <w:tabs>
          <w:tab w:val="num" w:pos="300"/>
          <w:tab w:val="num" w:pos="360"/>
          <w:tab w:val="left" w:pos="480"/>
          <w:tab w:val="num" w:pos="600"/>
          <w:tab w:val="num" w:pos="720"/>
          <w:tab w:val="num" w:pos="1320"/>
          <w:tab w:val="num" w:pos="2062"/>
          <w:tab w:val="num" w:pos="4472"/>
          <w:tab w:val="center" w:pos="5103"/>
          <w:tab w:val="center" w:pos="6237"/>
          <w:tab w:val="center" w:pos="7371"/>
        </w:tabs>
        <w:spacing w:after="140"/>
        <w:ind w:left="0" w:firstLine="289"/>
        <w:jc w:val="both"/>
        <w:rPr>
          <w:spacing w:val="6"/>
          <w:sz w:val="26"/>
          <w:lang w:val="es-ES_tradnl" w:eastAsia="en-US"/>
        </w:rPr>
      </w:pPr>
      <w:r>
        <w:rPr>
          <w:spacing w:val="6"/>
          <w:sz w:val="26"/>
          <w:lang w:val="es-ES_tradnl" w:eastAsia="en-US"/>
        </w:rPr>
        <w:t xml:space="preserve">Incumplimientos </w:t>
      </w:r>
      <w:r w:rsidR="005812B1" w:rsidRPr="005812B1">
        <w:rPr>
          <w:spacing w:val="6"/>
          <w:sz w:val="26"/>
          <w:lang w:val="es-ES_tradnl" w:eastAsia="en-US"/>
        </w:rPr>
        <w:t xml:space="preserve">por formalización de convenios, que debieran haber sido consideradas patrocinios en dos sociedades, así como la realización de una donación en una sociedad, a pesar de no estar previsto en su objeto social, su realización. </w:t>
      </w:r>
    </w:p>
    <w:p w14:paraId="3725AC41" w14:textId="77777777" w:rsidR="002630A8" w:rsidRDefault="002630A8">
      <w:pPr>
        <w:rPr>
          <w:rFonts w:ascii="Arial" w:hAnsi="Arial"/>
          <w:b/>
          <w:kern w:val="28"/>
          <w:sz w:val="25"/>
          <w:szCs w:val="26"/>
        </w:rPr>
      </w:pPr>
      <w:r>
        <w:br w:type="page"/>
      </w:r>
    </w:p>
    <w:p w14:paraId="3B4DFB7A" w14:textId="77777777" w:rsidR="003E0429" w:rsidRDefault="003E0429" w:rsidP="003E0429">
      <w:pPr>
        <w:pStyle w:val="atitulo1"/>
        <w:rPr>
          <w:color w:val="auto"/>
        </w:rPr>
      </w:pPr>
      <w:bookmarkStart w:id="176" w:name="_Toc182464291"/>
      <w:r>
        <w:rPr>
          <w:color w:val="auto"/>
        </w:rPr>
        <w:lastRenderedPageBreak/>
        <w:t>Apéndice 6. Contrato de obra “Duplicación del Túnel de Belate”</w:t>
      </w:r>
      <w:bookmarkEnd w:id="176"/>
      <w:r>
        <w:rPr>
          <w:color w:val="auto"/>
        </w:rPr>
        <w:t xml:space="preserve"> </w:t>
      </w:r>
    </w:p>
    <w:p w14:paraId="39B54433" w14:textId="77777777" w:rsidR="00041B7F" w:rsidRPr="004459DB" w:rsidRDefault="00041B7F" w:rsidP="00041B7F">
      <w:pPr>
        <w:pStyle w:val="texto"/>
        <w:jc w:val="both"/>
      </w:pPr>
      <w:r w:rsidRPr="004459DB">
        <w:t xml:space="preserve">Sobre la fiscalización de este expediente, indicamos que el alcance </w:t>
      </w:r>
      <w:r>
        <w:t xml:space="preserve">de nuestra </w:t>
      </w:r>
      <w:proofErr w:type="gramStart"/>
      <w:r>
        <w:t>fiscalización,</w:t>
      </w:r>
      <w:proofErr w:type="gramEnd"/>
      <w:r>
        <w:t xml:space="preserve"> </w:t>
      </w:r>
      <w:r w:rsidRPr="004459DB">
        <w:t xml:space="preserve">solo incluye la tramitación administrativa, hasta la adjudicación del contrato. No forman parte del alcance la ejecución del contrato, y el expediente de adjudicación de la dirección de obra. Los datos económicos del contrato son los siguientes: </w:t>
      </w:r>
    </w:p>
    <w:p w14:paraId="7A0619F0" w14:textId="77777777" w:rsidR="00041B7F" w:rsidRPr="004459DB" w:rsidRDefault="00041B7F" w:rsidP="00041B7F">
      <w:pPr>
        <w:pStyle w:val="texto"/>
        <w:jc w:val="both"/>
      </w:pPr>
    </w:p>
    <w:tbl>
      <w:tblPr>
        <w:tblW w:w="8790" w:type="dxa"/>
        <w:tblLayout w:type="fixed"/>
        <w:tblCellMar>
          <w:left w:w="70" w:type="dxa"/>
          <w:right w:w="70" w:type="dxa"/>
        </w:tblCellMar>
        <w:tblLook w:val="04A0" w:firstRow="1" w:lastRow="0" w:firstColumn="1" w:lastColumn="0" w:noHBand="0" w:noVBand="1"/>
      </w:tblPr>
      <w:tblGrid>
        <w:gridCol w:w="2694"/>
        <w:gridCol w:w="1134"/>
        <w:gridCol w:w="1275"/>
        <w:gridCol w:w="142"/>
        <w:gridCol w:w="1134"/>
        <w:gridCol w:w="1559"/>
        <w:gridCol w:w="852"/>
      </w:tblGrid>
      <w:tr w:rsidR="005973C4" w:rsidRPr="00530961" w14:paraId="05827844" w14:textId="77777777" w:rsidTr="00EE60CB">
        <w:trPr>
          <w:trHeight w:val="255"/>
        </w:trPr>
        <w:tc>
          <w:tcPr>
            <w:tcW w:w="2694" w:type="dxa"/>
            <w:tcBorders>
              <w:top w:val="single" w:sz="4" w:space="0" w:color="auto"/>
              <w:left w:val="nil"/>
              <w:bottom w:val="single" w:sz="4" w:space="0" w:color="auto"/>
              <w:right w:val="nil"/>
            </w:tcBorders>
            <w:shd w:val="clear" w:color="auto" w:fill="8DB3E2"/>
            <w:vAlign w:val="center"/>
            <w:hideMark/>
          </w:tcPr>
          <w:p w14:paraId="571DFBFB" w14:textId="77777777" w:rsidR="00041B7F" w:rsidRPr="00530961" w:rsidRDefault="00041B7F" w:rsidP="00041B7F">
            <w:pPr>
              <w:rPr>
                <w:rFonts w:ascii="Arial" w:hAnsi="Arial" w:cs="Arial"/>
                <w:color w:val="000000"/>
                <w:sz w:val="18"/>
                <w:szCs w:val="18"/>
              </w:rPr>
            </w:pPr>
            <w:r w:rsidRPr="00530961">
              <w:rPr>
                <w:rFonts w:ascii="Arial" w:hAnsi="Arial" w:cs="Arial"/>
                <w:color w:val="000000"/>
                <w:spacing w:val="6"/>
                <w:sz w:val="18"/>
                <w:szCs w:val="18"/>
              </w:rPr>
              <w:t>Procedimiento</w:t>
            </w:r>
          </w:p>
        </w:tc>
        <w:tc>
          <w:tcPr>
            <w:tcW w:w="1134" w:type="dxa"/>
            <w:tcBorders>
              <w:top w:val="single" w:sz="4" w:space="0" w:color="auto"/>
              <w:left w:val="nil"/>
              <w:bottom w:val="single" w:sz="4" w:space="0" w:color="auto"/>
              <w:right w:val="nil"/>
            </w:tcBorders>
            <w:shd w:val="clear" w:color="auto" w:fill="8DB3E2"/>
            <w:vAlign w:val="center"/>
            <w:hideMark/>
          </w:tcPr>
          <w:p w14:paraId="3458A653" w14:textId="77777777" w:rsidR="00041B7F" w:rsidRPr="00530961" w:rsidRDefault="00041B7F" w:rsidP="00EE60CB">
            <w:pPr>
              <w:jc w:val="right"/>
              <w:rPr>
                <w:rFonts w:ascii="Arial" w:hAnsi="Arial" w:cs="Arial"/>
                <w:color w:val="000000"/>
                <w:spacing w:val="6"/>
                <w:sz w:val="18"/>
                <w:szCs w:val="18"/>
              </w:rPr>
            </w:pPr>
            <w:r w:rsidRPr="00530961">
              <w:rPr>
                <w:rFonts w:ascii="Arial" w:hAnsi="Arial" w:cs="Arial"/>
                <w:color w:val="000000"/>
                <w:spacing w:val="6"/>
                <w:sz w:val="18"/>
                <w:szCs w:val="18"/>
              </w:rPr>
              <w:t>Valor</w:t>
            </w:r>
          </w:p>
          <w:p w14:paraId="47F18556" w14:textId="77777777" w:rsidR="00041B7F" w:rsidRPr="00530961" w:rsidRDefault="00041B7F" w:rsidP="00EE60CB">
            <w:pPr>
              <w:jc w:val="right"/>
              <w:rPr>
                <w:rFonts w:ascii="Arial" w:hAnsi="Arial" w:cs="Arial"/>
                <w:color w:val="000000"/>
                <w:sz w:val="18"/>
                <w:szCs w:val="18"/>
              </w:rPr>
            </w:pPr>
            <w:r w:rsidRPr="00530961">
              <w:rPr>
                <w:rFonts w:ascii="Arial" w:hAnsi="Arial" w:cs="Arial"/>
                <w:color w:val="000000"/>
                <w:spacing w:val="6"/>
                <w:sz w:val="18"/>
                <w:szCs w:val="18"/>
              </w:rPr>
              <w:t>estimado</w:t>
            </w:r>
          </w:p>
        </w:tc>
        <w:tc>
          <w:tcPr>
            <w:tcW w:w="1417" w:type="dxa"/>
            <w:gridSpan w:val="2"/>
            <w:tcBorders>
              <w:top w:val="single" w:sz="4" w:space="0" w:color="auto"/>
              <w:left w:val="nil"/>
              <w:bottom w:val="single" w:sz="4" w:space="0" w:color="auto"/>
              <w:right w:val="nil"/>
            </w:tcBorders>
            <w:shd w:val="clear" w:color="auto" w:fill="8DB3E2"/>
            <w:vAlign w:val="center"/>
            <w:hideMark/>
          </w:tcPr>
          <w:p w14:paraId="1794FD26" w14:textId="77777777" w:rsidR="00041B7F" w:rsidRPr="00530961" w:rsidRDefault="00041B7F" w:rsidP="00EE60CB">
            <w:pPr>
              <w:jc w:val="right"/>
              <w:rPr>
                <w:rFonts w:ascii="Arial" w:hAnsi="Arial" w:cs="Arial"/>
                <w:color w:val="000000"/>
                <w:spacing w:val="6"/>
                <w:sz w:val="18"/>
                <w:szCs w:val="18"/>
              </w:rPr>
            </w:pPr>
            <w:r w:rsidRPr="00530961">
              <w:rPr>
                <w:rFonts w:ascii="Arial" w:hAnsi="Arial" w:cs="Arial"/>
                <w:color w:val="000000"/>
                <w:spacing w:val="6"/>
                <w:sz w:val="18"/>
                <w:szCs w:val="18"/>
              </w:rPr>
              <w:t xml:space="preserve">Nº </w:t>
            </w:r>
          </w:p>
          <w:p w14:paraId="49C06A87" w14:textId="77777777" w:rsidR="00041B7F" w:rsidRPr="00530961" w:rsidRDefault="00041B7F" w:rsidP="00EE60CB">
            <w:pPr>
              <w:jc w:val="right"/>
              <w:rPr>
                <w:rFonts w:ascii="Arial" w:hAnsi="Arial" w:cs="Arial"/>
                <w:color w:val="000000"/>
                <w:sz w:val="18"/>
                <w:szCs w:val="18"/>
              </w:rPr>
            </w:pPr>
            <w:r w:rsidRPr="00530961">
              <w:rPr>
                <w:rFonts w:ascii="Arial" w:hAnsi="Arial" w:cs="Arial"/>
                <w:color w:val="000000"/>
                <w:spacing w:val="6"/>
                <w:sz w:val="18"/>
                <w:szCs w:val="18"/>
              </w:rPr>
              <w:t>de licitadores</w:t>
            </w:r>
          </w:p>
        </w:tc>
        <w:tc>
          <w:tcPr>
            <w:tcW w:w="1134" w:type="dxa"/>
            <w:tcBorders>
              <w:top w:val="single" w:sz="4" w:space="0" w:color="auto"/>
              <w:left w:val="nil"/>
              <w:bottom w:val="single" w:sz="4" w:space="0" w:color="auto"/>
              <w:right w:val="nil"/>
            </w:tcBorders>
            <w:shd w:val="clear" w:color="auto" w:fill="8DB3E2"/>
            <w:vAlign w:val="center"/>
            <w:hideMark/>
          </w:tcPr>
          <w:p w14:paraId="75C3A112" w14:textId="77777777" w:rsidR="00041B7F" w:rsidRPr="00530961" w:rsidRDefault="00041B7F" w:rsidP="00EE60CB">
            <w:pPr>
              <w:jc w:val="right"/>
              <w:rPr>
                <w:rFonts w:ascii="Arial" w:hAnsi="Arial" w:cs="Arial"/>
                <w:color w:val="000000"/>
                <w:spacing w:val="6"/>
                <w:sz w:val="18"/>
                <w:szCs w:val="18"/>
              </w:rPr>
            </w:pPr>
            <w:r w:rsidRPr="00530961">
              <w:rPr>
                <w:rFonts w:ascii="Arial" w:hAnsi="Arial" w:cs="Arial"/>
                <w:color w:val="000000"/>
                <w:spacing w:val="6"/>
                <w:sz w:val="18"/>
                <w:szCs w:val="18"/>
              </w:rPr>
              <w:t>Importe</w:t>
            </w:r>
          </w:p>
          <w:p w14:paraId="6D071C2F" w14:textId="77777777" w:rsidR="00041B7F" w:rsidRPr="00530961" w:rsidRDefault="00041B7F" w:rsidP="00EE60CB">
            <w:pPr>
              <w:jc w:val="right"/>
              <w:rPr>
                <w:rFonts w:ascii="Arial" w:hAnsi="Arial" w:cs="Arial"/>
                <w:color w:val="000000"/>
                <w:sz w:val="18"/>
                <w:szCs w:val="18"/>
              </w:rPr>
            </w:pPr>
            <w:r w:rsidRPr="00530961">
              <w:rPr>
                <w:rFonts w:ascii="Arial" w:hAnsi="Arial" w:cs="Arial"/>
                <w:color w:val="000000"/>
                <w:spacing w:val="6"/>
                <w:sz w:val="18"/>
                <w:szCs w:val="18"/>
              </w:rPr>
              <w:t>Licitación*</w:t>
            </w:r>
          </w:p>
        </w:tc>
        <w:tc>
          <w:tcPr>
            <w:tcW w:w="1559" w:type="dxa"/>
            <w:tcBorders>
              <w:top w:val="single" w:sz="4" w:space="0" w:color="auto"/>
              <w:left w:val="nil"/>
              <w:bottom w:val="single" w:sz="4" w:space="0" w:color="auto"/>
              <w:right w:val="nil"/>
            </w:tcBorders>
            <w:shd w:val="clear" w:color="auto" w:fill="8DB3E2"/>
            <w:vAlign w:val="center"/>
            <w:hideMark/>
          </w:tcPr>
          <w:p w14:paraId="44D11F99" w14:textId="77777777" w:rsidR="00041B7F" w:rsidRPr="00530961" w:rsidRDefault="00041B7F" w:rsidP="00EE60CB">
            <w:pPr>
              <w:jc w:val="right"/>
              <w:rPr>
                <w:rFonts w:ascii="Arial" w:hAnsi="Arial" w:cs="Arial"/>
                <w:color w:val="000000"/>
                <w:spacing w:val="6"/>
                <w:sz w:val="18"/>
                <w:szCs w:val="18"/>
              </w:rPr>
            </w:pPr>
            <w:r w:rsidRPr="00530961">
              <w:rPr>
                <w:rFonts w:ascii="Arial" w:hAnsi="Arial" w:cs="Arial"/>
                <w:color w:val="000000"/>
                <w:spacing w:val="6"/>
                <w:sz w:val="18"/>
                <w:szCs w:val="18"/>
              </w:rPr>
              <w:t>Importe</w:t>
            </w:r>
          </w:p>
          <w:p w14:paraId="25B61969" w14:textId="77777777" w:rsidR="00041B7F" w:rsidRPr="00530961" w:rsidRDefault="00041B7F" w:rsidP="00EE60CB">
            <w:pPr>
              <w:jc w:val="right"/>
              <w:rPr>
                <w:rFonts w:ascii="Arial" w:hAnsi="Arial" w:cs="Arial"/>
                <w:color w:val="000000"/>
                <w:sz w:val="18"/>
                <w:szCs w:val="18"/>
              </w:rPr>
            </w:pPr>
            <w:r w:rsidRPr="00530961">
              <w:rPr>
                <w:rFonts w:ascii="Arial" w:hAnsi="Arial" w:cs="Arial"/>
                <w:color w:val="000000"/>
                <w:spacing w:val="6"/>
                <w:sz w:val="18"/>
                <w:szCs w:val="18"/>
              </w:rPr>
              <w:t>Adjudicación*</w:t>
            </w:r>
          </w:p>
        </w:tc>
        <w:tc>
          <w:tcPr>
            <w:tcW w:w="852" w:type="dxa"/>
            <w:tcBorders>
              <w:top w:val="single" w:sz="4" w:space="0" w:color="auto"/>
              <w:left w:val="nil"/>
              <w:bottom w:val="single" w:sz="4" w:space="0" w:color="auto"/>
              <w:right w:val="nil"/>
            </w:tcBorders>
            <w:shd w:val="clear" w:color="auto" w:fill="8DB3E2"/>
            <w:vAlign w:val="center"/>
            <w:hideMark/>
          </w:tcPr>
          <w:p w14:paraId="55F9890A" w14:textId="77777777" w:rsidR="00041B7F" w:rsidRPr="00530961" w:rsidRDefault="00041B7F" w:rsidP="00EE60CB">
            <w:pPr>
              <w:jc w:val="right"/>
              <w:rPr>
                <w:rFonts w:ascii="Arial" w:hAnsi="Arial" w:cs="Arial"/>
                <w:color w:val="000000"/>
                <w:spacing w:val="6"/>
                <w:sz w:val="18"/>
                <w:szCs w:val="18"/>
              </w:rPr>
            </w:pPr>
            <w:r w:rsidRPr="00530961">
              <w:rPr>
                <w:rFonts w:ascii="Arial" w:hAnsi="Arial" w:cs="Arial"/>
                <w:color w:val="000000"/>
                <w:spacing w:val="6"/>
                <w:sz w:val="18"/>
                <w:szCs w:val="18"/>
              </w:rPr>
              <w:t>%</w:t>
            </w:r>
          </w:p>
          <w:p w14:paraId="610B31CD" w14:textId="77777777" w:rsidR="00041B7F" w:rsidRPr="00530961" w:rsidRDefault="00041B7F" w:rsidP="00EE60CB">
            <w:pPr>
              <w:jc w:val="right"/>
              <w:rPr>
                <w:rFonts w:ascii="Arial" w:hAnsi="Arial" w:cs="Arial"/>
                <w:color w:val="000000"/>
                <w:sz w:val="18"/>
                <w:szCs w:val="18"/>
              </w:rPr>
            </w:pPr>
            <w:r w:rsidRPr="00530961">
              <w:rPr>
                <w:rFonts w:ascii="Arial" w:hAnsi="Arial" w:cs="Arial"/>
                <w:color w:val="000000"/>
                <w:spacing w:val="6"/>
                <w:sz w:val="18"/>
                <w:szCs w:val="18"/>
              </w:rPr>
              <w:t>baja</w:t>
            </w:r>
          </w:p>
        </w:tc>
      </w:tr>
      <w:tr w:rsidR="005973C4" w:rsidRPr="005973C4" w14:paraId="31B14D1A" w14:textId="77777777" w:rsidTr="0036588C">
        <w:trPr>
          <w:trHeight w:val="198"/>
        </w:trPr>
        <w:tc>
          <w:tcPr>
            <w:tcW w:w="2694" w:type="dxa"/>
            <w:tcBorders>
              <w:top w:val="single" w:sz="4" w:space="0" w:color="auto"/>
              <w:left w:val="nil"/>
              <w:bottom w:val="single" w:sz="4" w:space="0" w:color="auto"/>
              <w:right w:val="nil"/>
            </w:tcBorders>
            <w:vAlign w:val="center"/>
            <w:hideMark/>
          </w:tcPr>
          <w:p w14:paraId="794C86AA" w14:textId="77777777" w:rsidR="00041B7F" w:rsidRPr="005973C4" w:rsidRDefault="00041B7F" w:rsidP="00041B7F">
            <w:pPr>
              <w:rPr>
                <w:rFonts w:ascii="Arial Narrow" w:hAnsi="Arial Narrow"/>
                <w:color w:val="000000"/>
                <w:sz w:val="20"/>
                <w:szCs w:val="20"/>
              </w:rPr>
            </w:pPr>
            <w:r w:rsidRPr="005973C4">
              <w:rPr>
                <w:rFonts w:ascii="Arial Narrow" w:hAnsi="Arial Narrow"/>
                <w:color w:val="000000"/>
                <w:sz w:val="20"/>
                <w:szCs w:val="20"/>
              </w:rPr>
              <w:t>Abierto superior al umbral europeo</w:t>
            </w:r>
          </w:p>
        </w:tc>
        <w:tc>
          <w:tcPr>
            <w:tcW w:w="1134" w:type="dxa"/>
            <w:tcBorders>
              <w:top w:val="single" w:sz="4" w:space="0" w:color="auto"/>
              <w:left w:val="nil"/>
              <w:bottom w:val="single" w:sz="4" w:space="0" w:color="auto"/>
              <w:right w:val="nil"/>
            </w:tcBorders>
            <w:vAlign w:val="center"/>
            <w:hideMark/>
          </w:tcPr>
          <w:p w14:paraId="07D73048" w14:textId="77777777" w:rsidR="00041B7F" w:rsidRPr="005973C4" w:rsidRDefault="00041B7F" w:rsidP="00EE60CB">
            <w:pPr>
              <w:jc w:val="right"/>
              <w:rPr>
                <w:rFonts w:ascii="Arial Narrow" w:hAnsi="Arial Narrow"/>
                <w:color w:val="000000"/>
                <w:sz w:val="20"/>
                <w:szCs w:val="20"/>
              </w:rPr>
            </w:pPr>
            <w:r w:rsidRPr="005973C4">
              <w:rPr>
                <w:rFonts w:ascii="Arial Narrow" w:hAnsi="Arial Narrow"/>
                <w:color w:val="000000"/>
                <w:sz w:val="20"/>
                <w:szCs w:val="20"/>
              </w:rPr>
              <w:t>86.462.477</w:t>
            </w:r>
          </w:p>
        </w:tc>
        <w:tc>
          <w:tcPr>
            <w:tcW w:w="1275" w:type="dxa"/>
            <w:tcBorders>
              <w:top w:val="single" w:sz="4" w:space="0" w:color="auto"/>
              <w:left w:val="nil"/>
              <w:bottom w:val="single" w:sz="4" w:space="0" w:color="auto"/>
              <w:right w:val="nil"/>
            </w:tcBorders>
            <w:vAlign w:val="center"/>
            <w:hideMark/>
          </w:tcPr>
          <w:p w14:paraId="6563EBD5" w14:textId="77777777" w:rsidR="00041B7F" w:rsidRPr="005973C4" w:rsidRDefault="00041B7F" w:rsidP="0036588C">
            <w:pPr>
              <w:ind w:right="-72"/>
              <w:jc w:val="right"/>
              <w:rPr>
                <w:rFonts w:ascii="Arial Narrow" w:hAnsi="Arial Narrow"/>
                <w:color w:val="000000"/>
                <w:sz w:val="20"/>
                <w:szCs w:val="20"/>
              </w:rPr>
            </w:pPr>
            <w:r w:rsidRPr="005973C4">
              <w:rPr>
                <w:rFonts w:ascii="Arial Narrow" w:hAnsi="Arial Narrow"/>
                <w:color w:val="000000"/>
                <w:sz w:val="20"/>
                <w:szCs w:val="20"/>
              </w:rPr>
              <w:t>7</w:t>
            </w:r>
          </w:p>
        </w:tc>
        <w:tc>
          <w:tcPr>
            <w:tcW w:w="1276" w:type="dxa"/>
            <w:gridSpan w:val="2"/>
            <w:tcBorders>
              <w:top w:val="single" w:sz="4" w:space="0" w:color="auto"/>
              <w:left w:val="nil"/>
              <w:bottom w:val="single" w:sz="4" w:space="0" w:color="auto"/>
              <w:right w:val="nil"/>
            </w:tcBorders>
            <w:vAlign w:val="center"/>
            <w:hideMark/>
          </w:tcPr>
          <w:p w14:paraId="455B34A1" w14:textId="77777777" w:rsidR="00041B7F" w:rsidRPr="005973C4" w:rsidRDefault="00041B7F" w:rsidP="00EE60CB">
            <w:pPr>
              <w:jc w:val="right"/>
              <w:rPr>
                <w:rFonts w:ascii="Arial Narrow" w:hAnsi="Arial Narrow"/>
                <w:color w:val="000000"/>
                <w:sz w:val="20"/>
                <w:szCs w:val="20"/>
              </w:rPr>
            </w:pPr>
            <w:r w:rsidRPr="005973C4">
              <w:rPr>
                <w:rFonts w:ascii="Arial Narrow" w:hAnsi="Arial Narrow"/>
                <w:color w:val="000000"/>
                <w:sz w:val="20"/>
                <w:szCs w:val="20"/>
              </w:rPr>
              <w:t>78.602.252</w:t>
            </w:r>
          </w:p>
        </w:tc>
        <w:tc>
          <w:tcPr>
            <w:tcW w:w="1559" w:type="dxa"/>
            <w:tcBorders>
              <w:top w:val="single" w:sz="4" w:space="0" w:color="auto"/>
              <w:left w:val="nil"/>
              <w:bottom w:val="single" w:sz="4" w:space="0" w:color="auto"/>
              <w:right w:val="nil"/>
            </w:tcBorders>
            <w:vAlign w:val="center"/>
            <w:hideMark/>
          </w:tcPr>
          <w:p w14:paraId="56FECDB1" w14:textId="77777777" w:rsidR="00041B7F" w:rsidRPr="005973C4" w:rsidRDefault="00041B7F" w:rsidP="00EE60CB">
            <w:pPr>
              <w:jc w:val="right"/>
              <w:rPr>
                <w:rFonts w:ascii="Arial Narrow" w:hAnsi="Arial Narrow"/>
                <w:color w:val="000000"/>
                <w:sz w:val="20"/>
                <w:szCs w:val="20"/>
              </w:rPr>
            </w:pPr>
            <w:r w:rsidRPr="005973C4">
              <w:rPr>
                <w:rFonts w:ascii="Arial Narrow" w:hAnsi="Arial Narrow"/>
                <w:color w:val="000000"/>
                <w:sz w:val="20"/>
                <w:szCs w:val="20"/>
              </w:rPr>
              <w:t>62.881.801</w:t>
            </w:r>
          </w:p>
        </w:tc>
        <w:tc>
          <w:tcPr>
            <w:tcW w:w="852" w:type="dxa"/>
            <w:tcBorders>
              <w:top w:val="single" w:sz="4" w:space="0" w:color="auto"/>
              <w:left w:val="nil"/>
              <w:bottom w:val="single" w:sz="4" w:space="0" w:color="auto"/>
              <w:right w:val="nil"/>
            </w:tcBorders>
            <w:vAlign w:val="center"/>
            <w:hideMark/>
          </w:tcPr>
          <w:p w14:paraId="0825EAE7" w14:textId="77777777" w:rsidR="00041B7F" w:rsidRPr="005973C4" w:rsidRDefault="00041B7F" w:rsidP="00EE60CB">
            <w:pPr>
              <w:jc w:val="right"/>
              <w:rPr>
                <w:rFonts w:ascii="Arial Narrow" w:hAnsi="Arial Narrow"/>
                <w:color w:val="000000"/>
                <w:sz w:val="20"/>
                <w:szCs w:val="20"/>
              </w:rPr>
            </w:pPr>
            <w:r w:rsidRPr="005973C4">
              <w:rPr>
                <w:rFonts w:ascii="Arial Narrow" w:hAnsi="Arial Narrow"/>
                <w:color w:val="000000"/>
                <w:sz w:val="20"/>
                <w:szCs w:val="20"/>
              </w:rPr>
              <w:t>-20</w:t>
            </w:r>
          </w:p>
        </w:tc>
      </w:tr>
    </w:tbl>
    <w:p w14:paraId="79E7A639" w14:textId="77777777" w:rsidR="00041B7F" w:rsidRPr="0036588C" w:rsidRDefault="00041B7F" w:rsidP="0036588C">
      <w:pPr>
        <w:spacing w:before="80"/>
        <w:jc w:val="both"/>
        <w:rPr>
          <w:rFonts w:ascii="Arial" w:hAnsi="Arial" w:cs="Arial"/>
          <w:sz w:val="16"/>
          <w:szCs w:val="16"/>
          <w:lang w:val="es-ES_tradnl"/>
        </w:rPr>
      </w:pPr>
      <w:r w:rsidRPr="0036588C">
        <w:rPr>
          <w:rFonts w:ascii="Arial" w:hAnsi="Arial" w:cs="Arial"/>
          <w:sz w:val="16"/>
          <w:szCs w:val="16"/>
          <w:lang w:val="es-ES_tradnl"/>
        </w:rPr>
        <w:t>*Importes IVA excluido</w:t>
      </w:r>
      <w:r w:rsidR="0036588C">
        <w:rPr>
          <w:rFonts w:ascii="Arial" w:hAnsi="Arial" w:cs="Arial"/>
          <w:sz w:val="16"/>
          <w:szCs w:val="16"/>
          <w:lang w:val="es-ES_tradnl"/>
        </w:rPr>
        <w:t>.</w:t>
      </w:r>
    </w:p>
    <w:p w14:paraId="46E0D95C" w14:textId="77777777" w:rsidR="00041B7F" w:rsidRPr="004459DB" w:rsidRDefault="00041B7F" w:rsidP="00041B7F">
      <w:pPr>
        <w:pStyle w:val="Prrafodelista"/>
        <w:spacing w:before="240" w:after="240"/>
        <w:ind w:left="360"/>
        <w:jc w:val="both"/>
        <w:rPr>
          <w:sz w:val="26"/>
          <w:szCs w:val="26"/>
        </w:rPr>
      </w:pPr>
      <w:r w:rsidRPr="004459DB">
        <w:rPr>
          <w:i/>
          <w:iCs/>
          <w:color w:val="000000"/>
          <w:spacing w:val="10"/>
          <w:kern w:val="28"/>
          <w:sz w:val="25"/>
          <w:szCs w:val="26"/>
        </w:rPr>
        <w:t>Fase licitación del contrato de obra</w:t>
      </w:r>
    </w:p>
    <w:p w14:paraId="3AFF739E" w14:textId="77777777" w:rsidR="00041B7F" w:rsidRPr="004459DB" w:rsidRDefault="00041B7F" w:rsidP="00041B7F">
      <w:pPr>
        <w:pStyle w:val="texto"/>
        <w:numPr>
          <w:ilvl w:val="0"/>
          <w:numId w:val="20"/>
        </w:numPr>
        <w:tabs>
          <w:tab w:val="num" w:pos="300"/>
          <w:tab w:val="left" w:pos="480"/>
          <w:tab w:val="num" w:pos="600"/>
        </w:tabs>
        <w:spacing w:before="120"/>
        <w:ind w:left="0" w:firstLine="289"/>
        <w:jc w:val="both"/>
      </w:pPr>
      <w:r w:rsidRPr="004459DB">
        <w:t xml:space="preserve">Mediante Acuerdo del Gobierno de Navarra de </w:t>
      </w:r>
      <w:r>
        <w:t xml:space="preserve">25 de enero de </w:t>
      </w:r>
      <w:r w:rsidRPr="004459DB">
        <w:t xml:space="preserve">2023 se autorizó al Director General de Obras Públicas e Infraestructuras la celebración del contrato de obras del proyecto de construcción de la “Duplicación del túnel de Belate" (valor estimado </w:t>
      </w:r>
      <w:r>
        <w:t xml:space="preserve">86, 50 millones </w:t>
      </w:r>
      <w:r w:rsidRPr="004459DB">
        <w:t>IVA excluido) y del contrato de la dirección de</w:t>
      </w:r>
      <w:r>
        <w:t xml:space="preserve"> la obra (valor estimado de 2, 68 millones </w:t>
      </w:r>
      <w:r w:rsidRPr="004459DB">
        <w:t>IVA excluido)</w:t>
      </w:r>
    </w:p>
    <w:p w14:paraId="75033C07" w14:textId="77777777" w:rsidR="00041B7F" w:rsidRPr="004459DB" w:rsidRDefault="00041B7F" w:rsidP="00041B7F">
      <w:pPr>
        <w:pStyle w:val="texto"/>
        <w:tabs>
          <w:tab w:val="left" w:pos="480"/>
          <w:tab w:val="num" w:pos="600"/>
        </w:tabs>
        <w:spacing w:before="120"/>
        <w:jc w:val="both"/>
        <w:rPr>
          <w:lang w:val="es-ES_tradnl"/>
        </w:rPr>
      </w:pPr>
      <w:r w:rsidRPr="004459DB">
        <w:rPr>
          <w:lang w:val="es-ES_tradnl"/>
        </w:rPr>
        <w:t>La ejecu</w:t>
      </w:r>
      <w:r>
        <w:rPr>
          <w:lang w:val="es-ES_tradnl"/>
        </w:rPr>
        <w:t xml:space="preserve">ción de ambos contratos se </w:t>
      </w:r>
      <w:r w:rsidRPr="004459DB">
        <w:rPr>
          <w:lang w:val="es-ES_tradnl"/>
        </w:rPr>
        <w:t>realiza</w:t>
      </w:r>
      <w:r>
        <w:rPr>
          <w:lang w:val="es-ES_tradnl"/>
        </w:rPr>
        <w:t xml:space="preserve"> </w:t>
      </w:r>
      <w:r w:rsidRPr="004459DB">
        <w:rPr>
          <w:lang w:val="es-ES_tradnl"/>
        </w:rPr>
        <w:t>en el periodo 2023-2027, por lo que la citada autorización conllevó la correspondiente autorización de gasto con carácter plurianual.</w:t>
      </w:r>
    </w:p>
    <w:p w14:paraId="1822CB43" w14:textId="77777777" w:rsidR="00041B7F" w:rsidRDefault="00041B7F" w:rsidP="00041B7F">
      <w:pPr>
        <w:pStyle w:val="texto"/>
        <w:numPr>
          <w:ilvl w:val="0"/>
          <w:numId w:val="20"/>
        </w:numPr>
        <w:tabs>
          <w:tab w:val="num" w:pos="300"/>
          <w:tab w:val="left" w:pos="480"/>
          <w:tab w:val="num" w:pos="600"/>
        </w:tabs>
        <w:spacing w:before="120"/>
        <w:ind w:left="0" w:firstLine="289"/>
        <w:jc w:val="both"/>
      </w:pPr>
      <w:r>
        <w:t xml:space="preserve">Mediante Resolución de </w:t>
      </w:r>
      <w:r w:rsidRPr="004459DB">
        <w:t>6</w:t>
      </w:r>
      <w:r>
        <w:t xml:space="preserve"> de febrero de </w:t>
      </w:r>
      <w:r w:rsidRPr="004459DB">
        <w:t>2023 del Director General de Obras Públicas e Infraestructuras se aprobó el expediente de contratación de la obra “Duplicación del túnel de Belate” y se dispuso la apertura del procedimiento de adjudicación. Asimismo, se designó a los componentes de la Mesa de Contratación (en adelante la Mesa), que es</w:t>
      </w:r>
      <w:r>
        <w:t xml:space="preserve">tá compuesta por ocho miembros: </w:t>
      </w:r>
    </w:p>
    <w:p w14:paraId="09DC806A" w14:textId="77777777" w:rsidR="00041B7F" w:rsidRPr="004459DB" w:rsidRDefault="00041B7F" w:rsidP="00041B7F">
      <w:pPr>
        <w:pStyle w:val="texto"/>
        <w:tabs>
          <w:tab w:val="left" w:pos="480"/>
          <w:tab w:val="num" w:pos="600"/>
        </w:tabs>
        <w:spacing w:before="120"/>
        <w:jc w:val="both"/>
        <w:rPr>
          <w:szCs w:val="26"/>
        </w:rPr>
      </w:pPr>
      <w:r w:rsidRPr="004459DB">
        <w:rPr>
          <w:szCs w:val="26"/>
        </w:rPr>
        <w:t>- Cinco técnicos</w:t>
      </w:r>
      <w:r w:rsidRPr="004459DB">
        <w:rPr>
          <w:rStyle w:val="Refdenotaalpie"/>
        </w:rPr>
        <w:footnoteReference w:id="50"/>
      </w:r>
      <w:r w:rsidRPr="004459DB">
        <w:rPr>
          <w:szCs w:val="26"/>
        </w:rPr>
        <w:t xml:space="preserve"> del Departamento de Cohesión Territorial, </w:t>
      </w:r>
      <w:r>
        <w:rPr>
          <w:szCs w:val="26"/>
        </w:rPr>
        <w:t xml:space="preserve">uno </w:t>
      </w:r>
      <w:r w:rsidRPr="004459DB">
        <w:rPr>
          <w:szCs w:val="26"/>
        </w:rPr>
        <w:t>de los cuales ejerce la función de Presidente de la Mesa</w:t>
      </w:r>
      <w:r>
        <w:rPr>
          <w:rStyle w:val="Refdenotaalpie"/>
          <w:szCs w:val="26"/>
        </w:rPr>
        <w:footnoteReference w:id="51"/>
      </w:r>
      <w:r w:rsidRPr="004459DB">
        <w:rPr>
          <w:szCs w:val="26"/>
        </w:rPr>
        <w:t>.</w:t>
      </w:r>
    </w:p>
    <w:p w14:paraId="6B372963" w14:textId="77777777" w:rsidR="00041B7F" w:rsidRPr="004459DB" w:rsidRDefault="00041B7F" w:rsidP="00041B7F">
      <w:pPr>
        <w:pStyle w:val="texto"/>
        <w:tabs>
          <w:tab w:val="left" w:pos="480"/>
          <w:tab w:val="num" w:pos="600"/>
        </w:tabs>
        <w:spacing w:before="120"/>
        <w:jc w:val="both"/>
        <w:rPr>
          <w:szCs w:val="26"/>
        </w:rPr>
      </w:pPr>
      <w:r>
        <w:rPr>
          <w:szCs w:val="26"/>
        </w:rPr>
        <w:t>- Un técnico de administración pública (rama jurídica) del d</w:t>
      </w:r>
      <w:r w:rsidRPr="004459DB">
        <w:rPr>
          <w:szCs w:val="26"/>
        </w:rPr>
        <w:t>epartamen</w:t>
      </w:r>
      <w:r>
        <w:rPr>
          <w:szCs w:val="26"/>
        </w:rPr>
        <w:t>to que ejerce las funciones de s</w:t>
      </w:r>
      <w:r w:rsidRPr="004459DB">
        <w:rPr>
          <w:szCs w:val="26"/>
        </w:rPr>
        <w:t>ecretario.</w:t>
      </w:r>
    </w:p>
    <w:p w14:paraId="3E3BB4B9" w14:textId="77777777" w:rsidR="00041B7F" w:rsidRPr="004459DB" w:rsidRDefault="00041B7F" w:rsidP="00041B7F">
      <w:pPr>
        <w:pStyle w:val="texto"/>
        <w:tabs>
          <w:tab w:val="left" w:pos="480"/>
          <w:tab w:val="num" w:pos="600"/>
        </w:tabs>
        <w:spacing w:before="120"/>
        <w:jc w:val="both"/>
        <w:rPr>
          <w:szCs w:val="26"/>
        </w:rPr>
      </w:pPr>
      <w:r>
        <w:rPr>
          <w:szCs w:val="26"/>
        </w:rPr>
        <w:t>- El i</w:t>
      </w:r>
      <w:r w:rsidRPr="004459DB">
        <w:rPr>
          <w:szCs w:val="26"/>
        </w:rPr>
        <w:t>nterventor delegado del citado departamento.</w:t>
      </w:r>
    </w:p>
    <w:p w14:paraId="1390FD7E" w14:textId="77777777" w:rsidR="00041B7F" w:rsidRPr="004459DB" w:rsidRDefault="00041B7F" w:rsidP="00041B7F">
      <w:pPr>
        <w:pStyle w:val="texto"/>
        <w:tabs>
          <w:tab w:val="left" w:pos="480"/>
          <w:tab w:val="num" w:pos="600"/>
        </w:tabs>
        <w:spacing w:before="120"/>
        <w:jc w:val="both"/>
        <w:rPr>
          <w:szCs w:val="26"/>
        </w:rPr>
      </w:pPr>
      <w:r w:rsidRPr="004459DB">
        <w:rPr>
          <w:szCs w:val="26"/>
        </w:rPr>
        <w:t>- Un representante de la Junta de Contratación Pública</w:t>
      </w:r>
      <w:r w:rsidRPr="004459DB">
        <w:rPr>
          <w:rStyle w:val="Refdenotaalpie"/>
        </w:rPr>
        <w:footnoteReference w:id="52"/>
      </w:r>
      <w:r w:rsidRPr="004459DB">
        <w:rPr>
          <w:szCs w:val="26"/>
        </w:rPr>
        <w:t xml:space="preserve">. </w:t>
      </w:r>
    </w:p>
    <w:p w14:paraId="3C598DE9" w14:textId="77777777" w:rsidR="00041B7F" w:rsidRPr="004459DB" w:rsidRDefault="00041B7F" w:rsidP="00041B7F">
      <w:pPr>
        <w:pStyle w:val="texto"/>
        <w:numPr>
          <w:ilvl w:val="0"/>
          <w:numId w:val="20"/>
        </w:numPr>
        <w:tabs>
          <w:tab w:val="num" w:pos="300"/>
          <w:tab w:val="left" w:pos="480"/>
          <w:tab w:val="num" w:pos="600"/>
        </w:tabs>
        <w:spacing w:before="120"/>
        <w:ind w:left="0" w:firstLine="289"/>
        <w:jc w:val="both"/>
      </w:pPr>
      <w:r w:rsidRPr="004459DB">
        <w:lastRenderedPageBreak/>
        <w:t xml:space="preserve">La unidad gestora del </w:t>
      </w:r>
      <w:proofErr w:type="gramStart"/>
      <w:r w:rsidRPr="004459DB">
        <w:t>contrato,</w:t>
      </w:r>
      <w:proofErr w:type="gramEnd"/>
      <w:r w:rsidRPr="004459DB">
        <w:t xml:space="preserve"> es el Servicio de Nuevas Infraestructuras y </w:t>
      </w:r>
      <w:r>
        <w:t xml:space="preserve">el órgano de contratación es el </w:t>
      </w:r>
      <w:r w:rsidRPr="004459DB">
        <w:t>Direc</w:t>
      </w:r>
      <w:r>
        <w:t xml:space="preserve">tor </w:t>
      </w:r>
      <w:r w:rsidRPr="004459DB">
        <w:t xml:space="preserve">General de Obras Públicas e Infraestructuras. </w:t>
      </w:r>
    </w:p>
    <w:p w14:paraId="52A5F3E4" w14:textId="77777777" w:rsidR="00041B7F" w:rsidRPr="004459DB" w:rsidRDefault="00041B7F" w:rsidP="00041B7F">
      <w:pPr>
        <w:pStyle w:val="texto"/>
        <w:numPr>
          <w:ilvl w:val="0"/>
          <w:numId w:val="20"/>
        </w:numPr>
        <w:tabs>
          <w:tab w:val="num" w:pos="300"/>
          <w:tab w:val="left" w:pos="480"/>
          <w:tab w:val="num" w:pos="600"/>
        </w:tabs>
        <w:spacing w:before="120"/>
        <w:ind w:left="0" w:firstLine="289"/>
        <w:jc w:val="both"/>
      </w:pPr>
      <w:r w:rsidRPr="004459DB">
        <w:t>La licitación del contrato se llev</w:t>
      </w:r>
      <w:r>
        <w:t>ó</w:t>
      </w:r>
      <w:r w:rsidRPr="004459DB">
        <w:t xml:space="preserve"> a cabo mediante el procedimiento de adjudicación abierto superior al umbral europeo, y </w:t>
      </w:r>
      <w:r>
        <w:t xml:space="preserve">utilizando </w:t>
      </w:r>
      <w:r w:rsidRPr="004459DB">
        <w:t xml:space="preserve">como criterio de adjudicación el de mejor relación calidad-precio. Según la cláusula 11 de las condiciones particulares, los criterios de </w:t>
      </w:r>
      <w:proofErr w:type="gramStart"/>
      <w:r w:rsidRPr="004459DB">
        <w:t>adjudicación,</w:t>
      </w:r>
      <w:proofErr w:type="gramEnd"/>
      <w:r w:rsidRPr="004459DB">
        <w:t xml:space="preserve"> son los siguientes:</w:t>
      </w:r>
    </w:p>
    <w:p w14:paraId="438A6046" w14:textId="77777777" w:rsidR="00041B7F" w:rsidRPr="004459DB" w:rsidRDefault="00041B7F" w:rsidP="00041B7F">
      <w:pPr>
        <w:pStyle w:val="texto"/>
        <w:jc w:val="both"/>
      </w:pPr>
    </w:p>
    <w:p w14:paraId="2E9C2D3B" w14:textId="77777777" w:rsidR="00041B7F" w:rsidRPr="004459DB" w:rsidRDefault="00041B7F" w:rsidP="00041B7F">
      <w:pPr>
        <w:pStyle w:val="Prrafodelista"/>
        <w:numPr>
          <w:ilvl w:val="0"/>
          <w:numId w:val="38"/>
        </w:numPr>
        <w:spacing w:after="240" w:line="256" w:lineRule="auto"/>
        <w:ind w:left="714" w:hanging="357"/>
        <w:jc w:val="both"/>
        <w:rPr>
          <w:sz w:val="26"/>
          <w:szCs w:val="26"/>
        </w:rPr>
      </w:pPr>
      <w:r w:rsidRPr="004459DB">
        <w:rPr>
          <w:sz w:val="26"/>
          <w:szCs w:val="26"/>
        </w:rPr>
        <w:t xml:space="preserve">Criterios cualitativos </w:t>
      </w:r>
      <w:r>
        <w:rPr>
          <w:sz w:val="26"/>
          <w:szCs w:val="26"/>
        </w:rPr>
        <w:t xml:space="preserve">evaluables </w:t>
      </w:r>
      <w:r w:rsidRPr="004459DB">
        <w:rPr>
          <w:sz w:val="26"/>
          <w:szCs w:val="26"/>
        </w:rPr>
        <w:t>mediante juicios de valor (máximo 50 puntos)</w:t>
      </w:r>
    </w:p>
    <w:tbl>
      <w:tblPr>
        <w:tblW w:w="8931" w:type="dxa"/>
        <w:tblCellMar>
          <w:left w:w="70" w:type="dxa"/>
          <w:right w:w="70" w:type="dxa"/>
        </w:tblCellMar>
        <w:tblLook w:val="04A0" w:firstRow="1" w:lastRow="0" w:firstColumn="1" w:lastColumn="0" w:noHBand="0" w:noVBand="1"/>
      </w:tblPr>
      <w:tblGrid>
        <w:gridCol w:w="5220"/>
        <w:gridCol w:w="3711"/>
      </w:tblGrid>
      <w:tr w:rsidR="00041B7F" w:rsidRPr="005973C4" w14:paraId="5A553CC7" w14:textId="77777777" w:rsidTr="005973C4">
        <w:trPr>
          <w:trHeight w:val="255"/>
        </w:trPr>
        <w:tc>
          <w:tcPr>
            <w:tcW w:w="5220" w:type="dxa"/>
            <w:tcBorders>
              <w:top w:val="single" w:sz="4" w:space="0" w:color="auto"/>
              <w:left w:val="nil"/>
              <w:bottom w:val="single" w:sz="4" w:space="0" w:color="auto"/>
              <w:right w:val="nil"/>
            </w:tcBorders>
            <w:shd w:val="clear" w:color="auto" w:fill="8DB3E2"/>
            <w:vAlign w:val="center"/>
            <w:hideMark/>
          </w:tcPr>
          <w:p w14:paraId="387FF512" w14:textId="77777777" w:rsidR="00041B7F" w:rsidRPr="005973C4" w:rsidRDefault="00041B7F" w:rsidP="00041B7F">
            <w:pPr>
              <w:rPr>
                <w:rFonts w:ascii="Arial" w:hAnsi="Arial" w:cs="Arial"/>
                <w:color w:val="000000"/>
                <w:sz w:val="18"/>
                <w:szCs w:val="18"/>
              </w:rPr>
            </w:pPr>
            <w:r w:rsidRPr="005973C4">
              <w:rPr>
                <w:rFonts w:ascii="Arial" w:hAnsi="Arial" w:cs="Arial"/>
                <w:color w:val="000000"/>
                <w:sz w:val="18"/>
                <w:szCs w:val="18"/>
              </w:rPr>
              <w:t>Concepto</w:t>
            </w:r>
          </w:p>
        </w:tc>
        <w:tc>
          <w:tcPr>
            <w:tcW w:w="3711" w:type="dxa"/>
            <w:tcBorders>
              <w:top w:val="single" w:sz="4" w:space="0" w:color="auto"/>
              <w:left w:val="nil"/>
              <w:bottom w:val="single" w:sz="4" w:space="0" w:color="auto"/>
              <w:right w:val="nil"/>
            </w:tcBorders>
            <w:shd w:val="clear" w:color="auto" w:fill="8DB3E2"/>
            <w:vAlign w:val="center"/>
            <w:hideMark/>
          </w:tcPr>
          <w:p w14:paraId="1FE975B4" w14:textId="77777777" w:rsidR="00041B7F" w:rsidRPr="005973C4" w:rsidRDefault="00041B7F" w:rsidP="00041B7F">
            <w:pPr>
              <w:jc w:val="right"/>
              <w:rPr>
                <w:rFonts w:ascii="Arial" w:hAnsi="Arial" w:cs="Arial"/>
                <w:color w:val="000000"/>
                <w:sz w:val="18"/>
                <w:szCs w:val="18"/>
              </w:rPr>
            </w:pPr>
            <w:r w:rsidRPr="005973C4">
              <w:rPr>
                <w:rFonts w:ascii="Arial" w:hAnsi="Arial" w:cs="Arial"/>
                <w:color w:val="000000"/>
                <w:sz w:val="18"/>
                <w:szCs w:val="18"/>
              </w:rPr>
              <w:t>Puntuación máxima</w:t>
            </w:r>
          </w:p>
        </w:tc>
      </w:tr>
      <w:tr w:rsidR="00041B7F" w:rsidRPr="005973C4" w14:paraId="6BF8E949" w14:textId="77777777" w:rsidTr="0036588C">
        <w:trPr>
          <w:trHeight w:val="154"/>
        </w:trPr>
        <w:tc>
          <w:tcPr>
            <w:tcW w:w="5220" w:type="dxa"/>
            <w:tcBorders>
              <w:top w:val="single" w:sz="4" w:space="0" w:color="auto"/>
              <w:left w:val="nil"/>
              <w:bottom w:val="single" w:sz="4" w:space="0" w:color="auto"/>
              <w:right w:val="nil"/>
            </w:tcBorders>
            <w:vAlign w:val="center"/>
            <w:hideMark/>
          </w:tcPr>
          <w:p w14:paraId="13097596" w14:textId="77777777" w:rsidR="00041B7F" w:rsidRPr="005973C4" w:rsidRDefault="00041B7F" w:rsidP="00041B7F">
            <w:pPr>
              <w:rPr>
                <w:rFonts w:ascii="Arial Narrow" w:hAnsi="Arial Narrow"/>
                <w:color w:val="000000"/>
                <w:sz w:val="20"/>
                <w:szCs w:val="20"/>
              </w:rPr>
            </w:pPr>
            <w:r w:rsidRPr="005973C4">
              <w:rPr>
                <w:rFonts w:ascii="Arial Narrow" w:hAnsi="Arial Narrow"/>
                <w:color w:val="000000"/>
                <w:sz w:val="20"/>
                <w:szCs w:val="20"/>
              </w:rPr>
              <w:t>X1 Memoria técnica</w:t>
            </w:r>
          </w:p>
        </w:tc>
        <w:tc>
          <w:tcPr>
            <w:tcW w:w="3711" w:type="dxa"/>
            <w:tcBorders>
              <w:top w:val="single" w:sz="4" w:space="0" w:color="auto"/>
              <w:left w:val="nil"/>
              <w:bottom w:val="single" w:sz="4" w:space="0" w:color="auto"/>
              <w:right w:val="nil"/>
            </w:tcBorders>
            <w:vAlign w:val="center"/>
            <w:hideMark/>
          </w:tcPr>
          <w:p w14:paraId="6CF0C66B" w14:textId="77777777" w:rsidR="00041B7F" w:rsidRPr="005973C4" w:rsidRDefault="00041B7F" w:rsidP="00041B7F">
            <w:pPr>
              <w:jc w:val="right"/>
              <w:rPr>
                <w:rFonts w:ascii="Arial Narrow" w:hAnsi="Arial Narrow"/>
                <w:color w:val="000000"/>
                <w:sz w:val="20"/>
                <w:szCs w:val="20"/>
              </w:rPr>
            </w:pPr>
            <w:r w:rsidRPr="005973C4">
              <w:rPr>
                <w:rFonts w:ascii="Arial Narrow" w:hAnsi="Arial Narrow"/>
                <w:color w:val="000000"/>
                <w:sz w:val="20"/>
                <w:szCs w:val="20"/>
              </w:rPr>
              <w:t>40</w:t>
            </w:r>
          </w:p>
        </w:tc>
      </w:tr>
      <w:tr w:rsidR="00041B7F" w:rsidRPr="005973C4" w14:paraId="0B298B6D" w14:textId="77777777" w:rsidTr="0036588C">
        <w:trPr>
          <w:trHeight w:val="172"/>
        </w:trPr>
        <w:tc>
          <w:tcPr>
            <w:tcW w:w="5220" w:type="dxa"/>
            <w:tcBorders>
              <w:top w:val="single" w:sz="4" w:space="0" w:color="auto"/>
              <w:left w:val="nil"/>
              <w:bottom w:val="single" w:sz="4" w:space="0" w:color="auto"/>
              <w:right w:val="nil"/>
            </w:tcBorders>
            <w:vAlign w:val="center"/>
            <w:hideMark/>
          </w:tcPr>
          <w:p w14:paraId="471A7D72" w14:textId="77777777" w:rsidR="00041B7F" w:rsidRPr="005973C4" w:rsidRDefault="00041B7F" w:rsidP="00041B7F">
            <w:pPr>
              <w:rPr>
                <w:rFonts w:ascii="Arial Narrow" w:hAnsi="Arial Narrow"/>
                <w:color w:val="000000"/>
                <w:sz w:val="20"/>
                <w:szCs w:val="20"/>
              </w:rPr>
            </w:pPr>
            <w:r w:rsidRPr="005973C4">
              <w:rPr>
                <w:rFonts w:ascii="Arial Narrow" w:hAnsi="Arial Narrow"/>
                <w:color w:val="000000"/>
                <w:sz w:val="20"/>
                <w:szCs w:val="20"/>
              </w:rPr>
              <w:t>X2 Programa de obra</w:t>
            </w:r>
          </w:p>
        </w:tc>
        <w:tc>
          <w:tcPr>
            <w:tcW w:w="3711" w:type="dxa"/>
            <w:tcBorders>
              <w:top w:val="single" w:sz="4" w:space="0" w:color="auto"/>
              <w:left w:val="nil"/>
              <w:bottom w:val="single" w:sz="4" w:space="0" w:color="auto"/>
              <w:right w:val="nil"/>
            </w:tcBorders>
            <w:vAlign w:val="center"/>
            <w:hideMark/>
          </w:tcPr>
          <w:p w14:paraId="5E4B55DB" w14:textId="77777777" w:rsidR="00041B7F" w:rsidRPr="005973C4" w:rsidRDefault="00041B7F" w:rsidP="00041B7F">
            <w:pPr>
              <w:jc w:val="right"/>
              <w:rPr>
                <w:rFonts w:ascii="Arial Narrow" w:hAnsi="Arial Narrow"/>
                <w:color w:val="000000"/>
                <w:sz w:val="20"/>
                <w:szCs w:val="20"/>
              </w:rPr>
            </w:pPr>
            <w:r w:rsidRPr="005973C4">
              <w:rPr>
                <w:rFonts w:ascii="Arial Narrow" w:hAnsi="Arial Narrow"/>
                <w:color w:val="000000"/>
                <w:sz w:val="20"/>
                <w:szCs w:val="20"/>
              </w:rPr>
              <w:t>10</w:t>
            </w:r>
          </w:p>
        </w:tc>
      </w:tr>
    </w:tbl>
    <w:p w14:paraId="53D69868" w14:textId="77777777" w:rsidR="00041B7F" w:rsidRPr="004459DB" w:rsidRDefault="00041B7F" w:rsidP="00041B7F">
      <w:pPr>
        <w:jc w:val="both"/>
        <w:rPr>
          <w:sz w:val="26"/>
          <w:szCs w:val="26"/>
        </w:rPr>
      </w:pPr>
    </w:p>
    <w:tbl>
      <w:tblPr>
        <w:tblW w:w="8931" w:type="dxa"/>
        <w:tblCellMar>
          <w:left w:w="70" w:type="dxa"/>
          <w:right w:w="70" w:type="dxa"/>
        </w:tblCellMar>
        <w:tblLook w:val="04A0" w:firstRow="1" w:lastRow="0" w:firstColumn="1" w:lastColumn="0" w:noHBand="0" w:noVBand="1"/>
      </w:tblPr>
      <w:tblGrid>
        <w:gridCol w:w="6663"/>
        <w:gridCol w:w="2268"/>
      </w:tblGrid>
      <w:tr w:rsidR="00041B7F" w:rsidRPr="005973C4" w14:paraId="6E52082C" w14:textId="77777777" w:rsidTr="00695412">
        <w:trPr>
          <w:trHeight w:val="255"/>
        </w:trPr>
        <w:tc>
          <w:tcPr>
            <w:tcW w:w="6663" w:type="dxa"/>
            <w:tcBorders>
              <w:top w:val="single" w:sz="4" w:space="0" w:color="auto"/>
              <w:left w:val="nil"/>
              <w:bottom w:val="single" w:sz="4" w:space="0" w:color="auto"/>
              <w:right w:val="nil"/>
            </w:tcBorders>
            <w:shd w:val="clear" w:color="auto" w:fill="8DB3E2"/>
            <w:vAlign w:val="center"/>
            <w:hideMark/>
          </w:tcPr>
          <w:p w14:paraId="6AA1B661" w14:textId="77777777" w:rsidR="00041B7F" w:rsidRPr="005973C4" w:rsidRDefault="00041B7F" w:rsidP="00041B7F">
            <w:pPr>
              <w:rPr>
                <w:rFonts w:ascii="Arial" w:hAnsi="Arial" w:cs="Arial"/>
                <w:color w:val="000000"/>
                <w:sz w:val="18"/>
                <w:szCs w:val="18"/>
              </w:rPr>
            </w:pPr>
            <w:r w:rsidRPr="005973C4">
              <w:rPr>
                <w:rFonts w:ascii="Arial" w:hAnsi="Arial" w:cs="Arial"/>
                <w:color w:val="000000"/>
                <w:sz w:val="18"/>
                <w:szCs w:val="18"/>
              </w:rPr>
              <w:t>X1 Memoria Técnica</w:t>
            </w:r>
          </w:p>
        </w:tc>
        <w:tc>
          <w:tcPr>
            <w:tcW w:w="2268" w:type="dxa"/>
            <w:tcBorders>
              <w:top w:val="single" w:sz="4" w:space="0" w:color="auto"/>
              <w:left w:val="nil"/>
              <w:bottom w:val="single" w:sz="4" w:space="0" w:color="auto"/>
              <w:right w:val="nil"/>
            </w:tcBorders>
            <w:shd w:val="clear" w:color="auto" w:fill="8DB3E2"/>
            <w:vAlign w:val="center"/>
            <w:hideMark/>
          </w:tcPr>
          <w:p w14:paraId="58DE96F5" w14:textId="77777777" w:rsidR="00041B7F" w:rsidRPr="005973C4" w:rsidRDefault="00041B7F" w:rsidP="00041B7F">
            <w:pPr>
              <w:jc w:val="right"/>
              <w:rPr>
                <w:rFonts w:ascii="Arial" w:hAnsi="Arial" w:cs="Arial"/>
                <w:color w:val="000000"/>
                <w:sz w:val="18"/>
                <w:szCs w:val="18"/>
              </w:rPr>
            </w:pPr>
            <w:r w:rsidRPr="005973C4">
              <w:rPr>
                <w:rFonts w:ascii="Arial" w:hAnsi="Arial" w:cs="Arial"/>
                <w:color w:val="000000"/>
                <w:sz w:val="18"/>
                <w:szCs w:val="18"/>
              </w:rPr>
              <w:t>Puntuación máxima</w:t>
            </w:r>
          </w:p>
        </w:tc>
      </w:tr>
      <w:tr w:rsidR="00041B7F" w:rsidRPr="005973C4" w14:paraId="4FE343A5" w14:textId="77777777" w:rsidTr="005973C4">
        <w:trPr>
          <w:trHeight w:val="198"/>
        </w:trPr>
        <w:tc>
          <w:tcPr>
            <w:tcW w:w="6663" w:type="dxa"/>
            <w:tcBorders>
              <w:top w:val="single" w:sz="4" w:space="0" w:color="auto"/>
              <w:left w:val="nil"/>
              <w:bottom w:val="single" w:sz="2" w:space="0" w:color="auto"/>
              <w:right w:val="nil"/>
            </w:tcBorders>
            <w:vAlign w:val="center"/>
            <w:hideMark/>
          </w:tcPr>
          <w:p w14:paraId="5C1071A6" w14:textId="77777777" w:rsidR="00041B7F" w:rsidRPr="005973C4" w:rsidRDefault="00041B7F" w:rsidP="00041B7F">
            <w:pPr>
              <w:rPr>
                <w:rFonts w:ascii="Arial Narrow" w:hAnsi="Arial Narrow"/>
                <w:color w:val="000000"/>
                <w:sz w:val="20"/>
                <w:szCs w:val="20"/>
              </w:rPr>
            </w:pPr>
            <w:r w:rsidRPr="005973C4">
              <w:rPr>
                <w:rFonts w:ascii="Arial Narrow" w:hAnsi="Arial Narrow"/>
                <w:color w:val="000000"/>
                <w:sz w:val="20"/>
                <w:szCs w:val="20"/>
              </w:rPr>
              <w:t>X1.1 Análisis del proyecto</w:t>
            </w:r>
          </w:p>
        </w:tc>
        <w:tc>
          <w:tcPr>
            <w:tcW w:w="2268" w:type="dxa"/>
            <w:tcBorders>
              <w:top w:val="single" w:sz="4" w:space="0" w:color="auto"/>
              <w:left w:val="nil"/>
              <w:bottom w:val="single" w:sz="2" w:space="0" w:color="auto"/>
              <w:right w:val="nil"/>
            </w:tcBorders>
            <w:vAlign w:val="center"/>
            <w:hideMark/>
          </w:tcPr>
          <w:p w14:paraId="7DE4DC45" w14:textId="77777777" w:rsidR="00041B7F" w:rsidRPr="005973C4" w:rsidRDefault="00041B7F" w:rsidP="00041B7F">
            <w:pPr>
              <w:jc w:val="right"/>
              <w:rPr>
                <w:rFonts w:ascii="Arial Narrow" w:hAnsi="Arial Narrow"/>
                <w:color w:val="000000"/>
                <w:sz w:val="20"/>
                <w:szCs w:val="20"/>
              </w:rPr>
            </w:pPr>
            <w:r w:rsidRPr="005973C4">
              <w:rPr>
                <w:rFonts w:ascii="Arial Narrow" w:hAnsi="Arial Narrow"/>
                <w:color w:val="000000"/>
                <w:sz w:val="20"/>
                <w:szCs w:val="20"/>
              </w:rPr>
              <w:t>10</w:t>
            </w:r>
          </w:p>
        </w:tc>
      </w:tr>
      <w:tr w:rsidR="00041B7F" w:rsidRPr="005973C4" w14:paraId="308804F7" w14:textId="77777777" w:rsidTr="005973C4">
        <w:trPr>
          <w:trHeight w:val="198"/>
        </w:trPr>
        <w:tc>
          <w:tcPr>
            <w:tcW w:w="6663" w:type="dxa"/>
            <w:tcBorders>
              <w:top w:val="single" w:sz="2" w:space="0" w:color="auto"/>
              <w:left w:val="nil"/>
              <w:bottom w:val="single" w:sz="2" w:space="0" w:color="auto"/>
              <w:right w:val="nil"/>
            </w:tcBorders>
            <w:vAlign w:val="center"/>
            <w:hideMark/>
          </w:tcPr>
          <w:p w14:paraId="5CA6DF17" w14:textId="77777777" w:rsidR="00041B7F" w:rsidRPr="005973C4" w:rsidRDefault="00041B7F" w:rsidP="00041B7F">
            <w:pPr>
              <w:rPr>
                <w:rFonts w:ascii="Arial Narrow" w:hAnsi="Arial Narrow"/>
                <w:color w:val="000000"/>
                <w:sz w:val="20"/>
                <w:szCs w:val="20"/>
              </w:rPr>
            </w:pPr>
            <w:r w:rsidRPr="005973C4">
              <w:rPr>
                <w:rFonts w:ascii="Arial Narrow" w:hAnsi="Arial Narrow"/>
                <w:color w:val="000000"/>
                <w:sz w:val="20"/>
                <w:szCs w:val="20"/>
              </w:rPr>
              <w:t>X1.2 Descripción de las actividades más compleja previstas en la obra, y propuesta de los procesos constructivos más seguros para su ejecución</w:t>
            </w:r>
          </w:p>
        </w:tc>
        <w:tc>
          <w:tcPr>
            <w:tcW w:w="2268" w:type="dxa"/>
            <w:tcBorders>
              <w:top w:val="single" w:sz="2" w:space="0" w:color="auto"/>
              <w:left w:val="nil"/>
              <w:bottom w:val="single" w:sz="2" w:space="0" w:color="auto"/>
              <w:right w:val="nil"/>
            </w:tcBorders>
            <w:vAlign w:val="center"/>
            <w:hideMark/>
          </w:tcPr>
          <w:p w14:paraId="08C96082" w14:textId="77777777" w:rsidR="00041B7F" w:rsidRPr="005973C4" w:rsidRDefault="00041B7F" w:rsidP="00041B7F">
            <w:pPr>
              <w:jc w:val="right"/>
              <w:rPr>
                <w:rFonts w:ascii="Arial Narrow" w:hAnsi="Arial Narrow"/>
                <w:color w:val="000000"/>
                <w:sz w:val="20"/>
                <w:szCs w:val="20"/>
              </w:rPr>
            </w:pPr>
            <w:r w:rsidRPr="005973C4">
              <w:rPr>
                <w:rFonts w:ascii="Arial Narrow" w:hAnsi="Arial Narrow"/>
                <w:color w:val="000000"/>
                <w:sz w:val="20"/>
                <w:szCs w:val="20"/>
              </w:rPr>
              <w:t>20</w:t>
            </w:r>
          </w:p>
        </w:tc>
      </w:tr>
      <w:tr w:rsidR="00041B7F" w:rsidRPr="005973C4" w14:paraId="75ED6AD4" w14:textId="77777777" w:rsidTr="00C53198">
        <w:trPr>
          <w:trHeight w:val="198"/>
        </w:trPr>
        <w:tc>
          <w:tcPr>
            <w:tcW w:w="6663" w:type="dxa"/>
            <w:tcBorders>
              <w:top w:val="single" w:sz="2" w:space="0" w:color="auto"/>
              <w:left w:val="nil"/>
              <w:bottom w:val="single" w:sz="4" w:space="0" w:color="auto"/>
              <w:right w:val="nil"/>
            </w:tcBorders>
            <w:vAlign w:val="center"/>
            <w:hideMark/>
          </w:tcPr>
          <w:p w14:paraId="6D3331DF" w14:textId="77777777" w:rsidR="00041B7F" w:rsidRPr="005973C4" w:rsidRDefault="00041B7F" w:rsidP="00041B7F">
            <w:pPr>
              <w:rPr>
                <w:rFonts w:ascii="Arial Narrow" w:hAnsi="Arial Narrow"/>
                <w:color w:val="000000"/>
                <w:sz w:val="20"/>
                <w:szCs w:val="20"/>
              </w:rPr>
            </w:pPr>
            <w:r w:rsidRPr="005973C4">
              <w:rPr>
                <w:rFonts w:ascii="Arial Narrow" w:hAnsi="Arial Narrow"/>
                <w:color w:val="000000"/>
                <w:sz w:val="20"/>
                <w:szCs w:val="20"/>
              </w:rPr>
              <w:t>X1.3 Análisis de los desvíos provisionales propuestos y su afección al tráfico</w:t>
            </w:r>
          </w:p>
        </w:tc>
        <w:tc>
          <w:tcPr>
            <w:tcW w:w="2268" w:type="dxa"/>
            <w:tcBorders>
              <w:top w:val="single" w:sz="2" w:space="0" w:color="auto"/>
              <w:left w:val="nil"/>
              <w:bottom w:val="single" w:sz="4" w:space="0" w:color="auto"/>
              <w:right w:val="nil"/>
            </w:tcBorders>
            <w:vAlign w:val="center"/>
            <w:hideMark/>
          </w:tcPr>
          <w:p w14:paraId="600D366A" w14:textId="77777777" w:rsidR="00041B7F" w:rsidRPr="005973C4" w:rsidRDefault="00041B7F" w:rsidP="00041B7F">
            <w:pPr>
              <w:jc w:val="right"/>
              <w:rPr>
                <w:rFonts w:ascii="Arial Narrow" w:hAnsi="Arial Narrow"/>
                <w:color w:val="000000"/>
                <w:sz w:val="20"/>
                <w:szCs w:val="20"/>
              </w:rPr>
            </w:pPr>
            <w:r w:rsidRPr="005973C4">
              <w:rPr>
                <w:rFonts w:ascii="Arial Narrow" w:hAnsi="Arial Narrow"/>
                <w:color w:val="000000"/>
                <w:sz w:val="20"/>
                <w:szCs w:val="20"/>
              </w:rPr>
              <w:t>5</w:t>
            </w:r>
          </w:p>
        </w:tc>
      </w:tr>
      <w:tr w:rsidR="00041B7F" w:rsidRPr="005973C4" w14:paraId="0B5B33B1" w14:textId="77777777" w:rsidTr="00C53198">
        <w:trPr>
          <w:trHeight w:val="198"/>
        </w:trPr>
        <w:tc>
          <w:tcPr>
            <w:tcW w:w="6663" w:type="dxa"/>
            <w:tcBorders>
              <w:top w:val="single" w:sz="4" w:space="0" w:color="auto"/>
              <w:left w:val="nil"/>
              <w:bottom w:val="single" w:sz="4" w:space="0" w:color="auto"/>
              <w:right w:val="nil"/>
            </w:tcBorders>
            <w:vAlign w:val="center"/>
            <w:hideMark/>
          </w:tcPr>
          <w:p w14:paraId="30283D8E" w14:textId="77777777" w:rsidR="00041B7F" w:rsidRPr="005973C4" w:rsidRDefault="00041B7F" w:rsidP="00041B7F">
            <w:pPr>
              <w:rPr>
                <w:rFonts w:ascii="Arial Narrow" w:hAnsi="Arial Narrow"/>
                <w:color w:val="000000"/>
                <w:sz w:val="20"/>
                <w:szCs w:val="20"/>
              </w:rPr>
            </w:pPr>
            <w:r w:rsidRPr="005973C4">
              <w:rPr>
                <w:rFonts w:ascii="Arial Narrow" w:hAnsi="Arial Narrow"/>
                <w:color w:val="000000"/>
                <w:sz w:val="20"/>
                <w:szCs w:val="20"/>
              </w:rPr>
              <w:t>X1.4 Análisis de los servicios afectados y sus reposiciones</w:t>
            </w:r>
          </w:p>
        </w:tc>
        <w:tc>
          <w:tcPr>
            <w:tcW w:w="2268" w:type="dxa"/>
            <w:tcBorders>
              <w:top w:val="single" w:sz="4" w:space="0" w:color="auto"/>
              <w:left w:val="nil"/>
              <w:bottom w:val="single" w:sz="4" w:space="0" w:color="auto"/>
              <w:right w:val="nil"/>
            </w:tcBorders>
            <w:vAlign w:val="center"/>
            <w:hideMark/>
          </w:tcPr>
          <w:p w14:paraId="12CE31DA" w14:textId="77777777" w:rsidR="00041B7F" w:rsidRPr="005973C4" w:rsidRDefault="00041B7F" w:rsidP="00041B7F">
            <w:pPr>
              <w:jc w:val="right"/>
              <w:rPr>
                <w:rFonts w:ascii="Arial Narrow" w:hAnsi="Arial Narrow"/>
                <w:color w:val="000000"/>
                <w:sz w:val="20"/>
                <w:szCs w:val="20"/>
              </w:rPr>
            </w:pPr>
            <w:r w:rsidRPr="005973C4">
              <w:rPr>
                <w:rFonts w:ascii="Arial Narrow" w:hAnsi="Arial Narrow"/>
                <w:color w:val="000000"/>
                <w:sz w:val="20"/>
                <w:szCs w:val="20"/>
              </w:rPr>
              <w:t>5</w:t>
            </w:r>
          </w:p>
        </w:tc>
      </w:tr>
    </w:tbl>
    <w:p w14:paraId="44DAC952" w14:textId="77777777" w:rsidR="00041B7F" w:rsidRDefault="00041B7F" w:rsidP="00041B7F">
      <w:pPr>
        <w:pStyle w:val="Prrafodelista"/>
        <w:spacing w:after="160" w:line="256" w:lineRule="auto"/>
        <w:jc w:val="both"/>
        <w:rPr>
          <w:sz w:val="26"/>
          <w:szCs w:val="26"/>
        </w:rPr>
      </w:pPr>
    </w:p>
    <w:tbl>
      <w:tblPr>
        <w:tblW w:w="8931" w:type="dxa"/>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480"/>
        <w:gridCol w:w="6891"/>
        <w:gridCol w:w="567"/>
        <w:gridCol w:w="993"/>
      </w:tblGrid>
      <w:tr w:rsidR="00041B7F" w:rsidRPr="005973C4" w14:paraId="0D3E5C93" w14:textId="77777777" w:rsidTr="00B81AF3">
        <w:trPr>
          <w:trHeight w:val="255"/>
        </w:trPr>
        <w:tc>
          <w:tcPr>
            <w:tcW w:w="480" w:type="dxa"/>
            <w:tcBorders>
              <w:top w:val="single" w:sz="2" w:space="0" w:color="auto"/>
              <w:bottom w:val="single" w:sz="4" w:space="0" w:color="auto"/>
            </w:tcBorders>
            <w:shd w:val="clear" w:color="auto" w:fill="8DB3E2" w:themeFill="text2" w:themeFillTint="66"/>
            <w:noWrap/>
            <w:vAlign w:val="bottom"/>
            <w:hideMark/>
          </w:tcPr>
          <w:p w14:paraId="186A1539" w14:textId="77777777" w:rsidR="00041B7F" w:rsidRPr="005973C4" w:rsidRDefault="00041B7F" w:rsidP="00041B7F">
            <w:pPr>
              <w:rPr>
                <w:rFonts w:ascii="Arial" w:hAnsi="Arial" w:cs="Arial"/>
                <w:sz w:val="26"/>
                <w:szCs w:val="26"/>
              </w:rPr>
            </w:pPr>
          </w:p>
        </w:tc>
        <w:tc>
          <w:tcPr>
            <w:tcW w:w="6891" w:type="dxa"/>
            <w:tcBorders>
              <w:top w:val="single" w:sz="2" w:space="0" w:color="auto"/>
              <w:bottom w:val="single" w:sz="2" w:space="0" w:color="auto"/>
            </w:tcBorders>
            <w:shd w:val="clear" w:color="auto" w:fill="8DB3E2" w:themeFill="text2" w:themeFillTint="66"/>
            <w:vAlign w:val="center"/>
            <w:hideMark/>
          </w:tcPr>
          <w:p w14:paraId="38BCFBA8" w14:textId="77777777" w:rsidR="00041B7F" w:rsidRPr="005973C4" w:rsidRDefault="00041B7F" w:rsidP="005973C4">
            <w:pPr>
              <w:jc w:val="both"/>
              <w:rPr>
                <w:rFonts w:ascii="Arial" w:hAnsi="Arial" w:cs="Arial"/>
                <w:color w:val="000000"/>
                <w:sz w:val="18"/>
                <w:szCs w:val="18"/>
              </w:rPr>
            </w:pPr>
            <w:r w:rsidRPr="005973C4">
              <w:rPr>
                <w:rFonts w:ascii="Arial" w:hAnsi="Arial" w:cs="Arial"/>
                <w:color w:val="000000"/>
                <w:sz w:val="18"/>
                <w:szCs w:val="18"/>
              </w:rPr>
              <w:t>X2 Programa de obra</w:t>
            </w:r>
          </w:p>
        </w:tc>
        <w:tc>
          <w:tcPr>
            <w:tcW w:w="1560" w:type="dxa"/>
            <w:gridSpan w:val="2"/>
            <w:tcBorders>
              <w:top w:val="single" w:sz="2" w:space="0" w:color="auto"/>
              <w:bottom w:val="single" w:sz="2" w:space="0" w:color="auto"/>
            </w:tcBorders>
            <w:shd w:val="clear" w:color="auto" w:fill="8DB3E2" w:themeFill="text2" w:themeFillTint="66"/>
            <w:vAlign w:val="center"/>
            <w:hideMark/>
          </w:tcPr>
          <w:p w14:paraId="450F2E9A" w14:textId="77777777" w:rsidR="00041B7F" w:rsidRPr="005973C4" w:rsidRDefault="00041B7F" w:rsidP="00DB18E1">
            <w:pPr>
              <w:jc w:val="right"/>
              <w:rPr>
                <w:rFonts w:ascii="Arial" w:hAnsi="Arial" w:cs="Arial"/>
                <w:color w:val="000000"/>
                <w:sz w:val="18"/>
                <w:szCs w:val="18"/>
              </w:rPr>
            </w:pPr>
            <w:r w:rsidRPr="005973C4">
              <w:rPr>
                <w:rFonts w:ascii="Arial" w:hAnsi="Arial" w:cs="Arial"/>
                <w:color w:val="000000"/>
                <w:sz w:val="18"/>
                <w:szCs w:val="18"/>
              </w:rPr>
              <w:t>Puntuación</w:t>
            </w:r>
          </w:p>
          <w:p w14:paraId="727BAA3A" w14:textId="77777777" w:rsidR="00041B7F" w:rsidRPr="005973C4" w:rsidRDefault="00041B7F" w:rsidP="00DB18E1">
            <w:pPr>
              <w:jc w:val="right"/>
              <w:rPr>
                <w:rFonts w:ascii="Arial" w:hAnsi="Arial" w:cs="Arial"/>
                <w:color w:val="000000"/>
                <w:sz w:val="18"/>
                <w:szCs w:val="18"/>
              </w:rPr>
            </w:pPr>
            <w:r w:rsidRPr="005973C4">
              <w:rPr>
                <w:rFonts w:ascii="Arial" w:hAnsi="Arial" w:cs="Arial"/>
                <w:color w:val="000000"/>
                <w:sz w:val="18"/>
                <w:szCs w:val="18"/>
              </w:rPr>
              <w:t xml:space="preserve"> máxima</w:t>
            </w:r>
          </w:p>
        </w:tc>
      </w:tr>
      <w:tr w:rsidR="00041B7F" w:rsidRPr="004459DB" w14:paraId="5412AC0A" w14:textId="77777777" w:rsidTr="00B81AF3">
        <w:trPr>
          <w:trHeight w:val="236"/>
        </w:trPr>
        <w:tc>
          <w:tcPr>
            <w:tcW w:w="480" w:type="dxa"/>
            <w:vMerge w:val="restart"/>
            <w:tcBorders>
              <w:top w:val="single" w:sz="2" w:space="0" w:color="auto"/>
              <w:bottom w:val="single" w:sz="4" w:space="0" w:color="auto"/>
            </w:tcBorders>
            <w:vAlign w:val="center"/>
            <w:hideMark/>
          </w:tcPr>
          <w:p w14:paraId="2C721D4A" w14:textId="77777777" w:rsidR="00041B7F" w:rsidRPr="005973C4" w:rsidRDefault="00041B7F" w:rsidP="00041B7F">
            <w:pPr>
              <w:jc w:val="center"/>
              <w:rPr>
                <w:rFonts w:ascii="Arial Narrow" w:hAnsi="Arial Narrow"/>
                <w:color w:val="000000"/>
                <w:sz w:val="20"/>
                <w:szCs w:val="20"/>
              </w:rPr>
            </w:pPr>
            <w:r w:rsidRPr="005973C4">
              <w:rPr>
                <w:rFonts w:ascii="Arial Narrow" w:hAnsi="Arial Narrow"/>
                <w:color w:val="000000"/>
                <w:sz w:val="20"/>
                <w:szCs w:val="20"/>
              </w:rPr>
              <w:t>X2</w:t>
            </w:r>
          </w:p>
        </w:tc>
        <w:tc>
          <w:tcPr>
            <w:tcW w:w="7458" w:type="dxa"/>
            <w:gridSpan w:val="2"/>
            <w:tcBorders>
              <w:top w:val="single" w:sz="2" w:space="0" w:color="auto"/>
              <w:bottom w:val="nil"/>
            </w:tcBorders>
            <w:vAlign w:val="center"/>
            <w:hideMark/>
          </w:tcPr>
          <w:p w14:paraId="30DA67F7" w14:textId="77777777" w:rsidR="00041B7F" w:rsidRPr="005973C4" w:rsidRDefault="00041B7F" w:rsidP="00041B7F">
            <w:pPr>
              <w:rPr>
                <w:rFonts w:ascii="Arial Narrow" w:hAnsi="Arial Narrow"/>
                <w:color w:val="000000"/>
                <w:sz w:val="20"/>
                <w:szCs w:val="20"/>
              </w:rPr>
            </w:pPr>
            <w:r w:rsidRPr="005973C4">
              <w:rPr>
                <w:rFonts w:ascii="Arial Narrow" w:hAnsi="Arial Narrow"/>
                <w:color w:val="000000"/>
                <w:sz w:val="20"/>
                <w:szCs w:val="20"/>
              </w:rPr>
              <w:t xml:space="preserve">Diagrama de </w:t>
            </w:r>
            <w:proofErr w:type="spellStart"/>
            <w:r w:rsidRPr="005973C4">
              <w:rPr>
                <w:rFonts w:ascii="Arial Narrow" w:hAnsi="Arial Narrow"/>
                <w:color w:val="000000"/>
                <w:sz w:val="20"/>
                <w:szCs w:val="20"/>
              </w:rPr>
              <w:t>grant</w:t>
            </w:r>
            <w:proofErr w:type="spellEnd"/>
            <w:r w:rsidRPr="005973C4">
              <w:rPr>
                <w:rFonts w:ascii="Arial Narrow" w:hAnsi="Arial Narrow"/>
                <w:color w:val="000000"/>
                <w:sz w:val="20"/>
                <w:szCs w:val="20"/>
              </w:rPr>
              <w:t xml:space="preserve"> o similar que contenga:</w:t>
            </w:r>
          </w:p>
        </w:tc>
        <w:tc>
          <w:tcPr>
            <w:tcW w:w="993" w:type="dxa"/>
            <w:vMerge w:val="restart"/>
            <w:tcBorders>
              <w:top w:val="single" w:sz="2" w:space="0" w:color="auto"/>
            </w:tcBorders>
            <w:vAlign w:val="center"/>
            <w:hideMark/>
          </w:tcPr>
          <w:p w14:paraId="45D33E87" w14:textId="77777777" w:rsidR="00041B7F" w:rsidRPr="005973C4" w:rsidRDefault="00041B7F" w:rsidP="00DB18E1">
            <w:pPr>
              <w:jc w:val="right"/>
              <w:rPr>
                <w:rFonts w:ascii="Arial Narrow" w:hAnsi="Arial Narrow"/>
                <w:color w:val="000000"/>
                <w:sz w:val="20"/>
                <w:szCs w:val="20"/>
              </w:rPr>
            </w:pPr>
            <w:r w:rsidRPr="005973C4">
              <w:rPr>
                <w:rFonts w:ascii="Arial Narrow" w:hAnsi="Arial Narrow"/>
                <w:color w:val="000000"/>
                <w:sz w:val="20"/>
                <w:szCs w:val="20"/>
              </w:rPr>
              <w:t>10</w:t>
            </w:r>
          </w:p>
        </w:tc>
      </w:tr>
      <w:tr w:rsidR="00041B7F" w:rsidRPr="004459DB" w14:paraId="2AFC1673" w14:textId="77777777" w:rsidTr="00B81AF3">
        <w:trPr>
          <w:trHeight w:val="254"/>
        </w:trPr>
        <w:tc>
          <w:tcPr>
            <w:tcW w:w="480" w:type="dxa"/>
            <w:vMerge/>
            <w:tcBorders>
              <w:bottom w:val="single" w:sz="4" w:space="0" w:color="auto"/>
            </w:tcBorders>
            <w:vAlign w:val="center"/>
            <w:hideMark/>
          </w:tcPr>
          <w:p w14:paraId="6B5EE428" w14:textId="77777777" w:rsidR="00041B7F" w:rsidRPr="005973C4" w:rsidRDefault="00041B7F" w:rsidP="00041B7F">
            <w:pPr>
              <w:rPr>
                <w:rFonts w:ascii="Arial Narrow" w:hAnsi="Arial Narrow"/>
                <w:color w:val="000000"/>
                <w:sz w:val="20"/>
                <w:szCs w:val="20"/>
              </w:rPr>
            </w:pPr>
          </w:p>
        </w:tc>
        <w:tc>
          <w:tcPr>
            <w:tcW w:w="7458" w:type="dxa"/>
            <w:gridSpan w:val="2"/>
            <w:tcBorders>
              <w:top w:val="nil"/>
              <w:bottom w:val="single" w:sz="2" w:space="0" w:color="auto"/>
            </w:tcBorders>
            <w:vAlign w:val="center"/>
            <w:hideMark/>
          </w:tcPr>
          <w:p w14:paraId="3263BB48" w14:textId="77777777" w:rsidR="00041B7F" w:rsidRPr="005973C4" w:rsidRDefault="00041B7F" w:rsidP="00041B7F">
            <w:pPr>
              <w:pStyle w:val="Prrafodelista"/>
              <w:numPr>
                <w:ilvl w:val="0"/>
                <w:numId w:val="17"/>
              </w:numPr>
              <w:rPr>
                <w:rFonts w:ascii="Arial Narrow" w:hAnsi="Arial Narrow"/>
                <w:color w:val="000000"/>
                <w:sz w:val="20"/>
                <w:szCs w:val="20"/>
              </w:rPr>
            </w:pPr>
            <w:r w:rsidRPr="005973C4">
              <w:rPr>
                <w:rFonts w:ascii="Arial Narrow" w:hAnsi="Arial Narrow"/>
                <w:color w:val="000000"/>
                <w:sz w:val="20"/>
                <w:szCs w:val="20"/>
              </w:rPr>
              <w:t>Lista de actividades</w:t>
            </w:r>
          </w:p>
        </w:tc>
        <w:tc>
          <w:tcPr>
            <w:tcW w:w="993" w:type="dxa"/>
            <w:vMerge/>
            <w:vAlign w:val="center"/>
            <w:hideMark/>
          </w:tcPr>
          <w:p w14:paraId="37149099" w14:textId="77777777" w:rsidR="00041B7F" w:rsidRPr="004459DB" w:rsidRDefault="00041B7F" w:rsidP="00041B7F">
            <w:pPr>
              <w:rPr>
                <w:color w:val="000000"/>
                <w:sz w:val="18"/>
                <w:szCs w:val="18"/>
              </w:rPr>
            </w:pPr>
          </w:p>
        </w:tc>
      </w:tr>
      <w:tr w:rsidR="00041B7F" w:rsidRPr="004459DB" w14:paraId="74278E34" w14:textId="77777777" w:rsidTr="00B81AF3">
        <w:trPr>
          <w:trHeight w:val="273"/>
        </w:trPr>
        <w:tc>
          <w:tcPr>
            <w:tcW w:w="480" w:type="dxa"/>
            <w:vMerge/>
            <w:tcBorders>
              <w:bottom w:val="single" w:sz="4" w:space="0" w:color="auto"/>
            </w:tcBorders>
            <w:vAlign w:val="center"/>
            <w:hideMark/>
          </w:tcPr>
          <w:p w14:paraId="23F5FD97" w14:textId="77777777" w:rsidR="00041B7F" w:rsidRPr="005973C4" w:rsidRDefault="00041B7F" w:rsidP="00041B7F">
            <w:pPr>
              <w:rPr>
                <w:rFonts w:ascii="Arial Narrow" w:hAnsi="Arial Narrow"/>
                <w:color w:val="000000"/>
                <w:sz w:val="20"/>
                <w:szCs w:val="20"/>
              </w:rPr>
            </w:pPr>
          </w:p>
        </w:tc>
        <w:tc>
          <w:tcPr>
            <w:tcW w:w="7458" w:type="dxa"/>
            <w:gridSpan w:val="2"/>
            <w:tcBorders>
              <w:top w:val="single" w:sz="2" w:space="0" w:color="auto"/>
              <w:bottom w:val="single" w:sz="2" w:space="0" w:color="auto"/>
            </w:tcBorders>
            <w:vAlign w:val="center"/>
            <w:hideMark/>
          </w:tcPr>
          <w:p w14:paraId="2F0E4C18" w14:textId="77777777" w:rsidR="00041B7F" w:rsidRPr="005973C4" w:rsidRDefault="00041B7F" w:rsidP="00041B7F">
            <w:pPr>
              <w:pStyle w:val="Prrafodelista"/>
              <w:numPr>
                <w:ilvl w:val="0"/>
                <w:numId w:val="17"/>
              </w:numPr>
              <w:pBdr>
                <w:bottom w:val="single" w:sz="4" w:space="1" w:color="auto"/>
              </w:pBdr>
              <w:rPr>
                <w:rFonts w:ascii="Arial Narrow" w:hAnsi="Arial Narrow"/>
                <w:color w:val="000000"/>
                <w:sz w:val="20"/>
                <w:szCs w:val="20"/>
              </w:rPr>
            </w:pPr>
            <w:r w:rsidRPr="005973C4">
              <w:rPr>
                <w:rFonts w:ascii="Arial Narrow" w:hAnsi="Arial Narrow"/>
                <w:color w:val="000000"/>
                <w:sz w:val="20"/>
                <w:szCs w:val="20"/>
              </w:rPr>
              <w:t>Duración de las actividades, indicando los rendimientos previstos en cada caso</w:t>
            </w:r>
          </w:p>
          <w:p w14:paraId="5289FE13" w14:textId="77777777" w:rsidR="00041B7F" w:rsidRPr="005973C4" w:rsidRDefault="00041B7F" w:rsidP="00041B7F">
            <w:pPr>
              <w:pStyle w:val="Prrafodelista"/>
              <w:numPr>
                <w:ilvl w:val="0"/>
                <w:numId w:val="17"/>
              </w:numPr>
              <w:rPr>
                <w:rFonts w:ascii="Arial Narrow" w:hAnsi="Arial Narrow"/>
                <w:color w:val="000000"/>
                <w:sz w:val="20"/>
                <w:szCs w:val="20"/>
              </w:rPr>
            </w:pPr>
            <w:r w:rsidRPr="005973C4">
              <w:rPr>
                <w:rFonts w:ascii="Arial Narrow" w:hAnsi="Arial Narrow"/>
                <w:sz w:val="20"/>
                <w:szCs w:val="20"/>
              </w:rPr>
              <w:t>Vínculos entre las actividades</w:t>
            </w:r>
          </w:p>
        </w:tc>
        <w:tc>
          <w:tcPr>
            <w:tcW w:w="993" w:type="dxa"/>
            <w:vMerge/>
            <w:vAlign w:val="center"/>
            <w:hideMark/>
          </w:tcPr>
          <w:p w14:paraId="12E4F213" w14:textId="77777777" w:rsidR="00041B7F" w:rsidRPr="004459DB" w:rsidRDefault="00041B7F" w:rsidP="00041B7F">
            <w:pPr>
              <w:rPr>
                <w:color w:val="000000"/>
                <w:sz w:val="18"/>
                <w:szCs w:val="18"/>
              </w:rPr>
            </w:pPr>
          </w:p>
        </w:tc>
      </w:tr>
      <w:tr w:rsidR="00041B7F" w:rsidRPr="004459DB" w14:paraId="2598823B" w14:textId="77777777" w:rsidTr="00B81AF3">
        <w:trPr>
          <w:trHeight w:val="108"/>
        </w:trPr>
        <w:tc>
          <w:tcPr>
            <w:tcW w:w="480" w:type="dxa"/>
            <w:vMerge/>
            <w:tcBorders>
              <w:bottom w:val="single" w:sz="4" w:space="0" w:color="auto"/>
            </w:tcBorders>
            <w:vAlign w:val="center"/>
            <w:hideMark/>
          </w:tcPr>
          <w:p w14:paraId="2C874FC9" w14:textId="77777777" w:rsidR="00041B7F" w:rsidRPr="004459DB" w:rsidRDefault="00041B7F" w:rsidP="00041B7F">
            <w:pPr>
              <w:rPr>
                <w:color w:val="000000"/>
                <w:sz w:val="18"/>
                <w:szCs w:val="18"/>
              </w:rPr>
            </w:pPr>
          </w:p>
        </w:tc>
        <w:tc>
          <w:tcPr>
            <w:tcW w:w="7458" w:type="dxa"/>
            <w:gridSpan w:val="2"/>
            <w:tcBorders>
              <w:top w:val="single" w:sz="2" w:space="0" w:color="auto"/>
              <w:bottom w:val="single" w:sz="2" w:space="0" w:color="auto"/>
            </w:tcBorders>
            <w:vAlign w:val="center"/>
            <w:hideMark/>
          </w:tcPr>
          <w:p w14:paraId="5E0CA543" w14:textId="77777777" w:rsidR="00041B7F" w:rsidRPr="005973C4" w:rsidRDefault="00041B7F" w:rsidP="00041B7F">
            <w:pPr>
              <w:pStyle w:val="Prrafodelista"/>
              <w:numPr>
                <w:ilvl w:val="0"/>
                <w:numId w:val="17"/>
              </w:numPr>
              <w:rPr>
                <w:rFonts w:ascii="Arial Narrow" w:hAnsi="Arial Narrow"/>
                <w:color w:val="000000"/>
                <w:sz w:val="20"/>
                <w:szCs w:val="20"/>
              </w:rPr>
            </w:pPr>
            <w:r w:rsidRPr="005973C4">
              <w:rPr>
                <w:rFonts w:ascii="Arial Narrow" w:hAnsi="Arial Narrow"/>
                <w:color w:val="000000"/>
                <w:sz w:val="20"/>
                <w:szCs w:val="20"/>
              </w:rPr>
              <w:t>Camino crítico</w:t>
            </w:r>
          </w:p>
        </w:tc>
        <w:tc>
          <w:tcPr>
            <w:tcW w:w="993" w:type="dxa"/>
            <w:vMerge/>
            <w:vAlign w:val="center"/>
            <w:hideMark/>
          </w:tcPr>
          <w:p w14:paraId="262CF3FA" w14:textId="77777777" w:rsidR="00041B7F" w:rsidRPr="004459DB" w:rsidRDefault="00041B7F" w:rsidP="00041B7F">
            <w:pPr>
              <w:rPr>
                <w:color w:val="000000"/>
                <w:sz w:val="18"/>
                <w:szCs w:val="18"/>
              </w:rPr>
            </w:pPr>
          </w:p>
        </w:tc>
      </w:tr>
      <w:tr w:rsidR="00041B7F" w:rsidRPr="004459DB" w14:paraId="70DC8323" w14:textId="77777777" w:rsidTr="00B81AF3">
        <w:trPr>
          <w:trHeight w:val="154"/>
        </w:trPr>
        <w:tc>
          <w:tcPr>
            <w:tcW w:w="480" w:type="dxa"/>
            <w:vMerge/>
            <w:tcBorders>
              <w:bottom w:val="single" w:sz="4" w:space="0" w:color="auto"/>
            </w:tcBorders>
            <w:vAlign w:val="center"/>
            <w:hideMark/>
          </w:tcPr>
          <w:p w14:paraId="66C8E50D" w14:textId="77777777" w:rsidR="00041B7F" w:rsidRPr="004459DB" w:rsidRDefault="00041B7F" w:rsidP="00041B7F">
            <w:pPr>
              <w:rPr>
                <w:color w:val="000000"/>
                <w:sz w:val="18"/>
                <w:szCs w:val="18"/>
              </w:rPr>
            </w:pPr>
          </w:p>
        </w:tc>
        <w:tc>
          <w:tcPr>
            <w:tcW w:w="7458" w:type="dxa"/>
            <w:gridSpan w:val="2"/>
            <w:tcBorders>
              <w:top w:val="single" w:sz="2" w:space="0" w:color="auto"/>
              <w:bottom w:val="single" w:sz="2" w:space="0" w:color="auto"/>
            </w:tcBorders>
            <w:vAlign w:val="center"/>
            <w:hideMark/>
          </w:tcPr>
          <w:p w14:paraId="440818D6" w14:textId="77777777" w:rsidR="00041B7F" w:rsidRPr="005973C4" w:rsidRDefault="00041B7F" w:rsidP="00041B7F">
            <w:pPr>
              <w:pStyle w:val="Prrafodelista"/>
              <w:numPr>
                <w:ilvl w:val="0"/>
                <w:numId w:val="17"/>
              </w:numPr>
              <w:rPr>
                <w:rFonts w:ascii="Arial Narrow" w:hAnsi="Arial Narrow"/>
                <w:color w:val="000000"/>
                <w:sz w:val="20"/>
                <w:szCs w:val="20"/>
              </w:rPr>
            </w:pPr>
            <w:r w:rsidRPr="005973C4">
              <w:rPr>
                <w:rFonts w:ascii="Arial Narrow" w:hAnsi="Arial Narrow"/>
                <w:color w:val="000000"/>
                <w:sz w:val="20"/>
                <w:szCs w:val="20"/>
              </w:rPr>
              <w:t>Condicionantes externos y climatológicos</w:t>
            </w:r>
          </w:p>
        </w:tc>
        <w:tc>
          <w:tcPr>
            <w:tcW w:w="993" w:type="dxa"/>
            <w:vMerge/>
            <w:vAlign w:val="center"/>
            <w:hideMark/>
          </w:tcPr>
          <w:p w14:paraId="05AD9FEA" w14:textId="77777777" w:rsidR="00041B7F" w:rsidRPr="004459DB" w:rsidRDefault="00041B7F" w:rsidP="00041B7F">
            <w:pPr>
              <w:rPr>
                <w:color w:val="000000"/>
                <w:sz w:val="18"/>
                <w:szCs w:val="18"/>
              </w:rPr>
            </w:pPr>
          </w:p>
        </w:tc>
      </w:tr>
    </w:tbl>
    <w:p w14:paraId="569FB938" w14:textId="77777777" w:rsidR="00041B7F" w:rsidRPr="004459DB" w:rsidRDefault="00041B7F" w:rsidP="00041B7F">
      <w:pPr>
        <w:jc w:val="both"/>
        <w:rPr>
          <w:sz w:val="26"/>
          <w:szCs w:val="26"/>
        </w:rPr>
      </w:pPr>
    </w:p>
    <w:p w14:paraId="48917B93" w14:textId="77777777" w:rsidR="00041B7F" w:rsidRPr="004459DB" w:rsidRDefault="00041B7F" w:rsidP="00041B7F">
      <w:pPr>
        <w:pStyle w:val="Prrafodelista"/>
        <w:numPr>
          <w:ilvl w:val="0"/>
          <w:numId w:val="38"/>
        </w:numPr>
        <w:spacing w:after="160" w:line="256" w:lineRule="auto"/>
        <w:jc w:val="both"/>
        <w:rPr>
          <w:sz w:val="26"/>
          <w:szCs w:val="26"/>
        </w:rPr>
      </w:pPr>
      <w:r w:rsidRPr="004459DB">
        <w:rPr>
          <w:sz w:val="26"/>
          <w:szCs w:val="26"/>
        </w:rPr>
        <w:t xml:space="preserve">Criterios cuantitativos </w:t>
      </w:r>
      <w:r>
        <w:rPr>
          <w:sz w:val="26"/>
          <w:szCs w:val="26"/>
        </w:rPr>
        <w:t xml:space="preserve">evaluables </w:t>
      </w:r>
      <w:r w:rsidRPr="004459DB">
        <w:rPr>
          <w:sz w:val="26"/>
          <w:szCs w:val="26"/>
        </w:rPr>
        <w:t xml:space="preserve">mediante fórmulas (máximo 50 puntos) </w:t>
      </w:r>
    </w:p>
    <w:tbl>
      <w:tblPr>
        <w:tblW w:w="8789" w:type="dxa"/>
        <w:tblCellMar>
          <w:left w:w="70" w:type="dxa"/>
          <w:right w:w="70" w:type="dxa"/>
        </w:tblCellMar>
        <w:tblLook w:val="04A0" w:firstRow="1" w:lastRow="0" w:firstColumn="1" w:lastColumn="0" w:noHBand="0" w:noVBand="1"/>
      </w:tblPr>
      <w:tblGrid>
        <w:gridCol w:w="5220"/>
        <w:gridCol w:w="3569"/>
      </w:tblGrid>
      <w:tr w:rsidR="00041B7F" w:rsidRPr="00DB18E1" w14:paraId="78214A3A" w14:textId="77777777" w:rsidTr="00B81AF3">
        <w:trPr>
          <w:trHeight w:val="255"/>
        </w:trPr>
        <w:tc>
          <w:tcPr>
            <w:tcW w:w="5220" w:type="dxa"/>
            <w:tcBorders>
              <w:top w:val="single" w:sz="4" w:space="0" w:color="auto"/>
              <w:left w:val="nil"/>
              <w:bottom w:val="single" w:sz="4" w:space="0" w:color="auto"/>
              <w:right w:val="nil"/>
            </w:tcBorders>
            <w:shd w:val="clear" w:color="auto" w:fill="8DB3E2"/>
            <w:vAlign w:val="center"/>
            <w:hideMark/>
          </w:tcPr>
          <w:p w14:paraId="103E9544" w14:textId="77777777" w:rsidR="00041B7F" w:rsidRPr="00DB18E1" w:rsidRDefault="00041B7F" w:rsidP="00041B7F">
            <w:pPr>
              <w:rPr>
                <w:rFonts w:ascii="Arial" w:hAnsi="Arial" w:cs="Arial"/>
                <w:color w:val="000000"/>
                <w:sz w:val="18"/>
                <w:szCs w:val="18"/>
              </w:rPr>
            </w:pPr>
            <w:r w:rsidRPr="00DB18E1">
              <w:rPr>
                <w:rFonts w:ascii="Arial" w:hAnsi="Arial" w:cs="Arial"/>
                <w:color w:val="000000"/>
                <w:sz w:val="18"/>
                <w:szCs w:val="18"/>
              </w:rPr>
              <w:t>Concepto</w:t>
            </w:r>
          </w:p>
        </w:tc>
        <w:tc>
          <w:tcPr>
            <w:tcW w:w="3569" w:type="dxa"/>
            <w:tcBorders>
              <w:top w:val="single" w:sz="4" w:space="0" w:color="auto"/>
              <w:left w:val="nil"/>
              <w:bottom w:val="single" w:sz="4" w:space="0" w:color="auto"/>
              <w:right w:val="nil"/>
            </w:tcBorders>
            <w:shd w:val="clear" w:color="auto" w:fill="8DB3E2"/>
            <w:vAlign w:val="center"/>
            <w:hideMark/>
          </w:tcPr>
          <w:p w14:paraId="4BF10388" w14:textId="77777777" w:rsidR="00041B7F" w:rsidRPr="00DB18E1" w:rsidRDefault="00041B7F" w:rsidP="00041B7F">
            <w:pPr>
              <w:jc w:val="right"/>
              <w:rPr>
                <w:rFonts w:ascii="Arial" w:hAnsi="Arial" w:cs="Arial"/>
                <w:color w:val="000000"/>
                <w:sz w:val="18"/>
                <w:szCs w:val="18"/>
              </w:rPr>
            </w:pPr>
            <w:r w:rsidRPr="00DB18E1">
              <w:rPr>
                <w:rFonts w:ascii="Arial" w:hAnsi="Arial" w:cs="Arial"/>
                <w:color w:val="000000"/>
                <w:sz w:val="18"/>
                <w:szCs w:val="18"/>
              </w:rPr>
              <w:t>Puntuación máxima</w:t>
            </w:r>
          </w:p>
        </w:tc>
      </w:tr>
      <w:tr w:rsidR="00041B7F" w:rsidRPr="00DB18E1" w14:paraId="141F6902" w14:textId="77777777" w:rsidTr="00B81AF3">
        <w:trPr>
          <w:trHeight w:val="198"/>
        </w:trPr>
        <w:tc>
          <w:tcPr>
            <w:tcW w:w="5220" w:type="dxa"/>
            <w:tcBorders>
              <w:top w:val="single" w:sz="4" w:space="0" w:color="auto"/>
              <w:left w:val="nil"/>
              <w:bottom w:val="single" w:sz="2" w:space="0" w:color="auto"/>
              <w:right w:val="nil"/>
            </w:tcBorders>
            <w:vAlign w:val="center"/>
            <w:hideMark/>
          </w:tcPr>
          <w:p w14:paraId="30297A66" w14:textId="77777777" w:rsidR="00041B7F" w:rsidRPr="00DB18E1" w:rsidRDefault="00041B7F" w:rsidP="00041B7F">
            <w:pPr>
              <w:rPr>
                <w:rFonts w:ascii="Arial Narrow" w:hAnsi="Arial Narrow"/>
                <w:color w:val="000000"/>
                <w:sz w:val="20"/>
                <w:szCs w:val="20"/>
              </w:rPr>
            </w:pPr>
            <w:r w:rsidRPr="00DB18E1">
              <w:rPr>
                <w:rFonts w:ascii="Arial Narrow" w:hAnsi="Arial Narrow"/>
                <w:color w:val="000000"/>
                <w:sz w:val="20"/>
                <w:szCs w:val="20"/>
              </w:rPr>
              <w:t>X3 Oferta económica</w:t>
            </w:r>
          </w:p>
        </w:tc>
        <w:tc>
          <w:tcPr>
            <w:tcW w:w="3569" w:type="dxa"/>
            <w:tcBorders>
              <w:top w:val="single" w:sz="4" w:space="0" w:color="auto"/>
              <w:left w:val="nil"/>
              <w:bottom w:val="single" w:sz="2" w:space="0" w:color="auto"/>
              <w:right w:val="nil"/>
            </w:tcBorders>
            <w:vAlign w:val="center"/>
            <w:hideMark/>
          </w:tcPr>
          <w:p w14:paraId="4249611D"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40</w:t>
            </w:r>
          </w:p>
        </w:tc>
      </w:tr>
      <w:tr w:rsidR="00041B7F" w:rsidRPr="00DB18E1" w14:paraId="7D96C73D" w14:textId="77777777" w:rsidTr="00B81AF3">
        <w:trPr>
          <w:trHeight w:val="198"/>
        </w:trPr>
        <w:tc>
          <w:tcPr>
            <w:tcW w:w="5220" w:type="dxa"/>
            <w:tcBorders>
              <w:top w:val="single" w:sz="2" w:space="0" w:color="auto"/>
              <w:left w:val="nil"/>
              <w:bottom w:val="single" w:sz="4" w:space="0" w:color="auto"/>
              <w:right w:val="nil"/>
            </w:tcBorders>
            <w:vAlign w:val="center"/>
            <w:hideMark/>
          </w:tcPr>
          <w:p w14:paraId="140C328B" w14:textId="77777777" w:rsidR="00041B7F" w:rsidRPr="00DB18E1" w:rsidRDefault="00041B7F" w:rsidP="00041B7F">
            <w:pPr>
              <w:rPr>
                <w:rFonts w:ascii="Arial Narrow" w:hAnsi="Arial Narrow"/>
                <w:color w:val="000000"/>
                <w:sz w:val="20"/>
                <w:szCs w:val="20"/>
              </w:rPr>
            </w:pPr>
            <w:r w:rsidRPr="00DB18E1">
              <w:rPr>
                <w:rFonts w:ascii="Arial Narrow" w:hAnsi="Arial Narrow"/>
                <w:color w:val="000000"/>
                <w:sz w:val="20"/>
                <w:szCs w:val="20"/>
              </w:rPr>
              <w:t>X4 Criterios sociales</w:t>
            </w:r>
          </w:p>
        </w:tc>
        <w:tc>
          <w:tcPr>
            <w:tcW w:w="3569" w:type="dxa"/>
            <w:tcBorders>
              <w:top w:val="single" w:sz="2" w:space="0" w:color="auto"/>
              <w:left w:val="nil"/>
              <w:bottom w:val="single" w:sz="4" w:space="0" w:color="auto"/>
              <w:right w:val="nil"/>
            </w:tcBorders>
            <w:vAlign w:val="center"/>
            <w:hideMark/>
          </w:tcPr>
          <w:p w14:paraId="32FBB68B"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10</w:t>
            </w:r>
          </w:p>
        </w:tc>
      </w:tr>
    </w:tbl>
    <w:p w14:paraId="1C6659B6" w14:textId="77777777" w:rsidR="00041B7F" w:rsidRDefault="00041B7F" w:rsidP="00041B7F">
      <w:pPr>
        <w:pStyle w:val="texto"/>
        <w:jc w:val="both"/>
      </w:pPr>
    </w:p>
    <w:p w14:paraId="1D8C59FC" w14:textId="77777777" w:rsidR="00041B7F" w:rsidRPr="004459DB" w:rsidRDefault="00041B7F" w:rsidP="00041B7F">
      <w:pPr>
        <w:pStyle w:val="texto"/>
        <w:jc w:val="both"/>
      </w:pPr>
      <w:r w:rsidRPr="004459DB">
        <w:t xml:space="preserve">La licitación se publicó </w:t>
      </w:r>
      <w:r>
        <w:t xml:space="preserve">en el Portal de Contratación el </w:t>
      </w:r>
      <w:r w:rsidRPr="004459DB">
        <w:t>8</w:t>
      </w:r>
      <w:r>
        <w:t xml:space="preserve"> de febrero de 2023 y en el Diario Oficial de la Unión Europea el 6 de febrero de </w:t>
      </w:r>
      <w:r w:rsidRPr="004459DB">
        <w:t>2023. El plazo de presentació</w:t>
      </w:r>
      <w:r>
        <w:t xml:space="preserve">n de las ofertas finalizaba el </w:t>
      </w:r>
      <w:r w:rsidRPr="004459DB">
        <w:t>9</w:t>
      </w:r>
      <w:r>
        <w:t xml:space="preserve"> de marzo de </w:t>
      </w:r>
      <w:r w:rsidRPr="004459DB">
        <w:t xml:space="preserve">2023. </w:t>
      </w:r>
    </w:p>
    <w:p w14:paraId="2C64DB3C" w14:textId="77777777" w:rsidR="00041B7F" w:rsidRPr="004459DB" w:rsidRDefault="00041B7F" w:rsidP="00041B7F">
      <w:pPr>
        <w:pStyle w:val="texto"/>
        <w:tabs>
          <w:tab w:val="left" w:pos="480"/>
        </w:tabs>
        <w:spacing w:before="120"/>
        <w:jc w:val="both"/>
      </w:pPr>
      <w:r w:rsidRPr="004459DB">
        <w:t>Las actuaciones de la Mesa, según la documentación a la que hemos tenido acceso, constan en las siguientes actas:</w:t>
      </w:r>
      <w:r w:rsidRPr="004459DB">
        <w:tab/>
      </w:r>
    </w:p>
    <w:p w14:paraId="343B5999" w14:textId="77777777" w:rsidR="00041B7F" w:rsidRPr="004459DB" w:rsidRDefault="00041B7F" w:rsidP="00041B7F">
      <w:pPr>
        <w:pStyle w:val="texto"/>
        <w:numPr>
          <w:ilvl w:val="0"/>
          <w:numId w:val="20"/>
        </w:numPr>
        <w:tabs>
          <w:tab w:val="num" w:pos="300"/>
          <w:tab w:val="left" w:pos="480"/>
          <w:tab w:val="num" w:pos="600"/>
        </w:tabs>
        <w:spacing w:before="120"/>
        <w:ind w:left="0" w:firstLine="289"/>
        <w:jc w:val="both"/>
      </w:pPr>
      <w:r w:rsidRPr="004459DB">
        <w:t xml:space="preserve">Acta de </w:t>
      </w:r>
      <w:r>
        <w:t xml:space="preserve">23 de marzo de 2023 de </w:t>
      </w:r>
      <w:r w:rsidRPr="004459DB">
        <w:t>apertura del sobre nº 1 “Documentación administrativa”. Se presenta</w:t>
      </w:r>
      <w:r>
        <w:t xml:space="preserve">ron </w:t>
      </w:r>
      <w:r w:rsidRPr="004459DB">
        <w:t>siete licitadores, seis de ellos como uniones tem</w:t>
      </w:r>
      <w:r w:rsidRPr="004459DB">
        <w:lastRenderedPageBreak/>
        <w:t xml:space="preserve">porales de empresas (en adelante UTE). En el acta se deja constancia de la necesidad de solicitar subsanación de determinada documentación a cinco de ellas, siendo por lo tanto admitidas en esta fase del procedimiento </w:t>
      </w:r>
      <w:r>
        <w:t xml:space="preserve">a las </w:t>
      </w:r>
      <w:r w:rsidRPr="004459DB">
        <w:t>dos restantes.</w:t>
      </w:r>
    </w:p>
    <w:p w14:paraId="63E92363" w14:textId="77777777" w:rsidR="00041B7F" w:rsidRPr="004459DB" w:rsidRDefault="00041B7F" w:rsidP="00041B7F">
      <w:pPr>
        <w:pStyle w:val="texto"/>
        <w:numPr>
          <w:ilvl w:val="0"/>
          <w:numId w:val="20"/>
        </w:numPr>
        <w:tabs>
          <w:tab w:val="num" w:pos="300"/>
          <w:tab w:val="left" w:pos="480"/>
          <w:tab w:val="num" w:pos="600"/>
        </w:tabs>
        <w:spacing w:before="120"/>
        <w:ind w:left="0" w:firstLine="289"/>
        <w:jc w:val="both"/>
      </w:pPr>
      <w:r w:rsidRPr="004459DB">
        <w:t>Acta de 11</w:t>
      </w:r>
      <w:r>
        <w:t xml:space="preserve"> de abril de </w:t>
      </w:r>
      <w:r w:rsidRPr="004459DB">
        <w:t xml:space="preserve">2023 de </w:t>
      </w:r>
      <w:r>
        <w:t xml:space="preserve">valoración </w:t>
      </w:r>
      <w:r w:rsidRPr="004459DB">
        <w:t>de la subsanación de documentación solicitad</w:t>
      </w:r>
      <w:r>
        <w:t>a en el acta anterior. Se admitió</w:t>
      </w:r>
      <w:r w:rsidRPr="004459DB">
        <w:t xml:space="preserve"> la subsanación efectuada, por lo que queda</w:t>
      </w:r>
      <w:r>
        <w:t xml:space="preserve">ron </w:t>
      </w:r>
      <w:r w:rsidRPr="004459DB">
        <w:t>definitivamente aceptados los siete licitadores. Asimismo, se proced</w:t>
      </w:r>
      <w:r>
        <w:t xml:space="preserve">ió </w:t>
      </w:r>
      <w:r w:rsidRPr="004459DB">
        <w:t xml:space="preserve">a la apertura del sobre nº 2 “Propuesta criterios cualitativos”, para su análisis y valoración. </w:t>
      </w:r>
    </w:p>
    <w:p w14:paraId="01FF80E2" w14:textId="77777777" w:rsidR="00041B7F" w:rsidRPr="004459DB" w:rsidRDefault="00041B7F" w:rsidP="00041B7F">
      <w:pPr>
        <w:pStyle w:val="texto"/>
        <w:numPr>
          <w:ilvl w:val="0"/>
          <w:numId w:val="20"/>
        </w:numPr>
        <w:tabs>
          <w:tab w:val="num" w:pos="300"/>
          <w:tab w:val="left" w:pos="480"/>
          <w:tab w:val="num" w:pos="600"/>
        </w:tabs>
        <w:spacing w:before="120"/>
        <w:ind w:left="0" w:firstLine="289"/>
        <w:jc w:val="both"/>
      </w:pPr>
      <w:r w:rsidRPr="004459DB">
        <w:t xml:space="preserve">Acta de </w:t>
      </w:r>
      <w:r>
        <w:t xml:space="preserve">31 de agosto de </w:t>
      </w:r>
      <w:r w:rsidRPr="004459DB">
        <w:t xml:space="preserve">2023 </w:t>
      </w:r>
      <w:r>
        <w:t xml:space="preserve">de valoración </w:t>
      </w:r>
      <w:r w:rsidRPr="004459DB">
        <w:t>del sobre nº 2 “Propuesta de criterios cualitativos”. En la citada acta, se pone de manifiesto lo siguiente:</w:t>
      </w:r>
    </w:p>
    <w:p w14:paraId="42001181" w14:textId="77777777" w:rsidR="00041B7F" w:rsidRPr="004459DB" w:rsidRDefault="00041B7F" w:rsidP="00041B7F">
      <w:pPr>
        <w:pStyle w:val="texto"/>
        <w:tabs>
          <w:tab w:val="left" w:pos="480"/>
        </w:tabs>
        <w:spacing w:before="120" w:after="120"/>
        <w:jc w:val="both"/>
        <w:rPr>
          <w:i/>
        </w:rPr>
      </w:pPr>
      <w:r>
        <w:rPr>
          <w:szCs w:val="26"/>
        </w:rPr>
        <w:t xml:space="preserve">a) Se deja constancia de que la documentación aportada por las empresas correspondientes al sobre Nº 2 “Propuesta criterios cualitativos” ha permanecido durante varios días en una unidad de red, a la que ha tenido acceso cualquier </w:t>
      </w:r>
      <w:r w:rsidR="00AF2405">
        <w:rPr>
          <w:szCs w:val="26"/>
        </w:rPr>
        <w:t>empleado público de la Dirección General de Obras Públicas e Infraestructuras.</w:t>
      </w:r>
    </w:p>
    <w:p w14:paraId="17AC4C92" w14:textId="77777777" w:rsidR="00041B7F" w:rsidRPr="004459DB" w:rsidRDefault="00041B7F" w:rsidP="00041B7F">
      <w:pPr>
        <w:pStyle w:val="texto"/>
        <w:tabs>
          <w:tab w:val="left" w:pos="480"/>
        </w:tabs>
        <w:spacing w:before="120" w:after="120"/>
        <w:jc w:val="both"/>
        <w:rPr>
          <w:szCs w:val="26"/>
        </w:rPr>
      </w:pPr>
      <w:r>
        <w:rPr>
          <w:szCs w:val="26"/>
        </w:rPr>
        <w:t xml:space="preserve">b) Se transcriben </w:t>
      </w:r>
      <w:r w:rsidRPr="004459DB">
        <w:rPr>
          <w:szCs w:val="26"/>
        </w:rPr>
        <w:t xml:space="preserve">las puntuaciones obtenidas de acuerdo con la valoración que consta en </w:t>
      </w:r>
      <w:r>
        <w:rPr>
          <w:szCs w:val="26"/>
        </w:rPr>
        <w:t xml:space="preserve">un documento anexo: </w:t>
      </w:r>
    </w:p>
    <w:tbl>
      <w:tblPr>
        <w:tblW w:w="8789" w:type="dxa"/>
        <w:tblCellMar>
          <w:left w:w="70" w:type="dxa"/>
          <w:right w:w="70" w:type="dxa"/>
        </w:tblCellMar>
        <w:tblLook w:val="04A0" w:firstRow="1" w:lastRow="0" w:firstColumn="1" w:lastColumn="0" w:noHBand="0" w:noVBand="1"/>
      </w:tblPr>
      <w:tblGrid>
        <w:gridCol w:w="2127"/>
        <w:gridCol w:w="2693"/>
        <w:gridCol w:w="2835"/>
        <w:gridCol w:w="1134"/>
      </w:tblGrid>
      <w:tr w:rsidR="00041B7F" w:rsidRPr="00DB18E1" w14:paraId="35CE85D4" w14:textId="77777777" w:rsidTr="00DB18E1">
        <w:trPr>
          <w:trHeight w:val="255"/>
        </w:trPr>
        <w:tc>
          <w:tcPr>
            <w:tcW w:w="2127" w:type="dxa"/>
            <w:tcBorders>
              <w:top w:val="single" w:sz="4" w:space="0" w:color="auto"/>
              <w:left w:val="nil"/>
              <w:bottom w:val="single" w:sz="4" w:space="0" w:color="auto"/>
              <w:right w:val="nil"/>
            </w:tcBorders>
            <w:shd w:val="clear" w:color="auto" w:fill="8DB3E2"/>
            <w:vAlign w:val="center"/>
            <w:hideMark/>
          </w:tcPr>
          <w:p w14:paraId="48024B30" w14:textId="77777777" w:rsidR="00041B7F" w:rsidRPr="00DB18E1" w:rsidRDefault="00041B7F" w:rsidP="00DB18E1">
            <w:pPr>
              <w:rPr>
                <w:rFonts w:ascii="Arial" w:hAnsi="Arial" w:cs="Arial"/>
                <w:color w:val="000000"/>
                <w:sz w:val="18"/>
                <w:szCs w:val="18"/>
              </w:rPr>
            </w:pPr>
            <w:r w:rsidRPr="00DB18E1">
              <w:rPr>
                <w:rFonts w:ascii="Arial" w:hAnsi="Arial" w:cs="Arial"/>
                <w:color w:val="000000"/>
                <w:sz w:val="18"/>
                <w:szCs w:val="18"/>
              </w:rPr>
              <w:t>Empresa licitadora</w:t>
            </w:r>
          </w:p>
        </w:tc>
        <w:tc>
          <w:tcPr>
            <w:tcW w:w="2693" w:type="dxa"/>
            <w:tcBorders>
              <w:top w:val="single" w:sz="4" w:space="0" w:color="auto"/>
              <w:left w:val="nil"/>
              <w:bottom w:val="single" w:sz="4" w:space="0" w:color="auto"/>
              <w:right w:val="nil"/>
            </w:tcBorders>
            <w:shd w:val="clear" w:color="auto" w:fill="8DB3E2"/>
            <w:vAlign w:val="center"/>
            <w:hideMark/>
          </w:tcPr>
          <w:p w14:paraId="1B0B5B96" w14:textId="77777777" w:rsidR="00041B7F" w:rsidRPr="00DB18E1" w:rsidRDefault="00041B7F" w:rsidP="00041B7F">
            <w:pPr>
              <w:jc w:val="right"/>
              <w:rPr>
                <w:rFonts w:ascii="Arial" w:hAnsi="Arial" w:cs="Arial"/>
                <w:color w:val="000000"/>
                <w:sz w:val="18"/>
                <w:szCs w:val="18"/>
              </w:rPr>
            </w:pPr>
            <w:r w:rsidRPr="00DB18E1">
              <w:rPr>
                <w:rFonts w:ascii="Arial" w:hAnsi="Arial" w:cs="Arial"/>
                <w:color w:val="000000"/>
                <w:sz w:val="18"/>
                <w:szCs w:val="18"/>
              </w:rPr>
              <w:t>X1Memoria Técnica 40 puntos)</w:t>
            </w:r>
          </w:p>
        </w:tc>
        <w:tc>
          <w:tcPr>
            <w:tcW w:w="2835" w:type="dxa"/>
            <w:tcBorders>
              <w:top w:val="single" w:sz="4" w:space="0" w:color="auto"/>
              <w:left w:val="nil"/>
              <w:bottom w:val="single" w:sz="4" w:space="0" w:color="auto"/>
              <w:right w:val="nil"/>
            </w:tcBorders>
            <w:shd w:val="clear" w:color="auto" w:fill="8DB3E2"/>
            <w:vAlign w:val="center"/>
            <w:hideMark/>
          </w:tcPr>
          <w:p w14:paraId="1DC55998" w14:textId="77777777" w:rsidR="00041B7F" w:rsidRPr="00DB18E1" w:rsidRDefault="00041B7F" w:rsidP="00041B7F">
            <w:pPr>
              <w:jc w:val="right"/>
              <w:rPr>
                <w:rFonts w:ascii="Arial" w:hAnsi="Arial" w:cs="Arial"/>
                <w:color w:val="000000"/>
                <w:sz w:val="18"/>
                <w:szCs w:val="18"/>
              </w:rPr>
            </w:pPr>
            <w:r w:rsidRPr="00DB18E1">
              <w:rPr>
                <w:rFonts w:ascii="Arial" w:hAnsi="Arial" w:cs="Arial"/>
                <w:color w:val="000000"/>
                <w:sz w:val="18"/>
                <w:szCs w:val="18"/>
              </w:rPr>
              <w:t>X2 (Programa de obra 10 puntos)</w:t>
            </w:r>
          </w:p>
        </w:tc>
        <w:tc>
          <w:tcPr>
            <w:tcW w:w="1134" w:type="dxa"/>
            <w:tcBorders>
              <w:top w:val="single" w:sz="4" w:space="0" w:color="auto"/>
              <w:left w:val="nil"/>
              <w:bottom w:val="single" w:sz="4" w:space="0" w:color="auto"/>
              <w:right w:val="nil"/>
            </w:tcBorders>
            <w:shd w:val="clear" w:color="auto" w:fill="8DB3E2"/>
            <w:vAlign w:val="center"/>
            <w:hideMark/>
          </w:tcPr>
          <w:p w14:paraId="370AD65D" w14:textId="77777777" w:rsidR="00041B7F" w:rsidRPr="00DB18E1" w:rsidRDefault="00041B7F" w:rsidP="00041B7F">
            <w:pPr>
              <w:jc w:val="right"/>
              <w:rPr>
                <w:rFonts w:ascii="Arial" w:hAnsi="Arial" w:cs="Arial"/>
                <w:color w:val="000000"/>
                <w:sz w:val="18"/>
                <w:szCs w:val="18"/>
              </w:rPr>
            </w:pPr>
            <w:r w:rsidRPr="00DB18E1">
              <w:rPr>
                <w:rFonts w:ascii="Arial" w:hAnsi="Arial" w:cs="Arial"/>
                <w:color w:val="000000"/>
                <w:sz w:val="18"/>
                <w:szCs w:val="18"/>
              </w:rPr>
              <w:t>Total</w:t>
            </w:r>
          </w:p>
        </w:tc>
      </w:tr>
      <w:tr w:rsidR="00041B7F" w:rsidRPr="004459DB" w14:paraId="5E52BE60" w14:textId="77777777" w:rsidTr="00DB18E1">
        <w:trPr>
          <w:trHeight w:val="198"/>
        </w:trPr>
        <w:tc>
          <w:tcPr>
            <w:tcW w:w="2127" w:type="dxa"/>
            <w:tcBorders>
              <w:top w:val="single" w:sz="4" w:space="0" w:color="auto"/>
              <w:left w:val="nil"/>
              <w:bottom w:val="single" w:sz="2" w:space="0" w:color="auto"/>
              <w:right w:val="nil"/>
            </w:tcBorders>
            <w:vAlign w:val="center"/>
            <w:hideMark/>
          </w:tcPr>
          <w:p w14:paraId="4EF0D9E6" w14:textId="77777777" w:rsidR="00041B7F" w:rsidRPr="00DB18E1" w:rsidRDefault="00041B7F" w:rsidP="00041B7F">
            <w:pPr>
              <w:rPr>
                <w:rFonts w:ascii="Arial Narrow" w:hAnsi="Arial Narrow"/>
                <w:color w:val="000000"/>
                <w:sz w:val="20"/>
                <w:szCs w:val="20"/>
              </w:rPr>
            </w:pPr>
            <w:r w:rsidRPr="00DB18E1">
              <w:rPr>
                <w:rFonts w:ascii="Arial Narrow" w:hAnsi="Arial Narrow"/>
                <w:color w:val="000000"/>
                <w:sz w:val="20"/>
                <w:szCs w:val="20"/>
              </w:rPr>
              <w:t>1</w:t>
            </w:r>
          </w:p>
        </w:tc>
        <w:tc>
          <w:tcPr>
            <w:tcW w:w="2693" w:type="dxa"/>
            <w:tcBorders>
              <w:top w:val="single" w:sz="4" w:space="0" w:color="auto"/>
              <w:left w:val="nil"/>
              <w:bottom w:val="single" w:sz="2" w:space="0" w:color="auto"/>
              <w:right w:val="nil"/>
            </w:tcBorders>
            <w:vAlign w:val="center"/>
            <w:hideMark/>
          </w:tcPr>
          <w:p w14:paraId="08E43C20"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21,90</w:t>
            </w:r>
          </w:p>
        </w:tc>
        <w:tc>
          <w:tcPr>
            <w:tcW w:w="2835" w:type="dxa"/>
            <w:tcBorders>
              <w:top w:val="single" w:sz="4" w:space="0" w:color="auto"/>
              <w:left w:val="nil"/>
              <w:bottom w:val="single" w:sz="2" w:space="0" w:color="auto"/>
              <w:right w:val="nil"/>
            </w:tcBorders>
            <w:vAlign w:val="center"/>
            <w:hideMark/>
          </w:tcPr>
          <w:p w14:paraId="36E35CDC"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7,90</w:t>
            </w:r>
          </w:p>
        </w:tc>
        <w:tc>
          <w:tcPr>
            <w:tcW w:w="1134" w:type="dxa"/>
            <w:tcBorders>
              <w:top w:val="single" w:sz="4" w:space="0" w:color="auto"/>
              <w:left w:val="nil"/>
              <w:bottom w:val="single" w:sz="2" w:space="0" w:color="auto"/>
              <w:right w:val="nil"/>
            </w:tcBorders>
            <w:vAlign w:val="center"/>
            <w:hideMark/>
          </w:tcPr>
          <w:p w14:paraId="4B6E3777"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29,80</w:t>
            </w:r>
          </w:p>
        </w:tc>
      </w:tr>
      <w:tr w:rsidR="00041B7F" w:rsidRPr="004459DB" w14:paraId="33457351" w14:textId="77777777" w:rsidTr="00DB18E1">
        <w:trPr>
          <w:trHeight w:val="198"/>
        </w:trPr>
        <w:tc>
          <w:tcPr>
            <w:tcW w:w="2127" w:type="dxa"/>
            <w:tcBorders>
              <w:top w:val="single" w:sz="2" w:space="0" w:color="auto"/>
              <w:left w:val="nil"/>
              <w:bottom w:val="single" w:sz="2" w:space="0" w:color="auto"/>
              <w:right w:val="nil"/>
            </w:tcBorders>
            <w:vAlign w:val="center"/>
            <w:hideMark/>
          </w:tcPr>
          <w:p w14:paraId="275E432A" w14:textId="77777777" w:rsidR="00041B7F" w:rsidRPr="00DB18E1" w:rsidRDefault="00041B7F" w:rsidP="00041B7F">
            <w:pPr>
              <w:rPr>
                <w:rFonts w:ascii="Arial Narrow" w:hAnsi="Arial Narrow"/>
                <w:color w:val="000000"/>
                <w:sz w:val="20"/>
                <w:szCs w:val="20"/>
              </w:rPr>
            </w:pPr>
            <w:r w:rsidRPr="00DB18E1">
              <w:rPr>
                <w:rFonts w:ascii="Arial Narrow" w:hAnsi="Arial Narrow"/>
                <w:color w:val="000000"/>
                <w:sz w:val="20"/>
                <w:szCs w:val="20"/>
              </w:rPr>
              <w:t>2</w:t>
            </w:r>
          </w:p>
        </w:tc>
        <w:tc>
          <w:tcPr>
            <w:tcW w:w="2693" w:type="dxa"/>
            <w:tcBorders>
              <w:top w:val="single" w:sz="2" w:space="0" w:color="auto"/>
              <w:left w:val="nil"/>
              <w:bottom w:val="single" w:sz="2" w:space="0" w:color="auto"/>
              <w:right w:val="nil"/>
            </w:tcBorders>
            <w:vAlign w:val="center"/>
            <w:hideMark/>
          </w:tcPr>
          <w:p w14:paraId="66437760"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24,25</w:t>
            </w:r>
          </w:p>
        </w:tc>
        <w:tc>
          <w:tcPr>
            <w:tcW w:w="2835" w:type="dxa"/>
            <w:tcBorders>
              <w:top w:val="single" w:sz="2" w:space="0" w:color="auto"/>
              <w:left w:val="nil"/>
              <w:bottom w:val="single" w:sz="2" w:space="0" w:color="auto"/>
              <w:right w:val="nil"/>
            </w:tcBorders>
            <w:vAlign w:val="center"/>
            <w:hideMark/>
          </w:tcPr>
          <w:p w14:paraId="454784E7"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8,35</w:t>
            </w:r>
          </w:p>
        </w:tc>
        <w:tc>
          <w:tcPr>
            <w:tcW w:w="1134" w:type="dxa"/>
            <w:tcBorders>
              <w:top w:val="single" w:sz="2" w:space="0" w:color="auto"/>
              <w:left w:val="nil"/>
              <w:bottom w:val="single" w:sz="2" w:space="0" w:color="auto"/>
              <w:right w:val="nil"/>
            </w:tcBorders>
            <w:vAlign w:val="center"/>
            <w:hideMark/>
          </w:tcPr>
          <w:p w14:paraId="63C26264"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32,60</w:t>
            </w:r>
          </w:p>
        </w:tc>
      </w:tr>
      <w:tr w:rsidR="00041B7F" w:rsidRPr="004459DB" w14:paraId="5C0B1AA0" w14:textId="77777777" w:rsidTr="00DB18E1">
        <w:trPr>
          <w:trHeight w:val="198"/>
        </w:trPr>
        <w:tc>
          <w:tcPr>
            <w:tcW w:w="2127" w:type="dxa"/>
            <w:tcBorders>
              <w:top w:val="single" w:sz="2" w:space="0" w:color="auto"/>
              <w:left w:val="nil"/>
              <w:bottom w:val="single" w:sz="2" w:space="0" w:color="auto"/>
              <w:right w:val="nil"/>
            </w:tcBorders>
            <w:vAlign w:val="center"/>
            <w:hideMark/>
          </w:tcPr>
          <w:p w14:paraId="0A65ADDD" w14:textId="77777777" w:rsidR="00041B7F" w:rsidRPr="00DB18E1" w:rsidRDefault="00041B7F" w:rsidP="00041B7F">
            <w:pPr>
              <w:rPr>
                <w:rFonts w:ascii="Arial Narrow" w:hAnsi="Arial Narrow"/>
                <w:color w:val="000000"/>
                <w:sz w:val="20"/>
                <w:szCs w:val="20"/>
              </w:rPr>
            </w:pPr>
            <w:r w:rsidRPr="00DB18E1">
              <w:rPr>
                <w:rFonts w:ascii="Arial Narrow" w:hAnsi="Arial Narrow"/>
                <w:color w:val="000000"/>
                <w:sz w:val="20"/>
                <w:szCs w:val="20"/>
              </w:rPr>
              <w:t>3</w:t>
            </w:r>
          </w:p>
        </w:tc>
        <w:tc>
          <w:tcPr>
            <w:tcW w:w="2693" w:type="dxa"/>
            <w:tcBorders>
              <w:top w:val="single" w:sz="2" w:space="0" w:color="auto"/>
              <w:left w:val="nil"/>
              <w:bottom w:val="single" w:sz="2" w:space="0" w:color="auto"/>
              <w:right w:val="nil"/>
            </w:tcBorders>
            <w:vAlign w:val="center"/>
            <w:hideMark/>
          </w:tcPr>
          <w:p w14:paraId="79CBBD0A"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25,35</w:t>
            </w:r>
          </w:p>
        </w:tc>
        <w:tc>
          <w:tcPr>
            <w:tcW w:w="2835" w:type="dxa"/>
            <w:tcBorders>
              <w:top w:val="single" w:sz="2" w:space="0" w:color="auto"/>
              <w:left w:val="nil"/>
              <w:bottom w:val="single" w:sz="2" w:space="0" w:color="auto"/>
              <w:right w:val="nil"/>
            </w:tcBorders>
            <w:vAlign w:val="center"/>
            <w:hideMark/>
          </w:tcPr>
          <w:p w14:paraId="18202CF5"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8,10</w:t>
            </w:r>
          </w:p>
        </w:tc>
        <w:tc>
          <w:tcPr>
            <w:tcW w:w="1134" w:type="dxa"/>
            <w:tcBorders>
              <w:top w:val="single" w:sz="2" w:space="0" w:color="auto"/>
              <w:left w:val="nil"/>
              <w:bottom w:val="single" w:sz="2" w:space="0" w:color="auto"/>
              <w:right w:val="nil"/>
            </w:tcBorders>
            <w:vAlign w:val="center"/>
            <w:hideMark/>
          </w:tcPr>
          <w:p w14:paraId="25698474"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33,45</w:t>
            </w:r>
          </w:p>
        </w:tc>
      </w:tr>
      <w:tr w:rsidR="00041B7F" w:rsidRPr="004459DB" w14:paraId="08B5380B" w14:textId="77777777" w:rsidTr="00DB18E1">
        <w:trPr>
          <w:trHeight w:val="198"/>
        </w:trPr>
        <w:tc>
          <w:tcPr>
            <w:tcW w:w="2127" w:type="dxa"/>
            <w:tcBorders>
              <w:top w:val="single" w:sz="2" w:space="0" w:color="auto"/>
              <w:left w:val="nil"/>
              <w:bottom w:val="single" w:sz="2" w:space="0" w:color="auto"/>
              <w:right w:val="nil"/>
            </w:tcBorders>
            <w:vAlign w:val="center"/>
            <w:hideMark/>
          </w:tcPr>
          <w:p w14:paraId="310946B7" w14:textId="77777777" w:rsidR="00041B7F" w:rsidRPr="00DB18E1" w:rsidRDefault="00041B7F" w:rsidP="00041B7F">
            <w:pPr>
              <w:rPr>
                <w:rFonts w:ascii="Arial Narrow" w:hAnsi="Arial Narrow"/>
                <w:color w:val="000000"/>
                <w:sz w:val="20"/>
                <w:szCs w:val="20"/>
              </w:rPr>
            </w:pPr>
            <w:r w:rsidRPr="00DB18E1">
              <w:rPr>
                <w:rFonts w:ascii="Arial Narrow" w:hAnsi="Arial Narrow"/>
                <w:color w:val="000000"/>
                <w:sz w:val="20"/>
                <w:szCs w:val="20"/>
              </w:rPr>
              <w:t>4</w:t>
            </w:r>
          </w:p>
        </w:tc>
        <w:tc>
          <w:tcPr>
            <w:tcW w:w="2693" w:type="dxa"/>
            <w:tcBorders>
              <w:top w:val="single" w:sz="2" w:space="0" w:color="auto"/>
              <w:left w:val="nil"/>
              <w:bottom w:val="single" w:sz="2" w:space="0" w:color="auto"/>
              <w:right w:val="nil"/>
            </w:tcBorders>
            <w:vAlign w:val="center"/>
            <w:hideMark/>
          </w:tcPr>
          <w:p w14:paraId="4BEAA51C"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37,17</w:t>
            </w:r>
          </w:p>
        </w:tc>
        <w:tc>
          <w:tcPr>
            <w:tcW w:w="2835" w:type="dxa"/>
            <w:tcBorders>
              <w:top w:val="single" w:sz="2" w:space="0" w:color="auto"/>
              <w:left w:val="nil"/>
              <w:bottom w:val="single" w:sz="2" w:space="0" w:color="auto"/>
              <w:right w:val="nil"/>
            </w:tcBorders>
            <w:vAlign w:val="center"/>
            <w:hideMark/>
          </w:tcPr>
          <w:p w14:paraId="03CCF9B8"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9,05</w:t>
            </w:r>
          </w:p>
        </w:tc>
        <w:tc>
          <w:tcPr>
            <w:tcW w:w="1134" w:type="dxa"/>
            <w:tcBorders>
              <w:top w:val="single" w:sz="2" w:space="0" w:color="auto"/>
              <w:left w:val="nil"/>
              <w:bottom w:val="single" w:sz="2" w:space="0" w:color="auto"/>
              <w:right w:val="nil"/>
            </w:tcBorders>
            <w:vAlign w:val="center"/>
            <w:hideMark/>
          </w:tcPr>
          <w:p w14:paraId="6994B373"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46,22</w:t>
            </w:r>
          </w:p>
        </w:tc>
      </w:tr>
      <w:tr w:rsidR="00041B7F" w:rsidRPr="004459DB" w14:paraId="01A8E2C8" w14:textId="77777777" w:rsidTr="00DB18E1">
        <w:trPr>
          <w:trHeight w:val="198"/>
        </w:trPr>
        <w:tc>
          <w:tcPr>
            <w:tcW w:w="2127" w:type="dxa"/>
            <w:tcBorders>
              <w:top w:val="single" w:sz="2" w:space="0" w:color="auto"/>
              <w:left w:val="nil"/>
              <w:bottom w:val="single" w:sz="2" w:space="0" w:color="auto"/>
              <w:right w:val="nil"/>
            </w:tcBorders>
            <w:vAlign w:val="center"/>
            <w:hideMark/>
          </w:tcPr>
          <w:p w14:paraId="2B33BBBD" w14:textId="77777777" w:rsidR="00041B7F" w:rsidRPr="00DB18E1" w:rsidRDefault="00041B7F" w:rsidP="00041B7F">
            <w:pPr>
              <w:rPr>
                <w:rFonts w:ascii="Arial Narrow" w:hAnsi="Arial Narrow"/>
                <w:color w:val="000000"/>
                <w:sz w:val="20"/>
                <w:szCs w:val="20"/>
              </w:rPr>
            </w:pPr>
            <w:r w:rsidRPr="00DB18E1">
              <w:rPr>
                <w:rFonts w:ascii="Arial Narrow" w:hAnsi="Arial Narrow"/>
                <w:color w:val="000000"/>
                <w:sz w:val="20"/>
                <w:szCs w:val="20"/>
              </w:rPr>
              <w:t>5</w:t>
            </w:r>
          </w:p>
        </w:tc>
        <w:tc>
          <w:tcPr>
            <w:tcW w:w="2693" w:type="dxa"/>
            <w:tcBorders>
              <w:top w:val="single" w:sz="2" w:space="0" w:color="auto"/>
              <w:left w:val="nil"/>
              <w:bottom w:val="single" w:sz="2" w:space="0" w:color="auto"/>
              <w:right w:val="nil"/>
            </w:tcBorders>
            <w:vAlign w:val="center"/>
            <w:hideMark/>
          </w:tcPr>
          <w:p w14:paraId="7AB60EE8"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29,90</w:t>
            </w:r>
          </w:p>
        </w:tc>
        <w:tc>
          <w:tcPr>
            <w:tcW w:w="2835" w:type="dxa"/>
            <w:tcBorders>
              <w:top w:val="single" w:sz="2" w:space="0" w:color="auto"/>
              <w:left w:val="nil"/>
              <w:bottom w:val="single" w:sz="2" w:space="0" w:color="auto"/>
              <w:right w:val="nil"/>
            </w:tcBorders>
            <w:vAlign w:val="center"/>
            <w:hideMark/>
          </w:tcPr>
          <w:p w14:paraId="3566E4E6"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8,80</w:t>
            </w:r>
          </w:p>
        </w:tc>
        <w:tc>
          <w:tcPr>
            <w:tcW w:w="1134" w:type="dxa"/>
            <w:tcBorders>
              <w:top w:val="single" w:sz="2" w:space="0" w:color="auto"/>
              <w:left w:val="nil"/>
              <w:bottom w:val="single" w:sz="2" w:space="0" w:color="auto"/>
              <w:right w:val="nil"/>
            </w:tcBorders>
            <w:vAlign w:val="center"/>
            <w:hideMark/>
          </w:tcPr>
          <w:p w14:paraId="476826E4"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38,70</w:t>
            </w:r>
          </w:p>
        </w:tc>
      </w:tr>
      <w:tr w:rsidR="00041B7F" w:rsidRPr="004459DB" w14:paraId="328E0B78" w14:textId="77777777" w:rsidTr="00DB18E1">
        <w:trPr>
          <w:trHeight w:val="198"/>
        </w:trPr>
        <w:tc>
          <w:tcPr>
            <w:tcW w:w="2127" w:type="dxa"/>
            <w:tcBorders>
              <w:top w:val="single" w:sz="2" w:space="0" w:color="auto"/>
              <w:left w:val="nil"/>
              <w:bottom w:val="single" w:sz="2" w:space="0" w:color="auto"/>
              <w:right w:val="nil"/>
            </w:tcBorders>
            <w:vAlign w:val="center"/>
            <w:hideMark/>
          </w:tcPr>
          <w:p w14:paraId="4710BFFD" w14:textId="77777777" w:rsidR="00041B7F" w:rsidRPr="00DB18E1" w:rsidRDefault="00041B7F" w:rsidP="00041B7F">
            <w:pPr>
              <w:rPr>
                <w:rFonts w:ascii="Arial Narrow" w:hAnsi="Arial Narrow"/>
                <w:color w:val="000000"/>
                <w:sz w:val="20"/>
                <w:szCs w:val="20"/>
              </w:rPr>
            </w:pPr>
            <w:r w:rsidRPr="00DB18E1">
              <w:rPr>
                <w:rFonts w:ascii="Arial Narrow" w:hAnsi="Arial Narrow"/>
                <w:color w:val="000000"/>
                <w:sz w:val="20"/>
                <w:szCs w:val="20"/>
              </w:rPr>
              <w:t>6</w:t>
            </w:r>
          </w:p>
        </w:tc>
        <w:tc>
          <w:tcPr>
            <w:tcW w:w="2693" w:type="dxa"/>
            <w:tcBorders>
              <w:top w:val="single" w:sz="2" w:space="0" w:color="auto"/>
              <w:left w:val="nil"/>
              <w:bottom w:val="single" w:sz="2" w:space="0" w:color="auto"/>
              <w:right w:val="nil"/>
            </w:tcBorders>
            <w:vAlign w:val="center"/>
            <w:hideMark/>
          </w:tcPr>
          <w:p w14:paraId="68A222A1"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36,75</w:t>
            </w:r>
          </w:p>
        </w:tc>
        <w:tc>
          <w:tcPr>
            <w:tcW w:w="2835" w:type="dxa"/>
            <w:tcBorders>
              <w:top w:val="single" w:sz="2" w:space="0" w:color="auto"/>
              <w:left w:val="nil"/>
              <w:bottom w:val="single" w:sz="2" w:space="0" w:color="auto"/>
              <w:right w:val="nil"/>
            </w:tcBorders>
            <w:vAlign w:val="center"/>
            <w:hideMark/>
          </w:tcPr>
          <w:p w14:paraId="2F175800"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8,10</w:t>
            </w:r>
          </w:p>
        </w:tc>
        <w:tc>
          <w:tcPr>
            <w:tcW w:w="1134" w:type="dxa"/>
            <w:tcBorders>
              <w:top w:val="single" w:sz="2" w:space="0" w:color="auto"/>
              <w:left w:val="nil"/>
              <w:bottom w:val="single" w:sz="2" w:space="0" w:color="auto"/>
              <w:right w:val="nil"/>
            </w:tcBorders>
            <w:vAlign w:val="center"/>
            <w:hideMark/>
          </w:tcPr>
          <w:p w14:paraId="2D97C5DA"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44,85</w:t>
            </w:r>
          </w:p>
        </w:tc>
      </w:tr>
      <w:tr w:rsidR="00041B7F" w:rsidRPr="004459DB" w14:paraId="65E01D87" w14:textId="77777777" w:rsidTr="00DB18E1">
        <w:trPr>
          <w:trHeight w:val="198"/>
        </w:trPr>
        <w:tc>
          <w:tcPr>
            <w:tcW w:w="2127" w:type="dxa"/>
            <w:tcBorders>
              <w:top w:val="single" w:sz="2" w:space="0" w:color="auto"/>
              <w:left w:val="nil"/>
              <w:bottom w:val="single" w:sz="4" w:space="0" w:color="auto"/>
              <w:right w:val="nil"/>
            </w:tcBorders>
            <w:vAlign w:val="center"/>
            <w:hideMark/>
          </w:tcPr>
          <w:p w14:paraId="0E5ADB2E" w14:textId="77777777" w:rsidR="00041B7F" w:rsidRPr="00DB18E1" w:rsidRDefault="00041B7F" w:rsidP="00041B7F">
            <w:pPr>
              <w:rPr>
                <w:rFonts w:ascii="Arial Narrow" w:hAnsi="Arial Narrow"/>
                <w:color w:val="000000"/>
                <w:sz w:val="20"/>
                <w:szCs w:val="20"/>
              </w:rPr>
            </w:pPr>
            <w:r w:rsidRPr="00DB18E1">
              <w:rPr>
                <w:rFonts w:ascii="Arial Narrow" w:hAnsi="Arial Narrow"/>
                <w:color w:val="000000"/>
                <w:sz w:val="20"/>
                <w:szCs w:val="20"/>
              </w:rPr>
              <w:t>7</w:t>
            </w:r>
          </w:p>
        </w:tc>
        <w:tc>
          <w:tcPr>
            <w:tcW w:w="2693" w:type="dxa"/>
            <w:tcBorders>
              <w:top w:val="single" w:sz="2" w:space="0" w:color="auto"/>
              <w:left w:val="nil"/>
              <w:bottom w:val="single" w:sz="4" w:space="0" w:color="auto"/>
              <w:right w:val="nil"/>
            </w:tcBorders>
            <w:vAlign w:val="center"/>
            <w:hideMark/>
          </w:tcPr>
          <w:p w14:paraId="4E972C5B"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34,75</w:t>
            </w:r>
          </w:p>
        </w:tc>
        <w:tc>
          <w:tcPr>
            <w:tcW w:w="2835" w:type="dxa"/>
            <w:tcBorders>
              <w:top w:val="single" w:sz="2" w:space="0" w:color="auto"/>
              <w:left w:val="nil"/>
              <w:bottom w:val="single" w:sz="4" w:space="0" w:color="auto"/>
              <w:right w:val="nil"/>
            </w:tcBorders>
            <w:vAlign w:val="center"/>
            <w:hideMark/>
          </w:tcPr>
          <w:p w14:paraId="188D8530"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9,30</w:t>
            </w:r>
          </w:p>
        </w:tc>
        <w:tc>
          <w:tcPr>
            <w:tcW w:w="1134" w:type="dxa"/>
            <w:tcBorders>
              <w:top w:val="single" w:sz="2" w:space="0" w:color="auto"/>
              <w:left w:val="nil"/>
              <w:bottom w:val="single" w:sz="4" w:space="0" w:color="auto"/>
              <w:right w:val="nil"/>
            </w:tcBorders>
            <w:vAlign w:val="center"/>
            <w:hideMark/>
          </w:tcPr>
          <w:p w14:paraId="083B4C05"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44,05</w:t>
            </w:r>
          </w:p>
        </w:tc>
      </w:tr>
    </w:tbl>
    <w:p w14:paraId="61D9A958" w14:textId="77777777" w:rsidR="00041B7F" w:rsidRPr="004459DB" w:rsidRDefault="00041B7F" w:rsidP="00041B7F">
      <w:pPr>
        <w:pStyle w:val="Prrafodelista"/>
        <w:ind w:left="1068"/>
        <w:jc w:val="both"/>
        <w:rPr>
          <w:sz w:val="26"/>
          <w:szCs w:val="26"/>
        </w:rPr>
      </w:pPr>
    </w:p>
    <w:p w14:paraId="764284FC" w14:textId="77777777" w:rsidR="00041B7F" w:rsidRDefault="00041B7F" w:rsidP="00041B7F">
      <w:pPr>
        <w:pStyle w:val="texto"/>
        <w:tabs>
          <w:tab w:val="left" w:pos="480"/>
        </w:tabs>
        <w:spacing w:before="120" w:after="120"/>
        <w:jc w:val="both"/>
        <w:rPr>
          <w:szCs w:val="26"/>
        </w:rPr>
      </w:pPr>
      <w:r>
        <w:rPr>
          <w:szCs w:val="26"/>
        </w:rPr>
        <w:t xml:space="preserve">c) </w:t>
      </w:r>
      <w:r w:rsidRPr="00CC2770">
        <w:rPr>
          <w:szCs w:val="26"/>
        </w:rPr>
        <w:t>El documento anexo al acta, es el “</w:t>
      </w:r>
      <w:r w:rsidRPr="00CC2770">
        <w:rPr>
          <w:i/>
          <w:szCs w:val="26"/>
        </w:rPr>
        <w:t>Documento de análisis, evaluación y puntuación de los criterios cualitativos, sobre nº 2, de las ofertas presentadas a la licitación de las obras contenidas en el proyecto de construcción Duplicación del túnel de Belate</w:t>
      </w:r>
      <w:r w:rsidRPr="00CC2770">
        <w:rPr>
          <w:szCs w:val="26"/>
        </w:rPr>
        <w:t xml:space="preserve">”. Se hace mención expresa de que este documento, es una versión definitiva de 28 de agosto de 2023. </w:t>
      </w:r>
      <w:r>
        <w:rPr>
          <w:szCs w:val="26"/>
        </w:rPr>
        <w:t>E</w:t>
      </w:r>
      <w:r w:rsidRPr="00CC2770">
        <w:rPr>
          <w:szCs w:val="26"/>
        </w:rPr>
        <w:t xml:space="preserve">ste documento, de carácter técnico, está firmado por los miembros técnicos de la Mesa y es el que se somete a la deliberación de </w:t>
      </w:r>
      <w:proofErr w:type="gramStart"/>
      <w:r w:rsidRPr="00CC2770">
        <w:rPr>
          <w:szCs w:val="26"/>
        </w:rPr>
        <w:t>la misma</w:t>
      </w:r>
      <w:proofErr w:type="gramEnd"/>
      <w:r w:rsidRPr="00CC2770">
        <w:rPr>
          <w:szCs w:val="26"/>
        </w:rPr>
        <w:t>. </w:t>
      </w:r>
    </w:p>
    <w:p w14:paraId="70F4A697" w14:textId="77777777" w:rsidR="00041B7F" w:rsidRPr="004459DB" w:rsidRDefault="00DB18E1" w:rsidP="00041B7F">
      <w:pPr>
        <w:pStyle w:val="texto"/>
        <w:tabs>
          <w:tab w:val="left" w:pos="480"/>
        </w:tabs>
        <w:spacing w:before="120" w:after="120"/>
        <w:jc w:val="both"/>
        <w:rPr>
          <w:szCs w:val="26"/>
        </w:rPr>
      </w:pPr>
      <w:r>
        <w:rPr>
          <w:szCs w:val="26"/>
        </w:rPr>
        <w:t>d</w:t>
      </w:r>
      <w:r w:rsidR="00041B7F">
        <w:rPr>
          <w:szCs w:val="26"/>
        </w:rPr>
        <w:t xml:space="preserve">) </w:t>
      </w:r>
      <w:r w:rsidR="00041B7F" w:rsidRPr="004459DB">
        <w:rPr>
          <w:szCs w:val="26"/>
        </w:rPr>
        <w:t xml:space="preserve">En </w:t>
      </w:r>
      <w:r w:rsidR="00041B7F">
        <w:rPr>
          <w:szCs w:val="26"/>
        </w:rPr>
        <w:t>el acta</w:t>
      </w:r>
      <w:r w:rsidR="00041B7F" w:rsidRPr="004459DB">
        <w:rPr>
          <w:szCs w:val="26"/>
        </w:rPr>
        <w:t xml:space="preserve"> se indica que se han celebrado dos reuniones presenciales en la sede del departamento (</w:t>
      </w:r>
      <w:r w:rsidR="00041B7F">
        <w:rPr>
          <w:szCs w:val="26"/>
        </w:rPr>
        <w:t xml:space="preserve">los </w:t>
      </w:r>
      <w:r w:rsidR="00041B7F" w:rsidRPr="004459DB">
        <w:rPr>
          <w:szCs w:val="26"/>
        </w:rPr>
        <w:t xml:space="preserve">días 8 y 14 de junio de 2023) a fin de obtener unanimidad acerca del documento anteriormente citado y analizar la corrección del procedimiento seguido. En uso del derecho que reconoce el artículo 50.4 de la LFC, consta oposición razonada de tres miembros de la Mesa con una posición contraria al parecer de la mayoría. </w:t>
      </w:r>
    </w:p>
    <w:p w14:paraId="74A7D02F" w14:textId="77777777" w:rsidR="00041B7F" w:rsidRDefault="00041B7F" w:rsidP="00F12EFE">
      <w:pPr>
        <w:pStyle w:val="texto"/>
        <w:spacing w:after="120"/>
        <w:jc w:val="both"/>
      </w:pPr>
      <w:r w:rsidRPr="00DA6CE2">
        <w:lastRenderedPageBreak/>
        <w:t xml:space="preserve">La posición contraria a la que se refiere el </w:t>
      </w:r>
      <w:proofErr w:type="gramStart"/>
      <w:r w:rsidRPr="00DA6CE2">
        <w:t>acta,</w:t>
      </w:r>
      <w:proofErr w:type="gramEnd"/>
      <w:r w:rsidRPr="00DA6CE2">
        <w:t xml:space="preserve"> se hace constar en la emisión de </w:t>
      </w:r>
      <w:r>
        <w:t xml:space="preserve">sendos </w:t>
      </w:r>
      <w:r w:rsidRPr="00DA6CE2">
        <w:t>votos particulares</w:t>
      </w:r>
      <w:r>
        <w:rPr>
          <w:rStyle w:val="Refdenotaalpie"/>
        </w:rPr>
        <w:footnoteReference w:id="53"/>
      </w:r>
      <w:r w:rsidRPr="00DA6CE2">
        <w:t xml:space="preserve"> por parte del secretario, del representante de la Junta de Contratación Pública y del interventor delegado</w:t>
      </w:r>
      <w:r>
        <w:t xml:space="preserve">. </w:t>
      </w:r>
    </w:p>
    <w:p w14:paraId="64EA997A" w14:textId="77777777" w:rsidR="00041B7F" w:rsidRDefault="00041B7F" w:rsidP="00F12EFE">
      <w:pPr>
        <w:pStyle w:val="texto"/>
        <w:spacing w:after="120"/>
        <w:jc w:val="both"/>
      </w:pPr>
      <w:r>
        <w:t>Manifiestan</w:t>
      </w:r>
      <w:r w:rsidRPr="00DA6CE2">
        <w:t xml:space="preserve">, por un lado, </w:t>
      </w:r>
      <w:r>
        <w:t xml:space="preserve">que la valoración técnica efectuada carece de una adecuada motivación que acredite suficientemente las diferencias de puntuación entre las ofertas en aras a garantizar la igualdad de trato y no discriminación, y </w:t>
      </w:r>
      <w:r w:rsidRPr="00DA6CE2">
        <w:t>por otro, la incorrección del hecho que el presidente de la Mesa conociera las puntuaciones de los demás miembros antes de emitir su propia valoración.</w:t>
      </w:r>
    </w:p>
    <w:p w14:paraId="170EC7A5" w14:textId="77777777" w:rsidR="00041B7F" w:rsidRPr="004459DB" w:rsidRDefault="00041B7F" w:rsidP="00F12EFE">
      <w:pPr>
        <w:pStyle w:val="texto"/>
        <w:numPr>
          <w:ilvl w:val="0"/>
          <w:numId w:val="20"/>
        </w:numPr>
        <w:tabs>
          <w:tab w:val="num" w:pos="300"/>
          <w:tab w:val="left" w:pos="480"/>
          <w:tab w:val="num" w:pos="600"/>
        </w:tabs>
        <w:spacing w:after="120"/>
        <w:ind w:left="0" w:firstLine="289"/>
        <w:jc w:val="both"/>
      </w:pPr>
      <w:r w:rsidRPr="004459DB">
        <w:t xml:space="preserve">Acta </w:t>
      </w:r>
      <w:r>
        <w:t xml:space="preserve">de 6 de septiembre de </w:t>
      </w:r>
      <w:r w:rsidRPr="004459DB">
        <w:t>2023 de apertura del sobre nº 3 “Propuesta criterios cuantificables mediante fórmulas”.</w:t>
      </w:r>
    </w:p>
    <w:p w14:paraId="2D0DD51E" w14:textId="77777777" w:rsidR="00041B7F" w:rsidRPr="004459DB" w:rsidRDefault="00041B7F" w:rsidP="00041B7F">
      <w:pPr>
        <w:pStyle w:val="texto"/>
        <w:jc w:val="both"/>
      </w:pPr>
      <w:r w:rsidRPr="004459DB">
        <w:t xml:space="preserve">Se procede a la apertura del sobre 3 y calificación de los criterios cuantitativos, es decir, el precio y los criterios sociales, que </w:t>
      </w:r>
      <w:r>
        <w:t xml:space="preserve">ponderan </w:t>
      </w:r>
      <w:r w:rsidRPr="004459DB">
        <w:t xml:space="preserve">un total de 50 puntos. El resultado es el siguiente: </w:t>
      </w:r>
    </w:p>
    <w:p w14:paraId="06B5A104" w14:textId="77777777" w:rsidR="00041B7F" w:rsidRPr="004459DB" w:rsidRDefault="00041B7F" w:rsidP="00041B7F">
      <w:pPr>
        <w:pStyle w:val="texto"/>
        <w:jc w:val="both"/>
      </w:pPr>
    </w:p>
    <w:tbl>
      <w:tblPr>
        <w:tblW w:w="8789" w:type="dxa"/>
        <w:tblCellMar>
          <w:left w:w="70" w:type="dxa"/>
          <w:right w:w="70" w:type="dxa"/>
        </w:tblCellMar>
        <w:tblLook w:val="04A0" w:firstRow="1" w:lastRow="0" w:firstColumn="1" w:lastColumn="0" w:noHBand="0" w:noVBand="1"/>
      </w:tblPr>
      <w:tblGrid>
        <w:gridCol w:w="2268"/>
        <w:gridCol w:w="2552"/>
        <w:gridCol w:w="2693"/>
        <w:gridCol w:w="1276"/>
      </w:tblGrid>
      <w:tr w:rsidR="00041B7F" w:rsidRPr="00DB18E1" w14:paraId="715B4210" w14:textId="77777777" w:rsidTr="00DB18E1">
        <w:trPr>
          <w:trHeight w:val="255"/>
        </w:trPr>
        <w:tc>
          <w:tcPr>
            <w:tcW w:w="2268" w:type="dxa"/>
            <w:tcBorders>
              <w:top w:val="single" w:sz="4" w:space="0" w:color="auto"/>
              <w:left w:val="nil"/>
              <w:bottom w:val="single" w:sz="4" w:space="0" w:color="auto"/>
              <w:right w:val="nil"/>
            </w:tcBorders>
            <w:shd w:val="clear" w:color="auto" w:fill="8DB3E2"/>
            <w:vAlign w:val="center"/>
            <w:hideMark/>
          </w:tcPr>
          <w:p w14:paraId="00EEC404" w14:textId="77777777" w:rsidR="00041B7F" w:rsidRPr="00DB18E1" w:rsidRDefault="00041B7F" w:rsidP="00041B7F">
            <w:pPr>
              <w:rPr>
                <w:rFonts w:ascii="Arial" w:hAnsi="Arial" w:cs="Arial"/>
                <w:color w:val="000000"/>
                <w:sz w:val="18"/>
                <w:szCs w:val="18"/>
              </w:rPr>
            </w:pPr>
            <w:r w:rsidRPr="00DB18E1">
              <w:rPr>
                <w:rFonts w:ascii="Arial" w:hAnsi="Arial" w:cs="Arial"/>
                <w:color w:val="000000"/>
                <w:sz w:val="18"/>
                <w:szCs w:val="18"/>
              </w:rPr>
              <w:t>Empresa licitadora</w:t>
            </w:r>
          </w:p>
        </w:tc>
        <w:tc>
          <w:tcPr>
            <w:tcW w:w="2552" w:type="dxa"/>
            <w:tcBorders>
              <w:top w:val="single" w:sz="4" w:space="0" w:color="auto"/>
              <w:left w:val="nil"/>
              <w:bottom w:val="single" w:sz="4" w:space="0" w:color="auto"/>
              <w:right w:val="nil"/>
            </w:tcBorders>
            <w:shd w:val="clear" w:color="auto" w:fill="8DB3E2"/>
            <w:vAlign w:val="center"/>
            <w:hideMark/>
          </w:tcPr>
          <w:p w14:paraId="62E26B59" w14:textId="77777777" w:rsidR="00041B7F" w:rsidRPr="00DB18E1" w:rsidRDefault="00041B7F" w:rsidP="00041B7F">
            <w:pPr>
              <w:jc w:val="right"/>
              <w:rPr>
                <w:rFonts w:ascii="Arial" w:hAnsi="Arial" w:cs="Arial"/>
                <w:color w:val="000000"/>
                <w:sz w:val="18"/>
                <w:szCs w:val="18"/>
              </w:rPr>
            </w:pPr>
            <w:r w:rsidRPr="00DB18E1">
              <w:rPr>
                <w:rFonts w:ascii="Arial" w:hAnsi="Arial" w:cs="Arial"/>
                <w:color w:val="000000"/>
                <w:sz w:val="18"/>
                <w:szCs w:val="18"/>
              </w:rPr>
              <w:t>Oferta Económica 40 puntos</w:t>
            </w:r>
          </w:p>
        </w:tc>
        <w:tc>
          <w:tcPr>
            <w:tcW w:w="2693" w:type="dxa"/>
            <w:tcBorders>
              <w:top w:val="single" w:sz="4" w:space="0" w:color="auto"/>
              <w:left w:val="nil"/>
              <w:bottom w:val="single" w:sz="4" w:space="0" w:color="auto"/>
              <w:right w:val="nil"/>
            </w:tcBorders>
            <w:shd w:val="clear" w:color="auto" w:fill="8DB3E2"/>
            <w:vAlign w:val="center"/>
            <w:hideMark/>
          </w:tcPr>
          <w:p w14:paraId="233D2162" w14:textId="77777777" w:rsidR="00041B7F" w:rsidRPr="00DB18E1" w:rsidRDefault="00041B7F" w:rsidP="00041B7F">
            <w:pPr>
              <w:jc w:val="right"/>
              <w:rPr>
                <w:rFonts w:ascii="Arial" w:hAnsi="Arial" w:cs="Arial"/>
                <w:color w:val="000000"/>
                <w:sz w:val="18"/>
                <w:szCs w:val="18"/>
              </w:rPr>
            </w:pPr>
            <w:r w:rsidRPr="00DB18E1">
              <w:rPr>
                <w:rFonts w:ascii="Arial" w:hAnsi="Arial" w:cs="Arial"/>
                <w:color w:val="000000"/>
                <w:sz w:val="18"/>
                <w:szCs w:val="18"/>
              </w:rPr>
              <w:t>Criterios sociales 10 puntos</w:t>
            </w:r>
          </w:p>
        </w:tc>
        <w:tc>
          <w:tcPr>
            <w:tcW w:w="1276" w:type="dxa"/>
            <w:tcBorders>
              <w:top w:val="single" w:sz="4" w:space="0" w:color="auto"/>
              <w:left w:val="nil"/>
              <w:bottom w:val="single" w:sz="4" w:space="0" w:color="auto"/>
              <w:right w:val="nil"/>
            </w:tcBorders>
            <w:shd w:val="clear" w:color="auto" w:fill="8DB3E2"/>
            <w:vAlign w:val="center"/>
            <w:hideMark/>
          </w:tcPr>
          <w:p w14:paraId="7B3668B1" w14:textId="77777777" w:rsidR="00041B7F" w:rsidRPr="00DB18E1" w:rsidRDefault="00041B7F" w:rsidP="00041B7F">
            <w:pPr>
              <w:jc w:val="right"/>
              <w:rPr>
                <w:rFonts w:ascii="Arial" w:hAnsi="Arial" w:cs="Arial"/>
                <w:color w:val="000000"/>
                <w:sz w:val="18"/>
                <w:szCs w:val="18"/>
              </w:rPr>
            </w:pPr>
            <w:r w:rsidRPr="00DB18E1">
              <w:rPr>
                <w:rFonts w:ascii="Arial" w:hAnsi="Arial" w:cs="Arial"/>
                <w:color w:val="000000"/>
                <w:sz w:val="18"/>
                <w:szCs w:val="18"/>
              </w:rPr>
              <w:t>TOTAL</w:t>
            </w:r>
          </w:p>
        </w:tc>
      </w:tr>
      <w:tr w:rsidR="00041B7F" w:rsidRPr="004459DB" w14:paraId="10D6239C" w14:textId="77777777" w:rsidTr="00DB18E1">
        <w:trPr>
          <w:trHeight w:val="198"/>
        </w:trPr>
        <w:tc>
          <w:tcPr>
            <w:tcW w:w="2268" w:type="dxa"/>
            <w:tcBorders>
              <w:top w:val="single" w:sz="4" w:space="0" w:color="auto"/>
              <w:left w:val="nil"/>
              <w:bottom w:val="single" w:sz="2" w:space="0" w:color="auto"/>
              <w:right w:val="nil"/>
            </w:tcBorders>
            <w:vAlign w:val="center"/>
            <w:hideMark/>
          </w:tcPr>
          <w:p w14:paraId="55025214" w14:textId="77777777" w:rsidR="00041B7F" w:rsidRPr="00DB18E1" w:rsidRDefault="00041B7F" w:rsidP="00041B7F">
            <w:pPr>
              <w:rPr>
                <w:rFonts w:ascii="Arial Narrow" w:hAnsi="Arial Narrow"/>
                <w:color w:val="000000"/>
                <w:sz w:val="20"/>
                <w:szCs w:val="20"/>
              </w:rPr>
            </w:pPr>
            <w:r w:rsidRPr="00DB18E1">
              <w:rPr>
                <w:rFonts w:ascii="Arial Narrow" w:hAnsi="Arial Narrow"/>
                <w:color w:val="000000"/>
                <w:sz w:val="20"/>
                <w:szCs w:val="20"/>
              </w:rPr>
              <w:t>1</w:t>
            </w:r>
          </w:p>
        </w:tc>
        <w:tc>
          <w:tcPr>
            <w:tcW w:w="2552" w:type="dxa"/>
            <w:tcBorders>
              <w:top w:val="single" w:sz="4" w:space="0" w:color="auto"/>
              <w:left w:val="nil"/>
              <w:bottom w:val="single" w:sz="2" w:space="0" w:color="auto"/>
              <w:right w:val="nil"/>
            </w:tcBorders>
            <w:vAlign w:val="center"/>
            <w:hideMark/>
          </w:tcPr>
          <w:p w14:paraId="5513A341"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27,52</w:t>
            </w:r>
          </w:p>
        </w:tc>
        <w:tc>
          <w:tcPr>
            <w:tcW w:w="2693" w:type="dxa"/>
            <w:tcBorders>
              <w:top w:val="single" w:sz="4" w:space="0" w:color="auto"/>
              <w:left w:val="nil"/>
              <w:bottom w:val="single" w:sz="2" w:space="0" w:color="auto"/>
              <w:right w:val="nil"/>
            </w:tcBorders>
            <w:vAlign w:val="center"/>
            <w:hideMark/>
          </w:tcPr>
          <w:p w14:paraId="6D6AD438"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10</w:t>
            </w:r>
          </w:p>
        </w:tc>
        <w:tc>
          <w:tcPr>
            <w:tcW w:w="1276" w:type="dxa"/>
            <w:tcBorders>
              <w:top w:val="single" w:sz="4" w:space="0" w:color="auto"/>
              <w:left w:val="nil"/>
              <w:bottom w:val="single" w:sz="2" w:space="0" w:color="auto"/>
              <w:right w:val="nil"/>
            </w:tcBorders>
            <w:vAlign w:val="center"/>
            <w:hideMark/>
          </w:tcPr>
          <w:p w14:paraId="365C5FDB"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37,52</w:t>
            </w:r>
          </w:p>
        </w:tc>
      </w:tr>
      <w:tr w:rsidR="00041B7F" w:rsidRPr="004459DB" w14:paraId="76F8A733" w14:textId="77777777" w:rsidTr="00DB18E1">
        <w:trPr>
          <w:trHeight w:val="198"/>
        </w:trPr>
        <w:tc>
          <w:tcPr>
            <w:tcW w:w="2268" w:type="dxa"/>
            <w:tcBorders>
              <w:top w:val="single" w:sz="2" w:space="0" w:color="auto"/>
              <w:left w:val="nil"/>
              <w:bottom w:val="single" w:sz="2" w:space="0" w:color="auto"/>
              <w:right w:val="nil"/>
            </w:tcBorders>
            <w:vAlign w:val="center"/>
            <w:hideMark/>
          </w:tcPr>
          <w:p w14:paraId="0220E35B" w14:textId="77777777" w:rsidR="00041B7F" w:rsidRPr="00DB18E1" w:rsidRDefault="00041B7F" w:rsidP="00041B7F">
            <w:pPr>
              <w:rPr>
                <w:rFonts w:ascii="Arial Narrow" w:hAnsi="Arial Narrow"/>
                <w:color w:val="000000"/>
                <w:sz w:val="20"/>
                <w:szCs w:val="20"/>
              </w:rPr>
            </w:pPr>
            <w:r w:rsidRPr="00DB18E1">
              <w:rPr>
                <w:rFonts w:ascii="Arial Narrow" w:hAnsi="Arial Narrow"/>
                <w:color w:val="000000"/>
                <w:sz w:val="20"/>
                <w:szCs w:val="20"/>
              </w:rPr>
              <w:t>2</w:t>
            </w:r>
          </w:p>
        </w:tc>
        <w:tc>
          <w:tcPr>
            <w:tcW w:w="2552" w:type="dxa"/>
            <w:tcBorders>
              <w:top w:val="single" w:sz="2" w:space="0" w:color="auto"/>
              <w:left w:val="nil"/>
              <w:bottom w:val="single" w:sz="2" w:space="0" w:color="auto"/>
              <w:right w:val="nil"/>
            </w:tcBorders>
            <w:vAlign w:val="center"/>
            <w:hideMark/>
          </w:tcPr>
          <w:p w14:paraId="42BEB8B4"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30,06</w:t>
            </w:r>
          </w:p>
        </w:tc>
        <w:tc>
          <w:tcPr>
            <w:tcW w:w="2693" w:type="dxa"/>
            <w:tcBorders>
              <w:top w:val="single" w:sz="2" w:space="0" w:color="auto"/>
              <w:left w:val="nil"/>
              <w:bottom w:val="single" w:sz="2" w:space="0" w:color="auto"/>
              <w:right w:val="nil"/>
            </w:tcBorders>
            <w:vAlign w:val="center"/>
            <w:hideMark/>
          </w:tcPr>
          <w:p w14:paraId="29C0B666"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10</w:t>
            </w:r>
          </w:p>
        </w:tc>
        <w:tc>
          <w:tcPr>
            <w:tcW w:w="1276" w:type="dxa"/>
            <w:tcBorders>
              <w:top w:val="single" w:sz="2" w:space="0" w:color="auto"/>
              <w:left w:val="nil"/>
              <w:bottom w:val="single" w:sz="2" w:space="0" w:color="auto"/>
              <w:right w:val="nil"/>
            </w:tcBorders>
            <w:vAlign w:val="center"/>
            <w:hideMark/>
          </w:tcPr>
          <w:p w14:paraId="61222BD6"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40,06</w:t>
            </w:r>
          </w:p>
        </w:tc>
      </w:tr>
      <w:tr w:rsidR="00041B7F" w:rsidRPr="004459DB" w14:paraId="16178349" w14:textId="77777777" w:rsidTr="00DB18E1">
        <w:trPr>
          <w:trHeight w:val="198"/>
        </w:trPr>
        <w:tc>
          <w:tcPr>
            <w:tcW w:w="2268" w:type="dxa"/>
            <w:tcBorders>
              <w:top w:val="single" w:sz="2" w:space="0" w:color="auto"/>
              <w:left w:val="nil"/>
              <w:bottom w:val="single" w:sz="2" w:space="0" w:color="auto"/>
              <w:right w:val="nil"/>
            </w:tcBorders>
            <w:vAlign w:val="center"/>
            <w:hideMark/>
          </w:tcPr>
          <w:p w14:paraId="3C335666" w14:textId="77777777" w:rsidR="00041B7F" w:rsidRPr="00DB18E1" w:rsidRDefault="00041B7F" w:rsidP="00041B7F">
            <w:pPr>
              <w:rPr>
                <w:rFonts w:ascii="Arial Narrow" w:hAnsi="Arial Narrow"/>
                <w:color w:val="000000"/>
                <w:sz w:val="20"/>
                <w:szCs w:val="20"/>
              </w:rPr>
            </w:pPr>
            <w:r w:rsidRPr="00DB18E1">
              <w:rPr>
                <w:rFonts w:ascii="Arial Narrow" w:hAnsi="Arial Narrow"/>
                <w:color w:val="000000"/>
                <w:sz w:val="20"/>
                <w:szCs w:val="20"/>
              </w:rPr>
              <w:t>3</w:t>
            </w:r>
          </w:p>
        </w:tc>
        <w:tc>
          <w:tcPr>
            <w:tcW w:w="2552" w:type="dxa"/>
            <w:tcBorders>
              <w:top w:val="single" w:sz="2" w:space="0" w:color="auto"/>
              <w:left w:val="nil"/>
              <w:bottom w:val="single" w:sz="2" w:space="0" w:color="auto"/>
              <w:right w:val="nil"/>
            </w:tcBorders>
            <w:vAlign w:val="center"/>
            <w:hideMark/>
          </w:tcPr>
          <w:p w14:paraId="18865F19"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27,42</w:t>
            </w:r>
          </w:p>
        </w:tc>
        <w:tc>
          <w:tcPr>
            <w:tcW w:w="2693" w:type="dxa"/>
            <w:tcBorders>
              <w:top w:val="single" w:sz="2" w:space="0" w:color="auto"/>
              <w:left w:val="nil"/>
              <w:bottom w:val="single" w:sz="2" w:space="0" w:color="auto"/>
              <w:right w:val="nil"/>
            </w:tcBorders>
            <w:vAlign w:val="center"/>
            <w:hideMark/>
          </w:tcPr>
          <w:p w14:paraId="75FB05F7"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10</w:t>
            </w:r>
          </w:p>
        </w:tc>
        <w:tc>
          <w:tcPr>
            <w:tcW w:w="1276" w:type="dxa"/>
            <w:tcBorders>
              <w:top w:val="single" w:sz="2" w:space="0" w:color="auto"/>
              <w:left w:val="nil"/>
              <w:bottom w:val="single" w:sz="2" w:space="0" w:color="auto"/>
              <w:right w:val="nil"/>
            </w:tcBorders>
            <w:vAlign w:val="center"/>
            <w:hideMark/>
          </w:tcPr>
          <w:p w14:paraId="3A20C44D"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37,42</w:t>
            </w:r>
          </w:p>
        </w:tc>
      </w:tr>
      <w:tr w:rsidR="00041B7F" w:rsidRPr="004459DB" w14:paraId="269CA434" w14:textId="77777777" w:rsidTr="00DB18E1">
        <w:trPr>
          <w:trHeight w:val="198"/>
        </w:trPr>
        <w:tc>
          <w:tcPr>
            <w:tcW w:w="2268" w:type="dxa"/>
            <w:tcBorders>
              <w:top w:val="single" w:sz="2" w:space="0" w:color="auto"/>
              <w:left w:val="nil"/>
              <w:bottom w:val="single" w:sz="2" w:space="0" w:color="auto"/>
              <w:right w:val="nil"/>
            </w:tcBorders>
            <w:vAlign w:val="center"/>
            <w:hideMark/>
          </w:tcPr>
          <w:p w14:paraId="1F143BAC" w14:textId="77777777" w:rsidR="00041B7F" w:rsidRPr="00DB18E1" w:rsidRDefault="00041B7F" w:rsidP="00041B7F">
            <w:pPr>
              <w:rPr>
                <w:rFonts w:ascii="Arial Narrow" w:hAnsi="Arial Narrow"/>
                <w:color w:val="000000"/>
                <w:sz w:val="20"/>
                <w:szCs w:val="20"/>
              </w:rPr>
            </w:pPr>
            <w:r w:rsidRPr="00DB18E1">
              <w:rPr>
                <w:rFonts w:ascii="Arial Narrow" w:hAnsi="Arial Narrow"/>
                <w:color w:val="000000"/>
                <w:sz w:val="20"/>
                <w:szCs w:val="20"/>
              </w:rPr>
              <w:t>4</w:t>
            </w:r>
          </w:p>
        </w:tc>
        <w:tc>
          <w:tcPr>
            <w:tcW w:w="2552" w:type="dxa"/>
            <w:tcBorders>
              <w:top w:val="single" w:sz="2" w:space="0" w:color="auto"/>
              <w:left w:val="nil"/>
              <w:bottom w:val="single" w:sz="2" w:space="0" w:color="auto"/>
              <w:right w:val="nil"/>
            </w:tcBorders>
            <w:vAlign w:val="center"/>
            <w:hideMark/>
          </w:tcPr>
          <w:p w14:paraId="6641F925"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40</w:t>
            </w:r>
          </w:p>
        </w:tc>
        <w:tc>
          <w:tcPr>
            <w:tcW w:w="2693" w:type="dxa"/>
            <w:tcBorders>
              <w:top w:val="single" w:sz="2" w:space="0" w:color="auto"/>
              <w:left w:val="nil"/>
              <w:bottom w:val="single" w:sz="2" w:space="0" w:color="auto"/>
              <w:right w:val="nil"/>
            </w:tcBorders>
            <w:vAlign w:val="center"/>
            <w:hideMark/>
          </w:tcPr>
          <w:p w14:paraId="0BFFDB1C"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10</w:t>
            </w:r>
          </w:p>
        </w:tc>
        <w:tc>
          <w:tcPr>
            <w:tcW w:w="1276" w:type="dxa"/>
            <w:tcBorders>
              <w:top w:val="single" w:sz="2" w:space="0" w:color="auto"/>
              <w:left w:val="nil"/>
              <w:bottom w:val="single" w:sz="2" w:space="0" w:color="auto"/>
              <w:right w:val="nil"/>
            </w:tcBorders>
            <w:vAlign w:val="center"/>
            <w:hideMark/>
          </w:tcPr>
          <w:p w14:paraId="71856C67"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50</w:t>
            </w:r>
          </w:p>
        </w:tc>
      </w:tr>
      <w:tr w:rsidR="00041B7F" w:rsidRPr="004459DB" w14:paraId="2FF5BB78" w14:textId="77777777" w:rsidTr="00DB18E1">
        <w:trPr>
          <w:trHeight w:val="198"/>
        </w:trPr>
        <w:tc>
          <w:tcPr>
            <w:tcW w:w="2268" w:type="dxa"/>
            <w:tcBorders>
              <w:top w:val="single" w:sz="2" w:space="0" w:color="auto"/>
              <w:left w:val="nil"/>
              <w:bottom w:val="single" w:sz="2" w:space="0" w:color="auto"/>
              <w:right w:val="nil"/>
            </w:tcBorders>
            <w:vAlign w:val="center"/>
            <w:hideMark/>
          </w:tcPr>
          <w:p w14:paraId="6254313C" w14:textId="77777777" w:rsidR="00041B7F" w:rsidRPr="00DB18E1" w:rsidRDefault="00041B7F" w:rsidP="00041B7F">
            <w:pPr>
              <w:rPr>
                <w:rFonts w:ascii="Arial Narrow" w:hAnsi="Arial Narrow"/>
                <w:color w:val="000000"/>
                <w:sz w:val="20"/>
                <w:szCs w:val="20"/>
              </w:rPr>
            </w:pPr>
            <w:r w:rsidRPr="00DB18E1">
              <w:rPr>
                <w:rFonts w:ascii="Arial Narrow" w:hAnsi="Arial Narrow"/>
                <w:color w:val="000000"/>
                <w:sz w:val="20"/>
                <w:szCs w:val="20"/>
              </w:rPr>
              <w:t>5</w:t>
            </w:r>
          </w:p>
        </w:tc>
        <w:tc>
          <w:tcPr>
            <w:tcW w:w="2552" w:type="dxa"/>
            <w:tcBorders>
              <w:top w:val="single" w:sz="2" w:space="0" w:color="auto"/>
              <w:left w:val="nil"/>
              <w:bottom w:val="single" w:sz="2" w:space="0" w:color="auto"/>
              <w:right w:val="nil"/>
            </w:tcBorders>
            <w:vAlign w:val="center"/>
            <w:hideMark/>
          </w:tcPr>
          <w:p w14:paraId="52F1BC8A"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40</w:t>
            </w:r>
          </w:p>
        </w:tc>
        <w:tc>
          <w:tcPr>
            <w:tcW w:w="2693" w:type="dxa"/>
            <w:tcBorders>
              <w:top w:val="single" w:sz="2" w:space="0" w:color="auto"/>
              <w:left w:val="nil"/>
              <w:bottom w:val="single" w:sz="2" w:space="0" w:color="auto"/>
              <w:right w:val="nil"/>
            </w:tcBorders>
            <w:vAlign w:val="center"/>
            <w:hideMark/>
          </w:tcPr>
          <w:p w14:paraId="1EDAC9A2"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10</w:t>
            </w:r>
          </w:p>
        </w:tc>
        <w:tc>
          <w:tcPr>
            <w:tcW w:w="1276" w:type="dxa"/>
            <w:tcBorders>
              <w:top w:val="single" w:sz="2" w:space="0" w:color="auto"/>
              <w:left w:val="nil"/>
              <w:bottom w:val="single" w:sz="2" w:space="0" w:color="auto"/>
              <w:right w:val="nil"/>
            </w:tcBorders>
            <w:vAlign w:val="center"/>
            <w:hideMark/>
          </w:tcPr>
          <w:p w14:paraId="4A761AFA"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50</w:t>
            </w:r>
          </w:p>
        </w:tc>
      </w:tr>
      <w:tr w:rsidR="00041B7F" w:rsidRPr="004459DB" w14:paraId="52136CA1" w14:textId="77777777" w:rsidTr="00DB18E1">
        <w:trPr>
          <w:trHeight w:val="198"/>
        </w:trPr>
        <w:tc>
          <w:tcPr>
            <w:tcW w:w="2268" w:type="dxa"/>
            <w:tcBorders>
              <w:top w:val="single" w:sz="2" w:space="0" w:color="auto"/>
              <w:left w:val="nil"/>
              <w:bottom w:val="single" w:sz="2" w:space="0" w:color="auto"/>
              <w:right w:val="nil"/>
            </w:tcBorders>
            <w:vAlign w:val="center"/>
            <w:hideMark/>
          </w:tcPr>
          <w:p w14:paraId="0125AB7C" w14:textId="77777777" w:rsidR="00041B7F" w:rsidRPr="00DB18E1" w:rsidRDefault="00041B7F" w:rsidP="00041B7F">
            <w:pPr>
              <w:rPr>
                <w:rFonts w:ascii="Arial Narrow" w:hAnsi="Arial Narrow"/>
                <w:color w:val="000000"/>
                <w:sz w:val="20"/>
                <w:szCs w:val="20"/>
              </w:rPr>
            </w:pPr>
            <w:r w:rsidRPr="00DB18E1">
              <w:rPr>
                <w:rFonts w:ascii="Arial Narrow" w:hAnsi="Arial Narrow"/>
                <w:color w:val="000000"/>
                <w:sz w:val="20"/>
                <w:szCs w:val="20"/>
              </w:rPr>
              <w:t>6</w:t>
            </w:r>
          </w:p>
        </w:tc>
        <w:tc>
          <w:tcPr>
            <w:tcW w:w="2552" w:type="dxa"/>
            <w:tcBorders>
              <w:top w:val="single" w:sz="2" w:space="0" w:color="auto"/>
              <w:left w:val="nil"/>
              <w:bottom w:val="single" w:sz="2" w:space="0" w:color="auto"/>
              <w:right w:val="nil"/>
            </w:tcBorders>
            <w:vAlign w:val="center"/>
            <w:hideMark/>
          </w:tcPr>
          <w:p w14:paraId="1D307310"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40</w:t>
            </w:r>
          </w:p>
        </w:tc>
        <w:tc>
          <w:tcPr>
            <w:tcW w:w="2693" w:type="dxa"/>
            <w:tcBorders>
              <w:top w:val="single" w:sz="2" w:space="0" w:color="auto"/>
              <w:left w:val="nil"/>
              <w:bottom w:val="single" w:sz="2" w:space="0" w:color="auto"/>
              <w:right w:val="nil"/>
            </w:tcBorders>
            <w:vAlign w:val="center"/>
            <w:hideMark/>
          </w:tcPr>
          <w:p w14:paraId="66BAFD6F"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10</w:t>
            </w:r>
          </w:p>
        </w:tc>
        <w:tc>
          <w:tcPr>
            <w:tcW w:w="1276" w:type="dxa"/>
            <w:tcBorders>
              <w:top w:val="single" w:sz="2" w:space="0" w:color="auto"/>
              <w:left w:val="nil"/>
              <w:bottom w:val="single" w:sz="2" w:space="0" w:color="auto"/>
              <w:right w:val="nil"/>
            </w:tcBorders>
            <w:vAlign w:val="center"/>
            <w:hideMark/>
          </w:tcPr>
          <w:p w14:paraId="2E9981C0"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50</w:t>
            </w:r>
          </w:p>
        </w:tc>
      </w:tr>
      <w:tr w:rsidR="00041B7F" w:rsidRPr="004459DB" w14:paraId="717185B9" w14:textId="77777777" w:rsidTr="00DB18E1">
        <w:trPr>
          <w:trHeight w:val="198"/>
        </w:trPr>
        <w:tc>
          <w:tcPr>
            <w:tcW w:w="2268" w:type="dxa"/>
            <w:tcBorders>
              <w:top w:val="single" w:sz="2" w:space="0" w:color="auto"/>
              <w:left w:val="nil"/>
              <w:bottom w:val="single" w:sz="4" w:space="0" w:color="auto"/>
              <w:right w:val="nil"/>
            </w:tcBorders>
            <w:vAlign w:val="center"/>
            <w:hideMark/>
          </w:tcPr>
          <w:p w14:paraId="4E3B3A13" w14:textId="77777777" w:rsidR="00041B7F" w:rsidRPr="00DB18E1" w:rsidRDefault="00041B7F" w:rsidP="00041B7F">
            <w:pPr>
              <w:rPr>
                <w:rFonts w:ascii="Arial Narrow" w:hAnsi="Arial Narrow"/>
                <w:color w:val="000000"/>
                <w:sz w:val="20"/>
                <w:szCs w:val="20"/>
              </w:rPr>
            </w:pPr>
            <w:r w:rsidRPr="00DB18E1">
              <w:rPr>
                <w:rFonts w:ascii="Arial Narrow" w:hAnsi="Arial Narrow"/>
                <w:color w:val="000000"/>
                <w:sz w:val="20"/>
                <w:szCs w:val="20"/>
              </w:rPr>
              <w:t>7</w:t>
            </w:r>
          </w:p>
        </w:tc>
        <w:tc>
          <w:tcPr>
            <w:tcW w:w="2552" w:type="dxa"/>
            <w:tcBorders>
              <w:top w:val="single" w:sz="2" w:space="0" w:color="auto"/>
              <w:left w:val="nil"/>
              <w:bottom w:val="single" w:sz="4" w:space="0" w:color="auto"/>
              <w:right w:val="nil"/>
            </w:tcBorders>
            <w:vAlign w:val="center"/>
            <w:hideMark/>
          </w:tcPr>
          <w:p w14:paraId="512FBFB8"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40</w:t>
            </w:r>
          </w:p>
        </w:tc>
        <w:tc>
          <w:tcPr>
            <w:tcW w:w="2693" w:type="dxa"/>
            <w:tcBorders>
              <w:top w:val="single" w:sz="2" w:space="0" w:color="auto"/>
              <w:left w:val="nil"/>
              <w:bottom w:val="single" w:sz="4" w:space="0" w:color="auto"/>
              <w:right w:val="nil"/>
            </w:tcBorders>
            <w:vAlign w:val="center"/>
            <w:hideMark/>
          </w:tcPr>
          <w:p w14:paraId="2FDAE75D"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10</w:t>
            </w:r>
          </w:p>
        </w:tc>
        <w:tc>
          <w:tcPr>
            <w:tcW w:w="1276" w:type="dxa"/>
            <w:tcBorders>
              <w:top w:val="single" w:sz="2" w:space="0" w:color="auto"/>
              <w:left w:val="nil"/>
              <w:bottom w:val="single" w:sz="4" w:space="0" w:color="auto"/>
              <w:right w:val="nil"/>
            </w:tcBorders>
            <w:vAlign w:val="center"/>
            <w:hideMark/>
          </w:tcPr>
          <w:p w14:paraId="7BEA9560"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50</w:t>
            </w:r>
          </w:p>
        </w:tc>
      </w:tr>
    </w:tbl>
    <w:p w14:paraId="2B24022B" w14:textId="77777777" w:rsidR="00041B7F" w:rsidRPr="004459DB" w:rsidRDefault="00041B7F" w:rsidP="00041B7F">
      <w:pPr>
        <w:jc w:val="both"/>
        <w:rPr>
          <w:sz w:val="26"/>
          <w:szCs w:val="26"/>
        </w:rPr>
      </w:pPr>
    </w:p>
    <w:p w14:paraId="1F73FE1F" w14:textId="77777777" w:rsidR="00041B7F" w:rsidRPr="004459DB" w:rsidRDefault="00041B7F" w:rsidP="00041B7F">
      <w:pPr>
        <w:spacing w:after="240"/>
        <w:rPr>
          <w:sz w:val="26"/>
          <w:szCs w:val="26"/>
        </w:rPr>
      </w:pPr>
      <w:r w:rsidRPr="004459DB">
        <w:rPr>
          <w:sz w:val="26"/>
          <w:szCs w:val="26"/>
        </w:rPr>
        <w:t xml:space="preserve">El resultado final de </w:t>
      </w:r>
      <w:proofErr w:type="gramStart"/>
      <w:r w:rsidRPr="004459DB">
        <w:rPr>
          <w:sz w:val="26"/>
          <w:szCs w:val="26"/>
        </w:rPr>
        <w:t>valoración,</w:t>
      </w:r>
      <w:proofErr w:type="gramEnd"/>
      <w:r w:rsidRPr="004459DB">
        <w:rPr>
          <w:sz w:val="26"/>
          <w:szCs w:val="26"/>
        </w:rPr>
        <w:t xml:space="preserve"> es el siguiente: </w:t>
      </w:r>
    </w:p>
    <w:tbl>
      <w:tblPr>
        <w:tblW w:w="8789" w:type="dxa"/>
        <w:tblCellMar>
          <w:left w:w="70" w:type="dxa"/>
          <w:right w:w="70" w:type="dxa"/>
        </w:tblCellMar>
        <w:tblLook w:val="04A0" w:firstRow="1" w:lastRow="0" w:firstColumn="1" w:lastColumn="0" w:noHBand="0" w:noVBand="1"/>
      </w:tblPr>
      <w:tblGrid>
        <w:gridCol w:w="2410"/>
        <w:gridCol w:w="2410"/>
        <w:gridCol w:w="2410"/>
        <w:gridCol w:w="1559"/>
      </w:tblGrid>
      <w:tr w:rsidR="00041B7F" w:rsidRPr="00DB18E1" w14:paraId="24D60E6B" w14:textId="77777777" w:rsidTr="00DB18E1">
        <w:trPr>
          <w:trHeight w:val="255"/>
        </w:trPr>
        <w:tc>
          <w:tcPr>
            <w:tcW w:w="2410" w:type="dxa"/>
            <w:tcBorders>
              <w:top w:val="single" w:sz="4" w:space="0" w:color="auto"/>
              <w:left w:val="nil"/>
              <w:bottom w:val="single" w:sz="4" w:space="0" w:color="auto"/>
              <w:right w:val="nil"/>
            </w:tcBorders>
            <w:shd w:val="clear" w:color="auto" w:fill="8DB3E2"/>
            <w:vAlign w:val="center"/>
            <w:hideMark/>
          </w:tcPr>
          <w:p w14:paraId="3FE89E37" w14:textId="77777777" w:rsidR="00041B7F" w:rsidRPr="00DB18E1" w:rsidRDefault="00041B7F" w:rsidP="00041B7F">
            <w:pPr>
              <w:rPr>
                <w:rFonts w:ascii="Arial" w:hAnsi="Arial" w:cs="Arial"/>
                <w:color w:val="000000"/>
                <w:sz w:val="18"/>
                <w:szCs w:val="18"/>
              </w:rPr>
            </w:pPr>
            <w:r w:rsidRPr="00DB18E1">
              <w:rPr>
                <w:rFonts w:ascii="Arial" w:hAnsi="Arial" w:cs="Arial"/>
                <w:color w:val="000000"/>
                <w:sz w:val="18"/>
                <w:szCs w:val="18"/>
              </w:rPr>
              <w:t>Empresa licitadora</w:t>
            </w:r>
          </w:p>
        </w:tc>
        <w:tc>
          <w:tcPr>
            <w:tcW w:w="2410" w:type="dxa"/>
            <w:tcBorders>
              <w:top w:val="single" w:sz="4" w:space="0" w:color="auto"/>
              <w:left w:val="nil"/>
              <w:bottom w:val="single" w:sz="4" w:space="0" w:color="auto"/>
              <w:right w:val="nil"/>
            </w:tcBorders>
            <w:shd w:val="clear" w:color="auto" w:fill="8DB3E2"/>
            <w:vAlign w:val="center"/>
            <w:hideMark/>
          </w:tcPr>
          <w:p w14:paraId="5A0A6B3C" w14:textId="77777777" w:rsidR="00041B7F" w:rsidRPr="00DB18E1" w:rsidRDefault="00041B7F" w:rsidP="00041B7F">
            <w:pPr>
              <w:jc w:val="right"/>
              <w:rPr>
                <w:rFonts w:ascii="Arial" w:hAnsi="Arial" w:cs="Arial"/>
                <w:color w:val="000000"/>
                <w:sz w:val="18"/>
                <w:szCs w:val="18"/>
              </w:rPr>
            </w:pPr>
            <w:r w:rsidRPr="00DB18E1">
              <w:rPr>
                <w:rFonts w:ascii="Arial" w:hAnsi="Arial" w:cs="Arial"/>
                <w:color w:val="000000"/>
                <w:sz w:val="18"/>
                <w:szCs w:val="18"/>
              </w:rPr>
              <w:t xml:space="preserve">Total </w:t>
            </w:r>
            <w:proofErr w:type="gramStart"/>
            <w:r w:rsidRPr="00DB18E1">
              <w:rPr>
                <w:rFonts w:ascii="Arial" w:hAnsi="Arial" w:cs="Arial"/>
                <w:color w:val="000000"/>
                <w:sz w:val="18"/>
                <w:szCs w:val="18"/>
              </w:rPr>
              <w:t>oferta  técnica</w:t>
            </w:r>
            <w:proofErr w:type="gramEnd"/>
          </w:p>
        </w:tc>
        <w:tc>
          <w:tcPr>
            <w:tcW w:w="2410" w:type="dxa"/>
            <w:tcBorders>
              <w:top w:val="single" w:sz="4" w:space="0" w:color="auto"/>
              <w:left w:val="nil"/>
              <w:bottom w:val="single" w:sz="4" w:space="0" w:color="auto"/>
              <w:right w:val="nil"/>
            </w:tcBorders>
            <w:shd w:val="clear" w:color="auto" w:fill="8DB3E2"/>
            <w:vAlign w:val="center"/>
            <w:hideMark/>
          </w:tcPr>
          <w:p w14:paraId="5CC0D308" w14:textId="77777777" w:rsidR="00041B7F" w:rsidRPr="00DB18E1" w:rsidRDefault="00041B7F" w:rsidP="00041B7F">
            <w:pPr>
              <w:jc w:val="right"/>
              <w:rPr>
                <w:rFonts w:ascii="Arial" w:hAnsi="Arial" w:cs="Arial"/>
                <w:color w:val="000000"/>
                <w:sz w:val="18"/>
                <w:szCs w:val="18"/>
              </w:rPr>
            </w:pPr>
            <w:r w:rsidRPr="00DB18E1">
              <w:rPr>
                <w:rFonts w:ascii="Arial" w:hAnsi="Arial" w:cs="Arial"/>
                <w:color w:val="000000"/>
                <w:sz w:val="18"/>
                <w:szCs w:val="18"/>
              </w:rPr>
              <w:t>Total oferta fórmulas</w:t>
            </w:r>
          </w:p>
        </w:tc>
        <w:tc>
          <w:tcPr>
            <w:tcW w:w="1559" w:type="dxa"/>
            <w:tcBorders>
              <w:top w:val="single" w:sz="4" w:space="0" w:color="auto"/>
              <w:left w:val="nil"/>
              <w:bottom w:val="single" w:sz="4" w:space="0" w:color="auto"/>
              <w:right w:val="nil"/>
            </w:tcBorders>
            <w:shd w:val="clear" w:color="auto" w:fill="8DB3E2"/>
            <w:vAlign w:val="center"/>
            <w:hideMark/>
          </w:tcPr>
          <w:p w14:paraId="6C6CCBDF" w14:textId="77777777" w:rsidR="00041B7F" w:rsidRPr="00DB18E1" w:rsidRDefault="00041B7F" w:rsidP="00041B7F">
            <w:pPr>
              <w:jc w:val="right"/>
              <w:rPr>
                <w:rFonts w:ascii="Arial" w:hAnsi="Arial" w:cs="Arial"/>
                <w:color w:val="000000"/>
                <w:sz w:val="18"/>
                <w:szCs w:val="18"/>
              </w:rPr>
            </w:pPr>
            <w:r w:rsidRPr="00DB18E1">
              <w:rPr>
                <w:rFonts w:ascii="Arial" w:hAnsi="Arial" w:cs="Arial"/>
                <w:color w:val="000000"/>
                <w:sz w:val="18"/>
                <w:szCs w:val="18"/>
              </w:rPr>
              <w:t>TOTAL</w:t>
            </w:r>
          </w:p>
        </w:tc>
      </w:tr>
      <w:tr w:rsidR="00041B7F" w:rsidRPr="004459DB" w14:paraId="7AD077A1" w14:textId="77777777" w:rsidTr="00DB18E1">
        <w:trPr>
          <w:trHeight w:val="198"/>
        </w:trPr>
        <w:tc>
          <w:tcPr>
            <w:tcW w:w="2410" w:type="dxa"/>
            <w:tcBorders>
              <w:top w:val="single" w:sz="4" w:space="0" w:color="auto"/>
              <w:left w:val="nil"/>
              <w:bottom w:val="single" w:sz="2" w:space="0" w:color="auto"/>
              <w:right w:val="nil"/>
            </w:tcBorders>
            <w:vAlign w:val="center"/>
            <w:hideMark/>
          </w:tcPr>
          <w:p w14:paraId="42F3E1A2" w14:textId="77777777" w:rsidR="00041B7F" w:rsidRPr="00DB18E1" w:rsidRDefault="00041B7F" w:rsidP="00041B7F">
            <w:pPr>
              <w:rPr>
                <w:rFonts w:ascii="Arial Narrow" w:hAnsi="Arial Narrow"/>
                <w:b/>
                <w:color w:val="000000"/>
                <w:sz w:val="20"/>
                <w:szCs w:val="20"/>
              </w:rPr>
            </w:pPr>
            <w:r w:rsidRPr="00DB18E1">
              <w:rPr>
                <w:rFonts w:ascii="Arial Narrow" w:hAnsi="Arial Narrow"/>
                <w:b/>
                <w:color w:val="000000"/>
                <w:sz w:val="20"/>
                <w:szCs w:val="20"/>
              </w:rPr>
              <w:t>4</w:t>
            </w:r>
          </w:p>
        </w:tc>
        <w:tc>
          <w:tcPr>
            <w:tcW w:w="2410" w:type="dxa"/>
            <w:tcBorders>
              <w:top w:val="single" w:sz="4" w:space="0" w:color="auto"/>
              <w:left w:val="nil"/>
              <w:bottom w:val="single" w:sz="2" w:space="0" w:color="auto"/>
              <w:right w:val="nil"/>
            </w:tcBorders>
            <w:vAlign w:val="center"/>
            <w:hideMark/>
          </w:tcPr>
          <w:p w14:paraId="2123D7A0" w14:textId="77777777" w:rsidR="00041B7F" w:rsidRPr="00DB18E1" w:rsidRDefault="00041B7F" w:rsidP="00041B7F">
            <w:pPr>
              <w:jc w:val="right"/>
              <w:rPr>
                <w:rFonts w:ascii="Arial Narrow" w:hAnsi="Arial Narrow"/>
                <w:b/>
                <w:color w:val="000000"/>
                <w:sz w:val="20"/>
                <w:szCs w:val="20"/>
              </w:rPr>
            </w:pPr>
            <w:r w:rsidRPr="00DB18E1">
              <w:rPr>
                <w:rFonts w:ascii="Arial Narrow" w:hAnsi="Arial Narrow"/>
                <w:b/>
                <w:color w:val="000000"/>
                <w:sz w:val="20"/>
                <w:szCs w:val="20"/>
              </w:rPr>
              <w:t>46,22</w:t>
            </w:r>
          </w:p>
        </w:tc>
        <w:tc>
          <w:tcPr>
            <w:tcW w:w="2410" w:type="dxa"/>
            <w:tcBorders>
              <w:top w:val="single" w:sz="4" w:space="0" w:color="auto"/>
              <w:left w:val="nil"/>
              <w:bottom w:val="single" w:sz="2" w:space="0" w:color="auto"/>
              <w:right w:val="nil"/>
            </w:tcBorders>
            <w:vAlign w:val="center"/>
            <w:hideMark/>
          </w:tcPr>
          <w:p w14:paraId="7713CB72" w14:textId="77777777" w:rsidR="00041B7F" w:rsidRPr="00DB18E1" w:rsidRDefault="00041B7F" w:rsidP="00041B7F">
            <w:pPr>
              <w:jc w:val="right"/>
              <w:rPr>
                <w:rFonts w:ascii="Arial Narrow" w:hAnsi="Arial Narrow"/>
                <w:b/>
                <w:color w:val="000000"/>
                <w:sz w:val="20"/>
                <w:szCs w:val="20"/>
              </w:rPr>
            </w:pPr>
            <w:r w:rsidRPr="00DB18E1">
              <w:rPr>
                <w:rFonts w:ascii="Arial Narrow" w:hAnsi="Arial Narrow"/>
                <w:b/>
                <w:color w:val="000000"/>
                <w:sz w:val="20"/>
                <w:szCs w:val="20"/>
              </w:rPr>
              <w:t>50</w:t>
            </w:r>
          </w:p>
        </w:tc>
        <w:tc>
          <w:tcPr>
            <w:tcW w:w="1559" w:type="dxa"/>
            <w:tcBorders>
              <w:top w:val="single" w:sz="4" w:space="0" w:color="auto"/>
              <w:left w:val="nil"/>
              <w:bottom w:val="single" w:sz="2" w:space="0" w:color="auto"/>
              <w:right w:val="nil"/>
            </w:tcBorders>
            <w:vAlign w:val="bottom"/>
            <w:hideMark/>
          </w:tcPr>
          <w:p w14:paraId="4D70C8B4" w14:textId="77777777" w:rsidR="00041B7F" w:rsidRPr="00DB18E1" w:rsidRDefault="00041B7F" w:rsidP="00041B7F">
            <w:pPr>
              <w:jc w:val="right"/>
              <w:rPr>
                <w:rFonts w:ascii="Arial Narrow" w:hAnsi="Arial Narrow"/>
                <w:b/>
                <w:color w:val="000000"/>
                <w:sz w:val="20"/>
                <w:szCs w:val="20"/>
              </w:rPr>
            </w:pPr>
            <w:r w:rsidRPr="00DB18E1">
              <w:rPr>
                <w:rFonts w:ascii="Arial Narrow" w:hAnsi="Arial Narrow"/>
                <w:b/>
                <w:color w:val="000000"/>
                <w:sz w:val="20"/>
                <w:szCs w:val="20"/>
              </w:rPr>
              <w:t>96,22</w:t>
            </w:r>
          </w:p>
        </w:tc>
      </w:tr>
      <w:tr w:rsidR="00041B7F" w:rsidRPr="004459DB" w14:paraId="5B637385" w14:textId="77777777" w:rsidTr="00DB18E1">
        <w:trPr>
          <w:trHeight w:val="198"/>
        </w:trPr>
        <w:tc>
          <w:tcPr>
            <w:tcW w:w="2410" w:type="dxa"/>
            <w:tcBorders>
              <w:top w:val="single" w:sz="2" w:space="0" w:color="auto"/>
              <w:left w:val="nil"/>
              <w:bottom w:val="single" w:sz="2" w:space="0" w:color="auto"/>
              <w:right w:val="nil"/>
            </w:tcBorders>
            <w:vAlign w:val="center"/>
            <w:hideMark/>
          </w:tcPr>
          <w:p w14:paraId="2A8A5E51" w14:textId="77777777" w:rsidR="00041B7F" w:rsidRPr="00DB18E1" w:rsidRDefault="00041B7F" w:rsidP="00041B7F">
            <w:pPr>
              <w:rPr>
                <w:rFonts w:ascii="Arial Narrow" w:hAnsi="Arial Narrow"/>
                <w:color w:val="000000"/>
                <w:sz w:val="20"/>
                <w:szCs w:val="20"/>
              </w:rPr>
            </w:pPr>
            <w:r w:rsidRPr="00DB18E1">
              <w:rPr>
                <w:rFonts w:ascii="Arial Narrow" w:hAnsi="Arial Narrow"/>
                <w:color w:val="000000"/>
                <w:sz w:val="20"/>
                <w:szCs w:val="20"/>
              </w:rPr>
              <w:t>6</w:t>
            </w:r>
          </w:p>
        </w:tc>
        <w:tc>
          <w:tcPr>
            <w:tcW w:w="2410" w:type="dxa"/>
            <w:tcBorders>
              <w:top w:val="single" w:sz="2" w:space="0" w:color="auto"/>
              <w:left w:val="nil"/>
              <w:bottom w:val="single" w:sz="2" w:space="0" w:color="auto"/>
              <w:right w:val="nil"/>
            </w:tcBorders>
            <w:vAlign w:val="center"/>
            <w:hideMark/>
          </w:tcPr>
          <w:p w14:paraId="19510299"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44,85</w:t>
            </w:r>
          </w:p>
        </w:tc>
        <w:tc>
          <w:tcPr>
            <w:tcW w:w="2410" w:type="dxa"/>
            <w:tcBorders>
              <w:top w:val="single" w:sz="2" w:space="0" w:color="auto"/>
              <w:left w:val="nil"/>
              <w:bottom w:val="single" w:sz="2" w:space="0" w:color="auto"/>
              <w:right w:val="nil"/>
            </w:tcBorders>
            <w:vAlign w:val="center"/>
            <w:hideMark/>
          </w:tcPr>
          <w:p w14:paraId="53DD71C3"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50</w:t>
            </w:r>
          </w:p>
        </w:tc>
        <w:tc>
          <w:tcPr>
            <w:tcW w:w="1559" w:type="dxa"/>
            <w:tcBorders>
              <w:top w:val="single" w:sz="2" w:space="0" w:color="auto"/>
              <w:left w:val="nil"/>
              <w:bottom w:val="single" w:sz="2" w:space="0" w:color="auto"/>
              <w:right w:val="nil"/>
            </w:tcBorders>
            <w:vAlign w:val="bottom"/>
            <w:hideMark/>
          </w:tcPr>
          <w:p w14:paraId="716218EF"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94,85</w:t>
            </w:r>
          </w:p>
        </w:tc>
      </w:tr>
      <w:tr w:rsidR="00041B7F" w:rsidRPr="004459DB" w14:paraId="503FF256" w14:textId="77777777" w:rsidTr="00DB18E1">
        <w:trPr>
          <w:trHeight w:val="198"/>
        </w:trPr>
        <w:tc>
          <w:tcPr>
            <w:tcW w:w="2410" w:type="dxa"/>
            <w:tcBorders>
              <w:top w:val="single" w:sz="2" w:space="0" w:color="auto"/>
              <w:left w:val="nil"/>
              <w:bottom w:val="single" w:sz="2" w:space="0" w:color="auto"/>
              <w:right w:val="nil"/>
            </w:tcBorders>
            <w:vAlign w:val="center"/>
            <w:hideMark/>
          </w:tcPr>
          <w:p w14:paraId="1153A856" w14:textId="77777777" w:rsidR="00041B7F" w:rsidRPr="00DB18E1" w:rsidRDefault="00041B7F" w:rsidP="00041B7F">
            <w:pPr>
              <w:rPr>
                <w:rFonts w:ascii="Arial Narrow" w:hAnsi="Arial Narrow"/>
                <w:color w:val="000000"/>
                <w:sz w:val="20"/>
                <w:szCs w:val="20"/>
              </w:rPr>
            </w:pPr>
            <w:r w:rsidRPr="00DB18E1">
              <w:rPr>
                <w:rFonts w:ascii="Arial Narrow" w:hAnsi="Arial Narrow"/>
                <w:color w:val="000000"/>
                <w:sz w:val="20"/>
                <w:szCs w:val="20"/>
              </w:rPr>
              <w:t>7</w:t>
            </w:r>
          </w:p>
        </w:tc>
        <w:tc>
          <w:tcPr>
            <w:tcW w:w="2410" w:type="dxa"/>
            <w:tcBorders>
              <w:top w:val="single" w:sz="2" w:space="0" w:color="auto"/>
              <w:left w:val="nil"/>
              <w:bottom w:val="single" w:sz="2" w:space="0" w:color="auto"/>
              <w:right w:val="nil"/>
            </w:tcBorders>
            <w:vAlign w:val="center"/>
            <w:hideMark/>
          </w:tcPr>
          <w:p w14:paraId="516D97C0"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44,05</w:t>
            </w:r>
          </w:p>
        </w:tc>
        <w:tc>
          <w:tcPr>
            <w:tcW w:w="2410" w:type="dxa"/>
            <w:tcBorders>
              <w:top w:val="single" w:sz="2" w:space="0" w:color="auto"/>
              <w:left w:val="nil"/>
              <w:bottom w:val="single" w:sz="2" w:space="0" w:color="auto"/>
              <w:right w:val="nil"/>
            </w:tcBorders>
            <w:vAlign w:val="center"/>
            <w:hideMark/>
          </w:tcPr>
          <w:p w14:paraId="7463768A"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50</w:t>
            </w:r>
          </w:p>
        </w:tc>
        <w:tc>
          <w:tcPr>
            <w:tcW w:w="1559" w:type="dxa"/>
            <w:tcBorders>
              <w:top w:val="single" w:sz="2" w:space="0" w:color="auto"/>
              <w:left w:val="nil"/>
              <w:bottom w:val="single" w:sz="2" w:space="0" w:color="auto"/>
              <w:right w:val="nil"/>
            </w:tcBorders>
            <w:vAlign w:val="bottom"/>
            <w:hideMark/>
          </w:tcPr>
          <w:p w14:paraId="26C78B83"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94,05</w:t>
            </w:r>
          </w:p>
        </w:tc>
      </w:tr>
      <w:tr w:rsidR="00041B7F" w:rsidRPr="004459DB" w14:paraId="3E1F5AF2" w14:textId="77777777" w:rsidTr="00DB18E1">
        <w:trPr>
          <w:trHeight w:val="198"/>
        </w:trPr>
        <w:tc>
          <w:tcPr>
            <w:tcW w:w="2410" w:type="dxa"/>
            <w:tcBorders>
              <w:top w:val="single" w:sz="2" w:space="0" w:color="auto"/>
              <w:left w:val="nil"/>
              <w:bottom w:val="single" w:sz="2" w:space="0" w:color="auto"/>
              <w:right w:val="nil"/>
            </w:tcBorders>
            <w:vAlign w:val="center"/>
            <w:hideMark/>
          </w:tcPr>
          <w:p w14:paraId="4040AD9A" w14:textId="77777777" w:rsidR="00041B7F" w:rsidRPr="00DB18E1" w:rsidRDefault="00041B7F" w:rsidP="00041B7F">
            <w:pPr>
              <w:rPr>
                <w:rFonts w:ascii="Arial Narrow" w:hAnsi="Arial Narrow"/>
                <w:color w:val="000000"/>
                <w:sz w:val="20"/>
                <w:szCs w:val="20"/>
              </w:rPr>
            </w:pPr>
            <w:r w:rsidRPr="00DB18E1">
              <w:rPr>
                <w:rFonts w:ascii="Arial Narrow" w:hAnsi="Arial Narrow"/>
                <w:color w:val="000000"/>
                <w:sz w:val="20"/>
                <w:szCs w:val="20"/>
              </w:rPr>
              <w:t>5</w:t>
            </w:r>
          </w:p>
        </w:tc>
        <w:tc>
          <w:tcPr>
            <w:tcW w:w="2410" w:type="dxa"/>
            <w:tcBorders>
              <w:top w:val="single" w:sz="2" w:space="0" w:color="auto"/>
              <w:left w:val="nil"/>
              <w:bottom w:val="single" w:sz="2" w:space="0" w:color="auto"/>
              <w:right w:val="nil"/>
            </w:tcBorders>
            <w:vAlign w:val="center"/>
            <w:hideMark/>
          </w:tcPr>
          <w:p w14:paraId="0C50B70E"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38,7</w:t>
            </w:r>
          </w:p>
        </w:tc>
        <w:tc>
          <w:tcPr>
            <w:tcW w:w="2410" w:type="dxa"/>
            <w:tcBorders>
              <w:top w:val="single" w:sz="2" w:space="0" w:color="auto"/>
              <w:left w:val="nil"/>
              <w:bottom w:val="single" w:sz="2" w:space="0" w:color="auto"/>
              <w:right w:val="nil"/>
            </w:tcBorders>
            <w:vAlign w:val="center"/>
            <w:hideMark/>
          </w:tcPr>
          <w:p w14:paraId="0F8B39DA"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50</w:t>
            </w:r>
          </w:p>
        </w:tc>
        <w:tc>
          <w:tcPr>
            <w:tcW w:w="1559" w:type="dxa"/>
            <w:tcBorders>
              <w:top w:val="single" w:sz="2" w:space="0" w:color="auto"/>
              <w:left w:val="nil"/>
              <w:bottom w:val="single" w:sz="2" w:space="0" w:color="auto"/>
              <w:right w:val="nil"/>
            </w:tcBorders>
            <w:vAlign w:val="bottom"/>
            <w:hideMark/>
          </w:tcPr>
          <w:p w14:paraId="6B3728A6"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88,7</w:t>
            </w:r>
          </w:p>
        </w:tc>
      </w:tr>
      <w:tr w:rsidR="00041B7F" w:rsidRPr="004459DB" w14:paraId="587F8E07" w14:textId="77777777" w:rsidTr="00DB18E1">
        <w:trPr>
          <w:trHeight w:val="198"/>
        </w:trPr>
        <w:tc>
          <w:tcPr>
            <w:tcW w:w="2410" w:type="dxa"/>
            <w:tcBorders>
              <w:top w:val="single" w:sz="2" w:space="0" w:color="auto"/>
              <w:left w:val="nil"/>
              <w:bottom w:val="single" w:sz="2" w:space="0" w:color="auto"/>
              <w:right w:val="nil"/>
            </w:tcBorders>
            <w:vAlign w:val="center"/>
            <w:hideMark/>
          </w:tcPr>
          <w:p w14:paraId="53F0CC75" w14:textId="77777777" w:rsidR="00041B7F" w:rsidRPr="00DB18E1" w:rsidRDefault="00041B7F" w:rsidP="00041B7F">
            <w:pPr>
              <w:rPr>
                <w:rFonts w:ascii="Arial Narrow" w:hAnsi="Arial Narrow"/>
                <w:color w:val="000000"/>
                <w:sz w:val="20"/>
                <w:szCs w:val="20"/>
              </w:rPr>
            </w:pPr>
            <w:r w:rsidRPr="00DB18E1">
              <w:rPr>
                <w:rFonts w:ascii="Arial Narrow" w:hAnsi="Arial Narrow"/>
                <w:color w:val="000000"/>
                <w:sz w:val="20"/>
                <w:szCs w:val="20"/>
              </w:rPr>
              <w:t>2</w:t>
            </w:r>
          </w:p>
        </w:tc>
        <w:tc>
          <w:tcPr>
            <w:tcW w:w="2410" w:type="dxa"/>
            <w:tcBorders>
              <w:top w:val="single" w:sz="2" w:space="0" w:color="auto"/>
              <w:left w:val="nil"/>
              <w:bottom w:val="single" w:sz="2" w:space="0" w:color="auto"/>
              <w:right w:val="nil"/>
            </w:tcBorders>
            <w:vAlign w:val="center"/>
            <w:hideMark/>
          </w:tcPr>
          <w:p w14:paraId="57E07679"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32,6</w:t>
            </w:r>
          </w:p>
        </w:tc>
        <w:tc>
          <w:tcPr>
            <w:tcW w:w="2410" w:type="dxa"/>
            <w:tcBorders>
              <w:top w:val="single" w:sz="2" w:space="0" w:color="auto"/>
              <w:left w:val="nil"/>
              <w:bottom w:val="single" w:sz="2" w:space="0" w:color="auto"/>
              <w:right w:val="nil"/>
            </w:tcBorders>
            <w:vAlign w:val="center"/>
            <w:hideMark/>
          </w:tcPr>
          <w:p w14:paraId="592DF538"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40,06</w:t>
            </w:r>
          </w:p>
        </w:tc>
        <w:tc>
          <w:tcPr>
            <w:tcW w:w="1559" w:type="dxa"/>
            <w:tcBorders>
              <w:top w:val="single" w:sz="2" w:space="0" w:color="auto"/>
              <w:left w:val="nil"/>
              <w:bottom w:val="single" w:sz="2" w:space="0" w:color="auto"/>
              <w:right w:val="nil"/>
            </w:tcBorders>
            <w:vAlign w:val="bottom"/>
            <w:hideMark/>
          </w:tcPr>
          <w:p w14:paraId="53254972"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72,66</w:t>
            </w:r>
          </w:p>
        </w:tc>
      </w:tr>
      <w:tr w:rsidR="00041B7F" w:rsidRPr="004459DB" w14:paraId="33523912" w14:textId="77777777" w:rsidTr="00DB18E1">
        <w:trPr>
          <w:trHeight w:val="198"/>
        </w:trPr>
        <w:tc>
          <w:tcPr>
            <w:tcW w:w="2410" w:type="dxa"/>
            <w:tcBorders>
              <w:top w:val="single" w:sz="2" w:space="0" w:color="auto"/>
              <w:left w:val="nil"/>
              <w:bottom w:val="single" w:sz="2" w:space="0" w:color="auto"/>
              <w:right w:val="nil"/>
            </w:tcBorders>
            <w:vAlign w:val="center"/>
            <w:hideMark/>
          </w:tcPr>
          <w:p w14:paraId="307886CC" w14:textId="77777777" w:rsidR="00041B7F" w:rsidRPr="00DB18E1" w:rsidRDefault="00041B7F" w:rsidP="00041B7F">
            <w:pPr>
              <w:rPr>
                <w:rFonts w:ascii="Arial Narrow" w:hAnsi="Arial Narrow"/>
                <w:color w:val="000000"/>
                <w:sz w:val="20"/>
                <w:szCs w:val="20"/>
              </w:rPr>
            </w:pPr>
            <w:r w:rsidRPr="00DB18E1">
              <w:rPr>
                <w:rFonts w:ascii="Arial Narrow" w:hAnsi="Arial Narrow"/>
                <w:color w:val="000000"/>
                <w:sz w:val="20"/>
                <w:szCs w:val="20"/>
              </w:rPr>
              <w:t>3</w:t>
            </w:r>
          </w:p>
        </w:tc>
        <w:tc>
          <w:tcPr>
            <w:tcW w:w="2410" w:type="dxa"/>
            <w:tcBorders>
              <w:top w:val="single" w:sz="2" w:space="0" w:color="auto"/>
              <w:left w:val="nil"/>
              <w:bottom w:val="single" w:sz="2" w:space="0" w:color="auto"/>
              <w:right w:val="nil"/>
            </w:tcBorders>
            <w:vAlign w:val="center"/>
            <w:hideMark/>
          </w:tcPr>
          <w:p w14:paraId="1AD81B4D"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33,45</w:t>
            </w:r>
          </w:p>
        </w:tc>
        <w:tc>
          <w:tcPr>
            <w:tcW w:w="2410" w:type="dxa"/>
            <w:tcBorders>
              <w:top w:val="single" w:sz="2" w:space="0" w:color="auto"/>
              <w:left w:val="nil"/>
              <w:bottom w:val="single" w:sz="2" w:space="0" w:color="auto"/>
              <w:right w:val="nil"/>
            </w:tcBorders>
            <w:vAlign w:val="center"/>
            <w:hideMark/>
          </w:tcPr>
          <w:p w14:paraId="6F9C0E9E"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37,42</w:t>
            </w:r>
          </w:p>
        </w:tc>
        <w:tc>
          <w:tcPr>
            <w:tcW w:w="1559" w:type="dxa"/>
            <w:tcBorders>
              <w:top w:val="single" w:sz="2" w:space="0" w:color="auto"/>
              <w:left w:val="nil"/>
              <w:bottom w:val="single" w:sz="2" w:space="0" w:color="auto"/>
              <w:right w:val="nil"/>
            </w:tcBorders>
            <w:vAlign w:val="bottom"/>
            <w:hideMark/>
          </w:tcPr>
          <w:p w14:paraId="50E9C5B3"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70,87</w:t>
            </w:r>
          </w:p>
        </w:tc>
      </w:tr>
      <w:tr w:rsidR="00041B7F" w:rsidRPr="004459DB" w14:paraId="0587F369" w14:textId="77777777" w:rsidTr="00DB18E1">
        <w:trPr>
          <w:trHeight w:val="198"/>
        </w:trPr>
        <w:tc>
          <w:tcPr>
            <w:tcW w:w="2410" w:type="dxa"/>
            <w:tcBorders>
              <w:top w:val="single" w:sz="2" w:space="0" w:color="auto"/>
              <w:left w:val="nil"/>
              <w:bottom w:val="single" w:sz="4" w:space="0" w:color="auto"/>
              <w:right w:val="nil"/>
            </w:tcBorders>
            <w:vAlign w:val="center"/>
            <w:hideMark/>
          </w:tcPr>
          <w:p w14:paraId="74644798" w14:textId="77777777" w:rsidR="00041B7F" w:rsidRPr="00DB18E1" w:rsidRDefault="00041B7F" w:rsidP="00041B7F">
            <w:pPr>
              <w:rPr>
                <w:rFonts w:ascii="Arial Narrow" w:hAnsi="Arial Narrow"/>
                <w:color w:val="000000"/>
                <w:sz w:val="20"/>
                <w:szCs w:val="20"/>
              </w:rPr>
            </w:pPr>
            <w:r w:rsidRPr="00DB18E1">
              <w:rPr>
                <w:rFonts w:ascii="Arial Narrow" w:hAnsi="Arial Narrow"/>
                <w:color w:val="000000"/>
                <w:sz w:val="20"/>
                <w:szCs w:val="20"/>
              </w:rPr>
              <w:t>1</w:t>
            </w:r>
          </w:p>
        </w:tc>
        <w:tc>
          <w:tcPr>
            <w:tcW w:w="2410" w:type="dxa"/>
            <w:tcBorders>
              <w:top w:val="single" w:sz="2" w:space="0" w:color="auto"/>
              <w:left w:val="nil"/>
              <w:bottom w:val="single" w:sz="4" w:space="0" w:color="auto"/>
              <w:right w:val="nil"/>
            </w:tcBorders>
            <w:vAlign w:val="center"/>
            <w:hideMark/>
          </w:tcPr>
          <w:p w14:paraId="461B8D2D"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29,8</w:t>
            </w:r>
          </w:p>
        </w:tc>
        <w:tc>
          <w:tcPr>
            <w:tcW w:w="2410" w:type="dxa"/>
            <w:tcBorders>
              <w:top w:val="single" w:sz="2" w:space="0" w:color="auto"/>
              <w:left w:val="nil"/>
              <w:bottom w:val="single" w:sz="4" w:space="0" w:color="auto"/>
              <w:right w:val="nil"/>
            </w:tcBorders>
            <w:vAlign w:val="center"/>
            <w:hideMark/>
          </w:tcPr>
          <w:p w14:paraId="2A03D409"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37,52</w:t>
            </w:r>
          </w:p>
        </w:tc>
        <w:tc>
          <w:tcPr>
            <w:tcW w:w="1559" w:type="dxa"/>
            <w:tcBorders>
              <w:top w:val="single" w:sz="2" w:space="0" w:color="auto"/>
              <w:left w:val="nil"/>
              <w:bottom w:val="single" w:sz="4" w:space="0" w:color="auto"/>
              <w:right w:val="nil"/>
            </w:tcBorders>
            <w:vAlign w:val="bottom"/>
            <w:hideMark/>
          </w:tcPr>
          <w:p w14:paraId="6FEA2B31" w14:textId="77777777" w:rsidR="00041B7F" w:rsidRPr="00DB18E1" w:rsidRDefault="00041B7F" w:rsidP="00041B7F">
            <w:pPr>
              <w:jc w:val="right"/>
              <w:rPr>
                <w:rFonts w:ascii="Arial Narrow" w:hAnsi="Arial Narrow"/>
                <w:color w:val="000000"/>
                <w:sz w:val="20"/>
                <w:szCs w:val="20"/>
              </w:rPr>
            </w:pPr>
            <w:r w:rsidRPr="00DB18E1">
              <w:rPr>
                <w:rFonts w:ascii="Arial Narrow" w:hAnsi="Arial Narrow"/>
                <w:color w:val="000000"/>
                <w:sz w:val="20"/>
                <w:szCs w:val="20"/>
              </w:rPr>
              <w:t>67,32</w:t>
            </w:r>
          </w:p>
        </w:tc>
      </w:tr>
    </w:tbl>
    <w:p w14:paraId="4B91B951" w14:textId="77777777" w:rsidR="00041B7F" w:rsidRPr="004459DB" w:rsidRDefault="00041B7F" w:rsidP="00DB18E1">
      <w:pPr>
        <w:pStyle w:val="texto"/>
        <w:spacing w:before="120"/>
        <w:jc w:val="both"/>
      </w:pPr>
      <w:r w:rsidRPr="004459DB">
        <w:t xml:space="preserve">Por ello, acuerdan requerir a las empresas integrantes de la UTE mejor valorada, la documentación prevista en la cláusula 13 del condicionado relativa a la acreditación de la personalidad de la empresa, la solvencia, y los certificados de obligaciones tributarias. Se concede un plazo de siete días para su subsanación. </w:t>
      </w:r>
    </w:p>
    <w:p w14:paraId="307F3EC7" w14:textId="77777777" w:rsidR="00041B7F" w:rsidRPr="004459DB" w:rsidRDefault="00041B7F" w:rsidP="00041B7F">
      <w:pPr>
        <w:pStyle w:val="texto"/>
        <w:numPr>
          <w:ilvl w:val="0"/>
          <w:numId w:val="20"/>
        </w:numPr>
        <w:tabs>
          <w:tab w:val="num" w:pos="300"/>
          <w:tab w:val="left" w:pos="480"/>
          <w:tab w:val="num" w:pos="600"/>
        </w:tabs>
        <w:spacing w:before="120"/>
        <w:ind w:left="0" w:firstLine="289"/>
        <w:jc w:val="both"/>
      </w:pPr>
      <w:r w:rsidRPr="004459DB">
        <w:t xml:space="preserve">Acta </w:t>
      </w:r>
      <w:r>
        <w:t xml:space="preserve">de </w:t>
      </w:r>
      <w:r w:rsidRPr="004459DB">
        <w:t>4</w:t>
      </w:r>
      <w:r>
        <w:t xml:space="preserve"> de octubre de </w:t>
      </w:r>
      <w:r w:rsidRPr="004459DB">
        <w:t xml:space="preserve">2023 del examen de la documentación administrativa y requerimiento de subsanación. En este acto, se analiza la documentación solicitada a la UTE que resulta mejor valorada. </w:t>
      </w:r>
    </w:p>
    <w:p w14:paraId="1C9836C8" w14:textId="77777777" w:rsidR="00041B7F" w:rsidRPr="004459DB" w:rsidRDefault="00041B7F" w:rsidP="00041B7F">
      <w:pPr>
        <w:pStyle w:val="texto"/>
        <w:jc w:val="both"/>
      </w:pPr>
    </w:p>
    <w:p w14:paraId="167A4C02" w14:textId="77777777" w:rsidR="00041B7F" w:rsidRPr="004459DB" w:rsidRDefault="00041B7F" w:rsidP="00041B7F">
      <w:pPr>
        <w:pStyle w:val="texto"/>
        <w:jc w:val="both"/>
      </w:pPr>
      <w:r w:rsidRPr="004459DB">
        <w:lastRenderedPageBreak/>
        <w:t xml:space="preserve">Se refleja en acta que se está de acuerdo en requerir la titulación del jefe de obra. Por el contrario, </w:t>
      </w:r>
      <w:r>
        <w:t xml:space="preserve">los miembros de la </w:t>
      </w:r>
      <w:proofErr w:type="gramStart"/>
      <w:r>
        <w:t>Mesa,</w:t>
      </w:r>
      <w:proofErr w:type="gramEnd"/>
      <w:r>
        <w:t xml:space="preserve"> </w:t>
      </w:r>
      <w:r w:rsidRPr="004459DB">
        <w:t xml:space="preserve">no coinciden en la válida acreditación de la solvencia técnica por medio de certificado que avale la buena ejecución de una obra similar a la licitada, según lo señalado en el condicionado de los pliegos: </w:t>
      </w:r>
    </w:p>
    <w:p w14:paraId="6CC2A8CA" w14:textId="77777777" w:rsidR="00041B7F" w:rsidRPr="004459DB" w:rsidRDefault="00041B7F" w:rsidP="00041B7F">
      <w:pPr>
        <w:pStyle w:val="texto"/>
        <w:jc w:val="both"/>
      </w:pPr>
    </w:p>
    <w:p w14:paraId="02D232D7" w14:textId="77777777" w:rsidR="00041B7F" w:rsidRPr="004459DB" w:rsidRDefault="00041B7F" w:rsidP="00041B7F">
      <w:pPr>
        <w:pStyle w:val="texto"/>
        <w:jc w:val="both"/>
        <w:rPr>
          <w:i/>
        </w:rPr>
      </w:pPr>
      <w:r w:rsidRPr="004459DB">
        <w:rPr>
          <w:i/>
        </w:rPr>
        <w:t>“Relación de las obras ejecutadas en el curso de los últimos cinco años, avalada por certificado de buena ejecución de, al menos, una obra similar (túnel), con importe de ejecución igual o superior a 65.000.000 euros, IVA excluido, donde conste el importe, la fecha y el lugar de ejecución de la obra, con indicación de si se realizaron según las reglas por las que se rige la profesión y si se llevaron normalmente a buen término”</w:t>
      </w:r>
    </w:p>
    <w:p w14:paraId="54F5137B" w14:textId="77777777" w:rsidR="00041B7F" w:rsidRPr="004459DB" w:rsidRDefault="00041B7F" w:rsidP="00041B7F">
      <w:pPr>
        <w:jc w:val="both"/>
        <w:rPr>
          <w:i/>
          <w:sz w:val="26"/>
          <w:szCs w:val="26"/>
        </w:rPr>
      </w:pPr>
    </w:p>
    <w:p w14:paraId="58F94A6C" w14:textId="77777777" w:rsidR="00041B7F" w:rsidRPr="004459DB" w:rsidRDefault="00041B7F" w:rsidP="00041B7F">
      <w:pPr>
        <w:pStyle w:val="texto"/>
        <w:jc w:val="both"/>
        <w:rPr>
          <w:szCs w:val="26"/>
        </w:rPr>
      </w:pPr>
      <w:r w:rsidRPr="004459DB">
        <w:rPr>
          <w:szCs w:val="26"/>
        </w:rPr>
        <w:t>Al no haberse realizado reuniones presenciales y no ser posible dejar constancia de los puntos principales</w:t>
      </w:r>
      <w:r>
        <w:rPr>
          <w:szCs w:val="26"/>
        </w:rPr>
        <w:t xml:space="preserve"> de las deliberaciones</w:t>
      </w:r>
      <w:r w:rsidRPr="004459DB">
        <w:rPr>
          <w:szCs w:val="26"/>
        </w:rPr>
        <w:t>, se incorpora al acta un “</w:t>
      </w:r>
      <w:r w:rsidRPr="004459DB">
        <w:rPr>
          <w:i/>
          <w:szCs w:val="26"/>
        </w:rPr>
        <w:t>Informe sobre solvencia técnica o profesional Túnel de Belate</w:t>
      </w:r>
      <w:r w:rsidRPr="004459DB">
        <w:rPr>
          <w:szCs w:val="26"/>
        </w:rPr>
        <w:t xml:space="preserve">” de fecha </w:t>
      </w:r>
      <w:r>
        <w:rPr>
          <w:szCs w:val="26"/>
        </w:rPr>
        <w:t xml:space="preserve">3 de octubre de </w:t>
      </w:r>
      <w:r w:rsidRPr="004459DB">
        <w:rPr>
          <w:szCs w:val="26"/>
        </w:rPr>
        <w:t>2023</w:t>
      </w:r>
      <w:r>
        <w:rPr>
          <w:szCs w:val="26"/>
        </w:rPr>
        <w:t>, aprobado con el voto favorable de cinco de los ocho miembros de la Mesa, que c</w:t>
      </w:r>
      <w:r w:rsidRPr="004459DB">
        <w:rPr>
          <w:szCs w:val="26"/>
        </w:rPr>
        <w:t>oncluye que se acredita el requisito de solvencia exigido</w:t>
      </w:r>
      <w:r w:rsidRPr="004459DB">
        <w:rPr>
          <w:rStyle w:val="Refdenotaalpie"/>
        </w:rPr>
        <w:footnoteReference w:id="54"/>
      </w:r>
      <w:r w:rsidRPr="004459DB">
        <w:rPr>
          <w:szCs w:val="26"/>
        </w:rPr>
        <w:t xml:space="preserve">. </w:t>
      </w:r>
    </w:p>
    <w:p w14:paraId="6EA901ED" w14:textId="77777777" w:rsidR="00041B7F" w:rsidRDefault="00041B7F" w:rsidP="00041B7F">
      <w:pPr>
        <w:jc w:val="both"/>
        <w:rPr>
          <w:sz w:val="26"/>
          <w:szCs w:val="26"/>
        </w:rPr>
      </w:pPr>
    </w:p>
    <w:p w14:paraId="64BBC221" w14:textId="77777777" w:rsidR="00041B7F" w:rsidRPr="00F861AC" w:rsidRDefault="00041B7F" w:rsidP="00041B7F">
      <w:pPr>
        <w:pStyle w:val="texto"/>
        <w:jc w:val="both"/>
        <w:rPr>
          <w:szCs w:val="26"/>
        </w:rPr>
      </w:pPr>
      <w:r w:rsidRPr="00F861AC">
        <w:rPr>
          <w:szCs w:val="26"/>
        </w:rPr>
        <w:t>Asimismo, se recoge en el acta la oposición razonada de quienes discrepan, (secretario, representante de la Junta de Contratación Pública e int</w:t>
      </w:r>
      <w:r>
        <w:rPr>
          <w:szCs w:val="26"/>
        </w:rPr>
        <w:t>erventor delegado)</w:t>
      </w:r>
      <w:r w:rsidRPr="00F861AC">
        <w:rPr>
          <w:szCs w:val="26"/>
        </w:rPr>
        <w:t xml:space="preserve">, que emiten sendos votos particulares incorporados al acta, y en los que manifiestan que las dudas generadas sobre la acreditación del requisito de solvencia requerido en los </w:t>
      </w:r>
      <w:proofErr w:type="gramStart"/>
      <w:r w:rsidRPr="00F861AC">
        <w:rPr>
          <w:szCs w:val="26"/>
        </w:rPr>
        <w:t>pliegos,</w:t>
      </w:r>
      <w:proofErr w:type="gramEnd"/>
      <w:r w:rsidRPr="00F861AC">
        <w:rPr>
          <w:szCs w:val="26"/>
        </w:rPr>
        <w:t xml:space="preserve"> debiera</w:t>
      </w:r>
      <w:r>
        <w:rPr>
          <w:szCs w:val="26"/>
        </w:rPr>
        <w:t>n</w:t>
      </w:r>
      <w:r w:rsidRPr="00F861AC">
        <w:rPr>
          <w:szCs w:val="26"/>
        </w:rPr>
        <w:t xml:space="preserve"> haberse solventado mediante el trámite de subsanación previsto en la normativa de contratación. </w:t>
      </w:r>
    </w:p>
    <w:p w14:paraId="12134E86" w14:textId="77777777" w:rsidR="00041B7F" w:rsidRPr="004459DB" w:rsidRDefault="00041B7F" w:rsidP="00041B7F">
      <w:pPr>
        <w:pStyle w:val="texto"/>
        <w:numPr>
          <w:ilvl w:val="0"/>
          <w:numId w:val="20"/>
        </w:numPr>
        <w:tabs>
          <w:tab w:val="num" w:pos="300"/>
          <w:tab w:val="left" w:pos="480"/>
          <w:tab w:val="num" w:pos="600"/>
        </w:tabs>
        <w:spacing w:before="120"/>
        <w:ind w:left="0" w:firstLine="289"/>
        <w:jc w:val="both"/>
      </w:pPr>
      <w:r w:rsidRPr="004459DB">
        <w:t>Acta de 23</w:t>
      </w:r>
      <w:r>
        <w:t xml:space="preserve"> </w:t>
      </w:r>
      <w:r w:rsidRPr="00241BA4">
        <w:t>de octubre 202</w:t>
      </w:r>
      <w:r w:rsidR="00845FE3" w:rsidRPr="00241BA4">
        <w:t>3</w:t>
      </w:r>
      <w:r w:rsidR="00750A0E" w:rsidRPr="00241BA4">
        <w:rPr>
          <w:rStyle w:val="Refdenotaalpie"/>
        </w:rPr>
        <w:footnoteReference w:id="55"/>
      </w:r>
      <w:r w:rsidRPr="00241BA4">
        <w:t xml:space="preserve"> </w:t>
      </w:r>
      <w:r w:rsidRPr="004459DB">
        <w:t>del examen de la documentación y propuesta de adjudicación. Se deja constancia que se ha recibido la documentación requerida (subsanación de la titulación requerida al jefe de obra). Se propone la adjudicación por un importe de 62.881.801,65 euros, IVA excluido, a la UTE nº 4, por presentar su oferta la mejor relación calidad-precio.</w:t>
      </w:r>
    </w:p>
    <w:p w14:paraId="09B818B0" w14:textId="77777777" w:rsidR="00041B7F" w:rsidRPr="004459DB" w:rsidRDefault="00041B7F" w:rsidP="00041B7F">
      <w:pPr>
        <w:pStyle w:val="Prrafodelista"/>
        <w:spacing w:before="240" w:after="240"/>
        <w:ind w:left="360"/>
        <w:jc w:val="both"/>
        <w:rPr>
          <w:sz w:val="26"/>
          <w:szCs w:val="26"/>
        </w:rPr>
      </w:pPr>
      <w:r w:rsidRPr="004459DB">
        <w:rPr>
          <w:i/>
          <w:iCs/>
          <w:color w:val="000000"/>
          <w:spacing w:val="10"/>
          <w:kern w:val="28"/>
          <w:sz w:val="25"/>
          <w:szCs w:val="26"/>
        </w:rPr>
        <w:t>Fase propuesta adjudicación y adjudicación del contrato</w:t>
      </w:r>
    </w:p>
    <w:p w14:paraId="7697DFA4" w14:textId="77777777" w:rsidR="00041B7F" w:rsidRPr="00B62B8E" w:rsidRDefault="00041B7F" w:rsidP="00041B7F">
      <w:pPr>
        <w:pStyle w:val="texto"/>
        <w:numPr>
          <w:ilvl w:val="0"/>
          <w:numId w:val="20"/>
        </w:numPr>
        <w:tabs>
          <w:tab w:val="num" w:pos="300"/>
          <w:tab w:val="left" w:pos="480"/>
          <w:tab w:val="num" w:pos="600"/>
        </w:tabs>
        <w:spacing w:before="120"/>
        <w:ind w:left="0" w:firstLine="289"/>
        <w:jc w:val="both"/>
      </w:pPr>
      <w:r>
        <w:t>E</w:t>
      </w:r>
      <w:r w:rsidRPr="00B62B8E">
        <w:t xml:space="preserve">l </w:t>
      </w:r>
      <w:r>
        <w:t xml:space="preserve">presidente de la Mesa </w:t>
      </w:r>
      <w:r w:rsidRPr="00B62B8E">
        <w:t xml:space="preserve">eleva al Director General de Obras Públicas e Infraestructuras, </w:t>
      </w:r>
      <w:r>
        <w:t xml:space="preserve">el 25 de octubre de 2023, </w:t>
      </w:r>
      <w:r w:rsidRPr="00B62B8E">
        <w:t>la propue</w:t>
      </w:r>
      <w:r>
        <w:t xml:space="preserve">sta de adjudicación. </w:t>
      </w:r>
    </w:p>
    <w:p w14:paraId="3B6B9043" w14:textId="77777777" w:rsidR="00041B7F" w:rsidRDefault="00041B7F" w:rsidP="00041B7F">
      <w:pPr>
        <w:pStyle w:val="texto"/>
        <w:numPr>
          <w:ilvl w:val="0"/>
          <w:numId w:val="20"/>
        </w:numPr>
        <w:tabs>
          <w:tab w:val="num" w:pos="300"/>
          <w:tab w:val="left" w:pos="480"/>
          <w:tab w:val="num" w:pos="600"/>
        </w:tabs>
        <w:spacing w:before="120"/>
        <w:ind w:left="0" w:firstLine="289"/>
        <w:jc w:val="both"/>
      </w:pPr>
      <w:r>
        <w:t xml:space="preserve">El interventor delegado, el 3 de noviembre de 2023, </w:t>
      </w:r>
      <w:r w:rsidRPr="004459DB">
        <w:t>emit</w:t>
      </w:r>
      <w:r>
        <w:t xml:space="preserve">ió </w:t>
      </w:r>
      <w:r w:rsidRPr="004459DB">
        <w:t xml:space="preserve">un informe de reparo no suspensivo, en </w:t>
      </w:r>
      <w:r w:rsidRPr="00B62B8E">
        <w:t>el que deja</w:t>
      </w:r>
      <w:r>
        <w:t>ba</w:t>
      </w:r>
      <w:r w:rsidRPr="00B62B8E">
        <w:t xml:space="preserve"> constancia de todo lo sucedido en las actuaciones procedimentales por la Mesa, adjuntando las actas de la mesa, y los informes que reflejan los votos particulares. </w:t>
      </w:r>
      <w:r>
        <w:t xml:space="preserve">Asimismo, informa </w:t>
      </w:r>
      <w:r w:rsidRPr="004459DB">
        <w:t xml:space="preserve">al órgano de </w:t>
      </w:r>
      <w:r w:rsidRPr="004459DB">
        <w:lastRenderedPageBreak/>
        <w:t xml:space="preserve">contratación </w:t>
      </w:r>
      <w:r>
        <w:t xml:space="preserve">de que los hechos puestos de manifiesto en los votos particulares, (principalmente la falta de motivación y </w:t>
      </w:r>
      <w:r w:rsidRPr="00F861AC">
        <w:t>el procedimiento seguido para la valoración de las ofertas</w:t>
      </w:r>
      <w:r>
        <w:t xml:space="preserve"> de valoración llevado a cabo) podrían suponer </w:t>
      </w:r>
      <w:r w:rsidRPr="004459DB">
        <w:t>el incumplimiento de los principios de igualdad de trato, no discriminación y transparencia</w:t>
      </w:r>
      <w:r>
        <w:t xml:space="preserve">. </w:t>
      </w:r>
    </w:p>
    <w:p w14:paraId="288A3395" w14:textId="77777777" w:rsidR="00041B7F" w:rsidRPr="00DE020D" w:rsidRDefault="00041B7F" w:rsidP="00041B7F">
      <w:pPr>
        <w:pStyle w:val="texto"/>
        <w:numPr>
          <w:ilvl w:val="0"/>
          <w:numId w:val="20"/>
        </w:numPr>
        <w:tabs>
          <w:tab w:val="num" w:pos="300"/>
          <w:tab w:val="left" w:pos="480"/>
          <w:tab w:val="num" w:pos="600"/>
        </w:tabs>
        <w:spacing w:before="120"/>
        <w:ind w:left="0" w:firstLine="289"/>
        <w:jc w:val="both"/>
      </w:pPr>
      <w:r w:rsidRPr="00DE020D">
        <w:t xml:space="preserve">El Director General de Obras Públicas e Infraestructuras solicitó el 20 de diciembre de 2023, al Director del Servicio de Nuevas Infraestructuras, que, una vez visto el informe del interventor delegado, considera que la documentación del expediente está incompleta y que debe concluirse con mayor nitidez la motivación de las calificaciones, así como subsanar la documentación del certificado de nueva ejecución. </w:t>
      </w:r>
    </w:p>
    <w:p w14:paraId="58E99B6B" w14:textId="77777777" w:rsidR="00041B7F" w:rsidRPr="007030ED" w:rsidRDefault="00041B7F" w:rsidP="00041B7F">
      <w:pPr>
        <w:pStyle w:val="texto"/>
        <w:tabs>
          <w:tab w:val="left" w:pos="480"/>
        </w:tabs>
        <w:spacing w:before="120" w:after="120"/>
        <w:jc w:val="both"/>
      </w:pPr>
      <w:r w:rsidRPr="007030ED">
        <w:rPr>
          <w:szCs w:val="26"/>
        </w:rPr>
        <w:t>El 21 de diciembre</w:t>
      </w:r>
      <w:r>
        <w:rPr>
          <w:szCs w:val="26"/>
        </w:rPr>
        <w:t xml:space="preserve"> de 2023</w:t>
      </w:r>
      <w:r w:rsidRPr="007030ED">
        <w:rPr>
          <w:szCs w:val="26"/>
        </w:rPr>
        <w:t>, el citado director de servicio lo comunica al resto de componentes que formaban parte de la Mesa para que respondan lo que crean conveniente.</w:t>
      </w:r>
      <w:r>
        <w:rPr>
          <w:szCs w:val="26"/>
        </w:rPr>
        <w:t xml:space="preserve"> Al respecto, indicamos que e</w:t>
      </w:r>
      <w:r w:rsidRPr="007030ED">
        <w:t xml:space="preserve">l </w:t>
      </w:r>
      <w:r>
        <w:t>9 de noviembre de 2023</w:t>
      </w:r>
      <w:r w:rsidRPr="007030ED">
        <w:t xml:space="preserve">, el letrado que ejerció las funciones de secretario de la Mesa, </w:t>
      </w:r>
      <w:r>
        <w:t xml:space="preserve">había advertido </w:t>
      </w:r>
      <w:r w:rsidRPr="007030ED">
        <w:t>sobre la improcedencia de llevar a cabo actuaciones propias de la Mesa una vez concluidas las funciones de ésta con la propuesta de adjudicación.</w:t>
      </w:r>
    </w:p>
    <w:p w14:paraId="14FC2BDE" w14:textId="77777777" w:rsidR="00041B7F" w:rsidRPr="007030ED" w:rsidRDefault="00041B7F" w:rsidP="00041B7F">
      <w:pPr>
        <w:pStyle w:val="texto"/>
        <w:tabs>
          <w:tab w:val="left" w:pos="480"/>
        </w:tabs>
        <w:spacing w:before="120" w:after="120"/>
        <w:jc w:val="both"/>
      </w:pPr>
      <w:r w:rsidRPr="007030ED">
        <w:t>El mismo 21 de diciembre se recibe un certificado de solvencia de la UTE que se propone como adjudicataria. Este certificado figura solicitado por la propia UTE al Ministerio de Transportes el 19 de</w:t>
      </w:r>
      <w:r>
        <w:t xml:space="preserve"> diciembre. </w:t>
      </w:r>
    </w:p>
    <w:p w14:paraId="292BAEE1" w14:textId="77777777" w:rsidR="00041B7F" w:rsidRDefault="00041B7F" w:rsidP="00041B7F">
      <w:pPr>
        <w:pStyle w:val="texto"/>
        <w:tabs>
          <w:tab w:val="left" w:pos="480"/>
        </w:tabs>
        <w:spacing w:before="120" w:after="120"/>
        <w:jc w:val="both"/>
      </w:pPr>
      <w:r w:rsidRPr="007030ED">
        <w:t>También el 21 de diciembre, el director del servicio remite a los miembros de la Mesa un documento denominado “</w:t>
      </w:r>
      <w:r w:rsidRPr="007030ED">
        <w:rPr>
          <w:i/>
        </w:rPr>
        <w:t>Documento de análisis, evaluación y puntuación de los criterios cualitativos, sobre nº 2, de las ofertas presentadas a la licitación de las obras contenidas en el proyecto de construcción Duplicación del túnel de Belate</w:t>
      </w:r>
      <w:r>
        <w:t xml:space="preserve">”. </w:t>
      </w:r>
      <w:r w:rsidRPr="007030ED">
        <w:t xml:space="preserve">Este documento está fechado el 20 de diciembre </w:t>
      </w:r>
      <w:r>
        <w:t xml:space="preserve">2023 </w:t>
      </w:r>
      <w:r w:rsidRPr="007030ED">
        <w:t>y firmado por los cinco miembros técnicos de l</w:t>
      </w:r>
      <w:r w:rsidR="00D83514">
        <w:t xml:space="preserve">a Mesa (incluido su presidente), pero no ha sido aprobado por ésta. </w:t>
      </w:r>
      <w:r w:rsidR="005E798F">
        <w:t xml:space="preserve">Destacamos que en este informe, no se alteran las puntuaciones asignadas por la Mesa a las distintas ofertas en relación a las que constan en acta de 31 de agostos de 2023. </w:t>
      </w:r>
    </w:p>
    <w:p w14:paraId="0BE0AF4E" w14:textId="77777777" w:rsidR="00041B7F" w:rsidRDefault="00041B7F" w:rsidP="00041B7F">
      <w:pPr>
        <w:pStyle w:val="texto"/>
        <w:numPr>
          <w:ilvl w:val="0"/>
          <w:numId w:val="20"/>
        </w:numPr>
        <w:tabs>
          <w:tab w:val="num" w:pos="300"/>
          <w:tab w:val="left" w:pos="480"/>
          <w:tab w:val="num" w:pos="600"/>
        </w:tabs>
        <w:spacing w:before="120"/>
        <w:ind w:left="0" w:firstLine="289"/>
        <w:jc w:val="both"/>
      </w:pPr>
      <w:r w:rsidRPr="004459DB">
        <w:t>Mediante Resolución del citado Director General de fecha 26</w:t>
      </w:r>
      <w:r>
        <w:t xml:space="preserve"> de diciembre de </w:t>
      </w:r>
      <w:r w:rsidRPr="004459DB">
        <w:t>2023, se apr</w:t>
      </w:r>
      <w:r>
        <w:t xml:space="preserve">obó </w:t>
      </w:r>
      <w:r w:rsidRPr="004459DB">
        <w:t>la adj</w:t>
      </w:r>
      <w:r>
        <w:t xml:space="preserve">udicación del contrato de obra a la UTE que propuso la Mesa el 23 de octubre de 2023. </w:t>
      </w:r>
    </w:p>
    <w:p w14:paraId="45B1F457" w14:textId="77777777" w:rsidR="00041B7F" w:rsidRDefault="00041B7F" w:rsidP="00041B7F">
      <w:pPr>
        <w:pStyle w:val="texto"/>
        <w:numPr>
          <w:ilvl w:val="0"/>
          <w:numId w:val="20"/>
        </w:numPr>
        <w:tabs>
          <w:tab w:val="num" w:pos="300"/>
          <w:tab w:val="left" w:pos="480"/>
          <w:tab w:val="num" w:pos="600"/>
        </w:tabs>
        <w:spacing w:before="120"/>
        <w:ind w:left="0" w:firstLine="289"/>
        <w:jc w:val="both"/>
      </w:pPr>
      <w:r w:rsidRPr="004459DB">
        <w:t>El contrato se formalizó el 25 de enero de 2024.</w:t>
      </w:r>
    </w:p>
    <w:p w14:paraId="56F77F80" w14:textId="77777777" w:rsidR="00041B7F" w:rsidRPr="006D3740" w:rsidRDefault="00041B7F" w:rsidP="00041B7F">
      <w:pPr>
        <w:pStyle w:val="texto"/>
        <w:numPr>
          <w:ilvl w:val="0"/>
          <w:numId w:val="20"/>
        </w:numPr>
        <w:tabs>
          <w:tab w:val="num" w:pos="300"/>
          <w:tab w:val="left" w:pos="480"/>
          <w:tab w:val="num" w:pos="600"/>
        </w:tabs>
        <w:spacing w:before="120"/>
        <w:ind w:left="0" w:firstLine="289"/>
        <w:jc w:val="both"/>
      </w:pPr>
      <w:r w:rsidRPr="006D3740">
        <w:t>No consta que se haya interpuesto reclamación o recurso contra dicha adjudicación.  </w:t>
      </w:r>
    </w:p>
    <w:p w14:paraId="6FE33FCB" w14:textId="77777777" w:rsidR="00041B7F" w:rsidRDefault="00041B7F" w:rsidP="00041B7F">
      <w:pPr>
        <w:rPr>
          <w:spacing w:val="6"/>
          <w:sz w:val="26"/>
        </w:rPr>
      </w:pPr>
      <w:r>
        <w:br w:type="page"/>
      </w:r>
    </w:p>
    <w:p w14:paraId="7C1336F8" w14:textId="77777777" w:rsidR="00041B7F" w:rsidRPr="00EB2E43" w:rsidRDefault="00041B7F" w:rsidP="00041B7F">
      <w:pPr>
        <w:pStyle w:val="texto"/>
        <w:jc w:val="both"/>
        <w:rPr>
          <w:szCs w:val="26"/>
        </w:rPr>
      </w:pPr>
      <w:r w:rsidRPr="00EB2E43">
        <w:rPr>
          <w:szCs w:val="26"/>
        </w:rPr>
        <w:lastRenderedPageBreak/>
        <w:t xml:space="preserve">Sobre el procedimiento de adjudicación realizado, además de lo señalado en </w:t>
      </w:r>
      <w:r>
        <w:rPr>
          <w:szCs w:val="26"/>
        </w:rPr>
        <w:t>el apartado 4.4 del Apéndice 4. I</w:t>
      </w:r>
      <w:r w:rsidRPr="00EB2E43">
        <w:rPr>
          <w:szCs w:val="26"/>
        </w:rPr>
        <w:t xml:space="preserve">nformación adicional sobre las salvedades, destacamos lo siguiente: </w:t>
      </w:r>
    </w:p>
    <w:p w14:paraId="0830BB6A" w14:textId="77777777" w:rsidR="00041B7F" w:rsidRPr="005E2D29" w:rsidRDefault="00041B7F" w:rsidP="00041B7F">
      <w:pPr>
        <w:pStyle w:val="texto"/>
        <w:numPr>
          <w:ilvl w:val="0"/>
          <w:numId w:val="20"/>
        </w:numPr>
        <w:tabs>
          <w:tab w:val="num" w:pos="300"/>
          <w:tab w:val="left" w:pos="480"/>
          <w:tab w:val="num" w:pos="600"/>
        </w:tabs>
        <w:spacing w:before="120"/>
        <w:ind w:left="0" w:firstLine="289"/>
        <w:jc w:val="both"/>
      </w:pPr>
      <w:r w:rsidRPr="005E2D29">
        <w:t>La documentación contenida en el sobre nº 2 referida a la propuesta de criterios cualitativos presentadas por los licitadores, ha estado depositada en una unidad de red de</w:t>
      </w:r>
      <w:r w:rsidR="00AF2405" w:rsidRPr="005E2D29">
        <w:t xml:space="preserve"> la Dirección General de Obras Públicas e Infraestructuras</w:t>
      </w:r>
      <w:r w:rsidRPr="005E2D29">
        <w:t>, a la que tiene acceso cualquier empleado público de</w:t>
      </w:r>
      <w:r w:rsidR="00AF2405" w:rsidRPr="005E2D29">
        <w:t xml:space="preserve"> la </w:t>
      </w:r>
      <w:r w:rsidRPr="005E2D29">
        <w:t>citad</w:t>
      </w:r>
      <w:r w:rsidR="00AF2405" w:rsidRPr="005E2D29">
        <w:t>a dirección</w:t>
      </w:r>
      <w:r w:rsidR="00FC6F32" w:rsidRPr="005E2D29">
        <w:t xml:space="preserve">; situación que debiera haberse evitado. </w:t>
      </w:r>
      <w:r w:rsidRPr="005E2D29">
        <w:t xml:space="preserve"> </w:t>
      </w:r>
    </w:p>
    <w:p w14:paraId="50927399" w14:textId="77777777" w:rsidR="00041B7F" w:rsidRPr="00006792" w:rsidRDefault="00041B7F" w:rsidP="00041B7F">
      <w:pPr>
        <w:pStyle w:val="texto"/>
        <w:numPr>
          <w:ilvl w:val="0"/>
          <w:numId w:val="20"/>
        </w:numPr>
        <w:tabs>
          <w:tab w:val="num" w:pos="300"/>
          <w:tab w:val="left" w:pos="480"/>
          <w:tab w:val="num" w:pos="600"/>
        </w:tabs>
        <w:spacing w:before="120"/>
        <w:ind w:left="0" w:firstLine="289"/>
        <w:jc w:val="both"/>
      </w:pPr>
      <w:r>
        <w:rPr>
          <w:spacing w:val="0"/>
          <w:szCs w:val="26"/>
        </w:rPr>
        <w:t xml:space="preserve">En relación con los criterios cualitativos sometidos a juicio de valor, que fueron valorados por los miembros técnicos de la Mesa, </w:t>
      </w:r>
      <w:r w:rsidRPr="00006792">
        <w:rPr>
          <w:spacing w:val="0"/>
          <w:szCs w:val="26"/>
        </w:rPr>
        <w:t xml:space="preserve">esta Cámara no cuestiona </w:t>
      </w:r>
      <w:r>
        <w:rPr>
          <w:spacing w:val="0"/>
          <w:szCs w:val="26"/>
        </w:rPr>
        <w:t>sus valoraciones</w:t>
      </w:r>
      <w:r w:rsidRPr="00006792">
        <w:rPr>
          <w:spacing w:val="0"/>
          <w:szCs w:val="26"/>
        </w:rPr>
        <w:t>, que gozan de presunción de certeza, ni tampoco</w:t>
      </w:r>
      <w:r>
        <w:t xml:space="preserve"> </w:t>
      </w:r>
      <w:r w:rsidRPr="00006792">
        <w:rPr>
          <w:spacing w:val="0"/>
          <w:szCs w:val="26"/>
        </w:rPr>
        <w:t>la discrecionalidad técnica que se le atribuye a</w:t>
      </w:r>
      <w:r>
        <w:rPr>
          <w:spacing w:val="0"/>
          <w:szCs w:val="26"/>
        </w:rPr>
        <w:t xml:space="preserve"> las Mesas de Contratación. No obstante, este </w:t>
      </w:r>
      <w:r w:rsidRPr="00006792">
        <w:rPr>
          <w:spacing w:val="0"/>
          <w:szCs w:val="26"/>
        </w:rPr>
        <w:t xml:space="preserve">margen de discrecionalidad debe </w:t>
      </w:r>
      <w:r>
        <w:rPr>
          <w:spacing w:val="0"/>
          <w:szCs w:val="26"/>
        </w:rPr>
        <w:t xml:space="preserve">acotarse </w:t>
      </w:r>
      <w:r w:rsidRPr="00006792">
        <w:rPr>
          <w:spacing w:val="0"/>
          <w:szCs w:val="26"/>
        </w:rPr>
        <w:t xml:space="preserve">con una adecuada concreción y ponderación de los criterios de adjudicación previstos en los pliegos. </w:t>
      </w:r>
    </w:p>
    <w:p w14:paraId="1D69A73A" w14:textId="77777777" w:rsidR="00041B7F" w:rsidRDefault="00041B7F" w:rsidP="00041B7F">
      <w:pPr>
        <w:pStyle w:val="texto"/>
        <w:tabs>
          <w:tab w:val="num" w:pos="300"/>
          <w:tab w:val="num" w:pos="600"/>
        </w:tabs>
        <w:spacing w:before="240"/>
        <w:jc w:val="both"/>
        <w:rPr>
          <w:spacing w:val="0"/>
          <w:szCs w:val="26"/>
        </w:rPr>
      </w:pPr>
      <w:r>
        <w:rPr>
          <w:spacing w:val="0"/>
          <w:szCs w:val="26"/>
        </w:rPr>
        <w:t xml:space="preserve">La normativa contractual exige expresamente una adecuada motivación que debe garantizar la selección de la mejor oferta frente al resto. </w:t>
      </w:r>
      <w:r w:rsidR="005E798F">
        <w:rPr>
          <w:spacing w:val="0"/>
          <w:szCs w:val="26"/>
        </w:rPr>
        <w:t>Ante las deficiencias indicadas anteriormente en los pliegos, c</w:t>
      </w:r>
      <w:r w:rsidRPr="00006792">
        <w:rPr>
          <w:spacing w:val="0"/>
          <w:szCs w:val="26"/>
        </w:rPr>
        <w:t>onsideramos que el informe de valoración, en términos generales, es muy</w:t>
      </w:r>
      <w:r w:rsidRPr="0050690C">
        <w:rPr>
          <w:spacing w:val="0"/>
          <w:szCs w:val="26"/>
        </w:rPr>
        <w:t xml:space="preserve"> descriptivo y</w:t>
      </w:r>
      <w:r>
        <w:rPr>
          <w:spacing w:val="0"/>
          <w:szCs w:val="26"/>
        </w:rPr>
        <w:t xml:space="preserve">, </w:t>
      </w:r>
      <w:r w:rsidRPr="0050690C">
        <w:rPr>
          <w:spacing w:val="0"/>
          <w:szCs w:val="26"/>
        </w:rPr>
        <w:t xml:space="preserve">no se aprecia una </w:t>
      </w:r>
      <w:r>
        <w:rPr>
          <w:spacing w:val="0"/>
          <w:szCs w:val="26"/>
        </w:rPr>
        <w:t xml:space="preserve">clara identificación de las diferencias que existen entre unas y otras ofertas que justifiquen las diferencias de puntuación que han sido determinantes en la adjudicación. </w:t>
      </w:r>
    </w:p>
    <w:p w14:paraId="79410C19" w14:textId="77777777" w:rsidR="00041B7F" w:rsidRPr="00FB6C74" w:rsidRDefault="00041B7F" w:rsidP="00041B7F">
      <w:pPr>
        <w:pStyle w:val="texto"/>
        <w:numPr>
          <w:ilvl w:val="0"/>
          <w:numId w:val="20"/>
        </w:numPr>
        <w:tabs>
          <w:tab w:val="num" w:pos="300"/>
          <w:tab w:val="left" w:pos="480"/>
          <w:tab w:val="num" w:pos="600"/>
        </w:tabs>
        <w:spacing w:before="120"/>
        <w:ind w:left="0" w:firstLine="289"/>
        <w:jc w:val="both"/>
      </w:pPr>
      <w:r w:rsidRPr="00FB6C74">
        <w:t xml:space="preserve">En relación con los criterios cuantitativos, en concreto respecto a la oferta económica, cuatro de las siete ofertas, ofertan la baja máxima establecida en los pliegos (un 20 por cierto para no ser considerada oferta anormalmente baja) y todas ellas obtienen los 40 puntos establecidos en los pliegos. Esta situación provoca que la oferta económica </w:t>
      </w:r>
      <w:r>
        <w:t xml:space="preserve">no </w:t>
      </w:r>
      <w:r w:rsidRPr="00FB6C74">
        <w:t xml:space="preserve">haya sido relevante en el resultado final, lo que implica que el criterio determinante para la adjudicación es la valoración de los criterios cualitativos sometidos a juicio de valor. </w:t>
      </w:r>
    </w:p>
    <w:p w14:paraId="4F7A057B" w14:textId="77777777" w:rsidR="00041B7F" w:rsidRPr="00FB6C74" w:rsidRDefault="00041B7F" w:rsidP="00041B7F">
      <w:pPr>
        <w:pStyle w:val="texto"/>
        <w:tabs>
          <w:tab w:val="num" w:pos="300"/>
          <w:tab w:val="num" w:pos="600"/>
        </w:tabs>
        <w:spacing w:before="240"/>
        <w:jc w:val="both"/>
        <w:rPr>
          <w:spacing w:val="0"/>
          <w:szCs w:val="26"/>
        </w:rPr>
      </w:pPr>
      <w:r w:rsidRPr="00FB6C74">
        <w:rPr>
          <w:spacing w:val="0"/>
          <w:szCs w:val="26"/>
        </w:rPr>
        <w:t xml:space="preserve">Sobre esta cuestión, nos remitimos a lo que hemos indicado sobre los contratos de obra en el apartado 5.5 del Apéndice </w:t>
      </w:r>
      <w:r>
        <w:rPr>
          <w:spacing w:val="0"/>
          <w:szCs w:val="26"/>
        </w:rPr>
        <w:t>5</w:t>
      </w:r>
      <w:r w:rsidRPr="00FB6C74">
        <w:rPr>
          <w:spacing w:val="0"/>
          <w:szCs w:val="26"/>
        </w:rPr>
        <w:t xml:space="preserve"> del informe.  </w:t>
      </w:r>
    </w:p>
    <w:p w14:paraId="173116D4" w14:textId="77777777" w:rsidR="00041B7F" w:rsidRDefault="00041B7F" w:rsidP="00041B7F">
      <w:pPr>
        <w:pStyle w:val="texto"/>
        <w:numPr>
          <w:ilvl w:val="0"/>
          <w:numId w:val="20"/>
        </w:numPr>
        <w:tabs>
          <w:tab w:val="num" w:pos="300"/>
          <w:tab w:val="left" w:pos="480"/>
          <w:tab w:val="num" w:pos="600"/>
        </w:tabs>
        <w:spacing w:before="120"/>
        <w:ind w:left="0" w:firstLine="289"/>
        <w:jc w:val="both"/>
      </w:pPr>
      <w:r>
        <w:t xml:space="preserve">Respecto al pronunciamiento de la Mesa relativo a la </w:t>
      </w:r>
      <w:r w:rsidRPr="004459DB">
        <w:t>subsanación,</w:t>
      </w:r>
      <w:r>
        <w:t xml:space="preserve"> no </w:t>
      </w:r>
      <w:r w:rsidRPr="004459DB">
        <w:t xml:space="preserve">cabe duda </w:t>
      </w:r>
      <w:r>
        <w:t xml:space="preserve">de </w:t>
      </w:r>
      <w:r w:rsidRPr="004459DB">
        <w:t xml:space="preserve">que </w:t>
      </w:r>
      <w:r>
        <w:t xml:space="preserve">el trámite de </w:t>
      </w:r>
      <w:r w:rsidRPr="004459DB">
        <w:t xml:space="preserve">subsanación se configura como una garantía </w:t>
      </w:r>
      <w:r>
        <w:t xml:space="preserve">esencial </w:t>
      </w:r>
      <w:r w:rsidRPr="004459DB">
        <w:t>para corregir aquellas deficiencias de las que adolece, a juicio de la</w:t>
      </w:r>
      <w:r w:rsidR="005E798F">
        <w:t>s</w:t>
      </w:r>
      <w:r w:rsidRPr="004459DB">
        <w:t xml:space="preserve"> Mesa</w:t>
      </w:r>
      <w:r w:rsidR="005E798F">
        <w:t>s</w:t>
      </w:r>
      <w:r w:rsidRPr="004459DB">
        <w:t xml:space="preserve"> </w:t>
      </w:r>
      <w:r w:rsidR="005E798F">
        <w:t xml:space="preserve">las ofertas.  </w:t>
      </w:r>
    </w:p>
    <w:p w14:paraId="51458002" w14:textId="77777777" w:rsidR="00041B7F" w:rsidRPr="00041B7F" w:rsidRDefault="00041B7F" w:rsidP="00041B7F">
      <w:pPr>
        <w:rPr>
          <w:spacing w:val="6"/>
          <w:sz w:val="26"/>
        </w:rPr>
      </w:pPr>
      <w:r>
        <w:br w:type="page"/>
      </w:r>
    </w:p>
    <w:p w14:paraId="724CA105" w14:textId="77777777" w:rsidR="00041B7F" w:rsidRPr="000F4F52" w:rsidRDefault="00041B7F" w:rsidP="00041B7F">
      <w:pPr>
        <w:pStyle w:val="texto"/>
        <w:numPr>
          <w:ilvl w:val="0"/>
          <w:numId w:val="20"/>
        </w:numPr>
        <w:tabs>
          <w:tab w:val="num" w:pos="300"/>
          <w:tab w:val="left" w:pos="480"/>
          <w:tab w:val="num" w:pos="600"/>
        </w:tabs>
        <w:spacing w:before="120"/>
        <w:ind w:left="0" w:firstLine="289"/>
        <w:jc w:val="both"/>
      </w:pPr>
      <w:r w:rsidRPr="000F4F52">
        <w:lastRenderedPageBreak/>
        <w:t xml:space="preserve">En relación con el reparo no suspensivo del interventor delegado y a las actuaciones realizadas con posterioridad a la emisión </w:t>
      </w:r>
      <w:proofErr w:type="gramStart"/>
      <w:r w:rsidRPr="000F4F52">
        <w:t>del mismo</w:t>
      </w:r>
      <w:proofErr w:type="gramEnd"/>
      <w:r w:rsidRPr="000F4F52">
        <w:t xml:space="preserve"> y antes de dictarse la resolución de adjudicación, indicamos las siguientes cuestiones:</w:t>
      </w:r>
    </w:p>
    <w:p w14:paraId="00CA23EC" w14:textId="77777777" w:rsidR="00041B7F" w:rsidRDefault="00041B7F" w:rsidP="00041B7F">
      <w:pPr>
        <w:pStyle w:val="texto"/>
        <w:tabs>
          <w:tab w:val="num" w:pos="300"/>
          <w:tab w:val="num" w:pos="600"/>
        </w:tabs>
        <w:spacing w:before="240"/>
        <w:jc w:val="both"/>
        <w:rPr>
          <w:spacing w:val="0"/>
          <w:szCs w:val="26"/>
        </w:rPr>
      </w:pPr>
      <w:r>
        <w:rPr>
          <w:spacing w:val="0"/>
          <w:szCs w:val="26"/>
        </w:rPr>
        <w:t xml:space="preserve"> - </w:t>
      </w:r>
      <w:r w:rsidRPr="000F4F52">
        <w:rPr>
          <w:spacing w:val="0"/>
          <w:szCs w:val="26"/>
        </w:rPr>
        <w:t>La L</w:t>
      </w:r>
      <w:r w:rsidR="00515493">
        <w:rPr>
          <w:spacing w:val="0"/>
          <w:szCs w:val="26"/>
        </w:rPr>
        <w:t xml:space="preserve">FHPN </w:t>
      </w:r>
      <w:r w:rsidRPr="000F4F52">
        <w:rPr>
          <w:spacing w:val="0"/>
          <w:szCs w:val="26"/>
        </w:rPr>
        <w:t xml:space="preserve">establece el carácter suspensivo de los reparos únicamente en una serie de supuestos tasados. </w:t>
      </w:r>
      <w:r w:rsidR="00AF2405">
        <w:rPr>
          <w:spacing w:val="0"/>
          <w:szCs w:val="26"/>
        </w:rPr>
        <w:t xml:space="preserve">Este tipo de reparos suspende la tramitación de los expedientes. Por el contrario, </w:t>
      </w:r>
      <w:r w:rsidRPr="000F4F52">
        <w:rPr>
          <w:spacing w:val="0"/>
          <w:szCs w:val="26"/>
        </w:rPr>
        <w:t>los reparos no suspensivos no suspenden</w:t>
      </w:r>
      <w:r w:rsidR="00AF2405">
        <w:rPr>
          <w:spacing w:val="0"/>
          <w:szCs w:val="26"/>
        </w:rPr>
        <w:t xml:space="preserve"> tal tramitación</w:t>
      </w:r>
      <w:r w:rsidRPr="000F4F52">
        <w:rPr>
          <w:spacing w:val="0"/>
          <w:szCs w:val="26"/>
        </w:rPr>
        <w:t xml:space="preserve">, pero </w:t>
      </w:r>
      <w:r w:rsidR="00AF2405">
        <w:rPr>
          <w:spacing w:val="0"/>
          <w:szCs w:val="26"/>
        </w:rPr>
        <w:t>no</w:t>
      </w:r>
      <w:r w:rsidRPr="000F4F52">
        <w:rPr>
          <w:spacing w:val="0"/>
          <w:szCs w:val="26"/>
        </w:rPr>
        <w:t xml:space="preserve"> significan una opinión favorable sobre el cumplimiento de los requisitos legales establecidos, cuyo control tiene atribuido la intervención. </w:t>
      </w:r>
    </w:p>
    <w:p w14:paraId="65D0C5CF" w14:textId="77777777" w:rsidR="00041B7F" w:rsidRPr="000F4F52" w:rsidRDefault="00041B7F" w:rsidP="00041B7F">
      <w:pPr>
        <w:pStyle w:val="texto"/>
        <w:tabs>
          <w:tab w:val="num" w:pos="300"/>
          <w:tab w:val="num" w:pos="600"/>
        </w:tabs>
        <w:spacing w:before="240"/>
        <w:jc w:val="both"/>
        <w:rPr>
          <w:spacing w:val="0"/>
          <w:szCs w:val="26"/>
        </w:rPr>
      </w:pPr>
      <w:r w:rsidRPr="000F4F52">
        <w:rPr>
          <w:spacing w:val="0"/>
          <w:szCs w:val="26"/>
        </w:rPr>
        <w:t>En este expediente, el reparo informa de</w:t>
      </w:r>
      <w:r w:rsidR="00E83DA6">
        <w:rPr>
          <w:spacing w:val="0"/>
          <w:szCs w:val="26"/>
        </w:rPr>
        <w:t xml:space="preserve">l posible </w:t>
      </w:r>
      <w:r w:rsidRPr="000F4F52">
        <w:rPr>
          <w:spacing w:val="0"/>
          <w:szCs w:val="26"/>
        </w:rPr>
        <w:t>incumplimiento de los principios de igualdad de trato, no discriminación y transpare</w:t>
      </w:r>
      <w:r w:rsidR="00B755F4">
        <w:rPr>
          <w:spacing w:val="0"/>
          <w:szCs w:val="26"/>
        </w:rPr>
        <w:t>ncia. Esta Cámara considera que</w:t>
      </w:r>
      <w:r w:rsidRPr="000F4F52">
        <w:rPr>
          <w:spacing w:val="0"/>
          <w:szCs w:val="26"/>
        </w:rPr>
        <w:t xml:space="preserve"> </w:t>
      </w:r>
      <w:r w:rsidR="00B755F4">
        <w:rPr>
          <w:spacing w:val="0"/>
          <w:szCs w:val="26"/>
        </w:rPr>
        <w:t>hubiera aportado una mayor garantía al proceso solicitar</w:t>
      </w:r>
      <w:r w:rsidRPr="000F4F52">
        <w:rPr>
          <w:spacing w:val="0"/>
          <w:szCs w:val="26"/>
        </w:rPr>
        <w:t xml:space="preserve"> informe a la Junta de Contratación Pública, máxime teniendo en cuenta la </w:t>
      </w:r>
      <w:r w:rsidR="00B755F4">
        <w:rPr>
          <w:spacing w:val="0"/>
          <w:szCs w:val="26"/>
        </w:rPr>
        <w:t xml:space="preserve">relevancia de este contrato. </w:t>
      </w:r>
    </w:p>
    <w:p w14:paraId="1541956E" w14:textId="77777777" w:rsidR="00041B7F" w:rsidRDefault="00041B7F" w:rsidP="00D83514">
      <w:pPr>
        <w:pStyle w:val="texto"/>
        <w:tabs>
          <w:tab w:val="num" w:pos="300"/>
          <w:tab w:val="num" w:pos="600"/>
        </w:tabs>
        <w:spacing w:before="240"/>
        <w:jc w:val="both"/>
        <w:rPr>
          <w:spacing w:val="0"/>
          <w:szCs w:val="26"/>
        </w:rPr>
      </w:pPr>
      <w:r>
        <w:rPr>
          <w:spacing w:val="0"/>
          <w:szCs w:val="26"/>
        </w:rPr>
        <w:t xml:space="preserve">- </w:t>
      </w:r>
      <w:r w:rsidR="00B755F4">
        <w:rPr>
          <w:spacing w:val="0"/>
          <w:szCs w:val="26"/>
        </w:rPr>
        <w:t xml:space="preserve">Las actuaciones </w:t>
      </w:r>
      <w:r w:rsidR="00AF2405">
        <w:rPr>
          <w:spacing w:val="0"/>
          <w:szCs w:val="26"/>
        </w:rPr>
        <w:t>llevadas a cabo a instancias d</w:t>
      </w:r>
      <w:r w:rsidR="00B755F4">
        <w:rPr>
          <w:spacing w:val="0"/>
          <w:szCs w:val="26"/>
        </w:rPr>
        <w:t>el órgano de contratación, a la vista del informe de la intervención delegada, son propias de la Mesa, que</w:t>
      </w:r>
      <w:r w:rsidR="00AF2405">
        <w:rPr>
          <w:spacing w:val="0"/>
          <w:szCs w:val="26"/>
        </w:rPr>
        <w:t>,</w:t>
      </w:r>
      <w:r w:rsidR="00B755F4">
        <w:rPr>
          <w:spacing w:val="0"/>
          <w:szCs w:val="26"/>
        </w:rPr>
        <w:t xml:space="preserve"> conforme a la LFC, es un órgano colegiado que no está sometido jerárquicamente al órgano de contratación</w:t>
      </w:r>
      <w:r w:rsidR="00D83514">
        <w:rPr>
          <w:spacing w:val="0"/>
          <w:szCs w:val="26"/>
        </w:rPr>
        <w:t xml:space="preserve">, y no puede ser sustituida en sus funciones por ningún otro órgano. </w:t>
      </w:r>
    </w:p>
    <w:p w14:paraId="100E6C3D" w14:textId="77777777" w:rsidR="00041B7F" w:rsidRDefault="00041B7F" w:rsidP="00041B7F">
      <w:pPr>
        <w:pStyle w:val="texto"/>
        <w:tabs>
          <w:tab w:val="num" w:pos="300"/>
          <w:tab w:val="num" w:pos="600"/>
        </w:tabs>
        <w:spacing w:before="240"/>
        <w:jc w:val="both"/>
        <w:rPr>
          <w:spacing w:val="0"/>
          <w:szCs w:val="26"/>
        </w:rPr>
      </w:pPr>
      <w:r>
        <w:rPr>
          <w:spacing w:val="0"/>
          <w:szCs w:val="26"/>
        </w:rPr>
        <w:t xml:space="preserve">- </w:t>
      </w:r>
      <w:r w:rsidRPr="000F4F52">
        <w:rPr>
          <w:spacing w:val="0"/>
          <w:szCs w:val="26"/>
        </w:rPr>
        <w:t>En todo caso, la documentación relativa a estas actuaciones es relevante en la tramitación del procedimiento de a</w:t>
      </w:r>
      <w:r>
        <w:rPr>
          <w:spacing w:val="0"/>
          <w:szCs w:val="26"/>
        </w:rPr>
        <w:t>djudicación y, por tanto, deb</w:t>
      </w:r>
      <w:r w:rsidR="00AF2405">
        <w:rPr>
          <w:spacing w:val="0"/>
          <w:szCs w:val="26"/>
        </w:rPr>
        <w:t xml:space="preserve">iera </w:t>
      </w:r>
      <w:r w:rsidRPr="000F4F52">
        <w:rPr>
          <w:spacing w:val="0"/>
          <w:szCs w:val="26"/>
        </w:rPr>
        <w:t xml:space="preserve">haberse incluido en el expediente administrativo </w:t>
      </w:r>
      <w:r w:rsidR="00AF2405">
        <w:rPr>
          <w:spacing w:val="0"/>
          <w:szCs w:val="26"/>
        </w:rPr>
        <w:t>remitido inicialmente a esta Cámara</w:t>
      </w:r>
      <w:r w:rsidRPr="000F4F52">
        <w:rPr>
          <w:spacing w:val="0"/>
          <w:szCs w:val="26"/>
        </w:rPr>
        <w:t>.</w:t>
      </w:r>
    </w:p>
    <w:p w14:paraId="145B1A62" w14:textId="77777777" w:rsidR="00041B7F" w:rsidRPr="0036588C" w:rsidRDefault="00041B7F" w:rsidP="00041B7F">
      <w:pPr>
        <w:pStyle w:val="texto"/>
        <w:tabs>
          <w:tab w:val="num" w:pos="300"/>
          <w:tab w:val="num" w:pos="600"/>
        </w:tabs>
        <w:spacing w:before="240"/>
        <w:jc w:val="both"/>
        <w:rPr>
          <w:i/>
          <w:spacing w:val="0"/>
          <w:szCs w:val="26"/>
        </w:rPr>
      </w:pPr>
      <w:r>
        <w:rPr>
          <w:spacing w:val="0"/>
          <w:szCs w:val="26"/>
        </w:rPr>
        <w:t xml:space="preserve">Por todo lo anterior, esta Cámara realiza las siguientes </w:t>
      </w:r>
      <w:r w:rsidRPr="0036588C">
        <w:rPr>
          <w:i/>
          <w:spacing w:val="0"/>
          <w:szCs w:val="26"/>
        </w:rPr>
        <w:t>recomendaciones:</w:t>
      </w:r>
    </w:p>
    <w:p w14:paraId="060FDA40" w14:textId="77777777" w:rsidR="00B66166" w:rsidRPr="005E2D29" w:rsidRDefault="00B66166" w:rsidP="00B66166">
      <w:pPr>
        <w:pStyle w:val="texto"/>
        <w:numPr>
          <w:ilvl w:val="0"/>
          <w:numId w:val="20"/>
        </w:numPr>
        <w:tabs>
          <w:tab w:val="num" w:pos="300"/>
          <w:tab w:val="left" w:pos="480"/>
          <w:tab w:val="num" w:pos="600"/>
        </w:tabs>
        <w:spacing w:before="120"/>
        <w:ind w:left="0" w:firstLine="0"/>
        <w:jc w:val="both"/>
        <w:rPr>
          <w:i/>
        </w:rPr>
      </w:pPr>
      <w:r w:rsidRPr="005E2D29">
        <w:rPr>
          <w:i/>
        </w:rPr>
        <w:t xml:space="preserve">Custodiar </w:t>
      </w:r>
      <w:r w:rsidR="005E2D29" w:rsidRPr="005E2D29">
        <w:rPr>
          <w:i/>
        </w:rPr>
        <w:t xml:space="preserve">adecuadamente </w:t>
      </w:r>
      <w:r w:rsidRPr="005E2D29">
        <w:rPr>
          <w:i/>
        </w:rPr>
        <w:t xml:space="preserve">la documentación que </w:t>
      </w:r>
      <w:r w:rsidR="005E2D29" w:rsidRPr="005E2D29">
        <w:rPr>
          <w:i/>
        </w:rPr>
        <w:t xml:space="preserve">debe analizar </w:t>
      </w:r>
      <w:r w:rsidRPr="005E2D29">
        <w:rPr>
          <w:i/>
        </w:rPr>
        <w:t>las Mesas de Contratación.</w:t>
      </w:r>
    </w:p>
    <w:p w14:paraId="29348904" w14:textId="77777777" w:rsidR="00041B7F" w:rsidRDefault="00041B7F" w:rsidP="00041B7F">
      <w:pPr>
        <w:pStyle w:val="texto"/>
        <w:numPr>
          <w:ilvl w:val="0"/>
          <w:numId w:val="20"/>
        </w:numPr>
        <w:tabs>
          <w:tab w:val="num" w:pos="300"/>
          <w:tab w:val="left" w:pos="480"/>
          <w:tab w:val="num" w:pos="600"/>
        </w:tabs>
        <w:spacing w:before="120"/>
        <w:ind w:left="0" w:firstLine="0"/>
        <w:jc w:val="both"/>
        <w:rPr>
          <w:i/>
        </w:rPr>
      </w:pPr>
      <w:r>
        <w:rPr>
          <w:i/>
        </w:rPr>
        <w:t>I</w:t>
      </w:r>
      <w:r w:rsidRPr="000F4F52">
        <w:rPr>
          <w:i/>
        </w:rPr>
        <w:t>ncluir en el expediente administrativo toda la documentación relevante en el procedimiento de adjudicación de los contratos</w:t>
      </w:r>
      <w:r>
        <w:rPr>
          <w:i/>
        </w:rPr>
        <w:t>.</w:t>
      </w:r>
    </w:p>
    <w:p w14:paraId="5F792808" w14:textId="77777777" w:rsidR="00041B7F" w:rsidRDefault="00041B7F" w:rsidP="00041B7F">
      <w:pPr>
        <w:pStyle w:val="texto"/>
        <w:numPr>
          <w:ilvl w:val="0"/>
          <w:numId w:val="20"/>
        </w:numPr>
        <w:tabs>
          <w:tab w:val="num" w:pos="300"/>
          <w:tab w:val="left" w:pos="480"/>
          <w:tab w:val="num" w:pos="600"/>
        </w:tabs>
        <w:spacing w:before="120"/>
        <w:ind w:left="0" w:firstLine="0"/>
        <w:jc w:val="both"/>
        <w:rPr>
          <w:i/>
        </w:rPr>
      </w:pPr>
      <w:r>
        <w:rPr>
          <w:i/>
        </w:rPr>
        <w:t xml:space="preserve">Aprobar los pliegos de contratación de las obras públicas con la mayor definición, detalle y concreción técnica posible de los criterios cualitativos de adjudicación, reduciendo el margen de discrecionalidad técnica de las Mesas al mínimo necesario. </w:t>
      </w:r>
    </w:p>
    <w:p w14:paraId="4601A2FB" w14:textId="77777777" w:rsidR="0085637F" w:rsidRPr="00D83514" w:rsidRDefault="005A3B02" w:rsidP="0085637F">
      <w:pPr>
        <w:pStyle w:val="texto"/>
        <w:numPr>
          <w:ilvl w:val="0"/>
          <w:numId w:val="20"/>
        </w:numPr>
        <w:tabs>
          <w:tab w:val="num" w:pos="300"/>
          <w:tab w:val="left" w:pos="480"/>
          <w:tab w:val="num" w:pos="600"/>
        </w:tabs>
        <w:spacing w:before="120"/>
        <w:ind w:left="0" w:firstLine="0"/>
        <w:jc w:val="both"/>
        <w:rPr>
          <w:i/>
        </w:rPr>
      </w:pPr>
      <w:r w:rsidRPr="00D83514">
        <w:rPr>
          <w:rStyle w:val="normaltextrun"/>
          <w:i/>
          <w:iCs/>
          <w:sz w:val="25"/>
          <w:szCs w:val="25"/>
          <w:shd w:val="clear" w:color="auto" w:fill="FFFFFF"/>
        </w:rPr>
        <w:t xml:space="preserve">Aprobar </w:t>
      </w:r>
      <w:r w:rsidR="0085637F" w:rsidRPr="00D83514">
        <w:rPr>
          <w:rStyle w:val="normaltextrun"/>
          <w:i/>
          <w:iCs/>
          <w:sz w:val="25"/>
          <w:szCs w:val="25"/>
          <w:shd w:val="clear" w:color="auto" w:fill="FFFFFF"/>
        </w:rPr>
        <w:t>por las Mesas de Contrataci</w:t>
      </w:r>
      <w:r w:rsidRPr="00D83514">
        <w:rPr>
          <w:rStyle w:val="normaltextrun"/>
          <w:i/>
          <w:iCs/>
          <w:sz w:val="25"/>
          <w:szCs w:val="25"/>
          <w:shd w:val="clear" w:color="auto" w:fill="FFFFFF"/>
        </w:rPr>
        <w:t xml:space="preserve">ón dejando constancia en acta, el procedimiento de valoración de los criterios cualitativos sometidos a juicio de valor, de forma que se garantice la </w:t>
      </w:r>
      <w:r w:rsidR="00D83514" w:rsidRPr="00D83514">
        <w:rPr>
          <w:rStyle w:val="normaltextrun"/>
          <w:i/>
          <w:iCs/>
          <w:sz w:val="25"/>
          <w:szCs w:val="25"/>
          <w:shd w:val="clear" w:color="auto" w:fill="FFFFFF"/>
        </w:rPr>
        <w:t xml:space="preserve">imparcialidad </w:t>
      </w:r>
      <w:r w:rsidRPr="00D83514">
        <w:rPr>
          <w:rStyle w:val="normaltextrun"/>
          <w:i/>
          <w:iCs/>
          <w:sz w:val="25"/>
          <w:szCs w:val="25"/>
          <w:shd w:val="clear" w:color="auto" w:fill="FFFFFF"/>
        </w:rPr>
        <w:t>y objetividad en las valoraciones</w:t>
      </w:r>
      <w:r w:rsidR="00D83514" w:rsidRPr="00D83514">
        <w:rPr>
          <w:rStyle w:val="normaltextrun"/>
          <w:i/>
          <w:iCs/>
          <w:sz w:val="25"/>
          <w:szCs w:val="25"/>
          <w:shd w:val="clear" w:color="auto" w:fill="FFFFFF"/>
        </w:rPr>
        <w:t xml:space="preserve">. </w:t>
      </w:r>
    </w:p>
    <w:p w14:paraId="47D65C7D" w14:textId="77777777" w:rsidR="00041B7F" w:rsidRDefault="00041B7F" w:rsidP="00041B7F">
      <w:pPr>
        <w:pStyle w:val="texto"/>
        <w:numPr>
          <w:ilvl w:val="0"/>
          <w:numId w:val="20"/>
        </w:numPr>
        <w:tabs>
          <w:tab w:val="num" w:pos="300"/>
          <w:tab w:val="left" w:pos="480"/>
          <w:tab w:val="num" w:pos="600"/>
        </w:tabs>
        <w:spacing w:before="120"/>
        <w:ind w:left="0" w:firstLine="0"/>
        <w:jc w:val="both"/>
        <w:rPr>
          <w:i/>
        </w:rPr>
      </w:pPr>
      <w:r w:rsidRPr="00D83514">
        <w:rPr>
          <w:i/>
        </w:rPr>
        <w:t>Motivar suficientemente las valoraciones técnicas de forma que permitan va</w:t>
      </w:r>
      <w:r>
        <w:rPr>
          <w:i/>
        </w:rPr>
        <w:t>lorar y acreditar adecuadamente las puntuaciones asignadas respecto a las características y diferencias entre las ofertas presentadas.</w:t>
      </w:r>
    </w:p>
    <w:p w14:paraId="05A6F112" w14:textId="77777777" w:rsidR="00041B7F" w:rsidRDefault="00041B7F" w:rsidP="00041B7F">
      <w:pPr>
        <w:pStyle w:val="texto"/>
        <w:jc w:val="both"/>
      </w:pPr>
    </w:p>
    <w:p w14:paraId="707AE1DB" w14:textId="77777777" w:rsidR="00041B7F" w:rsidRDefault="00041B7F" w:rsidP="00041B7F">
      <w:pPr>
        <w:pStyle w:val="texto"/>
        <w:jc w:val="both"/>
      </w:pPr>
    </w:p>
    <w:p w14:paraId="35376FBE" w14:textId="77777777" w:rsidR="00A96EDD" w:rsidRDefault="00A96EDD" w:rsidP="009E3EA3">
      <w:pPr>
        <w:pStyle w:val="atitulo1"/>
        <w:rPr>
          <w:color w:val="auto"/>
        </w:rPr>
      </w:pPr>
    </w:p>
    <w:p w14:paraId="2AC69621" w14:textId="77777777" w:rsidR="00A96EDD" w:rsidRDefault="00A96EDD" w:rsidP="009E3EA3">
      <w:pPr>
        <w:pStyle w:val="atitulo1"/>
        <w:rPr>
          <w:color w:val="auto"/>
        </w:rPr>
        <w:sectPr w:rsidR="00A96EDD" w:rsidSect="00D2472C">
          <w:headerReference w:type="even" r:id="rId19"/>
          <w:footerReference w:type="default" r:id="rId20"/>
          <w:type w:val="oddPage"/>
          <w:pgSz w:w="11907" w:h="16840" w:code="9"/>
          <w:pgMar w:top="2109" w:right="1559" w:bottom="1644" w:left="1559" w:header="369" w:footer="136" w:gutter="0"/>
          <w:pgNumType w:start="3"/>
          <w:cols w:space="720"/>
          <w:docGrid w:linePitch="360"/>
        </w:sectPr>
      </w:pPr>
    </w:p>
    <w:p w14:paraId="1F7A3C1E" w14:textId="77777777" w:rsidR="00BE5781" w:rsidRDefault="00BE5781" w:rsidP="009E3EA3">
      <w:pPr>
        <w:pStyle w:val="atitulo1"/>
        <w:rPr>
          <w:color w:val="auto"/>
        </w:rPr>
      </w:pPr>
    </w:p>
    <w:p w14:paraId="2F61135B" w14:textId="77777777" w:rsidR="009E3EA3" w:rsidRDefault="009E3EA3" w:rsidP="009E3EA3">
      <w:pPr>
        <w:pStyle w:val="atitulo1"/>
        <w:rPr>
          <w:color w:val="auto"/>
        </w:rPr>
      </w:pPr>
      <w:bookmarkStart w:id="177" w:name="_Toc182464292"/>
      <w:r>
        <w:rPr>
          <w:color w:val="auto"/>
        </w:rPr>
        <w:t>Apéndice 7. Muestra de expedientes de contratación</w:t>
      </w:r>
      <w:bookmarkEnd w:id="177"/>
    </w:p>
    <w:p w14:paraId="3A305656" w14:textId="77777777" w:rsidR="00BE5781" w:rsidRPr="008D3E65" w:rsidRDefault="00BE5781" w:rsidP="00DB18E1">
      <w:pPr>
        <w:pStyle w:val="texto"/>
        <w:tabs>
          <w:tab w:val="num" w:pos="300"/>
          <w:tab w:val="num" w:pos="600"/>
        </w:tabs>
        <w:spacing w:before="240" w:after="120"/>
        <w:jc w:val="center"/>
        <w:rPr>
          <w:rFonts w:ascii="Arial" w:eastAsiaTheme="minorHAnsi" w:hAnsi="Arial" w:cs="Arial"/>
          <w:spacing w:val="0"/>
          <w:szCs w:val="26"/>
          <w:lang w:eastAsia="en-US"/>
        </w:rPr>
      </w:pPr>
      <w:r w:rsidRPr="008D3E65">
        <w:rPr>
          <w:rFonts w:ascii="Arial" w:eastAsiaTheme="minorHAnsi" w:hAnsi="Arial" w:cs="Arial"/>
          <w:spacing w:val="0"/>
          <w:szCs w:val="26"/>
          <w:lang w:eastAsia="en-US"/>
        </w:rPr>
        <w:t>CONTRATO DE OBRAS</w:t>
      </w:r>
    </w:p>
    <w:tbl>
      <w:tblPr>
        <w:tblW w:w="11641" w:type="dxa"/>
        <w:jc w:val="center"/>
        <w:tblLayout w:type="fixed"/>
        <w:tblCellMar>
          <w:left w:w="70" w:type="dxa"/>
          <w:right w:w="70" w:type="dxa"/>
        </w:tblCellMar>
        <w:tblLook w:val="04A0" w:firstRow="1" w:lastRow="0" w:firstColumn="1" w:lastColumn="0" w:noHBand="0" w:noVBand="1"/>
      </w:tblPr>
      <w:tblGrid>
        <w:gridCol w:w="846"/>
        <w:gridCol w:w="2551"/>
        <w:gridCol w:w="3828"/>
        <w:gridCol w:w="986"/>
        <w:gridCol w:w="1247"/>
        <w:gridCol w:w="709"/>
        <w:gridCol w:w="1474"/>
      </w:tblGrid>
      <w:tr w:rsidR="00BE5781" w:rsidRPr="00B666A5" w14:paraId="6AE9372A" w14:textId="77777777" w:rsidTr="00F405EB">
        <w:trPr>
          <w:trHeight w:val="255"/>
          <w:tblHeader/>
          <w:jc w:val="center"/>
        </w:trPr>
        <w:tc>
          <w:tcPr>
            <w:tcW w:w="846" w:type="dxa"/>
            <w:tcBorders>
              <w:top w:val="single" w:sz="4" w:space="0" w:color="auto"/>
              <w:left w:val="single" w:sz="4" w:space="0" w:color="auto"/>
              <w:bottom w:val="single" w:sz="4" w:space="0" w:color="auto"/>
              <w:right w:val="nil"/>
            </w:tcBorders>
            <w:shd w:val="clear" w:color="000000" w:fill="9BC2E6"/>
            <w:noWrap/>
            <w:vAlign w:val="center"/>
          </w:tcPr>
          <w:p w14:paraId="6B6CF7A2" w14:textId="77777777" w:rsidR="00F405EB" w:rsidRDefault="00BE5781" w:rsidP="00F405EB">
            <w:pPr>
              <w:jc w:val="center"/>
              <w:rPr>
                <w:rFonts w:ascii="Arial" w:hAnsi="Arial" w:cs="Arial"/>
                <w:b/>
                <w:bCs/>
                <w:color w:val="000000"/>
                <w:sz w:val="16"/>
                <w:szCs w:val="16"/>
              </w:rPr>
            </w:pPr>
            <w:r>
              <w:rPr>
                <w:rFonts w:ascii="Arial" w:hAnsi="Arial" w:cs="Arial"/>
                <w:b/>
                <w:bCs/>
                <w:color w:val="000000"/>
                <w:sz w:val="16"/>
                <w:szCs w:val="16"/>
              </w:rPr>
              <w:t>Nº</w:t>
            </w:r>
          </w:p>
          <w:p w14:paraId="4E64EC40" w14:textId="77777777" w:rsidR="00BE5781" w:rsidRPr="00B666A5" w:rsidRDefault="00BE5781" w:rsidP="00F405EB">
            <w:pPr>
              <w:jc w:val="center"/>
              <w:rPr>
                <w:rFonts w:ascii="Arial" w:hAnsi="Arial" w:cs="Arial"/>
                <w:b/>
                <w:bCs/>
                <w:color w:val="000000"/>
                <w:sz w:val="16"/>
                <w:szCs w:val="16"/>
              </w:rPr>
            </w:pPr>
            <w:r>
              <w:rPr>
                <w:rFonts w:ascii="Arial" w:hAnsi="Arial" w:cs="Arial"/>
                <w:b/>
                <w:bCs/>
                <w:color w:val="000000"/>
                <w:sz w:val="16"/>
                <w:szCs w:val="16"/>
              </w:rPr>
              <w:t>muestra</w:t>
            </w:r>
          </w:p>
        </w:tc>
        <w:tc>
          <w:tcPr>
            <w:tcW w:w="2551" w:type="dxa"/>
            <w:tcBorders>
              <w:top w:val="single" w:sz="4" w:space="0" w:color="auto"/>
              <w:left w:val="single" w:sz="4" w:space="0" w:color="auto"/>
              <w:bottom w:val="single" w:sz="4" w:space="0" w:color="auto"/>
              <w:right w:val="single" w:sz="4" w:space="0" w:color="auto"/>
            </w:tcBorders>
            <w:shd w:val="clear" w:color="000000" w:fill="9BC2E6"/>
            <w:vAlign w:val="center"/>
          </w:tcPr>
          <w:p w14:paraId="10C82A65" w14:textId="77777777" w:rsidR="00BE5781" w:rsidRPr="00B666A5" w:rsidRDefault="00BE5781" w:rsidP="00BE5781">
            <w:pPr>
              <w:rPr>
                <w:rFonts w:ascii="Arial" w:hAnsi="Arial" w:cs="Arial"/>
                <w:b/>
                <w:bCs/>
                <w:color w:val="000000"/>
                <w:sz w:val="16"/>
                <w:szCs w:val="16"/>
              </w:rPr>
            </w:pPr>
            <w:r>
              <w:rPr>
                <w:rFonts w:ascii="Arial" w:hAnsi="Arial" w:cs="Arial"/>
                <w:b/>
                <w:bCs/>
                <w:color w:val="000000"/>
                <w:sz w:val="16"/>
                <w:szCs w:val="16"/>
              </w:rPr>
              <w:t>Órgano contratación</w:t>
            </w:r>
          </w:p>
        </w:tc>
        <w:tc>
          <w:tcPr>
            <w:tcW w:w="3828" w:type="dxa"/>
            <w:tcBorders>
              <w:top w:val="single" w:sz="4" w:space="0" w:color="auto"/>
              <w:left w:val="nil"/>
              <w:bottom w:val="single" w:sz="4" w:space="0" w:color="auto"/>
              <w:right w:val="single" w:sz="4" w:space="0" w:color="auto"/>
            </w:tcBorders>
            <w:shd w:val="clear" w:color="000000" w:fill="9BC2E6"/>
            <w:noWrap/>
            <w:vAlign w:val="center"/>
          </w:tcPr>
          <w:p w14:paraId="6A0F21AE" w14:textId="77777777" w:rsidR="00BE5781" w:rsidRPr="00B666A5" w:rsidRDefault="00BE5781" w:rsidP="00BE5781">
            <w:pPr>
              <w:rPr>
                <w:rFonts w:ascii="Arial" w:hAnsi="Arial" w:cs="Arial"/>
                <w:b/>
                <w:bCs/>
                <w:color w:val="000000"/>
                <w:sz w:val="16"/>
                <w:szCs w:val="16"/>
              </w:rPr>
            </w:pPr>
            <w:r>
              <w:rPr>
                <w:rFonts w:ascii="Arial" w:hAnsi="Arial" w:cs="Arial"/>
                <w:b/>
                <w:bCs/>
                <w:color w:val="000000"/>
                <w:sz w:val="16"/>
                <w:szCs w:val="16"/>
              </w:rPr>
              <w:t>Contrato</w:t>
            </w:r>
          </w:p>
        </w:tc>
        <w:tc>
          <w:tcPr>
            <w:tcW w:w="986" w:type="dxa"/>
            <w:tcBorders>
              <w:top w:val="single" w:sz="4" w:space="0" w:color="auto"/>
              <w:left w:val="nil"/>
              <w:bottom w:val="single" w:sz="4" w:space="0" w:color="auto"/>
              <w:right w:val="single" w:sz="4" w:space="0" w:color="auto"/>
            </w:tcBorders>
            <w:shd w:val="clear" w:color="000000" w:fill="9BC2E6"/>
            <w:vAlign w:val="bottom"/>
          </w:tcPr>
          <w:p w14:paraId="618C0ADE" w14:textId="77777777" w:rsidR="00BE5781" w:rsidRDefault="00BE5781" w:rsidP="0036588C">
            <w:pPr>
              <w:jc w:val="right"/>
              <w:rPr>
                <w:rFonts w:ascii="Arial" w:hAnsi="Arial" w:cs="Arial"/>
                <w:b/>
                <w:bCs/>
                <w:color w:val="000000"/>
                <w:sz w:val="16"/>
                <w:szCs w:val="16"/>
              </w:rPr>
            </w:pPr>
            <w:r>
              <w:rPr>
                <w:rFonts w:ascii="Arial" w:hAnsi="Arial" w:cs="Arial"/>
                <w:b/>
                <w:bCs/>
                <w:color w:val="000000"/>
                <w:sz w:val="16"/>
                <w:szCs w:val="16"/>
              </w:rPr>
              <w:t xml:space="preserve">Importe </w:t>
            </w:r>
          </w:p>
          <w:p w14:paraId="5489CDC0" w14:textId="77777777" w:rsidR="00BE5781" w:rsidRPr="00B666A5" w:rsidRDefault="00BE5781" w:rsidP="0036588C">
            <w:pPr>
              <w:jc w:val="right"/>
              <w:rPr>
                <w:rFonts w:ascii="Arial" w:hAnsi="Arial" w:cs="Arial"/>
                <w:b/>
                <w:bCs/>
                <w:color w:val="000000"/>
                <w:sz w:val="16"/>
                <w:szCs w:val="16"/>
              </w:rPr>
            </w:pPr>
            <w:r>
              <w:rPr>
                <w:rFonts w:ascii="Arial" w:hAnsi="Arial" w:cs="Arial"/>
                <w:b/>
                <w:bCs/>
                <w:color w:val="000000"/>
                <w:sz w:val="16"/>
                <w:szCs w:val="16"/>
              </w:rPr>
              <w:t>licitación</w:t>
            </w:r>
          </w:p>
        </w:tc>
        <w:tc>
          <w:tcPr>
            <w:tcW w:w="1247" w:type="dxa"/>
            <w:tcBorders>
              <w:top w:val="single" w:sz="4" w:space="0" w:color="auto"/>
              <w:left w:val="nil"/>
              <w:bottom w:val="single" w:sz="4" w:space="0" w:color="auto"/>
              <w:right w:val="single" w:sz="4" w:space="0" w:color="auto"/>
            </w:tcBorders>
            <w:shd w:val="clear" w:color="000000" w:fill="9BC2E6"/>
            <w:vAlign w:val="bottom"/>
          </w:tcPr>
          <w:p w14:paraId="45A71631" w14:textId="77777777" w:rsidR="00BE5781" w:rsidRDefault="00BE5781" w:rsidP="0036588C">
            <w:pPr>
              <w:jc w:val="right"/>
              <w:rPr>
                <w:rFonts w:ascii="Arial" w:hAnsi="Arial" w:cs="Arial"/>
                <w:b/>
                <w:bCs/>
                <w:color w:val="000000"/>
                <w:sz w:val="16"/>
                <w:szCs w:val="16"/>
              </w:rPr>
            </w:pPr>
            <w:r>
              <w:rPr>
                <w:rFonts w:ascii="Arial" w:hAnsi="Arial" w:cs="Arial"/>
                <w:b/>
                <w:bCs/>
                <w:color w:val="000000"/>
                <w:sz w:val="16"/>
                <w:szCs w:val="16"/>
              </w:rPr>
              <w:t xml:space="preserve">Importe </w:t>
            </w:r>
          </w:p>
          <w:p w14:paraId="360B2EAB" w14:textId="77777777" w:rsidR="00BE5781" w:rsidRPr="00B666A5" w:rsidRDefault="00BE5781" w:rsidP="0036588C">
            <w:pPr>
              <w:jc w:val="right"/>
              <w:rPr>
                <w:rFonts w:ascii="Arial" w:hAnsi="Arial" w:cs="Arial"/>
                <w:b/>
                <w:bCs/>
                <w:color w:val="000000"/>
                <w:sz w:val="16"/>
                <w:szCs w:val="16"/>
              </w:rPr>
            </w:pPr>
            <w:r>
              <w:rPr>
                <w:rFonts w:ascii="Arial" w:hAnsi="Arial" w:cs="Arial"/>
                <w:b/>
                <w:bCs/>
                <w:color w:val="000000"/>
                <w:sz w:val="16"/>
                <w:szCs w:val="16"/>
              </w:rPr>
              <w:t>adjudicación</w:t>
            </w:r>
          </w:p>
        </w:tc>
        <w:tc>
          <w:tcPr>
            <w:tcW w:w="709" w:type="dxa"/>
            <w:tcBorders>
              <w:top w:val="single" w:sz="4" w:space="0" w:color="auto"/>
              <w:left w:val="nil"/>
              <w:bottom w:val="single" w:sz="4" w:space="0" w:color="auto"/>
              <w:right w:val="single" w:sz="4" w:space="0" w:color="auto"/>
            </w:tcBorders>
            <w:shd w:val="clear" w:color="000000" w:fill="9BC2E6"/>
            <w:vAlign w:val="center"/>
          </w:tcPr>
          <w:p w14:paraId="660A19EE" w14:textId="77777777" w:rsidR="00BE5781" w:rsidRPr="00B666A5" w:rsidRDefault="00BE5781" w:rsidP="0036588C">
            <w:pPr>
              <w:jc w:val="right"/>
              <w:rPr>
                <w:rFonts w:ascii="Arial" w:hAnsi="Arial" w:cs="Arial"/>
                <w:b/>
                <w:bCs/>
                <w:sz w:val="16"/>
                <w:szCs w:val="16"/>
              </w:rPr>
            </w:pPr>
            <w:r>
              <w:rPr>
                <w:rFonts w:ascii="Arial" w:hAnsi="Arial" w:cs="Arial"/>
                <w:b/>
                <w:bCs/>
                <w:sz w:val="16"/>
                <w:szCs w:val="16"/>
              </w:rPr>
              <w:t>Baja</w:t>
            </w:r>
          </w:p>
        </w:tc>
        <w:tc>
          <w:tcPr>
            <w:tcW w:w="1474" w:type="dxa"/>
            <w:tcBorders>
              <w:top w:val="single" w:sz="4" w:space="0" w:color="auto"/>
              <w:left w:val="nil"/>
              <w:bottom w:val="single" w:sz="4" w:space="0" w:color="auto"/>
              <w:right w:val="single" w:sz="4" w:space="0" w:color="auto"/>
            </w:tcBorders>
            <w:shd w:val="clear" w:color="000000" w:fill="9BC2E6"/>
            <w:noWrap/>
            <w:vAlign w:val="center"/>
          </w:tcPr>
          <w:p w14:paraId="2C91A810" w14:textId="77777777" w:rsidR="00BE5781" w:rsidRPr="00B666A5" w:rsidRDefault="00BE5781" w:rsidP="0036588C">
            <w:pPr>
              <w:jc w:val="right"/>
              <w:rPr>
                <w:rFonts w:ascii="Arial" w:hAnsi="Arial" w:cs="Arial"/>
                <w:b/>
                <w:bCs/>
                <w:color w:val="000000"/>
                <w:sz w:val="16"/>
                <w:szCs w:val="16"/>
              </w:rPr>
            </w:pPr>
            <w:r>
              <w:rPr>
                <w:rFonts w:ascii="Arial" w:hAnsi="Arial" w:cs="Arial"/>
                <w:b/>
                <w:bCs/>
                <w:color w:val="000000"/>
                <w:sz w:val="16"/>
                <w:szCs w:val="16"/>
              </w:rPr>
              <w:t>Procedimiento</w:t>
            </w:r>
          </w:p>
        </w:tc>
      </w:tr>
      <w:tr w:rsidR="00BE5781" w:rsidRPr="00B666A5" w14:paraId="34DA6FFA" w14:textId="77777777" w:rsidTr="00F405EB">
        <w:trPr>
          <w:trHeight w:val="19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63FCB"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4FA1A32"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Agencia Navarra de Autonomía y Desarrollo de las Personas</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39CBECFF"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Obras adecuación edificio en C/Monasterio Irache 11 de Estella-Lizarra como residencia de mayores Santo Domingo</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5F4FBDCA"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9.241.138</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1130CF58"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8.317.030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88F1818"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10,00%</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449C223E"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r w:rsidR="00384FD8">
              <w:rPr>
                <w:rFonts w:ascii="Arial" w:hAnsi="Arial" w:cs="Arial"/>
                <w:color w:val="000000"/>
                <w:sz w:val="14"/>
                <w:szCs w:val="14"/>
              </w:rPr>
              <w:t xml:space="preserve"> superior al umbral europeo</w:t>
            </w:r>
          </w:p>
        </w:tc>
      </w:tr>
      <w:tr w:rsidR="00BE5781" w:rsidRPr="00B666A5" w14:paraId="71BE3B99" w14:textId="77777777" w:rsidTr="00F405EB">
        <w:trPr>
          <w:trHeight w:val="19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6A04A"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84001E4"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Subdirección de Gestión y </w:t>
            </w:r>
            <w:proofErr w:type="gramStart"/>
            <w:r w:rsidRPr="002F3E5F">
              <w:rPr>
                <w:rFonts w:ascii="Arial" w:hAnsi="Arial" w:cs="Arial"/>
                <w:color w:val="000000"/>
                <w:sz w:val="14"/>
                <w:szCs w:val="14"/>
              </w:rPr>
              <w:t>Recursos  de</w:t>
            </w:r>
            <w:proofErr w:type="gramEnd"/>
            <w:r w:rsidRPr="002F3E5F">
              <w:rPr>
                <w:rFonts w:ascii="Arial" w:hAnsi="Arial" w:cs="Arial"/>
                <w:color w:val="000000"/>
                <w:sz w:val="14"/>
                <w:szCs w:val="14"/>
              </w:rPr>
              <w:t xml:space="preserve"> la Agencia Navarra de Autonomía y Desarrollo de las Personas</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1A95347D"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Obras de rehabilitación de dos viviendas en Concepción Benítez, 12</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690B5CC6"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832.428</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73F30F1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790.807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E95D1AC"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5,00%</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64998CDF"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p>
        </w:tc>
      </w:tr>
      <w:tr w:rsidR="00BE5781" w:rsidRPr="00B666A5" w14:paraId="2C0CE3B6" w14:textId="77777777" w:rsidTr="00F405EB">
        <w:trPr>
          <w:trHeight w:val="19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14EB3"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3</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F34F515"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Subdirección de Gestión y </w:t>
            </w:r>
            <w:proofErr w:type="gramStart"/>
            <w:r w:rsidRPr="002F3E5F">
              <w:rPr>
                <w:rFonts w:ascii="Arial" w:hAnsi="Arial" w:cs="Arial"/>
                <w:color w:val="000000"/>
                <w:sz w:val="14"/>
                <w:szCs w:val="14"/>
              </w:rPr>
              <w:t>Recursos  de</w:t>
            </w:r>
            <w:proofErr w:type="gramEnd"/>
            <w:r w:rsidRPr="002F3E5F">
              <w:rPr>
                <w:rFonts w:ascii="Arial" w:hAnsi="Arial" w:cs="Arial"/>
                <w:color w:val="000000"/>
                <w:sz w:val="14"/>
                <w:szCs w:val="14"/>
              </w:rPr>
              <w:t xml:space="preserve"> la Agencia Navarra de Autonomía y Desarrollo de las Personas</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7DAAE81D"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Contrato de instalación de equipos de climatización en la Residencia del Vergel</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097974C"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316.984</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729414B3"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292.259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5EB0BEB"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7,80%</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1534F7A3"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p>
        </w:tc>
      </w:tr>
      <w:tr w:rsidR="00BE5781" w:rsidRPr="00B666A5" w14:paraId="6EBA5D67" w14:textId="77777777" w:rsidTr="00F405EB">
        <w:trPr>
          <w:trHeight w:val="19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87923"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4</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F9BFA25"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Dirección General de Obras Públicas e Infraestructuras</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7DD853C0"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Duplicación del túnel de Belate</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6F11E5AF"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78.602.252</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1CA54B02"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62.881.802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C3B5CE1"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20,00%</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5C66CC59" w14:textId="77777777" w:rsidR="00BE5781" w:rsidRPr="002F3E5F" w:rsidRDefault="00384FD8" w:rsidP="00BE5781">
            <w:pPr>
              <w:jc w:val="right"/>
              <w:rPr>
                <w:rFonts w:ascii="Arial" w:hAnsi="Arial" w:cs="Arial"/>
                <w:color w:val="000000"/>
                <w:sz w:val="14"/>
                <w:szCs w:val="14"/>
              </w:rPr>
            </w:pPr>
            <w:r w:rsidRPr="002F3E5F">
              <w:rPr>
                <w:rFonts w:ascii="Arial" w:hAnsi="Arial" w:cs="Arial"/>
                <w:color w:val="000000"/>
                <w:sz w:val="14"/>
                <w:szCs w:val="14"/>
              </w:rPr>
              <w:t>Abierto</w:t>
            </w:r>
            <w:r>
              <w:rPr>
                <w:rFonts w:ascii="Arial" w:hAnsi="Arial" w:cs="Arial"/>
                <w:color w:val="000000"/>
                <w:sz w:val="14"/>
                <w:szCs w:val="14"/>
              </w:rPr>
              <w:t xml:space="preserve"> superior al umbral europeo</w:t>
            </w:r>
          </w:p>
        </w:tc>
      </w:tr>
      <w:tr w:rsidR="00BE5781" w:rsidRPr="00B666A5" w14:paraId="3CA28481" w14:textId="77777777" w:rsidTr="00F405EB">
        <w:trPr>
          <w:trHeight w:val="19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E27E8"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46DFA47"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Dirección General de Obras Públicas e Infraestructuras</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5A27272B"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Itinerario peatonal y ciclista de conexión entre Sarriguren-Ciudad de la Innovación-</w:t>
            </w:r>
            <w:proofErr w:type="spellStart"/>
            <w:r w:rsidRPr="002F3E5F">
              <w:rPr>
                <w:rFonts w:ascii="Arial" w:hAnsi="Arial" w:cs="Arial"/>
                <w:color w:val="000000"/>
                <w:sz w:val="14"/>
                <w:szCs w:val="14"/>
              </w:rPr>
              <w:t>Ripagaina</w:t>
            </w:r>
            <w:proofErr w:type="spellEnd"/>
            <w:r w:rsidRPr="002F3E5F">
              <w:rPr>
                <w:rFonts w:ascii="Arial" w:hAnsi="Arial" w:cs="Arial"/>
                <w:color w:val="000000"/>
                <w:sz w:val="14"/>
                <w:szCs w:val="14"/>
              </w:rPr>
              <w:t>-Areta-Burlada</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B16915C"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1.748.560</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1BD3501D"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1.573.704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4B52C46"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10,00%</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057034B4"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p>
        </w:tc>
      </w:tr>
      <w:tr w:rsidR="00BE5781" w:rsidRPr="00B666A5" w14:paraId="45D11366" w14:textId="77777777" w:rsidTr="00F405EB">
        <w:trPr>
          <w:trHeight w:val="19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21BA9"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6</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EABF138"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Dirección General de Obras Públicas e Infraestructuras</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3551CE7B" w14:textId="77777777" w:rsidR="00BE5781" w:rsidRPr="002F3E5F" w:rsidRDefault="00BE5781" w:rsidP="00BE5781">
            <w:pPr>
              <w:rPr>
                <w:rFonts w:ascii="Arial" w:hAnsi="Arial" w:cs="Arial"/>
                <w:color w:val="000000"/>
                <w:sz w:val="14"/>
                <w:szCs w:val="14"/>
              </w:rPr>
            </w:pPr>
            <w:proofErr w:type="gramStart"/>
            <w:r w:rsidRPr="002F3E5F">
              <w:rPr>
                <w:rFonts w:ascii="Arial" w:hAnsi="Arial" w:cs="Arial"/>
                <w:color w:val="000000"/>
                <w:sz w:val="14"/>
                <w:szCs w:val="14"/>
              </w:rPr>
              <w:t>Proyecto  de</w:t>
            </w:r>
            <w:proofErr w:type="gramEnd"/>
            <w:r w:rsidRPr="002F3E5F">
              <w:rPr>
                <w:rFonts w:ascii="Arial" w:hAnsi="Arial" w:cs="Arial"/>
                <w:color w:val="000000"/>
                <w:sz w:val="14"/>
                <w:szCs w:val="14"/>
              </w:rPr>
              <w:t xml:space="preserve"> pasarela peatonal sobre la carretera PA 30 en Arre (</w:t>
            </w:r>
            <w:proofErr w:type="spellStart"/>
            <w:r w:rsidRPr="002F3E5F">
              <w:rPr>
                <w:rFonts w:ascii="Arial" w:hAnsi="Arial" w:cs="Arial"/>
                <w:color w:val="000000"/>
                <w:sz w:val="14"/>
                <w:szCs w:val="14"/>
              </w:rPr>
              <w:t>Ezcabarte</w:t>
            </w:r>
            <w:proofErr w:type="spellEnd"/>
            <w:r w:rsidRPr="002F3E5F">
              <w:rPr>
                <w:rFonts w:ascii="Arial" w:hAnsi="Arial" w:cs="Arial"/>
                <w:color w:val="000000"/>
                <w:sz w:val="14"/>
                <w:szCs w:val="14"/>
              </w:rPr>
              <w:t>)</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1E6B160F"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1.086.942</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0D39FAF8"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1.032.594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45DB472"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5,00%</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19E01D4F"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p>
        </w:tc>
      </w:tr>
      <w:tr w:rsidR="00BE5781" w:rsidRPr="00B666A5" w14:paraId="2C203384" w14:textId="77777777" w:rsidTr="00F405EB">
        <w:trPr>
          <w:trHeight w:val="19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216A3"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7</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C8B11E0"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Dirección General de Obras Públicas e Infraestructuras</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7E39B416"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Itinerario peatonal y ciclista de conexión entre Zizur Mayor y Pamplona</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6BEA329"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789.845</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5A86166A"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710.861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516B506"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10,00%</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332BA33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p>
        </w:tc>
      </w:tr>
      <w:tr w:rsidR="00BE5781" w:rsidRPr="00B666A5" w14:paraId="4A7284FB" w14:textId="77777777" w:rsidTr="00F405EB">
        <w:trPr>
          <w:trHeight w:val="19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528F1"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8</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5E08529"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Dirección General de Obras Públicas e Infraestructuras</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5161470B"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Urbanización del intercambiador de autobús interurbano en Lumbier, Navarra</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1BEF3FF9"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739.041</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4475F82B"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702.089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CBE52BF"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5,00%</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2C797461"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p>
        </w:tc>
      </w:tr>
      <w:tr w:rsidR="00BE5781" w:rsidRPr="00B666A5" w14:paraId="19D575AA" w14:textId="77777777" w:rsidTr="00F405EB">
        <w:trPr>
          <w:trHeight w:val="19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45F8F"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9</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3B2CAA3"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Dirección General de Recursos Educativos del Departamento de Educación</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2D14B951"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Contrato de obras para ampliación y reforma de CPEIP Teresa Bertrán Lis de </w:t>
            </w:r>
            <w:proofErr w:type="spellStart"/>
            <w:r w:rsidRPr="002F3E5F">
              <w:rPr>
                <w:rFonts w:ascii="Arial" w:hAnsi="Arial" w:cs="Arial"/>
                <w:color w:val="000000"/>
                <w:sz w:val="14"/>
                <w:szCs w:val="14"/>
              </w:rPr>
              <w:t>Cadreita</w:t>
            </w:r>
            <w:proofErr w:type="spellEnd"/>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F1613B3"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1.381.117</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5CFE6123"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1.241.348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5E174E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10,12%</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554D8433"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p>
        </w:tc>
      </w:tr>
      <w:tr w:rsidR="00BE5781" w:rsidRPr="00B666A5" w14:paraId="1A6C80A6" w14:textId="77777777" w:rsidTr="00F405EB">
        <w:trPr>
          <w:trHeight w:val="19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FCC22"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10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216F1DE"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Dirección General de Recursos Educativos del Departamento de Educación</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5549B05B"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Contratación de las obras de ampliación del CPEIP Juan de Palafox de Fitero</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6FF83AE"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581.030</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136B5DEA"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576.000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8FE9A39"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0,87%</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7A6F49BB"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p>
        </w:tc>
      </w:tr>
      <w:tr w:rsidR="00BE5781" w:rsidRPr="00B666A5" w14:paraId="3848B5D5" w14:textId="77777777" w:rsidTr="00F405EB">
        <w:trPr>
          <w:trHeight w:val="198"/>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F902191"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11</w:t>
            </w:r>
          </w:p>
        </w:tc>
        <w:tc>
          <w:tcPr>
            <w:tcW w:w="2551" w:type="dxa"/>
            <w:tcBorders>
              <w:top w:val="nil"/>
              <w:left w:val="nil"/>
              <w:bottom w:val="single" w:sz="4" w:space="0" w:color="auto"/>
              <w:right w:val="single" w:sz="4" w:space="0" w:color="auto"/>
            </w:tcBorders>
            <w:shd w:val="clear" w:color="auto" w:fill="auto"/>
            <w:vAlign w:val="center"/>
            <w:hideMark/>
          </w:tcPr>
          <w:p w14:paraId="67649988"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Dirección General de Recursos Educativos del Departamento de Educación</w:t>
            </w:r>
          </w:p>
        </w:tc>
        <w:tc>
          <w:tcPr>
            <w:tcW w:w="3828" w:type="dxa"/>
            <w:tcBorders>
              <w:top w:val="nil"/>
              <w:left w:val="nil"/>
              <w:bottom w:val="single" w:sz="4" w:space="0" w:color="auto"/>
              <w:right w:val="single" w:sz="4" w:space="0" w:color="auto"/>
            </w:tcBorders>
            <w:shd w:val="clear" w:color="auto" w:fill="auto"/>
            <w:vAlign w:val="center"/>
            <w:hideMark/>
          </w:tcPr>
          <w:p w14:paraId="1962D8CA"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Reforma de Sala de Calderas en el edificio José Vila de Pamplona</w:t>
            </w:r>
          </w:p>
        </w:tc>
        <w:tc>
          <w:tcPr>
            <w:tcW w:w="986" w:type="dxa"/>
            <w:tcBorders>
              <w:top w:val="single" w:sz="4" w:space="0" w:color="9BC2E6"/>
              <w:left w:val="nil"/>
              <w:bottom w:val="single" w:sz="4" w:space="0" w:color="auto"/>
              <w:right w:val="single" w:sz="4" w:space="0" w:color="auto"/>
            </w:tcBorders>
            <w:shd w:val="clear" w:color="auto" w:fill="auto"/>
            <w:noWrap/>
            <w:vAlign w:val="center"/>
            <w:hideMark/>
          </w:tcPr>
          <w:p w14:paraId="002383D2"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220.473</w:t>
            </w:r>
          </w:p>
        </w:tc>
        <w:tc>
          <w:tcPr>
            <w:tcW w:w="1247" w:type="dxa"/>
            <w:tcBorders>
              <w:top w:val="single" w:sz="4" w:space="0" w:color="9BC2E6"/>
              <w:left w:val="nil"/>
              <w:bottom w:val="single" w:sz="4" w:space="0" w:color="auto"/>
              <w:right w:val="single" w:sz="4" w:space="0" w:color="auto"/>
            </w:tcBorders>
            <w:shd w:val="clear" w:color="auto" w:fill="auto"/>
            <w:noWrap/>
            <w:vAlign w:val="center"/>
            <w:hideMark/>
          </w:tcPr>
          <w:p w14:paraId="6D84B8DF"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218.000</w:t>
            </w:r>
          </w:p>
        </w:tc>
        <w:tc>
          <w:tcPr>
            <w:tcW w:w="709" w:type="dxa"/>
            <w:tcBorders>
              <w:top w:val="nil"/>
              <w:left w:val="nil"/>
              <w:bottom w:val="single" w:sz="4" w:space="0" w:color="auto"/>
              <w:right w:val="single" w:sz="4" w:space="0" w:color="auto"/>
            </w:tcBorders>
            <w:shd w:val="clear" w:color="auto" w:fill="auto"/>
            <w:vAlign w:val="center"/>
            <w:hideMark/>
          </w:tcPr>
          <w:p w14:paraId="17B53BF3"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1,12%</w:t>
            </w:r>
          </w:p>
        </w:tc>
        <w:tc>
          <w:tcPr>
            <w:tcW w:w="1474" w:type="dxa"/>
            <w:tcBorders>
              <w:top w:val="nil"/>
              <w:left w:val="nil"/>
              <w:bottom w:val="single" w:sz="4" w:space="0" w:color="auto"/>
              <w:right w:val="single" w:sz="4" w:space="0" w:color="auto"/>
            </w:tcBorders>
            <w:shd w:val="clear" w:color="auto" w:fill="auto"/>
            <w:noWrap/>
            <w:vAlign w:val="center"/>
            <w:hideMark/>
          </w:tcPr>
          <w:p w14:paraId="1EC9A196"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p>
        </w:tc>
      </w:tr>
      <w:tr w:rsidR="00BE5781" w:rsidRPr="00B666A5" w14:paraId="68D5B313" w14:textId="77777777" w:rsidTr="00F405EB">
        <w:trPr>
          <w:trHeight w:val="198"/>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8748B03"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12</w:t>
            </w:r>
          </w:p>
        </w:tc>
        <w:tc>
          <w:tcPr>
            <w:tcW w:w="2551" w:type="dxa"/>
            <w:tcBorders>
              <w:top w:val="nil"/>
              <w:left w:val="nil"/>
              <w:bottom w:val="single" w:sz="4" w:space="0" w:color="auto"/>
              <w:right w:val="single" w:sz="4" w:space="0" w:color="auto"/>
            </w:tcBorders>
            <w:shd w:val="clear" w:color="auto" w:fill="auto"/>
            <w:vAlign w:val="center"/>
            <w:hideMark/>
          </w:tcPr>
          <w:p w14:paraId="0A05DBBE"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Dirección General de Medio Ambiente</w:t>
            </w:r>
          </w:p>
        </w:tc>
        <w:tc>
          <w:tcPr>
            <w:tcW w:w="3828" w:type="dxa"/>
            <w:tcBorders>
              <w:top w:val="nil"/>
              <w:left w:val="nil"/>
              <w:bottom w:val="single" w:sz="4" w:space="0" w:color="auto"/>
              <w:right w:val="single" w:sz="4" w:space="0" w:color="auto"/>
            </w:tcBorders>
            <w:shd w:val="clear" w:color="auto" w:fill="auto"/>
            <w:vAlign w:val="center"/>
            <w:hideMark/>
          </w:tcPr>
          <w:p w14:paraId="1DCBBFD9"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Construcción de nueva casa forestal (</w:t>
            </w:r>
            <w:proofErr w:type="spellStart"/>
            <w:r w:rsidRPr="002F3E5F">
              <w:rPr>
                <w:rFonts w:ascii="Arial" w:hAnsi="Arial" w:cs="Arial"/>
                <w:color w:val="000000"/>
                <w:sz w:val="14"/>
                <w:szCs w:val="14"/>
              </w:rPr>
              <w:t>Guardetxe</w:t>
            </w:r>
            <w:proofErr w:type="spellEnd"/>
            <w:r w:rsidRPr="002F3E5F">
              <w:rPr>
                <w:rFonts w:ascii="Arial" w:hAnsi="Arial" w:cs="Arial"/>
                <w:color w:val="000000"/>
                <w:sz w:val="14"/>
                <w:szCs w:val="14"/>
              </w:rPr>
              <w:t xml:space="preserve">) en el monte Sierra de </w:t>
            </w:r>
            <w:proofErr w:type="spellStart"/>
            <w:r w:rsidRPr="002F3E5F">
              <w:rPr>
                <w:rFonts w:ascii="Arial" w:hAnsi="Arial" w:cs="Arial"/>
                <w:color w:val="000000"/>
                <w:sz w:val="14"/>
                <w:szCs w:val="14"/>
              </w:rPr>
              <w:t>Aralar</w:t>
            </w:r>
            <w:proofErr w:type="spellEnd"/>
          </w:p>
        </w:tc>
        <w:tc>
          <w:tcPr>
            <w:tcW w:w="986" w:type="dxa"/>
            <w:tcBorders>
              <w:top w:val="single" w:sz="4" w:space="0" w:color="9BC2E6"/>
              <w:left w:val="nil"/>
              <w:bottom w:val="single" w:sz="4" w:space="0" w:color="auto"/>
              <w:right w:val="single" w:sz="4" w:space="0" w:color="auto"/>
            </w:tcBorders>
            <w:shd w:val="clear" w:color="auto" w:fill="auto"/>
            <w:noWrap/>
            <w:vAlign w:val="center"/>
            <w:hideMark/>
          </w:tcPr>
          <w:p w14:paraId="2C8BA7AC"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385.208</w:t>
            </w:r>
          </w:p>
        </w:tc>
        <w:tc>
          <w:tcPr>
            <w:tcW w:w="1247" w:type="dxa"/>
            <w:tcBorders>
              <w:top w:val="single" w:sz="4" w:space="0" w:color="9BC2E6"/>
              <w:left w:val="nil"/>
              <w:bottom w:val="single" w:sz="4" w:space="0" w:color="auto"/>
              <w:right w:val="single" w:sz="4" w:space="0" w:color="auto"/>
            </w:tcBorders>
            <w:shd w:val="clear" w:color="auto" w:fill="auto"/>
            <w:noWrap/>
            <w:vAlign w:val="center"/>
            <w:hideMark/>
          </w:tcPr>
          <w:p w14:paraId="04AC4209"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384.862</w:t>
            </w:r>
          </w:p>
        </w:tc>
        <w:tc>
          <w:tcPr>
            <w:tcW w:w="709" w:type="dxa"/>
            <w:tcBorders>
              <w:top w:val="nil"/>
              <w:left w:val="nil"/>
              <w:bottom w:val="single" w:sz="4" w:space="0" w:color="auto"/>
              <w:right w:val="single" w:sz="4" w:space="0" w:color="auto"/>
            </w:tcBorders>
            <w:shd w:val="clear" w:color="auto" w:fill="auto"/>
            <w:vAlign w:val="center"/>
            <w:hideMark/>
          </w:tcPr>
          <w:p w14:paraId="5F6E10DC"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0,09%</w:t>
            </w:r>
          </w:p>
        </w:tc>
        <w:tc>
          <w:tcPr>
            <w:tcW w:w="1474" w:type="dxa"/>
            <w:tcBorders>
              <w:top w:val="nil"/>
              <w:left w:val="nil"/>
              <w:bottom w:val="single" w:sz="4" w:space="0" w:color="auto"/>
              <w:right w:val="single" w:sz="4" w:space="0" w:color="auto"/>
            </w:tcBorders>
            <w:shd w:val="clear" w:color="auto" w:fill="auto"/>
            <w:noWrap/>
            <w:vAlign w:val="center"/>
            <w:hideMark/>
          </w:tcPr>
          <w:p w14:paraId="1C89AD9A"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p>
        </w:tc>
      </w:tr>
      <w:tr w:rsidR="00BE5781" w:rsidRPr="00B666A5" w14:paraId="30700A8C" w14:textId="77777777" w:rsidTr="00F405EB">
        <w:trPr>
          <w:trHeight w:val="198"/>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943E0B4"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13</w:t>
            </w:r>
          </w:p>
        </w:tc>
        <w:tc>
          <w:tcPr>
            <w:tcW w:w="2551" w:type="dxa"/>
            <w:tcBorders>
              <w:top w:val="nil"/>
              <w:left w:val="nil"/>
              <w:bottom w:val="single" w:sz="4" w:space="0" w:color="auto"/>
              <w:right w:val="single" w:sz="4" w:space="0" w:color="auto"/>
            </w:tcBorders>
            <w:shd w:val="clear" w:color="auto" w:fill="auto"/>
            <w:vAlign w:val="center"/>
            <w:hideMark/>
          </w:tcPr>
          <w:p w14:paraId="6C103C72"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Dirección General de Medio Ambiente</w:t>
            </w:r>
          </w:p>
        </w:tc>
        <w:tc>
          <w:tcPr>
            <w:tcW w:w="3828" w:type="dxa"/>
            <w:tcBorders>
              <w:top w:val="nil"/>
              <w:left w:val="nil"/>
              <w:bottom w:val="single" w:sz="4" w:space="0" w:color="auto"/>
              <w:right w:val="single" w:sz="4" w:space="0" w:color="auto"/>
            </w:tcBorders>
            <w:shd w:val="clear" w:color="auto" w:fill="auto"/>
            <w:vAlign w:val="center"/>
            <w:hideMark/>
          </w:tcPr>
          <w:p w14:paraId="45EBC033"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Restauración de la margen derecha del rio Salazar tras la demolición de la presa de Molino de </w:t>
            </w:r>
            <w:proofErr w:type="spellStart"/>
            <w:r w:rsidRPr="002F3E5F">
              <w:rPr>
                <w:rFonts w:ascii="Arial" w:hAnsi="Arial" w:cs="Arial"/>
                <w:color w:val="000000"/>
                <w:sz w:val="14"/>
                <w:szCs w:val="14"/>
              </w:rPr>
              <w:t>Oronz</w:t>
            </w:r>
            <w:proofErr w:type="spellEnd"/>
          </w:p>
        </w:tc>
        <w:tc>
          <w:tcPr>
            <w:tcW w:w="986" w:type="dxa"/>
            <w:tcBorders>
              <w:top w:val="single" w:sz="4" w:space="0" w:color="9BC2E6"/>
              <w:left w:val="nil"/>
              <w:bottom w:val="single" w:sz="4" w:space="0" w:color="auto"/>
              <w:right w:val="single" w:sz="4" w:space="0" w:color="auto"/>
            </w:tcBorders>
            <w:shd w:val="clear" w:color="auto" w:fill="auto"/>
            <w:noWrap/>
            <w:vAlign w:val="center"/>
            <w:hideMark/>
          </w:tcPr>
          <w:p w14:paraId="003935D4"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199.963</w:t>
            </w:r>
          </w:p>
        </w:tc>
        <w:tc>
          <w:tcPr>
            <w:tcW w:w="1247" w:type="dxa"/>
            <w:tcBorders>
              <w:top w:val="single" w:sz="4" w:space="0" w:color="9BC2E6"/>
              <w:left w:val="nil"/>
              <w:bottom w:val="single" w:sz="4" w:space="0" w:color="auto"/>
              <w:right w:val="single" w:sz="4" w:space="0" w:color="auto"/>
            </w:tcBorders>
            <w:shd w:val="clear" w:color="auto" w:fill="auto"/>
            <w:noWrap/>
            <w:vAlign w:val="center"/>
            <w:hideMark/>
          </w:tcPr>
          <w:p w14:paraId="2DD2BC91"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169.969</w:t>
            </w:r>
          </w:p>
        </w:tc>
        <w:tc>
          <w:tcPr>
            <w:tcW w:w="709" w:type="dxa"/>
            <w:tcBorders>
              <w:top w:val="nil"/>
              <w:left w:val="nil"/>
              <w:bottom w:val="single" w:sz="4" w:space="0" w:color="auto"/>
              <w:right w:val="single" w:sz="4" w:space="0" w:color="auto"/>
            </w:tcBorders>
            <w:shd w:val="clear" w:color="auto" w:fill="auto"/>
            <w:vAlign w:val="center"/>
            <w:hideMark/>
          </w:tcPr>
          <w:p w14:paraId="0898C326"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15,00%</w:t>
            </w:r>
          </w:p>
        </w:tc>
        <w:tc>
          <w:tcPr>
            <w:tcW w:w="1474" w:type="dxa"/>
            <w:tcBorders>
              <w:top w:val="nil"/>
              <w:left w:val="nil"/>
              <w:bottom w:val="single" w:sz="4" w:space="0" w:color="auto"/>
              <w:right w:val="single" w:sz="4" w:space="0" w:color="auto"/>
            </w:tcBorders>
            <w:shd w:val="clear" w:color="auto" w:fill="auto"/>
            <w:noWrap/>
            <w:vAlign w:val="center"/>
            <w:hideMark/>
          </w:tcPr>
          <w:p w14:paraId="67833AB4"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p>
        </w:tc>
      </w:tr>
      <w:tr w:rsidR="00BE5781" w:rsidRPr="00B666A5" w14:paraId="090DC951" w14:textId="77777777" w:rsidTr="00F405EB">
        <w:trPr>
          <w:trHeight w:val="198"/>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5159B3"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14</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EB14C0" w14:textId="77777777" w:rsidR="00BE5781" w:rsidRPr="002F3E5F" w:rsidRDefault="00BE5781" w:rsidP="00BE5781">
            <w:pPr>
              <w:ind w:left="-1494" w:firstLine="1494"/>
              <w:jc w:val="center"/>
              <w:rPr>
                <w:rFonts w:ascii="Arial" w:hAnsi="Arial" w:cs="Arial"/>
                <w:color w:val="000000"/>
                <w:sz w:val="14"/>
                <w:szCs w:val="14"/>
              </w:rPr>
            </w:pPr>
            <w:r w:rsidRPr="002F3E5F">
              <w:rPr>
                <w:rFonts w:ascii="Arial" w:hAnsi="Arial" w:cs="Arial"/>
                <w:color w:val="000000"/>
                <w:sz w:val="14"/>
                <w:szCs w:val="14"/>
              </w:rPr>
              <w:t>Dirección General de Medio Ambiente</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5187D2BB"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Retirada e instalación de cierres ganaderos quemados en los incendios de </w:t>
            </w:r>
            <w:r w:rsidR="00083165">
              <w:rPr>
                <w:rFonts w:ascii="Arial" w:hAnsi="Arial" w:cs="Arial"/>
                <w:color w:val="000000"/>
                <w:sz w:val="14"/>
                <w:szCs w:val="14"/>
              </w:rPr>
              <w:t xml:space="preserve">junio de 2022 en </w:t>
            </w:r>
            <w:proofErr w:type="spellStart"/>
            <w:r w:rsidR="00083165">
              <w:rPr>
                <w:rFonts w:ascii="Arial" w:hAnsi="Arial" w:cs="Arial"/>
                <w:color w:val="000000"/>
                <w:sz w:val="14"/>
                <w:szCs w:val="14"/>
              </w:rPr>
              <w:t>Lerga</w:t>
            </w:r>
            <w:proofErr w:type="spellEnd"/>
            <w:r w:rsidR="00083165">
              <w:rPr>
                <w:rFonts w:ascii="Arial" w:hAnsi="Arial" w:cs="Arial"/>
                <w:color w:val="000000"/>
                <w:sz w:val="14"/>
                <w:szCs w:val="14"/>
              </w:rPr>
              <w:t xml:space="preserve"> y Leoz (L</w:t>
            </w:r>
            <w:r w:rsidR="00083165" w:rsidRPr="002F3E5F">
              <w:rPr>
                <w:rFonts w:ascii="Arial" w:hAnsi="Arial" w:cs="Arial"/>
                <w:color w:val="000000"/>
                <w:sz w:val="14"/>
                <w:szCs w:val="14"/>
              </w:rPr>
              <w:t>OTE</w:t>
            </w:r>
            <w:r w:rsidRPr="002F3E5F">
              <w:rPr>
                <w:rFonts w:ascii="Arial" w:hAnsi="Arial" w:cs="Arial"/>
                <w:color w:val="000000"/>
                <w:sz w:val="14"/>
                <w:szCs w:val="14"/>
              </w:rPr>
              <w:t xml:space="preserve"> 1)</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62AC26A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125.192</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0152A80A"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100.154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B0527ED"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20,00%</w:t>
            </w:r>
          </w:p>
        </w:tc>
        <w:tc>
          <w:tcPr>
            <w:tcW w:w="1474" w:type="dxa"/>
            <w:tcBorders>
              <w:top w:val="single" w:sz="4" w:space="0" w:color="auto"/>
              <w:left w:val="single" w:sz="4" w:space="0" w:color="auto"/>
              <w:right w:val="single" w:sz="4" w:space="0" w:color="auto"/>
            </w:tcBorders>
            <w:shd w:val="clear" w:color="auto" w:fill="auto"/>
            <w:noWrap/>
            <w:vAlign w:val="center"/>
            <w:hideMark/>
          </w:tcPr>
          <w:p w14:paraId="6FD993F3" w14:textId="77777777" w:rsidR="00BE5781" w:rsidRPr="002F3E5F" w:rsidRDefault="00BE5781" w:rsidP="00BE5781">
            <w:pPr>
              <w:jc w:val="right"/>
              <w:rPr>
                <w:rFonts w:ascii="Arial" w:hAnsi="Arial" w:cs="Arial"/>
                <w:color w:val="000000"/>
                <w:sz w:val="14"/>
                <w:szCs w:val="14"/>
              </w:rPr>
            </w:pPr>
          </w:p>
        </w:tc>
      </w:tr>
      <w:tr w:rsidR="00BE5781" w:rsidRPr="00B666A5" w14:paraId="489C527A" w14:textId="77777777" w:rsidTr="00F405EB">
        <w:trPr>
          <w:trHeight w:val="315"/>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0F0DB99" w14:textId="77777777" w:rsidR="00BE5781" w:rsidRPr="002F3E5F" w:rsidRDefault="00BE5781" w:rsidP="00BE5781">
            <w:pPr>
              <w:rPr>
                <w:rFonts w:ascii="Arial" w:hAnsi="Arial" w:cs="Arial"/>
                <w:color w:val="000000"/>
                <w:sz w:val="14"/>
                <w:szCs w:val="1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3257F1B" w14:textId="77777777" w:rsidR="00BE5781" w:rsidRPr="002F3E5F" w:rsidRDefault="00BE5781" w:rsidP="00BE5781">
            <w:pPr>
              <w:rPr>
                <w:rFonts w:ascii="Arial" w:hAnsi="Arial" w:cs="Arial"/>
                <w:color w:val="000000"/>
                <w:sz w:val="14"/>
                <w:szCs w:val="14"/>
              </w:rPr>
            </w:pP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308A18D5"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Retirada e instalación de cierres ganaderos quemados en los incendios de junio de 2022 en </w:t>
            </w:r>
            <w:proofErr w:type="spellStart"/>
            <w:r w:rsidRPr="002F3E5F">
              <w:rPr>
                <w:rFonts w:ascii="Arial" w:hAnsi="Arial" w:cs="Arial"/>
                <w:color w:val="000000"/>
                <w:sz w:val="14"/>
                <w:szCs w:val="14"/>
              </w:rPr>
              <w:t>Lerga</w:t>
            </w:r>
            <w:proofErr w:type="spellEnd"/>
            <w:r w:rsidRPr="002F3E5F">
              <w:rPr>
                <w:rFonts w:ascii="Arial" w:hAnsi="Arial" w:cs="Arial"/>
                <w:color w:val="000000"/>
                <w:sz w:val="14"/>
                <w:szCs w:val="14"/>
              </w:rPr>
              <w:t xml:space="preserve"> y Leoz </w:t>
            </w:r>
            <w:r w:rsidR="00083165" w:rsidRPr="002F3E5F">
              <w:rPr>
                <w:rFonts w:ascii="Arial" w:hAnsi="Arial" w:cs="Arial"/>
                <w:color w:val="000000"/>
                <w:sz w:val="14"/>
                <w:szCs w:val="14"/>
              </w:rPr>
              <w:t xml:space="preserve">(LOTE </w:t>
            </w:r>
            <w:r w:rsidRPr="002F3E5F">
              <w:rPr>
                <w:rFonts w:ascii="Arial" w:hAnsi="Arial" w:cs="Arial"/>
                <w:color w:val="000000"/>
                <w:sz w:val="14"/>
                <w:szCs w:val="14"/>
              </w:rPr>
              <w:t>2)</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CE77E0B"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49.687</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17DB3D99"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39.749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0D6C2A4"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20,00%</w:t>
            </w:r>
          </w:p>
        </w:tc>
        <w:tc>
          <w:tcPr>
            <w:tcW w:w="1474" w:type="dxa"/>
            <w:tcBorders>
              <w:left w:val="single" w:sz="4" w:space="0" w:color="auto"/>
              <w:bottom w:val="single" w:sz="4" w:space="0" w:color="auto"/>
              <w:right w:val="single" w:sz="4" w:space="0" w:color="auto"/>
            </w:tcBorders>
            <w:shd w:val="clear" w:color="auto" w:fill="auto"/>
            <w:noWrap/>
            <w:vAlign w:val="center"/>
            <w:hideMark/>
          </w:tcPr>
          <w:p w14:paraId="59F5DFEC"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p>
        </w:tc>
      </w:tr>
      <w:tr w:rsidR="00BE5781" w:rsidRPr="00B666A5" w14:paraId="6F94FC61" w14:textId="77777777" w:rsidTr="00F405EB">
        <w:trPr>
          <w:trHeight w:val="31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4E1D2"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15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C28046A"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Director-Gerente NILSA</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163E2928"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Reforma EDAR Tudela, Mejora </w:t>
            </w:r>
            <w:proofErr w:type="spellStart"/>
            <w:r w:rsidRPr="002F3E5F">
              <w:rPr>
                <w:rFonts w:ascii="Arial" w:hAnsi="Arial" w:cs="Arial"/>
                <w:color w:val="000000"/>
                <w:sz w:val="14"/>
                <w:szCs w:val="14"/>
              </w:rPr>
              <w:t>linea</w:t>
            </w:r>
            <w:proofErr w:type="spellEnd"/>
            <w:r w:rsidRPr="002F3E5F">
              <w:rPr>
                <w:rFonts w:ascii="Arial" w:hAnsi="Arial" w:cs="Arial"/>
                <w:color w:val="000000"/>
                <w:sz w:val="14"/>
                <w:szCs w:val="14"/>
              </w:rPr>
              <w:t xml:space="preserve"> de fangos</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69BDA46B"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9.351.179</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2B59824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8.217.815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3E6A1E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12,12%</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61DCD2EF" w14:textId="77777777" w:rsidR="00BE5781" w:rsidRPr="002F3E5F" w:rsidRDefault="00083165" w:rsidP="00BE5781">
            <w:pPr>
              <w:jc w:val="right"/>
              <w:rPr>
                <w:rFonts w:ascii="Arial" w:hAnsi="Arial" w:cs="Arial"/>
                <w:color w:val="000000"/>
                <w:sz w:val="14"/>
                <w:szCs w:val="14"/>
              </w:rPr>
            </w:pPr>
            <w:r w:rsidRPr="002F3E5F">
              <w:rPr>
                <w:rFonts w:ascii="Arial" w:hAnsi="Arial" w:cs="Arial"/>
                <w:color w:val="000000"/>
                <w:sz w:val="14"/>
                <w:szCs w:val="14"/>
              </w:rPr>
              <w:t>Abierto</w:t>
            </w:r>
            <w:r>
              <w:rPr>
                <w:rFonts w:ascii="Arial" w:hAnsi="Arial" w:cs="Arial"/>
                <w:color w:val="000000"/>
                <w:sz w:val="14"/>
                <w:szCs w:val="14"/>
              </w:rPr>
              <w:t xml:space="preserve"> superior al umbral europeo</w:t>
            </w:r>
          </w:p>
        </w:tc>
      </w:tr>
      <w:tr w:rsidR="00BE5781" w:rsidRPr="00B666A5" w14:paraId="36B748AC" w14:textId="77777777" w:rsidTr="00F405EB">
        <w:trPr>
          <w:trHeight w:val="31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3021C"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16</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594C32A"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Director-Gerente NILSA</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570FF7AD"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Reforma depuradora de </w:t>
            </w:r>
            <w:proofErr w:type="spellStart"/>
            <w:r w:rsidRPr="002F3E5F">
              <w:rPr>
                <w:rFonts w:ascii="Arial" w:hAnsi="Arial" w:cs="Arial"/>
                <w:color w:val="000000"/>
                <w:sz w:val="14"/>
                <w:szCs w:val="14"/>
              </w:rPr>
              <w:t>Lerate</w:t>
            </w:r>
            <w:proofErr w:type="spellEnd"/>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1A9D8463"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1.097.272</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27EC89F5"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1.085.092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875342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1,11%</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035D8B57"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p>
        </w:tc>
      </w:tr>
      <w:tr w:rsidR="00BE5781" w:rsidRPr="00B666A5" w14:paraId="5D3D13AA" w14:textId="77777777" w:rsidTr="00F405EB">
        <w:trPr>
          <w:trHeight w:val="315"/>
          <w:jc w:val="center"/>
        </w:trPr>
        <w:tc>
          <w:tcPr>
            <w:tcW w:w="846" w:type="dxa"/>
            <w:vMerge w:val="restart"/>
            <w:tcBorders>
              <w:top w:val="nil"/>
              <w:left w:val="single" w:sz="4" w:space="0" w:color="auto"/>
              <w:bottom w:val="single" w:sz="4" w:space="0" w:color="000000"/>
              <w:right w:val="single" w:sz="4" w:space="0" w:color="auto"/>
            </w:tcBorders>
            <w:shd w:val="clear" w:color="auto" w:fill="auto"/>
            <w:vAlign w:val="center"/>
            <w:hideMark/>
          </w:tcPr>
          <w:p w14:paraId="306BAD93"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lastRenderedPageBreak/>
              <w:t>17</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2DEEB7FF"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Director-Gerente NILSA</w:t>
            </w:r>
          </w:p>
        </w:tc>
        <w:tc>
          <w:tcPr>
            <w:tcW w:w="3828" w:type="dxa"/>
            <w:tcBorders>
              <w:top w:val="nil"/>
              <w:left w:val="nil"/>
              <w:bottom w:val="single" w:sz="4" w:space="0" w:color="auto"/>
              <w:right w:val="single" w:sz="4" w:space="0" w:color="auto"/>
            </w:tcBorders>
            <w:shd w:val="clear" w:color="auto" w:fill="auto"/>
            <w:vAlign w:val="center"/>
            <w:hideMark/>
          </w:tcPr>
          <w:p w14:paraId="3A157213"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Instalación solar fotovoltaica para autoconsumo en las EDAR de </w:t>
            </w:r>
            <w:proofErr w:type="spellStart"/>
            <w:r w:rsidRPr="002F3E5F">
              <w:rPr>
                <w:rFonts w:ascii="Arial" w:hAnsi="Arial" w:cs="Arial"/>
                <w:color w:val="000000"/>
                <w:sz w:val="14"/>
                <w:szCs w:val="14"/>
              </w:rPr>
              <w:t>Cintruénigo</w:t>
            </w:r>
            <w:proofErr w:type="spellEnd"/>
            <w:r w:rsidRPr="002F3E5F">
              <w:rPr>
                <w:rFonts w:ascii="Arial" w:hAnsi="Arial" w:cs="Arial"/>
                <w:color w:val="000000"/>
                <w:sz w:val="14"/>
                <w:szCs w:val="14"/>
              </w:rPr>
              <w:t xml:space="preserve"> y Milagro (lote 1)</w:t>
            </w:r>
          </w:p>
        </w:tc>
        <w:tc>
          <w:tcPr>
            <w:tcW w:w="986" w:type="dxa"/>
            <w:tcBorders>
              <w:top w:val="single" w:sz="4" w:space="0" w:color="9BC2E6"/>
              <w:left w:val="nil"/>
              <w:bottom w:val="single" w:sz="4" w:space="0" w:color="auto"/>
              <w:right w:val="single" w:sz="4" w:space="0" w:color="auto"/>
            </w:tcBorders>
            <w:shd w:val="clear" w:color="auto" w:fill="auto"/>
            <w:noWrap/>
            <w:vAlign w:val="center"/>
            <w:hideMark/>
          </w:tcPr>
          <w:p w14:paraId="63C624D5"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93.951</w:t>
            </w:r>
          </w:p>
        </w:tc>
        <w:tc>
          <w:tcPr>
            <w:tcW w:w="1247" w:type="dxa"/>
            <w:tcBorders>
              <w:top w:val="single" w:sz="4" w:space="0" w:color="9BC2E6"/>
              <w:left w:val="nil"/>
              <w:bottom w:val="single" w:sz="4" w:space="0" w:color="auto"/>
              <w:right w:val="single" w:sz="4" w:space="0" w:color="auto"/>
            </w:tcBorders>
            <w:shd w:val="clear" w:color="auto" w:fill="auto"/>
            <w:noWrap/>
            <w:vAlign w:val="center"/>
            <w:hideMark/>
          </w:tcPr>
          <w:p w14:paraId="437FE8BA"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79.083</w:t>
            </w:r>
          </w:p>
        </w:tc>
        <w:tc>
          <w:tcPr>
            <w:tcW w:w="709" w:type="dxa"/>
            <w:tcBorders>
              <w:top w:val="nil"/>
              <w:left w:val="nil"/>
              <w:bottom w:val="single" w:sz="4" w:space="0" w:color="auto"/>
              <w:right w:val="single" w:sz="4" w:space="0" w:color="auto"/>
            </w:tcBorders>
            <w:shd w:val="clear" w:color="auto" w:fill="auto"/>
            <w:vAlign w:val="center"/>
            <w:hideMark/>
          </w:tcPr>
          <w:p w14:paraId="1D10103F"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15,83%</w:t>
            </w:r>
          </w:p>
        </w:tc>
        <w:tc>
          <w:tcPr>
            <w:tcW w:w="1474" w:type="dxa"/>
            <w:tcBorders>
              <w:top w:val="nil"/>
              <w:left w:val="nil"/>
              <w:bottom w:val="single" w:sz="4" w:space="0" w:color="auto"/>
              <w:right w:val="single" w:sz="4" w:space="0" w:color="auto"/>
            </w:tcBorders>
            <w:shd w:val="clear" w:color="auto" w:fill="auto"/>
            <w:noWrap/>
            <w:vAlign w:val="center"/>
            <w:hideMark/>
          </w:tcPr>
          <w:p w14:paraId="0C4C1137"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Simplificado</w:t>
            </w:r>
          </w:p>
        </w:tc>
      </w:tr>
      <w:tr w:rsidR="00BE5781" w:rsidRPr="00B666A5" w14:paraId="3099611F" w14:textId="77777777" w:rsidTr="00F405EB">
        <w:trPr>
          <w:trHeight w:val="315"/>
          <w:jc w:val="center"/>
        </w:trPr>
        <w:tc>
          <w:tcPr>
            <w:tcW w:w="846" w:type="dxa"/>
            <w:vMerge/>
            <w:tcBorders>
              <w:top w:val="nil"/>
              <w:left w:val="single" w:sz="4" w:space="0" w:color="auto"/>
              <w:bottom w:val="single" w:sz="4" w:space="0" w:color="000000"/>
              <w:right w:val="single" w:sz="4" w:space="0" w:color="auto"/>
            </w:tcBorders>
            <w:vAlign w:val="center"/>
            <w:hideMark/>
          </w:tcPr>
          <w:p w14:paraId="0B2852CD" w14:textId="77777777" w:rsidR="00BE5781" w:rsidRPr="002F3E5F" w:rsidRDefault="00BE5781" w:rsidP="00BE5781">
            <w:pPr>
              <w:rPr>
                <w:rFonts w:ascii="Arial" w:hAnsi="Arial" w:cs="Arial"/>
                <w:color w:val="000000"/>
                <w:sz w:val="14"/>
                <w:szCs w:val="14"/>
              </w:rPr>
            </w:pPr>
          </w:p>
        </w:tc>
        <w:tc>
          <w:tcPr>
            <w:tcW w:w="2551" w:type="dxa"/>
            <w:vMerge/>
            <w:tcBorders>
              <w:top w:val="nil"/>
              <w:left w:val="single" w:sz="4" w:space="0" w:color="auto"/>
              <w:bottom w:val="single" w:sz="4" w:space="0" w:color="000000"/>
              <w:right w:val="single" w:sz="4" w:space="0" w:color="auto"/>
            </w:tcBorders>
            <w:vAlign w:val="center"/>
            <w:hideMark/>
          </w:tcPr>
          <w:p w14:paraId="24FD477C"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vAlign w:val="center"/>
            <w:hideMark/>
          </w:tcPr>
          <w:p w14:paraId="23AC1EB0"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Instalación solar fotovoltaica para autoconsumo en las EDAR de </w:t>
            </w:r>
            <w:proofErr w:type="spellStart"/>
            <w:r w:rsidRPr="002F3E5F">
              <w:rPr>
                <w:rFonts w:ascii="Arial" w:hAnsi="Arial" w:cs="Arial"/>
                <w:color w:val="000000"/>
                <w:sz w:val="14"/>
                <w:szCs w:val="14"/>
              </w:rPr>
              <w:t>Cintruénigo</w:t>
            </w:r>
            <w:proofErr w:type="spellEnd"/>
            <w:r w:rsidRPr="002F3E5F">
              <w:rPr>
                <w:rFonts w:ascii="Arial" w:hAnsi="Arial" w:cs="Arial"/>
                <w:color w:val="000000"/>
                <w:sz w:val="14"/>
                <w:szCs w:val="14"/>
              </w:rPr>
              <w:t xml:space="preserve"> y Milagro (lote 2)</w:t>
            </w:r>
          </w:p>
        </w:tc>
        <w:tc>
          <w:tcPr>
            <w:tcW w:w="986" w:type="dxa"/>
            <w:tcBorders>
              <w:top w:val="single" w:sz="4" w:space="0" w:color="9BC2E6"/>
              <w:left w:val="nil"/>
              <w:bottom w:val="single" w:sz="4" w:space="0" w:color="auto"/>
              <w:right w:val="single" w:sz="4" w:space="0" w:color="auto"/>
            </w:tcBorders>
            <w:shd w:val="clear" w:color="auto" w:fill="auto"/>
            <w:noWrap/>
            <w:vAlign w:val="center"/>
            <w:hideMark/>
          </w:tcPr>
          <w:p w14:paraId="1D221A16"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69.072</w:t>
            </w:r>
          </w:p>
        </w:tc>
        <w:tc>
          <w:tcPr>
            <w:tcW w:w="1247" w:type="dxa"/>
            <w:tcBorders>
              <w:top w:val="single" w:sz="4" w:space="0" w:color="9BC2E6"/>
              <w:left w:val="nil"/>
              <w:bottom w:val="single" w:sz="4" w:space="0" w:color="auto"/>
              <w:right w:val="single" w:sz="4" w:space="0" w:color="auto"/>
            </w:tcBorders>
            <w:shd w:val="clear" w:color="auto" w:fill="auto"/>
            <w:noWrap/>
            <w:vAlign w:val="center"/>
            <w:hideMark/>
          </w:tcPr>
          <w:p w14:paraId="404F70CB"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67.669</w:t>
            </w:r>
          </w:p>
        </w:tc>
        <w:tc>
          <w:tcPr>
            <w:tcW w:w="709" w:type="dxa"/>
            <w:tcBorders>
              <w:top w:val="nil"/>
              <w:left w:val="nil"/>
              <w:bottom w:val="single" w:sz="4" w:space="0" w:color="auto"/>
              <w:right w:val="single" w:sz="4" w:space="0" w:color="auto"/>
            </w:tcBorders>
            <w:shd w:val="clear" w:color="auto" w:fill="auto"/>
            <w:vAlign w:val="center"/>
            <w:hideMark/>
          </w:tcPr>
          <w:p w14:paraId="42A6FB6E"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2,03%</w:t>
            </w:r>
          </w:p>
        </w:tc>
        <w:tc>
          <w:tcPr>
            <w:tcW w:w="1474" w:type="dxa"/>
            <w:tcBorders>
              <w:top w:val="nil"/>
              <w:left w:val="nil"/>
              <w:bottom w:val="single" w:sz="4" w:space="0" w:color="auto"/>
              <w:right w:val="single" w:sz="4" w:space="0" w:color="auto"/>
            </w:tcBorders>
            <w:shd w:val="clear" w:color="auto" w:fill="auto"/>
            <w:noWrap/>
            <w:vAlign w:val="center"/>
            <w:hideMark/>
          </w:tcPr>
          <w:p w14:paraId="1B088314"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Simplificado</w:t>
            </w:r>
          </w:p>
        </w:tc>
      </w:tr>
      <w:tr w:rsidR="00BE5781" w:rsidRPr="00B666A5" w14:paraId="077D59A0" w14:textId="77777777" w:rsidTr="00F405EB">
        <w:trPr>
          <w:trHeight w:val="31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72FA759"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18</w:t>
            </w:r>
          </w:p>
        </w:tc>
        <w:tc>
          <w:tcPr>
            <w:tcW w:w="2551" w:type="dxa"/>
            <w:tcBorders>
              <w:top w:val="nil"/>
              <w:left w:val="nil"/>
              <w:bottom w:val="single" w:sz="4" w:space="0" w:color="auto"/>
              <w:right w:val="single" w:sz="4" w:space="0" w:color="auto"/>
            </w:tcBorders>
            <w:shd w:val="clear" w:color="auto" w:fill="auto"/>
            <w:vAlign w:val="center"/>
            <w:hideMark/>
          </w:tcPr>
          <w:p w14:paraId="4A33C6F1"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NASUVINSA</w:t>
            </w:r>
          </w:p>
        </w:tc>
        <w:tc>
          <w:tcPr>
            <w:tcW w:w="3828" w:type="dxa"/>
            <w:tcBorders>
              <w:top w:val="nil"/>
              <w:left w:val="nil"/>
              <w:bottom w:val="single" w:sz="4" w:space="0" w:color="auto"/>
              <w:right w:val="single" w:sz="4" w:space="0" w:color="auto"/>
            </w:tcBorders>
            <w:shd w:val="clear" w:color="auto" w:fill="auto"/>
            <w:vAlign w:val="center"/>
            <w:hideMark/>
          </w:tcPr>
          <w:p w14:paraId="3F63DB93"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Obras de construcción de una nave industrial y la urbanización interior en parcelas del Polígono de Aoiz (Navarra)</w:t>
            </w:r>
          </w:p>
        </w:tc>
        <w:tc>
          <w:tcPr>
            <w:tcW w:w="986" w:type="dxa"/>
            <w:tcBorders>
              <w:top w:val="single" w:sz="4" w:space="0" w:color="9BC2E6"/>
              <w:left w:val="nil"/>
              <w:bottom w:val="single" w:sz="4" w:space="0" w:color="auto"/>
              <w:right w:val="single" w:sz="4" w:space="0" w:color="auto"/>
            </w:tcBorders>
            <w:shd w:val="clear" w:color="auto" w:fill="auto"/>
            <w:noWrap/>
            <w:vAlign w:val="center"/>
            <w:hideMark/>
          </w:tcPr>
          <w:p w14:paraId="74EB6FF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5.352.569</w:t>
            </w:r>
          </w:p>
        </w:tc>
        <w:tc>
          <w:tcPr>
            <w:tcW w:w="1247" w:type="dxa"/>
            <w:tcBorders>
              <w:top w:val="single" w:sz="4" w:space="0" w:color="9BC2E6"/>
              <w:left w:val="nil"/>
              <w:bottom w:val="single" w:sz="4" w:space="0" w:color="auto"/>
              <w:right w:val="single" w:sz="4" w:space="0" w:color="auto"/>
            </w:tcBorders>
            <w:shd w:val="clear" w:color="auto" w:fill="auto"/>
            <w:noWrap/>
            <w:vAlign w:val="center"/>
            <w:hideMark/>
          </w:tcPr>
          <w:p w14:paraId="07324CB7"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5.352.500</w:t>
            </w:r>
          </w:p>
        </w:tc>
        <w:tc>
          <w:tcPr>
            <w:tcW w:w="709" w:type="dxa"/>
            <w:tcBorders>
              <w:top w:val="nil"/>
              <w:left w:val="nil"/>
              <w:bottom w:val="single" w:sz="4" w:space="0" w:color="auto"/>
              <w:right w:val="single" w:sz="4" w:space="0" w:color="auto"/>
            </w:tcBorders>
            <w:shd w:val="clear" w:color="auto" w:fill="auto"/>
            <w:vAlign w:val="center"/>
            <w:hideMark/>
          </w:tcPr>
          <w:p w14:paraId="2FB5CC24"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0,00%</w:t>
            </w:r>
          </w:p>
        </w:tc>
        <w:tc>
          <w:tcPr>
            <w:tcW w:w="1474" w:type="dxa"/>
            <w:tcBorders>
              <w:top w:val="nil"/>
              <w:left w:val="nil"/>
              <w:bottom w:val="single" w:sz="4" w:space="0" w:color="auto"/>
              <w:right w:val="single" w:sz="4" w:space="0" w:color="auto"/>
            </w:tcBorders>
            <w:shd w:val="clear" w:color="auto" w:fill="auto"/>
            <w:noWrap/>
            <w:vAlign w:val="center"/>
            <w:hideMark/>
          </w:tcPr>
          <w:p w14:paraId="6C655BBD" w14:textId="77777777" w:rsidR="00BE5781" w:rsidRPr="002F3E5F" w:rsidRDefault="00384FD8" w:rsidP="00BE5781">
            <w:pPr>
              <w:jc w:val="right"/>
              <w:rPr>
                <w:rFonts w:ascii="Arial" w:hAnsi="Arial" w:cs="Arial"/>
                <w:color w:val="000000"/>
                <w:sz w:val="14"/>
                <w:szCs w:val="14"/>
              </w:rPr>
            </w:pPr>
            <w:r w:rsidRPr="002F3E5F">
              <w:rPr>
                <w:rFonts w:ascii="Arial" w:hAnsi="Arial" w:cs="Arial"/>
                <w:color w:val="000000"/>
                <w:sz w:val="14"/>
                <w:szCs w:val="14"/>
              </w:rPr>
              <w:t>Abierto</w:t>
            </w:r>
            <w:r>
              <w:rPr>
                <w:rFonts w:ascii="Arial" w:hAnsi="Arial" w:cs="Arial"/>
                <w:color w:val="000000"/>
                <w:sz w:val="14"/>
                <w:szCs w:val="14"/>
              </w:rPr>
              <w:t xml:space="preserve"> superior al umbral europeo</w:t>
            </w:r>
          </w:p>
        </w:tc>
      </w:tr>
      <w:tr w:rsidR="00BE5781" w:rsidRPr="00B666A5" w14:paraId="111017B9" w14:textId="77777777" w:rsidTr="00F405EB">
        <w:trPr>
          <w:trHeight w:val="198"/>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EE3FB41"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19</w:t>
            </w:r>
          </w:p>
        </w:tc>
        <w:tc>
          <w:tcPr>
            <w:tcW w:w="2551" w:type="dxa"/>
            <w:tcBorders>
              <w:top w:val="nil"/>
              <w:left w:val="nil"/>
              <w:bottom w:val="single" w:sz="4" w:space="0" w:color="auto"/>
              <w:right w:val="single" w:sz="4" w:space="0" w:color="auto"/>
            </w:tcBorders>
            <w:shd w:val="clear" w:color="auto" w:fill="auto"/>
            <w:vAlign w:val="center"/>
            <w:hideMark/>
          </w:tcPr>
          <w:p w14:paraId="3B2AEC4B"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NASUVINSA</w:t>
            </w:r>
          </w:p>
        </w:tc>
        <w:tc>
          <w:tcPr>
            <w:tcW w:w="3828" w:type="dxa"/>
            <w:tcBorders>
              <w:top w:val="nil"/>
              <w:left w:val="nil"/>
              <w:bottom w:val="single" w:sz="4" w:space="0" w:color="auto"/>
              <w:right w:val="single" w:sz="4" w:space="0" w:color="auto"/>
            </w:tcBorders>
            <w:shd w:val="clear" w:color="auto" w:fill="auto"/>
            <w:vAlign w:val="center"/>
            <w:hideMark/>
          </w:tcPr>
          <w:p w14:paraId="78B7C080"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Obras de urbanización de la ampliación del Área industrial Comarca 2 en Galar (Navarra)</w:t>
            </w:r>
          </w:p>
        </w:tc>
        <w:tc>
          <w:tcPr>
            <w:tcW w:w="986" w:type="dxa"/>
            <w:tcBorders>
              <w:top w:val="single" w:sz="4" w:space="0" w:color="9BC2E6"/>
              <w:left w:val="nil"/>
              <w:bottom w:val="single" w:sz="4" w:space="0" w:color="auto"/>
              <w:right w:val="single" w:sz="4" w:space="0" w:color="auto"/>
            </w:tcBorders>
            <w:shd w:val="clear" w:color="auto" w:fill="auto"/>
            <w:noWrap/>
            <w:vAlign w:val="center"/>
            <w:hideMark/>
          </w:tcPr>
          <w:p w14:paraId="3C60E4BD"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2.452.162</w:t>
            </w:r>
          </w:p>
        </w:tc>
        <w:tc>
          <w:tcPr>
            <w:tcW w:w="1247" w:type="dxa"/>
            <w:tcBorders>
              <w:top w:val="single" w:sz="4" w:space="0" w:color="9BC2E6"/>
              <w:left w:val="nil"/>
              <w:bottom w:val="single" w:sz="4" w:space="0" w:color="auto"/>
              <w:right w:val="single" w:sz="4" w:space="0" w:color="auto"/>
            </w:tcBorders>
            <w:shd w:val="clear" w:color="auto" w:fill="auto"/>
            <w:noWrap/>
            <w:vAlign w:val="center"/>
            <w:hideMark/>
          </w:tcPr>
          <w:p w14:paraId="6C33F269"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2.052.705</w:t>
            </w:r>
          </w:p>
        </w:tc>
        <w:tc>
          <w:tcPr>
            <w:tcW w:w="709" w:type="dxa"/>
            <w:tcBorders>
              <w:top w:val="nil"/>
              <w:left w:val="nil"/>
              <w:bottom w:val="single" w:sz="4" w:space="0" w:color="auto"/>
              <w:right w:val="single" w:sz="4" w:space="0" w:color="auto"/>
            </w:tcBorders>
            <w:shd w:val="clear" w:color="auto" w:fill="auto"/>
            <w:vAlign w:val="center"/>
            <w:hideMark/>
          </w:tcPr>
          <w:p w14:paraId="1FE7987D"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16,29%</w:t>
            </w:r>
          </w:p>
        </w:tc>
        <w:tc>
          <w:tcPr>
            <w:tcW w:w="1474" w:type="dxa"/>
            <w:tcBorders>
              <w:top w:val="nil"/>
              <w:left w:val="nil"/>
              <w:bottom w:val="single" w:sz="4" w:space="0" w:color="auto"/>
              <w:right w:val="single" w:sz="4" w:space="0" w:color="auto"/>
            </w:tcBorders>
            <w:shd w:val="clear" w:color="auto" w:fill="auto"/>
            <w:noWrap/>
            <w:vAlign w:val="center"/>
            <w:hideMark/>
          </w:tcPr>
          <w:p w14:paraId="12D1AE15"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p>
        </w:tc>
      </w:tr>
      <w:tr w:rsidR="00BE5781" w:rsidRPr="00B666A5" w14:paraId="102EF275" w14:textId="77777777" w:rsidTr="00F405EB">
        <w:trPr>
          <w:trHeight w:val="198"/>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16AE19C"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20</w:t>
            </w:r>
          </w:p>
        </w:tc>
        <w:tc>
          <w:tcPr>
            <w:tcW w:w="2551" w:type="dxa"/>
            <w:tcBorders>
              <w:top w:val="nil"/>
              <w:left w:val="nil"/>
              <w:bottom w:val="single" w:sz="4" w:space="0" w:color="auto"/>
              <w:right w:val="single" w:sz="4" w:space="0" w:color="auto"/>
            </w:tcBorders>
            <w:shd w:val="clear" w:color="auto" w:fill="auto"/>
            <w:vAlign w:val="center"/>
            <w:hideMark/>
          </w:tcPr>
          <w:p w14:paraId="6C5DE97F"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NASUVINSA</w:t>
            </w:r>
          </w:p>
        </w:tc>
        <w:tc>
          <w:tcPr>
            <w:tcW w:w="3828" w:type="dxa"/>
            <w:tcBorders>
              <w:top w:val="nil"/>
              <w:left w:val="nil"/>
              <w:bottom w:val="single" w:sz="4" w:space="0" w:color="auto"/>
              <w:right w:val="single" w:sz="4" w:space="0" w:color="auto"/>
            </w:tcBorders>
            <w:shd w:val="clear" w:color="auto" w:fill="auto"/>
            <w:vAlign w:val="center"/>
            <w:hideMark/>
          </w:tcPr>
          <w:p w14:paraId="69D3A672"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Obras de ajardinamiento de las parcelas BF1.1, BF1.2 Y BF1.3 del PSIS de </w:t>
            </w:r>
            <w:proofErr w:type="spellStart"/>
            <w:r w:rsidRPr="002F3E5F">
              <w:rPr>
                <w:rFonts w:ascii="Arial" w:hAnsi="Arial" w:cs="Arial"/>
                <w:color w:val="000000"/>
                <w:sz w:val="14"/>
                <w:szCs w:val="14"/>
              </w:rPr>
              <w:t>Ripagaina</w:t>
            </w:r>
            <w:proofErr w:type="spellEnd"/>
            <w:r w:rsidRPr="002F3E5F">
              <w:rPr>
                <w:rFonts w:ascii="Arial" w:hAnsi="Arial" w:cs="Arial"/>
                <w:color w:val="000000"/>
                <w:sz w:val="14"/>
                <w:szCs w:val="14"/>
              </w:rPr>
              <w:t xml:space="preserve"> (Navarra)</w:t>
            </w:r>
          </w:p>
        </w:tc>
        <w:tc>
          <w:tcPr>
            <w:tcW w:w="986" w:type="dxa"/>
            <w:tcBorders>
              <w:top w:val="single" w:sz="4" w:space="0" w:color="9BC2E6"/>
              <w:left w:val="nil"/>
              <w:bottom w:val="single" w:sz="4" w:space="0" w:color="auto"/>
              <w:right w:val="single" w:sz="4" w:space="0" w:color="auto"/>
            </w:tcBorders>
            <w:shd w:val="clear" w:color="auto" w:fill="auto"/>
            <w:noWrap/>
            <w:vAlign w:val="center"/>
            <w:hideMark/>
          </w:tcPr>
          <w:p w14:paraId="77A5403F"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143.068</w:t>
            </w:r>
          </w:p>
        </w:tc>
        <w:tc>
          <w:tcPr>
            <w:tcW w:w="1247" w:type="dxa"/>
            <w:tcBorders>
              <w:top w:val="single" w:sz="4" w:space="0" w:color="9BC2E6"/>
              <w:left w:val="nil"/>
              <w:bottom w:val="single" w:sz="4" w:space="0" w:color="auto"/>
              <w:right w:val="single" w:sz="4" w:space="0" w:color="auto"/>
            </w:tcBorders>
            <w:shd w:val="clear" w:color="auto" w:fill="auto"/>
            <w:noWrap/>
            <w:vAlign w:val="center"/>
            <w:hideMark/>
          </w:tcPr>
          <w:p w14:paraId="199EB31D"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139.921</w:t>
            </w:r>
          </w:p>
        </w:tc>
        <w:tc>
          <w:tcPr>
            <w:tcW w:w="709" w:type="dxa"/>
            <w:tcBorders>
              <w:top w:val="nil"/>
              <w:left w:val="nil"/>
              <w:bottom w:val="single" w:sz="4" w:space="0" w:color="auto"/>
              <w:right w:val="single" w:sz="4" w:space="0" w:color="auto"/>
            </w:tcBorders>
            <w:shd w:val="clear" w:color="auto" w:fill="auto"/>
            <w:vAlign w:val="center"/>
            <w:hideMark/>
          </w:tcPr>
          <w:p w14:paraId="784A2DAF"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2,20%</w:t>
            </w:r>
          </w:p>
        </w:tc>
        <w:tc>
          <w:tcPr>
            <w:tcW w:w="1474" w:type="dxa"/>
            <w:tcBorders>
              <w:top w:val="nil"/>
              <w:left w:val="nil"/>
              <w:bottom w:val="single" w:sz="4" w:space="0" w:color="auto"/>
              <w:right w:val="single" w:sz="4" w:space="0" w:color="auto"/>
            </w:tcBorders>
            <w:shd w:val="clear" w:color="auto" w:fill="auto"/>
            <w:noWrap/>
            <w:vAlign w:val="center"/>
            <w:hideMark/>
          </w:tcPr>
          <w:p w14:paraId="50C77DB9"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Simplificado</w:t>
            </w:r>
          </w:p>
        </w:tc>
      </w:tr>
      <w:tr w:rsidR="00BE5781" w:rsidRPr="00B666A5" w14:paraId="6E66847F" w14:textId="77777777" w:rsidTr="00F405EB">
        <w:trPr>
          <w:trHeight w:val="6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4183A95"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21</w:t>
            </w:r>
          </w:p>
        </w:tc>
        <w:tc>
          <w:tcPr>
            <w:tcW w:w="2551" w:type="dxa"/>
            <w:tcBorders>
              <w:top w:val="nil"/>
              <w:left w:val="nil"/>
              <w:bottom w:val="single" w:sz="4" w:space="0" w:color="auto"/>
              <w:right w:val="single" w:sz="4" w:space="0" w:color="auto"/>
            </w:tcBorders>
            <w:shd w:val="clear" w:color="auto" w:fill="auto"/>
            <w:vAlign w:val="center"/>
            <w:hideMark/>
          </w:tcPr>
          <w:p w14:paraId="608C5C4A"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Director Gerente del Servicio Navarro de Salud – </w:t>
            </w:r>
            <w:proofErr w:type="spellStart"/>
            <w:r w:rsidRPr="002F3E5F">
              <w:rPr>
                <w:rFonts w:ascii="Arial" w:hAnsi="Arial" w:cs="Arial"/>
                <w:color w:val="000000"/>
                <w:sz w:val="14"/>
                <w:szCs w:val="14"/>
              </w:rPr>
              <w:t>Osasunbidea</w:t>
            </w:r>
            <w:proofErr w:type="spellEnd"/>
          </w:p>
        </w:tc>
        <w:tc>
          <w:tcPr>
            <w:tcW w:w="3828" w:type="dxa"/>
            <w:tcBorders>
              <w:top w:val="nil"/>
              <w:left w:val="nil"/>
              <w:bottom w:val="single" w:sz="4" w:space="0" w:color="auto"/>
              <w:right w:val="single" w:sz="4" w:space="0" w:color="auto"/>
            </w:tcBorders>
            <w:shd w:val="clear" w:color="auto" w:fill="auto"/>
            <w:vAlign w:val="center"/>
            <w:hideMark/>
          </w:tcPr>
          <w:p w14:paraId="03BD6DF6"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Obra de Ejecución del Proyecto de Reforma de dos plantas (6ª y 7ª) y reforma de la fachada del patio de manzana del Edificio Conde </w:t>
            </w:r>
            <w:proofErr w:type="spellStart"/>
            <w:r w:rsidRPr="002F3E5F">
              <w:rPr>
                <w:rFonts w:ascii="Arial" w:hAnsi="Arial" w:cs="Arial"/>
                <w:color w:val="000000"/>
                <w:sz w:val="14"/>
                <w:szCs w:val="14"/>
              </w:rPr>
              <w:t>Oliveto</w:t>
            </w:r>
            <w:proofErr w:type="spellEnd"/>
            <w:r w:rsidRPr="002F3E5F">
              <w:rPr>
                <w:rFonts w:ascii="Arial" w:hAnsi="Arial" w:cs="Arial"/>
                <w:color w:val="000000"/>
                <w:sz w:val="14"/>
                <w:szCs w:val="14"/>
              </w:rPr>
              <w:t xml:space="preserve"> del Servicio Navarro de Salud-</w:t>
            </w:r>
            <w:proofErr w:type="spellStart"/>
            <w:r w:rsidRPr="002F3E5F">
              <w:rPr>
                <w:rFonts w:ascii="Arial" w:hAnsi="Arial" w:cs="Arial"/>
                <w:color w:val="000000"/>
                <w:sz w:val="14"/>
                <w:szCs w:val="14"/>
              </w:rPr>
              <w:t>Osasunbidea</w:t>
            </w:r>
            <w:proofErr w:type="spellEnd"/>
            <w:r w:rsidRPr="002F3E5F">
              <w:rPr>
                <w:rFonts w:ascii="Arial" w:hAnsi="Arial" w:cs="Arial"/>
                <w:color w:val="000000"/>
                <w:sz w:val="14"/>
                <w:szCs w:val="14"/>
              </w:rPr>
              <w:t>.</w:t>
            </w:r>
          </w:p>
        </w:tc>
        <w:tc>
          <w:tcPr>
            <w:tcW w:w="986" w:type="dxa"/>
            <w:tcBorders>
              <w:top w:val="single" w:sz="4" w:space="0" w:color="9BC2E6"/>
              <w:left w:val="nil"/>
              <w:bottom w:val="single" w:sz="4" w:space="0" w:color="auto"/>
              <w:right w:val="single" w:sz="4" w:space="0" w:color="auto"/>
            </w:tcBorders>
            <w:shd w:val="clear" w:color="auto" w:fill="auto"/>
            <w:noWrap/>
            <w:vAlign w:val="center"/>
            <w:hideMark/>
          </w:tcPr>
          <w:p w14:paraId="15301923"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1.813.696</w:t>
            </w:r>
          </w:p>
        </w:tc>
        <w:tc>
          <w:tcPr>
            <w:tcW w:w="1247" w:type="dxa"/>
            <w:tcBorders>
              <w:top w:val="single" w:sz="4" w:space="0" w:color="9BC2E6"/>
              <w:left w:val="nil"/>
              <w:bottom w:val="single" w:sz="4" w:space="0" w:color="auto"/>
              <w:right w:val="single" w:sz="4" w:space="0" w:color="auto"/>
            </w:tcBorders>
            <w:shd w:val="clear" w:color="auto" w:fill="auto"/>
            <w:noWrap/>
            <w:vAlign w:val="center"/>
            <w:hideMark/>
          </w:tcPr>
          <w:p w14:paraId="714111FA"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1.541.823</w:t>
            </w:r>
          </w:p>
        </w:tc>
        <w:tc>
          <w:tcPr>
            <w:tcW w:w="709" w:type="dxa"/>
            <w:tcBorders>
              <w:top w:val="nil"/>
              <w:left w:val="nil"/>
              <w:bottom w:val="single" w:sz="4" w:space="0" w:color="auto"/>
              <w:right w:val="single" w:sz="4" w:space="0" w:color="auto"/>
            </w:tcBorders>
            <w:shd w:val="clear" w:color="auto" w:fill="auto"/>
            <w:vAlign w:val="center"/>
            <w:hideMark/>
          </w:tcPr>
          <w:p w14:paraId="685BA1D9"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14,99%</w:t>
            </w:r>
          </w:p>
        </w:tc>
        <w:tc>
          <w:tcPr>
            <w:tcW w:w="1474" w:type="dxa"/>
            <w:tcBorders>
              <w:top w:val="nil"/>
              <w:left w:val="nil"/>
              <w:bottom w:val="single" w:sz="4" w:space="0" w:color="auto"/>
              <w:right w:val="single" w:sz="4" w:space="0" w:color="auto"/>
            </w:tcBorders>
            <w:shd w:val="clear" w:color="auto" w:fill="auto"/>
            <w:noWrap/>
            <w:vAlign w:val="center"/>
            <w:hideMark/>
          </w:tcPr>
          <w:p w14:paraId="1E5CEFC1"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p>
        </w:tc>
      </w:tr>
      <w:tr w:rsidR="00BE5781" w:rsidRPr="00B666A5" w14:paraId="6EDCCA34" w14:textId="77777777" w:rsidTr="00F405EB">
        <w:trPr>
          <w:trHeight w:val="198"/>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DF5DD9E"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22</w:t>
            </w:r>
          </w:p>
        </w:tc>
        <w:tc>
          <w:tcPr>
            <w:tcW w:w="2551" w:type="dxa"/>
            <w:tcBorders>
              <w:top w:val="nil"/>
              <w:left w:val="nil"/>
              <w:bottom w:val="single" w:sz="4" w:space="0" w:color="auto"/>
              <w:right w:val="single" w:sz="4" w:space="0" w:color="auto"/>
            </w:tcBorders>
            <w:shd w:val="clear" w:color="auto" w:fill="auto"/>
            <w:vAlign w:val="center"/>
            <w:hideMark/>
          </w:tcPr>
          <w:p w14:paraId="0C43DC61"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Director Gerente del Servicio Navarro de Salud – </w:t>
            </w:r>
            <w:proofErr w:type="spellStart"/>
            <w:r w:rsidRPr="002F3E5F">
              <w:rPr>
                <w:rFonts w:ascii="Arial" w:hAnsi="Arial" w:cs="Arial"/>
                <w:color w:val="000000"/>
                <w:sz w:val="14"/>
                <w:szCs w:val="14"/>
              </w:rPr>
              <w:t>Osasunbidea</w:t>
            </w:r>
            <w:proofErr w:type="spellEnd"/>
          </w:p>
        </w:tc>
        <w:tc>
          <w:tcPr>
            <w:tcW w:w="3828" w:type="dxa"/>
            <w:tcBorders>
              <w:top w:val="nil"/>
              <w:left w:val="nil"/>
              <w:bottom w:val="single" w:sz="4" w:space="0" w:color="auto"/>
              <w:right w:val="single" w:sz="4" w:space="0" w:color="auto"/>
            </w:tcBorders>
            <w:shd w:val="clear" w:color="auto" w:fill="auto"/>
            <w:vAlign w:val="center"/>
            <w:hideMark/>
          </w:tcPr>
          <w:p w14:paraId="226A30F5"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OB40/2022 Obras de reforma del vial de acceso a la Clínica </w:t>
            </w:r>
            <w:proofErr w:type="spellStart"/>
            <w:r w:rsidRPr="002F3E5F">
              <w:rPr>
                <w:rFonts w:ascii="Arial" w:hAnsi="Arial" w:cs="Arial"/>
                <w:color w:val="000000"/>
                <w:sz w:val="14"/>
                <w:szCs w:val="14"/>
              </w:rPr>
              <w:t>Ubarmin</w:t>
            </w:r>
            <w:proofErr w:type="spellEnd"/>
          </w:p>
        </w:tc>
        <w:tc>
          <w:tcPr>
            <w:tcW w:w="986" w:type="dxa"/>
            <w:tcBorders>
              <w:top w:val="single" w:sz="4" w:space="0" w:color="9BC2E6"/>
              <w:left w:val="nil"/>
              <w:bottom w:val="single" w:sz="4" w:space="0" w:color="auto"/>
              <w:right w:val="single" w:sz="4" w:space="0" w:color="auto"/>
            </w:tcBorders>
            <w:shd w:val="clear" w:color="auto" w:fill="auto"/>
            <w:noWrap/>
            <w:vAlign w:val="center"/>
            <w:hideMark/>
          </w:tcPr>
          <w:p w14:paraId="5EE4F7ED"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461.903</w:t>
            </w:r>
          </w:p>
        </w:tc>
        <w:tc>
          <w:tcPr>
            <w:tcW w:w="1247" w:type="dxa"/>
            <w:tcBorders>
              <w:top w:val="single" w:sz="4" w:space="0" w:color="9BC2E6"/>
              <w:left w:val="nil"/>
              <w:bottom w:val="single" w:sz="4" w:space="0" w:color="auto"/>
              <w:right w:val="single" w:sz="4" w:space="0" w:color="auto"/>
            </w:tcBorders>
            <w:shd w:val="clear" w:color="auto" w:fill="auto"/>
            <w:noWrap/>
            <w:vAlign w:val="center"/>
            <w:hideMark/>
          </w:tcPr>
          <w:p w14:paraId="11081F89"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369.522</w:t>
            </w:r>
          </w:p>
        </w:tc>
        <w:tc>
          <w:tcPr>
            <w:tcW w:w="709" w:type="dxa"/>
            <w:tcBorders>
              <w:top w:val="nil"/>
              <w:left w:val="nil"/>
              <w:bottom w:val="single" w:sz="4" w:space="0" w:color="auto"/>
              <w:right w:val="single" w:sz="4" w:space="0" w:color="auto"/>
            </w:tcBorders>
            <w:shd w:val="clear" w:color="auto" w:fill="auto"/>
            <w:vAlign w:val="center"/>
            <w:hideMark/>
          </w:tcPr>
          <w:p w14:paraId="7FAE757A"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20,00%</w:t>
            </w:r>
          </w:p>
        </w:tc>
        <w:tc>
          <w:tcPr>
            <w:tcW w:w="1474" w:type="dxa"/>
            <w:tcBorders>
              <w:top w:val="nil"/>
              <w:left w:val="nil"/>
              <w:bottom w:val="single" w:sz="4" w:space="0" w:color="auto"/>
              <w:right w:val="single" w:sz="4" w:space="0" w:color="auto"/>
            </w:tcBorders>
            <w:shd w:val="clear" w:color="auto" w:fill="auto"/>
            <w:noWrap/>
            <w:vAlign w:val="center"/>
            <w:hideMark/>
          </w:tcPr>
          <w:p w14:paraId="62DDB7B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p>
        </w:tc>
      </w:tr>
      <w:tr w:rsidR="00BE5781" w:rsidRPr="00B666A5" w14:paraId="7AEAD1D9" w14:textId="77777777" w:rsidTr="00F405EB">
        <w:trPr>
          <w:trHeight w:val="198"/>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74622FB"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23</w:t>
            </w:r>
          </w:p>
        </w:tc>
        <w:tc>
          <w:tcPr>
            <w:tcW w:w="2551" w:type="dxa"/>
            <w:tcBorders>
              <w:top w:val="nil"/>
              <w:left w:val="nil"/>
              <w:bottom w:val="single" w:sz="4" w:space="0" w:color="auto"/>
              <w:right w:val="single" w:sz="4" w:space="0" w:color="auto"/>
            </w:tcBorders>
            <w:shd w:val="clear" w:color="auto" w:fill="auto"/>
            <w:vAlign w:val="center"/>
            <w:hideMark/>
          </w:tcPr>
          <w:p w14:paraId="48B8B4D9"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Director Gerente del Servicio Navarro de Salud – </w:t>
            </w:r>
            <w:proofErr w:type="spellStart"/>
            <w:r w:rsidRPr="002F3E5F">
              <w:rPr>
                <w:rFonts w:ascii="Arial" w:hAnsi="Arial" w:cs="Arial"/>
                <w:color w:val="000000"/>
                <w:sz w:val="14"/>
                <w:szCs w:val="14"/>
              </w:rPr>
              <w:t>Osasunbidea</w:t>
            </w:r>
            <w:proofErr w:type="spellEnd"/>
          </w:p>
        </w:tc>
        <w:tc>
          <w:tcPr>
            <w:tcW w:w="3828" w:type="dxa"/>
            <w:tcBorders>
              <w:top w:val="nil"/>
              <w:left w:val="nil"/>
              <w:bottom w:val="single" w:sz="4" w:space="0" w:color="auto"/>
              <w:right w:val="single" w:sz="4" w:space="0" w:color="auto"/>
            </w:tcBorders>
            <w:shd w:val="clear" w:color="auto" w:fill="auto"/>
            <w:vAlign w:val="center"/>
            <w:hideMark/>
          </w:tcPr>
          <w:p w14:paraId="70FED57A"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OB8/2023 Obras nuevo aparcamiento zona oeste de la Clínica </w:t>
            </w:r>
            <w:proofErr w:type="spellStart"/>
            <w:r w:rsidRPr="002F3E5F">
              <w:rPr>
                <w:rFonts w:ascii="Arial" w:hAnsi="Arial" w:cs="Arial"/>
                <w:color w:val="000000"/>
                <w:sz w:val="14"/>
                <w:szCs w:val="14"/>
              </w:rPr>
              <w:t>Ubarmin</w:t>
            </w:r>
            <w:proofErr w:type="spellEnd"/>
          </w:p>
        </w:tc>
        <w:tc>
          <w:tcPr>
            <w:tcW w:w="986" w:type="dxa"/>
            <w:tcBorders>
              <w:top w:val="single" w:sz="4" w:space="0" w:color="9BC2E6"/>
              <w:left w:val="nil"/>
              <w:bottom w:val="single" w:sz="4" w:space="0" w:color="auto"/>
              <w:right w:val="single" w:sz="4" w:space="0" w:color="auto"/>
            </w:tcBorders>
            <w:shd w:val="clear" w:color="auto" w:fill="auto"/>
            <w:noWrap/>
            <w:vAlign w:val="center"/>
            <w:hideMark/>
          </w:tcPr>
          <w:p w14:paraId="7B5091B1"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259.499</w:t>
            </w:r>
          </w:p>
        </w:tc>
        <w:tc>
          <w:tcPr>
            <w:tcW w:w="1247" w:type="dxa"/>
            <w:tcBorders>
              <w:top w:val="single" w:sz="4" w:space="0" w:color="9BC2E6"/>
              <w:left w:val="nil"/>
              <w:bottom w:val="single" w:sz="4" w:space="0" w:color="auto"/>
              <w:right w:val="single" w:sz="4" w:space="0" w:color="auto"/>
            </w:tcBorders>
            <w:shd w:val="clear" w:color="auto" w:fill="auto"/>
            <w:noWrap/>
            <w:vAlign w:val="center"/>
            <w:hideMark/>
          </w:tcPr>
          <w:p w14:paraId="5CF2348D"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259.005</w:t>
            </w:r>
          </w:p>
        </w:tc>
        <w:tc>
          <w:tcPr>
            <w:tcW w:w="709" w:type="dxa"/>
            <w:tcBorders>
              <w:top w:val="nil"/>
              <w:left w:val="nil"/>
              <w:bottom w:val="single" w:sz="4" w:space="0" w:color="auto"/>
              <w:right w:val="single" w:sz="4" w:space="0" w:color="auto"/>
            </w:tcBorders>
            <w:shd w:val="clear" w:color="auto" w:fill="auto"/>
            <w:vAlign w:val="center"/>
            <w:hideMark/>
          </w:tcPr>
          <w:p w14:paraId="52D6EBCC"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0,19%</w:t>
            </w:r>
          </w:p>
        </w:tc>
        <w:tc>
          <w:tcPr>
            <w:tcW w:w="1474" w:type="dxa"/>
            <w:tcBorders>
              <w:top w:val="nil"/>
              <w:left w:val="nil"/>
              <w:bottom w:val="single" w:sz="4" w:space="0" w:color="auto"/>
              <w:right w:val="single" w:sz="4" w:space="0" w:color="auto"/>
            </w:tcBorders>
            <w:shd w:val="clear" w:color="auto" w:fill="auto"/>
            <w:noWrap/>
            <w:vAlign w:val="center"/>
            <w:hideMark/>
          </w:tcPr>
          <w:p w14:paraId="1A20E48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p>
        </w:tc>
      </w:tr>
      <w:tr w:rsidR="00BE5781" w:rsidRPr="00B666A5" w14:paraId="2C4673A0" w14:textId="77777777" w:rsidTr="00F405EB">
        <w:trPr>
          <w:trHeight w:val="315"/>
          <w:jc w:val="center"/>
        </w:trPr>
        <w:tc>
          <w:tcPr>
            <w:tcW w:w="846" w:type="dxa"/>
            <w:tcBorders>
              <w:top w:val="nil"/>
              <w:left w:val="nil"/>
              <w:bottom w:val="nil"/>
              <w:right w:val="nil"/>
            </w:tcBorders>
            <w:shd w:val="clear" w:color="auto" w:fill="auto"/>
            <w:noWrap/>
            <w:vAlign w:val="bottom"/>
          </w:tcPr>
          <w:p w14:paraId="1D815963" w14:textId="77777777" w:rsidR="00BE5781" w:rsidRPr="002F3E5F" w:rsidRDefault="00BE5781" w:rsidP="00BE5781">
            <w:pPr>
              <w:rPr>
                <w:rFonts w:ascii="Arial" w:hAnsi="Arial" w:cs="Arial"/>
                <w:color w:val="000000"/>
                <w:sz w:val="14"/>
                <w:szCs w:val="14"/>
              </w:rPr>
            </w:pPr>
          </w:p>
        </w:tc>
        <w:tc>
          <w:tcPr>
            <w:tcW w:w="2551" w:type="dxa"/>
            <w:tcBorders>
              <w:top w:val="nil"/>
              <w:left w:val="nil"/>
              <w:bottom w:val="nil"/>
              <w:right w:val="nil"/>
            </w:tcBorders>
            <w:shd w:val="clear" w:color="auto" w:fill="auto"/>
            <w:vAlign w:val="bottom"/>
          </w:tcPr>
          <w:p w14:paraId="064EDFA5" w14:textId="77777777" w:rsidR="00BE5781" w:rsidRPr="002F3E5F" w:rsidRDefault="00BE5781" w:rsidP="00BE5781">
            <w:pPr>
              <w:jc w:val="center"/>
              <w:rPr>
                <w:rFonts w:ascii="Arial" w:hAnsi="Arial" w:cs="Arial"/>
                <w:sz w:val="14"/>
                <w:szCs w:val="14"/>
              </w:rPr>
            </w:pPr>
          </w:p>
        </w:tc>
        <w:tc>
          <w:tcPr>
            <w:tcW w:w="3828" w:type="dxa"/>
            <w:tcBorders>
              <w:top w:val="nil"/>
              <w:left w:val="nil"/>
              <w:bottom w:val="nil"/>
              <w:right w:val="nil"/>
            </w:tcBorders>
            <w:shd w:val="clear" w:color="auto" w:fill="auto"/>
            <w:vAlign w:val="bottom"/>
          </w:tcPr>
          <w:p w14:paraId="1AE664A8" w14:textId="77777777" w:rsidR="00BE5781" w:rsidRPr="002F3E5F" w:rsidRDefault="00BE5781" w:rsidP="00BE5781">
            <w:pPr>
              <w:rPr>
                <w:rFonts w:ascii="Arial" w:hAnsi="Arial" w:cs="Arial"/>
                <w:sz w:val="14"/>
                <w:szCs w:val="14"/>
              </w:rPr>
            </w:pPr>
          </w:p>
        </w:tc>
        <w:tc>
          <w:tcPr>
            <w:tcW w:w="986" w:type="dxa"/>
            <w:tcBorders>
              <w:top w:val="nil"/>
              <w:left w:val="nil"/>
              <w:bottom w:val="nil"/>
              <w:right w:val="nil"/>
            </w:tcBorders>
            <w:shd w:val="clear" w:color="auto" w:fill="auto"/>
            <w:noWrap/>
            <w:vAlign w:val="bottom"/>
          </w:tcPr>
          <w:p w14:paraId="13B03EDA" w14:textId="77777777" w:rsidR="00BE5781" w:rsidRPr="002F3E5F" w:rsidRDefault="00BE5781" w:rsidP="00BE5781">
            <w:pPr>
              <w:rPr>
                <w:rFonts w:ascii="Arial" w:hAnsi="Arial" w:cs="Arial"/>
                <w:sz w:val="14"/>
                <w:szCs w:val="14"/>
              </w:rPr>
            </w:pPr>
          </w:p>
        </w:tc>
        <w:tc>
          <w:tcPr>
            <w:tcW w:w="1247" w:type="dxa"/>
            <w:tcBorders>
              <w:top w:val="nil"/>
              <w:left w:val="nil"/>
              <w:bottom w:val="nil"/>
              <w:right w:val="nil"/>
            </w:tcBorders>
            <w:shd w:val="clear" w:color="auto" w:fill="auto"/>
            <w:noWrap/>
            <w:vAlign w:val="bottom"/>
          </w:tcPr>
          <w:p w14:paraId="6B67DF0D" w14:textId="77777777" w:rsidR="00BE5781" w:rsidRPr="002F3E5F" w:rsidRDefault="00BE5781" w:rsidP="00BE5781">
            <w:pPr>
              <w:rPr>
                <w:rFonts w:ascii="Arial" w:hAnsi="Arial" w:cs="Arial"/>
                <w:sz w:val="14"/>
                <w:szCs w:val="14"/>
              </w:rPr>
            </w:pPr>
          </w:p>
        </w:tc>
        <w:tc>
          <w:tcPr>
            <w:tcW w:w="709" w:type="dxa"/>
            <w:tcBorders>
              <w:top w:val="nil"/>
              <w:left w:val="nil"/>
              <w:bottom w:val="nil"/>
              <w:right w:val="nil"/>
            </w:tcBorders>
            <w:shd w:val="clear" w:color="auto" w:fill="auto"/>
            <w:vAlign w:val="bottom"/>
          </w:tcPr>
          <w:p w14:paraId="0AE4D5DC" w14:textId="77777777" w:rsidR="00BE5781" w:rsidRPr="002F3E5F" w:rsidRDefault="00BE5781" w:rsidP="00BE5781">
            <w:pPr>
              <w:rPr>
                <w:rFonts w:ascii="Arial" w:hAnsi="Arial" w:cs="Arial"/>
                <w:sz w:val="14"/>
                <w:szCs w:val="14"/>
              </w:rPr>
            </w:pPr>
          </w:p>
        </w:tc>
        <w:tc>
          <w:tcPr>
            <w:tcW w:w="1474" w:type="dxa"/>
            <w:tcBorders>
              <w:top w:val="nil"/>
              <w:left w:val="nil"/>
              <w:bottom w:val="nil"/>
              <w:right w:val="nil"/>
            </w:tcBorders>
            <w:shd w:val="clear" w:color="auto" w:fill="auto"/>
            <w:noWrap/>
            <w:vAlign w:val="bottom"/>
          </w:tcPr>
          <w:p w14:paraId="07ED0E33" w14:textId="77777777" w:rsidR="00BE5781" w:rsidRPr="002F3E5F" w:rsidRDefault="00BE5781" w:rsidP="00BE5781">
            <w:pPr>
              <w:jc w:val="right"/>
              <w:rPr>
                <w:rFonts w:ascii="Arial" w:hAnsi="Arial" w:cs="Arial"/>
                <w:sz w:val="14"/>
                <w:szCs w:val="14"/>
              </w:rPr>
            </w:pPr>
          </w:p>
        </w:tc>
      </w:tr>
    </w:tbl>
    <w:p w14:paraId="25CE8456" w14:textId="77777777" w:rsidR="00BE5781" w:rsidRDefault="00BE5781" w:rsidP="00A27712">
      <w:pPr>
        <w:tabs>
          <w:tab w:val="left" w:pos="480"/>
          <w:tab w:val="num" w:pos="600"/>
          <w:tab w:val="num" w:pos="720"/>
          <w:tab w:val="num" w:pos="1320"/>
          <w:tab w:val="num" w:pos="2062"/>
          <w:tab w:val="num" w:pos="4472"/>
          <w:tab w:val="center" w:pos="5103"/>
          <w:tab w:val="center" w:pos="6237"/>
          <w:tab w:val="center" w:pos="7371"/>
        </w:tabs>
        <w:spacing w:after="140"/>
        <w:jc w:val="both"/>
        <w:rPr>
          <w:spacing w:val="6"/>
          <w:sz w:val="26"/>
          <w:lang w:val="es-ES_tradnl" w:eastAsia="en-US"/>
        </w:rPr>
      </w:pPr>
    </w:p>
    <w:p w14:paraId="7EB7AE75" w14:textId="77777777" w:rsidR="00BE5781" w:rsidRDefault="00BE5781" w:rsidP="00A27712">
      <w:pPr>
        <w:tabs>
          <w:tab w:val="left" w:pos="480"/>
          <w:tab w:val="num" w:pos="600"/>
          <w:tab w:val="num" w:pos="720"/>
          <w:tab w:val="num" w:pos="1320"/>
          <w:tab w:val="num" w:pos="2062"/>
          <w:tab w:val="num" w:pos="4472"/>
          <w:tab w:val="center" w:pos="5103"/>
          <w:tab w:val="center" w:pos="6237"/>
          <w:tab w:val="center" w:pos="7371"/>
        </w:tabs>
        <w:spacing w:after="140"/>
        <w:jc w:val="both"/>
        <w:rPr>
          <w:spacing w:val="6"/>
          <w:sz w:val="26"/>
          <w:lang w:val="es-ES_tradnl" w:eastAsia="en-US"/>
        </w:rPr>
        <w:sectPr w:rsidR="00BE5781" w:rsidSect="00F5513E">
          <w:footerReference w:type="default" r:id="rId21"/>
          <w:pgSz w:w="16840" w:h="11907" w:orient="landscape" w:code="9"/>
          <w:pgMar w:top="1559" w:right="2109" w:bottom="1559" w:left="1644" w:header="369" w:footer="136" w:gutter="0"/>
          <w:cols w:space="720"/>
          <w:docGrid w:linePitch="360"/>
        </w:sectPr>
      </w:pPr>
    </w:p>
    <w:p w14:paraId="67ACA8D3" w14:textId="77777777" w:rsidR="00BE5781" w:rsidRDefault="00BE5781" w:rsidP="00A27712">
      <w:pPr>
        <w:tabs>
          <w:tab w:val="left" w:pos="480"/>
          <w:tab w:val="num" w:pos="600"/>
          <w:tab w:val="num" w:pos="720"/>
          <w:tab w:val="num" w:pos="1320"/>
          <w:tab w:val="num" w:pos="2062"/>
          <w:tab w:val="num" w:pos="4472"/>
          <w:tab w:val="center" w:pos="5103"/>
          <w:tab w:val="center" w:pos="6237"/>
          <w:tab w:val="center" w:pos="7371"/>
        </w:tabs>
        <w:spacing w:after="140"/>
        <w:jc w:val="both"/>
        <w:rPr>
          <w:spacing w:val="6"/>
          <w:sz w:val="26"/>
          <w:lang w:val="es-ES_tradnl" w:eastAsia="en-US"/>
        </w:rPr>
      </w:pPr>
    </w:p>
    <w:p w14:paraId="65D59D43" w14:textId="77777777" w:rsidR="00BE5781" w:rsidRPr="008D3E65" w:rsidRDefault="00BE5781" w:rsidP="00DB18E1">
      <w:pPr>
        <w:pStyle w:val="texto"/>
        <w:tabs>
          <w:tab w:val="num" w:pos="300"/>
          <w:tab w:val="num" w:pos="600"/>
        </w:tabs>
        <w:spacing w:before="240" w:after="120"/>
        <w:jc w:val="center"/>
        <w:rPr>
          <w:rFonts w:ascii="Arial" w:eastAsiaTheme="minorHAnsi" w:hAnsi="Arial" w:cs="Arial"/>
          <w:spacing w:val="0"/>
          <w:szCs w:val="26"/>
          <w:lang w:eastAsia="en-US"/>
        </w:rPr>
      </w:pPr>
      <w:r w:rsidRPr="008D3E65">
        <w:rPr>
          <w:rFonts w:ascii="Arial" w:eastAsiaTheme="minorHAnsi" w:hAnsi="Arial" w:cs="Arial"/>
          <w:spacing w:val="0"/>
          <w:szCs w:val="26"/>
          <w:lang w:eastAsia="en-US"/>
        </w:rPr>
        <w:t>CONTRATO DE SUMINISTROS</w:t>
      </w:r>
    </w:p>
    <w:tbl>
      <w:tblPr>
        <w:tblW w:w="11646" w:type="dxa"/>
        <w:jc w:val="center"/>
        <w:tblLayout w:type="fixed"/>
        <w:tblCellMar>
          <w:left w:w="70" w:type="dxa"/>
          <w:right w:w="70" w:type="dxa"/>
        </w:tblCellMar>
        <w:tblLook w:val="04A0" w:firstRow="1" w:lastRow="0" w:firstColumn="1" w:lastColumn="0" w:noHBand="0" w:noVBand="1"/>
      </w:tblPr>
      <w:tblGrid>
        <w:gridCol w:w="993"/>
        <w:gridCol w:w="2409"/>
        <w:gridCol w:w="3828"/>
        <w:gridCol w:w="986"/>
        <w:gridCol w:w="1247"/>
        <w:gridCol w:w="709"/>
        <w:gridCol w:w="1474"/>
      </w:tblGrid>
      <w:tr w:rsidR="00BE5781" w:rsidRPr="004E51D3" w14:paraId="0FCDD965" w14:textId="77777777" w:rsidTr="00DB18E1">
        <w:trPr>
          <w:trHeight w:val="255"/>
          <w:tblHeader/>
          <w:jc w:val="center"/>
        </w:trPr>
        <w:tc>
          <w:tcPr>
            <w:tcW w:w="993" w:type="dxa"/>
            <w:tcBorders>
              <w:top w:val="single" w:sz="4" w:space="0" w:color="auto"/>
              <w:left w:val="single" w:sz="4" w:space="0" w:color="auto"/>
              <w:bottom w:val="single" w:sz="4" w:space="0" w:color="auto"/>
              <w:right w:val="nil"/>
            </w:tcBorders>
            <w:shd w:val="clear" w:color="000000" w:fill="9BC2E6"/>
            <w:noWrap/>
            <w:vAlign w:val="center"/>
          </w:tcPr>
          <w:p w14:paraId="4EFF01C9" w14:textId="77777777" w:rsidR="00F405EB" w:rsidRDefault="00BE5781" w:rsidP="00F405EB">
            <w:pPr>
              <w:jc w:val="center"/>
              <w:rPr>
                <w:rFonts w:ascii="Arial" w:hAnsi="Arial" w:cs="Arial"/>
                <w:b/>
                <w:bCs/>
                <w:color w:val="000000"/>
                <w:sz w:val="16"/>
                <w:szCs w:val="16"/>
              </w:rPr>
            </w:pPr>
            <w:r w:rsidRPr="0067626F">
              <w:rPr>
                <w:rFonts w:ascii="Arial" w:hAnsi="Arial" w:cs="Arial"/>
                <w:b/>
                <w:bCs/>
                <w:color w:val="000000"/>
                <w:sz w:val="16"/>
                <w:szCs w:val="16"/>
              </w:rPr>
              <w:br w:type="page"/>
            </w:r>
            <w:r w:rsidRPr="004E51D3">
              <w:rPr>
                <w:rFonts w:ascii="Arial" w:hAnsi="Arial" w:cs="Arial"/>
                <w:b/>
                <w:bCs/>
                <w:color w:val="000000"/>
                <w:sz w:val="16"/>
                <w:szCs w:val="16"/>
              </w:rPr>
              <w:t>Nº</w:t>
            </w:r>
          </w:p>
          <w:p w14:paraId="27F44BD2" w14:textId="77777777" w:rsidR="00BE5781" w:rsidRPr="004E51D3" w:rsidRDefault="00BE5781" w:rsidP="00F405EB">
            <w:pPr>
              <w:jc w:val="center"/>
              <w:rPr>
                <w:rFonts w:ascii="Arial" w:hAnsi="Arial" w:cs="Arial"/>
                <w:b/>
                <w:bCs/>
                <w:color w:val="000000"/>
                <w:sz w:val="16"/>
                <w:szCs w:val="16"/>
              </w:rPr>
            </w:pPr>
            <w:r w:rsidRPr="004E51D3">
              <w:rPr>
                <w:rFonts w:ascii="Arial" w:hAnsi="Arial" w:cs="Arial"/>
                <w:b/>
                <w:bCs/>
                <w:color w:val="000000"/>
                <w:sz w:val="16"/>
                <w:szCs w:val="16"/>
              </w:rPr>
              <w:t>muestra</w:t>
            </w:r>
          </w:p>
        </w:tc>
        <w:tc>
          <w:tcPr>
            <w:tcW w:w="2409"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620D7BEC" w14:textId="77777777" w:rsidR="00BE5781" w:rsidRPr="004E51D3" w:rsidRDefault="00BE5781" w:rsidP="00BE5781">
            <w:pPr>
              <w:rPr>
                <w:rFonts w:ascii="Arial" w:hAnsi="Arial" w:cs="Arial"/>
                <w:b/>
                <w:bCs/>
                <w:color w:val="000000"/>
                <w:sz w:val="16"/>
                <w:szCs w:val="16"/>
              </w:rPr>
            </w:pPr>
            <w:proofErr w:type="spellStart"/>
            <w:r w:rsidRPr="004E51D3">
              <w:rPr>
                <w:rFonts w:ascii="Arial" w:hAnsi="Arial" w:cs="Arial"/>
                <w:b/>
                <w:bCs/>
                <w:color w:val="000000"/>
                <w:sz w:val="16"/>
                <w:szCs w:val="16"/>
              </w:rPr>
              <w:t>Organo</w:t>
            </w:r>
            <w:proofErr w:type="spellEnd"/>
            <w:r w:rsidRPr="004E51D3">
              <w:rPr>
                <w:rFonts w:ascii="Arial" w:hAnsi="Arial" w:cs="Arial"/>
                <w:b/>
                <w:bCs/>
                <w:color w:val="000000"/>
                <w:sz w:val="16"/>
                <w:szCs w:val="16"/>
              </w:rPr>
              <w:t xml:space="preserve"> contratación</w:t>
            </w:r>
          </w:p>
        </w:tc>
        <w:tc>
          <w:tcPr>
            <w:tcW w:w="3828" w:type="dxa"/>
            <w:tcBorders>
              <w:top w:val="single" w:sz="4" w:space="0" w:color="auto"/>
              <w:left w:val="nil"/>
              <w:bottom w:val="single" w:sz="4" w:space="0" w:color="auto"/>
              <w:right w:val="single" w:sz="4" w:space="0" w:color="auto"/>
            </w:tcBorders>
            <w:shd w:val="clear" w:color="000000" w:fill="9BC2E6"/>
            <w:noWrap/>
            <w:vAlign w:val="center"/>
          </w:tcPr>
          <w:p w14:paraId="3A57F543" w14:textId="77777777" w:rsidR="00BE5781" w:rsidRPr="004E51D3" w:rsidRDefault="00BE5781" w:rsidP="00BE5781">
            <w:pPr>
              <w:rPr>
                <w:rFonts w:ascii="Arial" w:hAnsi="Arial" w:cs="Arial"/>
                <w:b/>
                <w:bCs/>
                <w:color w:val="000000"/>
                <w:sz w:val="16"/>
                <w:szCs w:val="16"/>
              </w:rPr>
            </w:pPr>
            <w:r w:rsidRPr="004E51D3">
              <w:rPr>
                <w:rFonts w:ascii="Arial" w:hAnsi="Arial" w:cs="Arial"/>
                <w:b/>
                <w:bCs/>
                <w:color w:val="000000"/>
                <w:sz w:val="16"/>
                <w:szCs w:val="16"/>
              </w:rPr>
              <w:t>Contrato</w:t>
            </w:r>
          </w:p>
        </w:tc>
        <w:tc>
          <w:tcPr>
            <w:tcW w:w="986" w:type="dxa"/>
            <w:tcBorders>
              <w:top w:val="single" w:sz="4" w:space="0" w:color="auto"/>
              <w:left w:val="nil"/>
              <w:bottom w:val="single" w:sz="4" w:space="0" w:color="auto"/>
              <w:right w:val="single" w:sz="4" w:space="0" w:color="auto"/>
            </w:tcBorders>
            <w:shd w:val="clear" w:color="000000" w:fill="9BC2E6"/>
            <w:noWrap/>
            <w:vAlign w:val="center"/>
          </w:tcPr>
          <w:p w14:paraId="5B68CDBA" w14:textId="77777777" w:rsidR="00BE5781" w:rsidRDefault="00BE5781" w:rsidP="0036588C">
            <w:pPr>
              <w:jc w:val="right"/>
              <w:rPr>
                <w:rFonts w:ascii="Arial" w:hAnsi="Arial" w:cs="Arial"/>
                <w:b/>
                <w:bCs/>
                <w:color w:val="000000"/>
                <w:sz w:val="16"/>
                <w:szCs w:val="16"/>
              </w:rPr>
            </w:pPr>
            <w:r w:rsidRPr="004E51D3">
              <w:rPr>
                <w:rFonts w:ascii="Arial" w:hAnsi="Arial" w:cs="Arial"/>
                <w:b/>
                <w:bCs/>
                <w:color w:val="000000"/>
                <w:sz w:val="16"/>
                <w:szCs w:val="16"/>
              </w:rPr>
              <w:t>Importe</w:t>
            </w:r>
          </w:p>
          <w:p w14:paraId="5EA92FDC" w14:textId="77777777" w:rsidR="00BE5781" w:rsidRPr="004E51D3" w:rsidRDefault="00BE5781" w:rsidP="0036588C">
            <w:pPr>
              <w:jc w:val="right"/>
              <w:rPr>
                <w:rFonts w:ascii="Arial" w:hAnsi="Arial" w:cs="Arial"/>
                <w:b/>
                <w:bCs/>
                <w:color w:val="000000"/>
                <w:sz w:val="16"/>
                <w:szCs w:val="16"/>
              </w:rPr>
            </w:pPr>
            <w:r w:rsidRPr="004E51D3">
              <w:rPr>
                <w:rFonts w:ascii="Arial" w:hAnsi="Arial" w:cs="Arial"/>
                <w:b/>
                <w:bCs/>
                <w:color w:val="000000"/>
                <w:sz w:val="16"/>
                <w:szCs w:val="16"/>
              </w:rPr>
              <w:t>licitación</w:t>
            </w:r>
          </w:p>
        </w:tc>
        <w:tc>
          <w:tcPr>
            <w:tcW w:w="1247" w:type="dxa"/>
            <w:tcBorders>
              <w:top w:val="single" w:sz="4" w:space="0" w:color="auto"/>
              <w:left w:val="nil"/>
              <w:bottom w:val="single" w:sz="4" w:space="0" w:color="auto"/>
              <w:right w:val="single" w:sz="4" w:space="0" w:color="auto"/>
            </w:tcBorders>
            <w:shd w:val="clear" w:color="000000" w:fill="9BC2E6"/>
            <w:noWrap/>
            <w:vAlign w:val="center"/>
          </w:tcPr>
          <w:p w14:paraId="1B9DFC37" w14:textId="77777777" w:rsidR="00BE5781" w:rsidRDefault="00BE5781" w:rsidP="0036588C">
            <w:pPr>
              <w:jc w:val="right"/>
              <w:rPr>
                <w:rFonts w:ascii="Arial" w:hAnsi="Arial" w:cs="Arial"/>
                <w:b/>
                <w:bCs/>
                <w:color w:val="000000"/>
                <w:sz w:val="16"/>
                <w:szCs w:val="16"/>
              </w:rPr>
            </w:pPr>
            <w:r w:rsidRPr="004E51D3">
              <w:rPr>
                <w:rFonts w:ascii="Arial" w:hAnsi="Arial" w:cs="Arial"/>
                <w:b/>
                <w:bCs/>
                <w:color w:val="000000"/>
                <w:sz w:val="16"/>
                <w:szCs w:val="16"/>
              </w:rPr>
              <w:t>Importe</w:t>
            </w:r>
          </w:p>
          <w:p w14:paraId="16E19609" w14:textId="77777777" w:rsidR="00BE5781" w:rsidRPr="004E51D3" w:rsidRDefault="00BE5781" w:rsidP="0036588C">
            <w:pPr>
              <w:jc w:val="right"/>
              <w:rPr>
                <w:rFonts w:ascii="Arial" w:hAnsi="Arial" w:cs="Arial"/>
                <w:b/>
                <w:bCs/>
                <w:color w:val="000000"/>
                <w:sz w:val="16"/>
                <w:szCs w:val="16"/>
              </w:rPr>
            </w:pPr>
            <w:r w:rsidRPr="004E51D3">
              <w:rPr>
                <w:rFonts w:ascii="Arial" w:hAnsi="Arial" w:cs="Arial"/>
                <w:b/>
                <w:bCs/>
                <w:color w:val="000000"/>
                <w:sz w:val="16"/>
                <w:szCs w:val="16"/>
              </w:rPr>
              <w:t>adjudicación</w:t>
            </w:r>
          </w:p>
        </w:tc>
        <w:tc>
          <w:tcPr>
            <w:tcW w:w="709" w:type="dxa"/>
            <w:tcBorders>
              <w:top w:val="single" w:sz="4" w:space="0" w:color="auto"/>
              <w:left w:val="nil"/>
              <w:bottom w:val="single" w:sz="4" w:space="0" w:color="auto"/>
              <w:right w:val="single" w:sz="4" w:space="0" w:color="auto"/>
            </w:tcBorders>
            <w:shd w:val="clear" w:color="000000" w:fill="9BC2E6"/>
            <w:vAlign w:val="center"/>
          </w:tcPr>
          <w:p w14:paraId="674598C1" w14:textId="77777777" w:rsidR="00BE5781" w:rsidRPr="004E51D3" w:rsidRDefault="00BE5781" w:rsidP="0036588C">
            <w:pPr>
              <w:jc w:val="right"/>
              <w:rPr>
                <w:rFonts w:ascii="Arial" w:hAnsi="Arial" w:cs="Arial"/>
                <w:b/>
                <w:bCs/>
                <w:sz w:val="16"/>
                <w:szCs w:val="16"/>
              </w:rPr>
            </w:pPr>
            <w:r w:rsidRPr="004E51D3">
              <w:rPr>
                <w:rFonts w:ascii="Arial" w:hAnsi="Arial" w:cs="Arial"/>
                <w:b/>
                <w:bCs/>
                <w:sz w:val="16"/>
                <w:szCs w:val="16"/>
              </w:rPr>
              <w:t>Baja</w:t>
            </w:r>
          </w:p>
        </w:tc>
        <w:tc>
          <w:tcPr>
            <w:tcW w:w="1474" w:type="dxa"/>
            <w:tcBorders>
              <w:top w:val="single" w:sz="4" w:space="0" w:color="auto"/>
              <w:left w:val="nil"/>
              <w:bottom w:val="single" w:sz="4" w:space="0" w:color="auto"/>
              <w:right w:val="single" w:sz="4" w:space="0" w:color="auto"/>
            </w:tcBorders>
            <w:shd w:val="clear" w:color="000000" w:fill="9BC2E6"/>
            <w:noWrap/>
            <w:vAlign w:val="center"/>
          </w:tcPr>
          <w:p w14:paraId="74021ADF" w14:textId="77777777" w:rsidR="00BE5781" w:rsidRPr="004E51D3" w:rsidRDefault="00BE5781" w:rsidP="0036588C">
            <w:pPr>
              <w:jc w:val="right"/>
              <w:rPr>
                <w:rFonts w:ascii="Arial" w:hAnsi="Arial" w:cs="Arial"/>
                <w:b/>
                <w:bCs/>
                <w:color w:val="000000"/>
                <w:sz w:val="16"/>
                <w:szCs w:val="16"/>
              </w:rPr>
            </w:pPr>
            <w:r w:rsidRPr="004E51D3">
              <w:rPr>
                <w:rFonts w:ascii="Arial" w:hAnsi="Arial" w:cs="Arial"/>
                <w:b/>
                <w:bCs/>
                <w:color w:val="000000"/>
                <w:sz w:val="16"/>
                <w:szCs w:val="16"/>
              </w:rPr>
              <w:t>Procedimiento</w:t>
            </w:r>
          </w:p>
        </w:tc>
      </w:tr>
      <w:tr w:rsidR="00BE5781" w:rsidRPr="00B666A5" w14:paraId="291B947D" w14:textId="77777777" w:rsidTr="00DB18E1">
        <w:trPr>
          <w:trHeight w:val="315"/>
          <w:jc w:val="center"/>
        </w:trPr>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19BF3F"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M1</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14:paraId="61CABFA2" w14:textId="77777777" w:rsidR="00201912" w:rsidRDefault="00BE5781" w:rsidP="00BE5781">
            <w:pPr>
              <w:jc w:val="center"/>
              <w:rPr>
                <w:rFonts w:ascii="Arial" w:hAnsi="Arial" w:cs="Arial"/>
                <w:color w:val="000000"/>
                <w:sz w:val="14"/>
                <w:szCs w:val="14"/>
              </w:rPr>
            </w:pPr>
            <w:r w:rsidRPr="002F3E5F">
              <w:rPr>
                <w:rFonts w:ascii="Arial" w:hAnsi="Arial" w:cs="Arial"/>
                <w:color w:val="000000"/>
                <w:sz w:val="14"/>
                <w:szCs w:val="14"/>
              </w:rPr>
              <w:t xml:space="preserve">Servicio Navarro De Salud </w:t>
            </w:r>
          </w:p>
          <w:p w14:paraId="3A268B55"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 xml:space="preserve">- </w:t>
            </w:r>
            <w:proofErr w:type="spellStart"/>
            <w:r w:rsidRPr="002F3E5F">
              <w:rPr>
                <w:rFonts w:ascii="Arial" w:hAnsi="Arial" w:cs="Arial"/>
                <w:color w:val="000000"/>
                <w:sz w:val="14"/>
                <w:szCs w:val="14"/>
              </w:rPr>
              <w:t>Osasunbidea</w:t>
            </w:r>
            <w:proofErr w:type="spellEnd"/>
            <w:r w:rsidRPr="002F3E5F">
              <w:rPr>
                <w:rFonts w:ascii="Arial" w:hAnsi="Arial" w:cs="Arial"/>
                <w:color w:val="000000"/>
                <w:sz w:val="14"/>
                <w:szCs w:val="14"/>
              </w:rPr>
              <w:t xml:space="preserve"> </w:t>
            </w:r>
          </w:p>
        </w:tc>
        <w:tc>
          <w:tcPr>
            <w:tcW w:w="3828" w:type="dxa"/>
            <w:tcBorders>
              <w:top w:val="nil"/>
              <w:left w:val="nil"/>
              <w:bottom w:val="single" w:sz="4" w:space="0" w:color="auto"/>
              <w:right w:val="single" w:sz="4" w:space="0" w:color="auto"/>
            </w:tcBorders>
            <w:shd w:val="clear" w:color="auto" w:fill="auto"/>
            <w:noWrap/>
            <w:vAlign w:val="bottom"/>
            <w:hideMark/>
          </w:tcPr>
          <w:p w14:paraId="73BC21C7"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APRO 14/2024: Suministro de radiofármacos con destino al Servicio de Medicina Nuclear del Hospital Universitario de Navarra.</w:t>
            </w:r>
            <w:r w:rsidR="00083165">
              <w:rPr>
                <w:rFonts w:ascii="Arial" w:hAnsi="Arial" w:cs="Arial"/>
                <w:color w:val="000000"/>
                <w:sz w:val="14"/>
                <w:szCs w:val="14"/>
              </w:rPr>
              <w:t xml:space="preserve"> LOTE 1</w:t>
            </w:r>
          </w:p>
        </w:tc>
        <w:tc>
          <w:tcPr>
            <w:tcW w:w="986" w:type="dxa"/>
            <w:tcBorders>
              <w:top w:val="nil"/>
              <w:left w:val="nil"/>
              <w:bottom w:val="single" w:sz="4" w:space="0" w:color="auto"/>
              <w:right w:val="single" w:sz="4" w:space="0" w:color="auto"/>
            </w:tcBorders>
            <w:shd w:val="clear" w:color="auto" w:fill="auto"/>
            <w:noWrap/>
            <w:vAlign w:val="center"/>
            <w:hideMark/>
          </w:tcPr>
          <w:p w14:paraId="1368D0B2"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695.661</w:t>
            </w:r>
          </w:p>
        </w:tc>
        <w:tc>
          <w:tcPr>
            <w:tcW w:w="1247" w:type="dxa"/>
            <w:tcBorders>
              <w:top w:val="nil"/>
              <w:left w:val="nil"/>
              <w:bottom w:val="single" w:sz="4" w:space="0" w:color="auto"/>
              <w:right w:val="single" w:sz="4" w:space="0" w:color="auto"/>
            </w:tcBorders>
            <w:shd w:val="clear" w:color="auto" w:fill="auto"/>
            <w:noWrap/>
            <w:vAlign w:val="center"/>
            <w:hideMark/>
          </w:tcPr>
          <w:p w14:paraId="371B0AD1"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693.749</w:t>
            </w:r>
          </w:p>
        </w:tc>
        <w:tc>
          <w:tcPr>
            <w:tcW w:w="709" w:type="dxa"/>
            <w:tcBorders>
              <w:top w:val="nil"/>
              <w:left w:val="nil"/>
              <w:bottom w:val="single" w:sz="4" w:space="0" w:color="auto"/>
              <w:right w:val="single" w:sz="4" w:space="0" w:color="auto"/>
            </w:tcBorders>
            <w:shd w:val="clear" w:color="auto" w:fill="auto"/>
            <w:noWrap/>
            <w:vAlign w:val="center"/>
            <w:hideMark/>
          </w:tcPr>
          <w:p w14:paraId="237AB8B6"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0,27%</w:t>
            </w:r>
          </w:p>
        </w:tc>
        <w:tc>
          <w:tcPr>
            <w:tcW w:w="1474" w:type="dxa"/>
            <w:tcBorders>
              <w:top w:val="single" w:sz="4" w:space="0" w:color="auto"/>
              <w:left w:val="single" w:sz="4" w:space="0" w:color="auto"/>
              <w:right w:val="single" w:sz="4" w:space="0" w:color="auto"/>
            </w:tcBorders>
            <w:shd w:val="clear" w:color="auto" w:fill="auto"/>
            <w:noWrap/>
            <w:vAlign w:val="center"/>
          </w:tcPr>
          <w:p w14:paraId="360CEE37" w14:textId="77777777" w:rsidR="00BE5781" w:rsidRPr="002F3E5F" w:rsidRDefault="00BE5781" w:rsidP="00BE5781">
            <w:pPr>
              <w:jc w:val="right"/>
              <w:rPr>
                <w:rFonts w:ascii="Arial" w:hAnsi="Arial" w:cs="Arial"/>
                <w:color w:val="000000"/>
                <w:sz w:val="14"/>
                <w:szCs w:val="14"/>
              </w:rPr>
            </w:pPr>
          </w:p>
        </w:tc>
      </w:tr>
      <w:tr w:rsidR="00BE5781" w:rsidRPr="00B666A5" w14:paraId="3C560980" w14:textId="77777777" w:rsidTr="00DB18E1">
        <w:trPr>
          <w:trHeight w:val="315"/>
          <w:jc w:val="center"/>
        </w:trPr>
        <w:tc>
          <w:tcPr>
            <w:tcW w:w="993" w:type="dxa"/>
            <w:vMerge/>
            <w:tcBorders>
              <w:top w:val="single" w:sz="4" w:space="0" w:color="auto"/>
              <w:left w:val="single" w:sz="4" w:space="0" w:color="auto"/>
              <w:bottom w:val="single" w:sz="4" w:space="0" w:color="000000"/>
              <w:right w:val="single" w:sz="4" w:space="0" w:color="auto"/>
            </w:tcBorders>
            <w:vAlign w:val="center"/>
            <w:hideMark/>
          </w:tcPr>
          <w:p w14:paraId="221C5774" w14:textId="77777777" w:rsidR="00BE5781" w:rsidRPr="002F3E5F" w:rsidRDefault="00BE5781" w:rsidP="00BE5781">
            <w:pPr>
              <w:rPr>
                <w:rFonts w:ascii="Arial" w:hAnsi="Arial" w:cs="Arial"/>
                <w:color w:val="000000"/>
                <w:sz w:val="14"/>
                <w:szCs w:val="14"/>
              </w:rPr>
            </w:pPr>
          </w:p>
        </w:tc>
        <w:tc>
          <w:tcPr>
            <w:tcW w:w="2409" w:type="dxa"/>
            <w:vMerge/>
            <w:tcBorders>
              <w:top w:val="nil"/>
              <w:left w:val="single" w:sz="4" w:space="0" w:color="auto"/>
              <w:bottom w:val="single" w:sz="4" w:space="0" w:color="000000"/>
              <w:right w:val="single" w:sz="4" w:space="0" w:color="auto"/>
            </w:tcBorders>
            <w:vAlign w:val="center"/>
            <w:hideMark/>
          </w:tcPr>
          <w:p w14:paraId="3453C107"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0C20F2C0"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APRO 14/2024: Suministro de radiofármacos con destino al Servicio de Medicina Nuclear del Hospital Universitario de Navarra.</w:t>
            </w:r>
            <w:r w:rsidR="00083165">
              <w:rPr>
                <w:rFonts w:ascii="Arial" w:hAnsi="Arial" w:cs="Arial"/>
                <w:color w:val="000000"/>
                <w:sz w:val="14"/>
                <w:szCs w:val="14"/>
              </w:rPr>
              <w:t xml:space="preserve"> LOTE 2</w:t>
            </w:r>
          </w:p>
        </w:tc>
        <w:tc>
          <w:tcPr>
            <w:tcW w:w="986" w:type="dxa"/>
            <w:tcBorders>
              <w:top w:val="nil"/>
              <w:left w:val="nil"/>
              <w:bottom w:val="single" w:sz="4" w:space="0" w:color="auto"/>
              <w:right w:val="single" w:sz="4" w:space="0" w:color="auto"/>
            </w:tcBorders>
            <w:shd w:val="clear" w:color="auto" w:fill="auto"/>
            <w:noWrap/>
            <w:vAlign w:val="center"/>
            <w:hideMark/>
          </w:tcPr>
          <w:p w14:paraId="670D74FB"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498.681</w:t>
            </w:r>
          </w:p>
        </w:tc>
        <w:tc>
          <w:tcPr>
            <w:tcW w:w="1247" w:type="dxa"/>
            <w:tcBorders>
              <w:top w:val="nil"/>
              <w:left w:val="nil"/>
              <w:bottom w:val="single" w:sz="4" w:space="0" w:color="auto"/>
              <w:right w:val="single" w:sz="4" w:space="0" w:color="auto"/>
            </w:tcBorders>
            <w:shd w:val="clear" w:color="auto" w:fill="auto"/>
            <w:noWrap/>
            <w:vAlign w:val="center"/>
            <w:hideMark/>
          </w:tcPr>
          <w:p w14:paraId="0A4DBB18"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419.289</w:t>
            </w:r>
          </w:p>
        </w:tc>
        <w:tc>
          <w:tcPr>
            <w:tcW w:w="709" w:type="dxa"/>
            <w:tcBorders>
              <w:top w:val="nil"/>
              <w:left w:val="nil"/>
              <w:bottom w:val="single" w:sz="4" w:space="0" w:color="auto"/>
              <w:right w:val="single" w:sz="4" w:space="0" w:color="auto"/>
            </w:tcBorders>
            <w:shd w:val="clear" w:color="auto" w:fill="auto"/>
            <w:noWrap/>
            <w:vAlign w:val="center"/>
            <w:hideMark/>
          </w:tcPr>
          <w:p w14:paraId="630F4F8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15,92%</w:t>
            </w:r>
          </w:p>
        </w:tc>
        <w:tc>
          <w:tcPr>
            <w:tcW w:w="1474" w:type="dxa"/>
            <w:tcBorders>
              <w:top w:val="nil"/>
              <w:left w:val="single" w:sz="4" w:space="0" w:color="auto"/>
              <w:right w:val="single" w:sz="4" w:space="0" w:color="auto"/>
            </w:tcBorders>
            <w:shd w:val="clear" w:color="auto" w:fill="auto"/>
            <w:noWrap/>
            <w:vAlign w:val="center"/>
          </w:tcPr>
          <w:p w14:paraId="5D69BBCA" w14:textId="77777777" w:rsidR="00BE5781" w:rsidRPr="002F3E5F" w:rsidRDefault="00BE5781" w:rsidP="00BE5781">
            <w:pPr>
              <w:jc w:val="right"/>
              <w:rPr>
                <w:rFonts w:ascii="Arial" w:hAnsi="Arial" w:cs="Arial"/>
                <w:color w:val="000000"/>
                <w:sz w:val="14"/>
                <w:szCs w:val="14"/>
              </w:rPr>
            </w:pPr>
          </w:p>
        </w:tc>
      </w:tr>
      <w:tr w:rsidR="00BE5781" w:rsidRPr="00B666A5" w14:paraId="561E4102" w14:textId="77777777" w:rsidTr="00DB18E1">
        <w:trPr>
          <w:trHeight w:val="315"/>
          <w:jc w:val="center"/>
        </w:trPr>
        <w:tc>
          <w:tcPr>
            <w:tcW w:w="993" w:type="dxa"/>
            <w:vMerge/>
            <w:tcBorders>
              <w:top w:val="single" w:sz="4" w:space="0" w:color="auto"/>
              <w:left w:val="single" w:sz="4" w:space="0" w:color="auto"/>
              <w:bottom w:val="single" w:sz="4" w:space="0" w:color="000000"/>
              <w:right w:val="single" w:sz="4" w:space="0" w:color="auto"/>
            </w:tcBorders>
            <w:vAlign w:val="center"/>
            <w:hideMark/>
          </w:tcPr>
          <w:p w14:paraId="4BB75A87" w14:textId="77777777" w:rsidR="00BE5781" w:rsidRPr="002F3E5F" w:rsidRDefault="00BE5781" w:rsidP="00BE5781">
            <w:pPr>
              <w:rPr>
                <w:rFonts w:ascii="Arial" w:hAnsi="Arial" w:cs="Arial"/>
                <w:color w:val="000000"/>
                <w:sz w:val="14"/>
                <w:szCs w:val="14"/>
              </w:rPr>
            </w:pPr>
          </w:p>
        </w:tc>
        <w:tc>
          <w:tcPr>
            <w:tcW w:w="2409" w:type="dxa"/>
            <w:vMerge/>
            <w:tcBorders>
              <w:top w:val="nil"/>
              <w:left w:val="single" w:sz="4" w:space="0" w:color="auto"/>
              <w:bottom w:val="single" w:sz="4" w:space="0" w:color="000000"/>
              <w:right w:val="single" w:sz="4" w:space="0" w:color="auto"/>
            </w:tcBorders>
            <w:vAlign w:val="center"/>
            <w:hideMark/>
          </w:tcPr>
          <w:p w14:paraId="5418BD84"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542B4DF0"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APRO 14/2024: Suministro de radiofármacos con destino al Servicio de Medicina Nuclear del Hospital Universitario de Navarra.</w:t>
            </w:r>
            <w:r w:rsidR="00083165">
              <w:rPr>
                <w:rFonts w:ascii="Arial" w:hAnsi="Arial" w:cs="Arial"/>
                <w:color w:val="000000"/>
                <w:sz w:val="14"/>
                <w:szCs w:val="14"/>
              </w:rPr>
              <w:t xml:space="preserve"> LOTE 3</w:t>
            </w:r>
          </w:p>
        </w:tc>
        <w:tc>
          <w:tcPr>
            <w:tcW w:w="986" w:type="dxa"/>
            <w:tcBorders>
              <w:top w:val="nil"/>
              <w:left w:val="nil"/>
              <w:bottom w:val="single" w:sz="4" w:space="0" w:color="auto"/>
              <w:right w:val="single" w:sz="4" w:space="0" w:color="auto"/>
            </w:tcBorders>
            <w:shd w:val="clear" w:color="auto" w:fill="auto"/>
            <w:noWrap/>
            <w:vAlign w:val="center"/>
            <w:hideMark/>
          </w:tcPr>
          <w:p w14:paraId="1C59D9FD"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13.800</w:t>
            </w:r>
          </w:p>
        </w:tc>
        <w:tc>
          <w:tcPr>
            <w:tcW w:w="1247" w:type="dxa"/>
            <w:tcBorders>
              <w:top w:val="nil"/>
              <w:left w:val="nil"/>
              <w:bottom w:val="single" w:sz="4" w:space="0" w:color="auto"/>
              <w:right w:val="single" w:sz="4" w:space="0" w:color="auto"/>
            </w:tcBorders>
            <w:shd w:val="clear" w:color="auto" w:fill="auto"/>
            <w:noWrap/>
            <w:vAlign w:val="center"/>
            <w:hideMark/>
          </w:tcPr>
          <w:p w14:paraId="3E0C84AB"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13.500</w:t>
            </w:r>
          </w:p>
        </w:tc>
        <w:tc>
          <w:tcPr>
            <w:tcW w:w="709" w:type="dxa"/>
            <w:tcBorders>
              <w:top w:val="nil"/>
              <w:left w:val="nil"/>
              <w:bottom w:val="single" w:sz="4" w:space="0" w:color="auto"/>
              <w:right w:val="single" w:sz="4" w:space="0" w:color="auto"/>
            </w:tcBorders>
            <w:shd w:val="clear" w:color="auto" w:fill="auto"/>
            <w:noWrap/>
            <w:vAlign w:val="center"/>
            <w:hideMark/>
          </w:tcPr>
          <w:p w14:paraId="014A7216"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2,17%</w:t>
            </w:r>
          </w:p>
        </w:tc>
        <w:tc>
          <w:tcPr>
            <w:tcW w:w="1474" w:type="dxa"/>
            <w:tcBorders>
              <w:top w:val="nil"/>
              <w:left w:val="single" w:sz="4" w:space="0" w:color="auto"/>
              <w:right w:val="single" w:sz="4" w:space="0" w:color="auto"/>
            </w:tcBorders>
            <w:shd w:val="clear" w:color="auto" w:fill="auto"/>
            <w:noWrap/>
            <w:vAlign w:val="center"/>
            <w:hideMark/>
          </w:tcPr>
          <w:p w14:paraId="200760EE" w14:textId="77777777" w:rsidR="00BE5781" w:rsidRPr="002F3E5F" w:rsidRDefault="00083165" w:rsidP="00BE5781">
            <w:pPr>
              <w:jc w:val="right"/>
              <w:rPr>
                <w:rFonts w:ascii="Arial" w:hAnsi="Arial" w:cs="Arial"/>
                <w:color w:val="000000"/>
                <w:sz w:val="14"/>
                <w:szCs w:val="14"/>
              </w:rPr>
            </w:pPr>
            <w:r w:rsidRPr="002F3E5F">
              <w:rPr>
                <w:rFonts w:ascii="Arial" w:hAnsi="Arial" w:cs="Arial"/>
                <w:color w:val="000000"/>
                <w:sz w:val="14"/>
                <w:szCs w:val="14"/>
              </w:rPr>
              <w:t>Abierto</w:t>
            </w:r>
            <w:r>
              <w:rPr>
                <w:rFonts w:ascii="Arial" w:hAnsi="Arial" w:cs="Arial"/>
                <w:color w:val="000000"/>
                <w:sz w:val="14"/>
                <w:szCs w:val="14"/>
              </w:rPr>
              <w:t xml:space="preserve"> superior al umbral europeo</w:t>
            </w:r>
          </w:p>
        </w:tc>
      </w:tr>
      <w:tr w:rsidR="00BE5781" w:rsidRPr="00B666A5" w14:paraId="1A1395D9" w14:textId="77777777" w:rsidTr="00DB18E1">
        <w:trPr>
          <w:trHeight w:val="315"/>
          <w:jc w:val="center"/>
        </w:trPr>
        <w:tc>
          <w:tcPr>
            <w:tcW w:w="993" w:type="dxa"/>
            <w:vMerge/>
            <w:tcBorders>
              <w:top w:val="single" w:sz="4" w:space="0" w:color="auto"/>
              <w:left w:val="single" w:sz="4" w:space="0" w:color="auto"/>
              <w:bottom w:val="single" w:sz="4" w:space="0" w:color="000000"/>
              <w:right w:val="single" w:sz="4" w:space="0" w:color="auto"/>
            </w:tcBorders>
            <w:vAlign w:val="center"/>
            <w:hideMark/>
          </w:tcPr>
          <w:p w14:paraId="61B0D80F" w14:textId="77777777" w:rsidR="00BE5781" w:rsidRPr="002F3E5F" w:rsidRDefault="00BE5781" w:rsidP="00BE5781">
            <w:pPr>
              <w:rPr>
                <w:rFonts w:ascii="Arial" w:hAnsi="Arial" w:cs="Arial"/>
                <w:color w:val="000000"/>
                <w:sz w:val="14"/>
                <w:szCs w:val="14"/>
              </w:rPr>
            </w:pPr>
          </w:p>
        </w:tc>
        <w:tc>
          <w:tcPr>
            <w:tcW w:w="2409" w:type="dxa"/>
            <w:vMerge/>
            <w:tcBorders>
              <w:top w:val="nil"/>
              <w:left w:val="single" w:sz="4" w:space="0" w:color="auto"/>
              <w:bottom w:val="single" w:sz="4" w:space="0" w:color="000000"/>
              <w:right w:val="single" w:sz="4" w:space="0" w:color="auto"/>
            </w:tcBorders>
            <w:vAlign w:val="center"/>
            <w:hideMark/>
          </w:tcPr>
          <w:p w14:paraId="585D9003"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186AB7C2"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APRO 14/2024: Suministro de radiofármacos con destino al Servicio de Medicina Nuclear del Hospital Universitario de Navarra.</w:t>
            </w:r>
            <w:r w:rsidR="00083165">
              <w:rPr>
                <w:rFonts w:ascii="Arial" w:hAnsi="Arial" w:cs="Arial"/>
                <w:color w:val="000000"/>
                <w:sz w:val="14"/>
                <w:szCs w:val="14"/>
              </w:rPr>
              <w:t xml:space="preserve"> LOTE 4</w:t>
            </w:r>
          </w:p>
        </w:tc>
        <w:tc>
          <w:tcPr>
            <w:tcW w:w="986" w:type="dxa"/>
            <w:tcBorders>
              <w:top w:val="nil"/>
              <w:left w:val="nil"/>
              <w:bottom w:val="single" w:sz="4" w:space="0" w:color="auto"/>
              <w:right w:val="single" w:sz="4" w:space="0" w:color="auto"/>
            </w:tcBorders>
            <w:shd w:val="clear" w:color="auto" w:fill="auto"/>
            <w:noWrap/>
            <w:vAlign w:val="center"/>
            <w:hideMark/>
          </w:tcPr>
          <w:p w14:paraId="511839D5"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54.120</w:t>
            </w:r>
          </w:p>
        </w:tc>
        <w:tc>
          <w:tcPr>
            <w:tcW w:w="1247" w:type="dxa"/>
            <w:tcBorders>
              <w:top w:val="nil"/>
              <w:left w:val="nil"/>
              <w:bottom w:val="single" w:sz="4" w:space="0" w:color="auto"/>
              <w:right w:val="single" w:sz="4" w:space="0" w:color="auto"/>
            </w:tcBorders>
            <w:shd w:val="clear" w:color="auto" w:fill="auto"/>
            <w:noWrap/>
            <w:vAlign w:val="center"/>
            <w:hideMark/>
          </w:tcPr>
          <w:p w14:paraId="296F8E9A"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52.140</w:t>
            </w:r>
          </w:p>
        </w:tc>
        <w:tc>
          <w:tcPr>
            <w:tcW w:w="709" w:type="dxa"/>
            <w:tcBorders>
              <w:top w:val="nil"/>
              <w:left w:val="nil"/>
              <w:bottom w:val="single" w:sz="4" w:space="0" w:color="auto"/>
              <w:right w:val="single" w:sz="4" w:space="0" w:color="auto"/>
            </w:tcBorders>
            <w:shd w:val="clear" w:color="auto" w:fill="auto"/>
            <w:noWrap/>
            <w:vAlign w:val="center"/>
            <w:hideMark/>
          </w:tcPr>
          <w:p w14:paraId="37BE64D7"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3,66%</w:t>
            </w:r>
          </w:p>
        </w:tc>
        <w:tc>
          <w:tcPr>
            <w:tcW w:w="1474" w:type="dxa"/>
            <w:tcBorders>
              <w:top w:val="nil"/>
              <w:left w:val="single" w:sz="4" w:space="0" w:color="auto"/>
              <w:right w:val="single" w:sz="4" w:space="0" w:color="auto"/>
            </w:tcBorders>
            <w:shd w:val="clear" w:color="auto" w:fill="auto"/>
            <w:noWrap/>
            <w:vAlign w:val="center"/>
            <w:hideMark/>
          </w:tcPr>
          <w:p w14:paraId="1E2F5D1B" w14:textId="77777777" w:rsidR="00BE5781" w:rsidRPr="002F3E5F" w:rsidRDefault="00BE5781" w:rsidP="00BE5781">
            <w:pPr>
              <w:jc w:val="right"/>
              <w:rPr>
                <w:rFonts w:ascii="Arial" w:hAnsi="Arial" w:cs="Arial"/>
                <w:color w:val="000000"/>
                <w:sz w:val="14"/>
                <w:szCs w:val="14"/>
              </w:rPr>
            </w:pPr>
          </w:p>
        </w:tc>
      </w:tr>
      <w:tr w:rsidR="00BE5781" w:rsidRPr="00B666A5" w14:paraId="40737B72" w14:textId="77777777" w:rsidTr="00DB18E1">
        <w:trPr>
          <w:trHeight w:val="315"/>
          <w:jc w:val="center"/>
        </w:trPr>
        <w:tc>
          <w:tcPr>
            <w:tcW w:w="993" w:type="dxa"/>
            <w:vMerge/>
            <w:tcBorders>
              <w:top w:val="single" w:sz="4" w:space="0" w:color="auto"/>
              <w:left w:val="single" w:sz="4" w:space="0" w:color="auto"/>
              <w:bottom w:val="single" w:sz="4" w:space="0" w:color="000000"/>
              <w:right w:val="single" w:sz="4" w:space="0" w:color="auto"/>
            </w:tcBorders>
            <w:vAlign w:val="center"/>
            <w:hideMark/>
          </w:tcPr>
          <w:p w14:paraId="7C6872C8" w14:textId="77777777" w:rsidR="00BE5781" w:rsidRPr="002F3E5F" w:rsidRDefault="00BE5781" w:rsidP="00BE5781">
            <w:pPr>
              <w:rPr>
                <w:rFonts w:ascii="Arial" w:hAnsi="Arial" w:cs="Arial"/>
                <w:color w:val="000000"/>
                <w:sz w:val="14"/>
                <w:szCs w:val="14"/>
              </w:rPr>
            </w:pPr>
          </w:p>
        </w:tc>
        <w:tc>
          <w:tcPr>
            <w:tcW w:w="2409" w:type="dxa"/>
            <w:vMerge/>
            <w:tcBorders>
              <w:top w:val="nil"/>
              <w:left w:val="single" w:sz="4" w:space="0" w:color="auto"/>
              <w:bottom w:val="single" w:sz="4" w:space="0" w:color="000000"/>
              <w:right w:val="single" w:sz="4" w:space="0" w:color="auto"/>
            </w:tcBorders>
            <w:vAlign w:val="center"/>
            <w:hideMark/>
          </w:tcPr>
          <w:p w14:paraId="4E085166"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3027A1E1"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APRO 14/2024: Suministro de radiofármacos con destino al Servicio de Medicina Nuclear del Hospital Universitario de Navarra.</w:t>
            </w:r>
            <w:r w:rsidR="00083165">
              <w:rPr>
                <w:rFonts w:ascii="Arial" w:hAnsi="Arial" w:cs="Arial"/>
                <w:color w:val="000000"/>
                <w:sz w:val="14"/>
                <w:szCs w:val="14"/>
              </w:rPr>
              <w:t xml:space="preserve"> LOTE 5</w:t>
            </w:r>
          </w:p>
        </w:tc>
        <w:tc>
          <w:tcPr>
            <w:tcW w:w="986" w:type="dxa"/>
            <w:tcBorders>
              <w:top w:val="nil"/>
              <w:left w:val="nil"/>
              <w:bottom w:val="single" w:sz="4" w:space="0" w:color="auto"/>
              <w:right w:val="single" w:sz="4" w:space="0" w:color="auto"/>
            </w:tcBorders>
            <w:shd w:val="clear" w:color="auto" w:fill="auto"/>
            <w:noWrap/>
            <w:vAlign w:val="center"/>
            <w:hideMark/>
          </w:tcPr>
          <w:p w14:paraId="7B79F6D2"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9.980</w:t>
            </w:r>
          </w:p>
        </w:tc>
        <w:tc>
          <w:tcPr>
            <w:tcW w:w="1247" w:type="dxa"/>
            <w:tcBorders>
              <w:top w:val="nil"/>
              <w:left w:val="nil"/>
              <w:bottom w:val="single" w:sz="4" w:space="0" w:color="auto"/>
              <w:right w:val="single" w:sz="4" w:space="0" w:color="auto"/>
            </w:tcBorders>
            <w:shd w:val="clear" w:color="auto" w:fill="auto"/>
            <w:noWrap/>
            <w:vAlign w:val="center"/>
            <w:hideMark/>
          </w:tcPr>
          <w:p w14:paraId="10FEDE7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9.710</w:t>
            </w:r>
          </w:p>
        </w:tc>
        <w:tc>
          <w:tcPr>
            <w:tcW w:w="709" w:type="dxa"/>
            <w:tcBorders>
              <w:top w:val="nil"/>
              <w:left w:val="nil"/>
              <w:bottom w:val="single" w:sz="4" w:space="0" w:color="auto"/>
              <w:right w:val="single" w:sz="4" w:space="0" w:color="auto"/>
            </w:tcBorders>
            <w:shd w:val="clear" w:color="auto" w:fill="auto"/>
            <w:noWrap/>
            <w:vAlign w:val="center"/>
            <w:hideMark/>
          </w:tcPr>
          <w:p w14:paraId="1CA823D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2,71%</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7972B415" w14:textId="77777777" w:rsidR="00BE5781" w:rsidRPr="002F3E5F" w:rsidRDefault="00BE5781" w:rsidP="00BE5781">
            <w:pPr>
              <w:jc w:val="right"/>
              <w:rPr>
                <w:rFonts w:ascii="Arial" w:hAnsi="Arial" w:cs="Arial"/>
                <w:color w:val="000000"/>
                <w:sz w:val="14"/>
                <w:szCs w:val="14"/>
              </w:rPr>
            </w:pPr>
          </w:p>
        </w:tc>
      </w:tr>
      <w:tr w:rsidR="00BE5781" w:rsidRPr="00B666A5" w14:paraId="2CC9A434" w14:textId="77777777" w:rsidTr="00DB18E1">
        <w:trPr>
          <w:trHeight w:val="315"/>
          <w:jc w:val="center"/>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9539AF5"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M2</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14:paraId="076C7AFB" w14:textId="77777777" w:rsidR="00201912" w:rsidRDefault="00BE5781" w:rsidP="00BE5781">
            <w:pPr>
              <w:jc w:val="center"/>
              <w:rPr>
                <w:rFonts w:ascii="Arial" w:hAnsi="Arial" w:cs="Arial"/>
                <w:color w:val="000000"/>
                <w:sz w:val="14"/>
                <w:szCs w:val="14"/>
              </w:rPr>
            </w:pPr>
            <w:r w:rsidRPr="002F3E5F">
              <w:rPr>
                <w:rFonts w:ascii="Arial" w:hAnsi="Arial" w:cs="Arial"/>
                <w:color w:val="000000"/>
                <w:sz w:val="14"/>
                <w:szCs w:val="14"/>
              </w:rPr>
              <w:t xml:space="preserve">Servicio Navarro De Salud </w:t>
            </w:r>
            <w:r w:rsidR="00201912">
              <w:rPr>
                <w:rFonts w:ascii="Arial" w:hAnsi="Arial" w:cs="Arial"/>
                <w:color w:val="000000"/>
                <w:sz w:val="14"/>
                <w:szCs w:val="14"/>
              </w:rPr>
              <w:t>–</w:t>
            </w:r>
          </w:p>
          <w:p w14:paraId="67B697B8"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 xml:space="preserve"> </w:t>
            </w:r>
            <w:proofErr w:type="spellStart"/>
            <w:r w:rsidRPr="002F3E5F">
              <w:rPr>
                <w:rFonts w:ascii="Arial" w:hAnsi="Arial" w:cs="Arial"/>
                <w:color w:val="000000"/>
                <w:sz w:val="14"/>
                <w:szCs w:val="14"/>
              </w:rPr>
              <w:t>Osasunbidea</w:t>
            </w:r>
            <w:proofErr w:type="spellEnd"/>
            <w:r w:rsidRPr="002F3E5F">
              <w:rPr>
                <w:rFonts w:ascii="Arial" w:hAnsi="Arial" w:cs="Arial"/>
                <w:color w:val="000000"/>
                <w:sz w:val="14"/>
                <w:szCs w:val="14"/>
              </w:rPr>
              <w:t xml:space="preserve"> </w:t>
            </w:r>
          </w:p>
        </w:tc>
        <w:tc>
          <w:tcPr>
            <w:tcW w:w="3828" w:type="dxa"/>
            <w:tcBorders>
              <w:top w:val="nil"/>
              <w:left w:val="nil"/>
              <w:bottom w:val="single" w:sz="4" w:space="0" w:color="auto"/>
              <w:right w:val="single" w:sz="4" w:space="0" w:color="auto"/>
            </w:tcBorders>
            <w:shd w:val="clear" w:color="auto" w:fill="auto"/>
            <w:noWrap/>
            <w:vAlign w:val="bottom"/>
            <w:hideMark/>
          </w:tcPr>
          <w:p w14:paraId="62E751F2"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APRO 17/2024: Suministro de desfibriladores automáticos implantables, electrodos y malla antibiótica, con destino al Hospital Universitario de Navarra del Servicio Navarro de Salud </w:t>
            </w:r>
            <w:r w:rsidR="00083165">
              <w:rPr>
                <w:rFonts w:ascii="Arial" w:hAnsi="Arial" w:cs="Arial"/>
                <w:color w:val="000000"/>
                <w:sz w:val="14"/>
                <w:szCs w:val="14"/>
              </w:rPr>
              <w:t>–</w:t>
            </w:r>
            <w:proofErr w:type="spellStart"/>
            <w:r w:rsidRPr="002F3E5F">
              <w:rPr>
                <w:rFonts w:ascii="Arial" w:hAnsi="Arial" w:cs="Arial"/>
                <w:color w:val="000000"/>
                <w:sz w:val="14"/>
                <w:szCs w:val="14"/>
              </w:rPr>
              <w:t>Osasunbidea</w:t>
            </w:r>
            <w:proofErr w:type="spellEnd"/>
            <w:r w:rsidR="00083165">
              <w:rPr>
                <w:rFonts w:ascii="Arial" w:hAnsi="Arial" w:cs="Arial"/>
                <w:color w:val="000000"/>
                <w:sz w:val="14"/>
                <w:szCs w:val="14"/>
              </w:rPr>
              <w:t xml:space="preserve"> LOTE 1</w:t>
            </w:r>
          </w:p>
        </w:tc>
        <w:tc>
          <w:tcPr>
            <w:tcW w:w="986" w:type="dxa"/>
            <w:tcBorders>
              <w:top w:val="nil"/>
              <w:left w:val="nil"/>
              <w:bottom w:val="single" w:sz="4" w:space="0" w:color="auto"/>
              <w:right w:val="single" w:sz="4" w:space="0" w:color="auto"/>
            </w:tcBorders>
            <w:shd w:val="clear" w:color="auto" w:fill="auto"/>
            <w:noWrap/>
            <w:vAlign w:val="center"/>
            <w:hideMark/>
          </w:tcPr>
          <w:p w14:paraId="5F3FA487"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262.200</w:t>
            </w:r>
          </w:p>
        </w:tc>
        <w:tc>
          <w:tcPr>
            <w:tcW w:w="1247" w:type="dxa"/>
            <w:tcBorders>
              <w:top w:val="nil"/>
              <w:left w:val="nil"/>
              <w:bottom w:val="single" w:sz="4" w:space="0" w:color="auto"/>
              <w:right w:val="single" w:sz="4" w:space="0" w:color="auto"/>
            </w:tcBorders>
            <w:shd w:val="clear" w:color="auto" w:fill="auto"/>
            <w:noWrap/>
            <w:vAlign w:val="center"/>
            <w:hideMark/>
          </w:tcPr>
          <w:p w14:paraId="2797B34D"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252.825</w:t>
            </w:r>
          </w:p>
        </w:tc>
        <w:tc>
          <w:tcPr>
            <w:tcW w:w="709" w:type="dxa"/>
            <w:tcBorders>
              <w:top w:val="nil"/>
              <w:left w:val="nil"/>
              <w:bottom w:val="single" w:sz="4" w:space="0" w:color="auto"/>
              <w:right w:val="single" w:sz="4" w:space="0" w:color="auto"/>
            </w:tcBorders>
            <w:shd w:val="clear" w:color="auto" w:fill="auto"/>
            <w:noWrap/>
            <w:vAlign w:val="center"/>
            <w:hideMark/>
          </w:tcPr>
          <w:p w14:paraId="01C645CD"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3,58%</w:t>
            </w:r>
          </w:p>
        </w:tc>
        <w:tc>
          <w:tcPr>
            <w:tcW w:w="1474" w:type="dxa"/>
            <w:tcBorders>
              <w:top w:val="single" w:sz="4" w:space="0" w:color="auto"/>
              <w:left w:val="single" w:sz="4" w:space="0" w:color="auto"/>
              <w:right w:val="single" w:sz="4" w:space="0" w:color="auto"/>
            </w:tcBorders>
            <w:shd w:val="clear" w:color="auto" w:fill="auto"/>
            <w:noWrap/>
            <w:vAlign w:val="center"/>
          </w:tcPr>
          <w:p w14:paraId="2E707F1F" w14:textId="77777777" w:rsidR="00BE5781" w:rsidRPr="002F3E5F" w:rsidRDefault="00BE5781" w:rsidP="00BE5781">
            <w:pPr>
              <w:jc w:val="right"/>
              <w:rPr>
                <w:rFonts w:ascii="Arial" w:hAnsi="Arial" w:cs="Arial"/>
                <w:color w:val="000000"/>
                <w:sz w:val="14"/>
                <w:szCs w:val="14"/>
              </w:rPr>
            </w:pPr>
          </w:p>
        </w:tc>
      </w:tr>
      <w:tr w:rsidR="00BE5781" w:rsidRPr="00B666A5" w14:paraId="689F2881" w14:textId="77777777" w:rsidTr="00DB18E1">
        <w:trPr>
          <w:trHeight w:val="315"/>
          <w:jc w:val="center"/>
        </w:trPr>
        <w:tc>
          <w:tcPr>
            <w:tcW w:w="993" w:type="dxa"/>
            <w:vMerge/>
            <w:tcBorders>
              <w:top w:val="nil"/>
              <w:left w:val="single" w:sz="4" w:space="0" w:color="auto"/>
              <w:bottom w:val="single" w:sz="4" w:space="0" w:color="000000"/>
              <w:right w:val="single" w:sz="4" w:space="0" w:color="auto"/>
            </w:tcBorders>
            <w:vAlign w:val="center"/>
            <w:hideMark/>
          </w:tcPr>
          <w:p w14:paraId="4EAD2480" w14:textId="77777777" w:rsidR="00BE5781" w:rsidRPr="002F3E5F" w:rsidRDefault="00BE5781" w:rsidP="00BE5781">
            <w:pPr>
              <w:rPr>
                <w:rFonts w:ascii="Arial" w:hAnsi="Arial" w:cs="Arial"/>
                <w:color w:val="000000"/>
                <w:sz w:val="14"/>
                <w:szCs w:val="14"/>
              </w:rPr>
            </w:pPr>
          </w:p>
        </w:tc>
        <w:tc>
          <w:tcPr>
            <w:tcW w:w="2409" w:type="dxa"/>
            <w:vMerge/>
            <w:tcBorders>
              <w:top w:val="nil"/>
              <w:left w:val="single" w:sz="4" w:space="0" w:color="auto"/>
              <w:bottom w:val="single" w:sz="4" w:space="0" w:color="000000"/>
              <w:right w:val="single" w:sz="4" w:space="0" w:color="auto"/>
            </w:tcBorders>
            <w:vAlign w:val="center"/>
            <w:hideMark/>
          </w:tcPr>
          <w:p w14:paraId="635E1286"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2AF97838"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APRO 17/2024: Suministro de desfibriladores automáticos implantables, electrodos y malla antibiótica, con destino al Hospital Universitario de Navarra del Servicio Navarro de Salud </w:t>
            </w:r>
            <w:r w:rsidR="00083165">
              <w:rPr>
                <w:rFonts w:ascii="Arial" w:hAnsi="Arial" w:cs="Arial"/>
                <w:color w:val="000000"/>
                <w:sz w:val="14"/>
                <w:szCs w:val="14"/>
              </w:rPr>
              <w:t>–</w:t>
            </w:r>
            <w:proofErr w:type="spellStart"/>
            <w:r w:rsidRPr="002F3E5F">
              <w:rPr>
                <w:rFonts w:ascii="Arial" w:hAnsi="Arial" w:cs="Arial"/>
                <w:color w:val="000000"/>
                <w:sz w:val="14"/>
                <w:szCs w:val="14"/>
              </w:rPr>
              <w:t>Osasunbidea</w:t>
            </w:r>
            <w:proofErr w:type="spellEnd"/>
            <w:r w:rsidR="00083165">
              <w:rPr>
                <w:rFonts w:ascii="Arial" w:hAnsi="Arial" w:cs="Arial"/>
                <w:color w:val="000000"/>
                <w:sz w:val="14"/>
                <w:szCs w:val="14"/>
              </w:rPr>
              <w:t xml:space="preserve"> LOTE 2</w:t>
            </w:r>
          </w:p>
        </w:tc>
        <w:tc>
          <w:tcPr>
            <w:tcW w:w="986" w:type="dxa"/>
            <w:tcBorders>
              <w:top w:val="nil"/>
              <w:left w:val="nil"/>
              <w:bottom w:val="single" w:sz="4" w:space="0" w:color="auto"/>
              <w:right w:val="single" w:sz="4" w:space="0" w:color="auto"/>
            </w:tcBorders>
            <w:shd w:val="clear" w:color="auto" w:fill="auto"/>
            <w:noWrap/>
            <w:vAlign w:val="center"/>
            <w:hideMark/>
          </w:tcPr>
          <w:p w14:paraId="3F85D882"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264.450</w:t>
            </w:r>
          </w:p>
        </w:tc>
        <w:tc>
          <w:tcPr>
            <w:tcW w:w="1247" w:type="dxa"/>
            <w:tcBorders>
              <w:top w:val="nil"/>
              <w:left w:val="nil"/>
              <w:bottom w:val="single" w:sz="4" w:space="0" w:color="auto"/>
              <w:right w:val="single" w:sz="4" w:space="0" w:color="auto"/>
            </w:tcBorders>
            <w:shd w:val="clear" w:color="auto" w:fill="auto"/>
            <w:noWrap/>
            <w:vAlign w:val="center"/>
            <w:hideMark/>
          </w:tcPr>
          <w:p w14:paraId="0CCFB6BE"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261.420</w:t>
            </w:r>
          </w:p>
        </w:tc>
        <w:tc>
          <w:tcPr>
            <w:tcW w:w="709" w:type="dxa"/>
            <w:tcBorders>
              <w:top w:val="nil"/>
              <w:left w:val="nil"/>
              <w:bottom w:val="single" w:sz="4" w:space="0" w:color="auto"/>
              <w:right w:val="single" w:sz="4" w:space="0" w:color="auto"/>
            </w:tcBorders>
            <w:shd w:val="clear" w:color="auto" w:fill="auto"/>
            <w:noWrap/>
            <w:vAlign w:val="center"/>
            <w:hideMark/>
          </w:tcPr>
          <w:p w14:paraId="17A23D64"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1,15%</w:t>
            </w:r>
          </w:p>
        </w:tc>
        <w:tc>
          <w:tcPr>
            <w:tcW w:w="1474" w:type="dxa"/>
            <w:tcBorders>
              <w:top w:val="nil"/>
              <w:left w:val="single" w:sz="4" w:space="0" w:color="auto"/>
              <w:right w:val="single" w:sz="4" w:space="0" w:color="auto"/>
            </w:tcBorders>
            <w:shd w:val="clear" w:color="auto" w:fill="auto"/>
            <w:noWrap/>
            <w:vAlign w:val="center"/>
          </w:tcPr>
          <w:p w14:paraId="4619D8CE" w14:textId="77777777" w:rsidR="00BE5781" w:rsidRPr="002F3E5F" w:rsidRDefault="00BE5781" w:rsidP="00BE5781">
            <w:pPr>
              <w:jc w:val="right"/>
              <w:rPr>
                <w:rFonts w:ascii="Arial" w:hAnsi="Arial" w:cs="Arial"/>
                <w:color w:val="000000"/>
                <w:sz w:val="14"/>
                <w:szCs w:val="14"/>
              </w:rPr>
            </w:pPr>
          </w:p>
        </w:tc>
      </w:tr>
      <w:tr w:rsidR="00BE5781" w:rsidRPr="00B666A5" w14:paraId="0AD18157" w14:textId="77777777" w:rsidTr="00DB18E1">
        <w:trPr>
          <w:trHeight w:val="315"/>
          <w:jc w:val="center"/>
        </w:trPr>
        <w:tc>
          <w:tcPr>
            <w:tcW w:w="993" w:type="dxa"/>
            <w:vMerge/>
            <w:tcBorders>
              <w:top w:val="nil"/>
              <w:left w:val="single" w:sz="4" w:space="0" w:color="auto"/>
              <w:bottom w:val="single" w:sz="4" w:space="0" w:color="000000"/>
              <w:right w:val="single" w:sz="4" w:space="0" w:color="auto"/>
            </w:tcBorders>
            <w:vAlign w:val="center"/>
            <w:hideMark/>
          </w:tcPr>
          <w:p w14:paraId="3CE1DC9E" w14:textId="77777777" w:rsidR="00BE5781" w:rsidRPr="002F3E5F" w:rsidRDefault="00BE5781" w:rsidP="00BE5781">
            <w:pPr>
              <w:rPr>
                <w:rFonts w:ascii="Arial" w:hAnsi="Arial" w:cs="Arial"/>
                <w:color w:val="000000"/>
                <w:sz w:val="14"/>
                <w:szCs w:val="14"/>
              </w:rPr>
            </w:pPr>
          </w:p>
        </w:tc>
        <w:tc>
          <w:tcPr>
            <w:tcW w:w="2409" w:type="dxa"/>
            <w:vMerge/>
            <w:tcBorders>
              <w:top w:val="nil"/>
              <w:left w:val="single" w:sz="4" w:space="0" w:color="auto"/>
              <w:bottom w:val="single" w:sz="4" w:space="0" w:color="000000"/>
              <w:right w:val="single" w:sz="4" w:space="0" w:color="auto"/>
            </w:tcBorders>
            <w:vAlign w:val="center"/>
            <w:hideMark/>
          </w:tcPr>
          <w:p w14:paraId="3FD967A0"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126930E1"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APRO 17/2024: Suministro de desfibriladores automáticos implantables, electrodos y malla antibiótica, con destino al Hospital Universitario de Navarra del Servicio Navarro de Salud </w:t>
            </w:r>
            <w:r w:rsidR="00083165">
              <w:rPr>
                <w:rFonts w:ascii="Arial" w:hAnsi="Arial" w:cs="Arial"/>
                <w:color w:val="000000"/>
                <w:sz w:val="14"/>
                <w:szCs w:val="14"/>
              </w:rPr>
              <w:t>–</w:t>
            </w:r>
            <w:proofErr w:type="spellStart"/>
            <w:r w:rsidRPr="002F3E5F">
              <w:rPr>
                <w:rFonts w:ascii="Arial" w:hAnsi="Arial" w:cs="Arial"/>
                <w:color w:val="000000"/>
                <w:sz w:val="14"/>
                <w:szCs w:val="14"/>
              </w:rPr>
              <w:t>Osasunbidea</w:t>
            </w:r>
            <w:proofErr w:type="spellEnd"/>
            <w:r w:rsidR="00083165">
              <w:rPr>
                <w:rFonts w:ascii="Arial" w:hAnsi="Arial" w:cs="Arial"/>
                <w:color w:val="000000"/>
                <w:sz w:val="14"/>
                <w:szCs w:val="14"/>
              </w:rPr>
              <w:t xml:space="preserve"> LOTE 3</w:t>
            </w:r>
          </w:p>
        </w:tc>
        <w:tc>
          <w:tcPr>
            <w:tcW w:w="986" w:type="dxa"/>
            <w:tcBorders>
              <w:top w:val="nil"/>
              <w:left w:val="nil"/>
              <w:bottom w:val="single" w:sz="4" w:space="0" w:color="auto"/>
              <w:right w:val="single" w:sz="4" w:space="0" w:color="auto"/>
            </w:tcBorders>
            <w:shd w:val="clear" w:color="auto" w:fill="auto"/>
            <w:noWrap/>
            <w:vAlign w:val="center"/>
            <w:hideMark/>
          </w:tcPr>
          <w:p w14:paraId="6884F3B7"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257.700</w:t>
            </w:r>
          </w:p>
        </w:tc>
        <w:tc>
          <w:tcPr>
            <w:tcW w:w="1247" w:type="dxa"/>
            <w:tcBorders>
              <w:top w:val="nil"/>
              <w:left w:val="nil"/>
              <w:bottom w:val="single" w:sz="4" w:space="0" w:color="auto"/>
              <w:right w:val="single" w:sz="4" w:space="0" w:color="auto"/>
            </w:tcBorders>
            <w:shd w:val="clear" w:color="auto" w:fill="auto"/>
            <w:noWrap/>
            <w:vAlign w:val="center"/>
            <w:hideMark/>
          </w:tcPr>
          <w:p w14:paraId="4F86945D"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250.950</w:t>
            </w:r>
          </w:p>
        </w:tc>
        <w:tc>
          <w:tcPr>
            <w:tcW w:w="709" w:type="dxa"/>
            <w:tcBorders>
              <w:top w:val="nil"/>
              <w:left w:val="nil"/>
              <w:bottom w:val="single" w:sz="4" w:space="0" w:color="auto"/>
              <w:right w:val="single" w:sz="4" w:space="0" w:color="auto"/>
            </w:tcBorders>
            <w:shd w:val="clear" w:color="auto" w:fill="auto"/>
            <w:noWrap/>
            <w:vAlign w:val="center"/>
            <w:hideMark/>
          </w:tcPr>
          <w:p w14:paraId="78F6884D"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2,62%</w:t>
            </w:r>
          </w:p>
        </w:tc>
        <w:tc>
          <w:tcPr>
            <w:tcW w:w="1474" w:type="dxa"/>
            <w:tcBorders>
              <w:top w:val="nil"/>
              <w:left w:val="single" w:sz="4" w:space="0" w:color="auto"/>
              <w:right w:val="single" w:sz="4" w:space="0" w:color="auto"/>
            </w:tcBorders>
            <w:shd w:val="clear" w:color="auto" w:fill="auto"/>
            <w:noWrap/>
            <w:vAlign w:val="center"/>
          </w:tcPr>
          <w:p w14:paraId="24D7EDFB" w14:textId="77777777" w:rsidR="00BE5781" w:rsidRPr="002F3E5F" w:rsidRDefault="00BE5781" w:rsidP="00BE5781">
            <w:pPr>
              <w:jc w:val="right"/>
              <w:rPr>
                <w:rFonts w:ascii="Arial" w:hAnsi="Arial" w:cs="Arial"/>
                <w:color w:val="000000"/>
                <w:sz w:val="14"/>
                <w:szCs w:val="14"/>
              </w:rPr>
            </w:pPr>
          </w:p>
        </w:tc>
      </w:tr>
      <w:tr w:rsidR="00BE5781" w:rsidRPr="00B666A5" w14:paraId="325177D3" w14:textId="77777777" w:rsidTr="00DB18E1">
        <w:trPr>
          <w:trHeight w:val="315"/>
          <w:jc w:val="center"/>
        </w:trPr>
        <w:tc>
          <w:tcPr>
            <w:tcW w:w="993" w:type="dxa"/>
            <w:vMerge/>
            <w:tcBorders>
              <w:top w:val="nil"/>
              <w:left w:val="single" w:sz="4" w:space="0" w:color="auto"/>
              <w:bottom w:val="single" w:sz="4" w:space="0" w:color="000000"/>
              <w:right w:val="single" w:sz="4" w:space="0" w:color="auto"/>
            </w:tcBorders>
            <w:vAlign w:val="center"/>
            <w:hideMark/>
          </w:tcPr>
          <w:p w14:paraId="225BA134" w14:textId="77777777" w:rsidR="00BE5781" w:rsidRPr="002F3E5F" w:rsidRDefault="00BE5781" w:rsidP="00BE5781">
            <w:pPr>
              <w:rPr>
                <w:rFonts w:ascii="Arial" w:hAnsi="Arial" w:cs="Arial"/>
                <w:color w:val="000000"/>
                <w:sz w:val="14"/>
                <w:szCs w:val="14"/>
              </w:rPr>
            </w:pPr>
          </w:p>
        </w:tc>
        <w:tc>
          <w:tcPr>
            <w:tcW w:w="2409" w:type="dxa"/>
            <w:vMerge/>
            <w:tcBorders>
              <w:top w:val="nil"/>
              <w:left w:val="single" w:sz="4" w:space="0" w:color="auto"/>
              <w:bottom w:val="single" w:sz="4" w:space="0" w:color="000000"/>
              <w:right w:val="single" w:sz="4" w:space="0" w:color="auto"/>
            </w:tcBorders>
            <w:vAlign w:val="center"/>
            <w:hideMark/>
          </w:tcPr>
          <w:p w14:paraId="3043FD04"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3B4E53FA"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APRO 17/2024: Suministro de desfibriladores automáticos implantables, electrodos y malla antibiótica, con destino al Hospital Universitario de Navarra del Servicio Navarro de Salud </w:t>
            </w:r>
            <w:r w:rsidR="00083165">
              <w:rPr>
                <w:rFonts w:ascii="Arial" w:hAnsi="Arial" w:cs="Arial"/>
                <w:color w:val="000000"/>
                <w:sz w:val="14"/>
                <w:szCs w:val="14"/>
              </w:rPr>
              <w:t>–</w:t>
            </w:r>
            <w:proofErr w:type="spellStart"/>
            <w:r w:rsidRPr="002F3E5F">
              <w:rPr>
                <w:rFonts w:ascii="Arial" w:hAnsi="Arial" w:cs="Arial"/>
                <w:color w:val="000000"/>
                <w:sz w:val="14"/>
                <w:szCs w:val="14"/>
              </w:rPr>
              <w:t>Osasunbidea</w:t>
            </w:r>
            <w:proofErr w:type="spellEnd"/>
            <w:r w:rsidR="00083165">
              <w:rPr>
                <w:rFonts w:ascii="Arial" w:hAnsi="Arial" w:cs="Arial"/>
                <w:color w:val="000000"/>
                <w:sz w:val="14"/>
                <w:szCs w:val="14"/>
              </w:rPr>
              <w:t xml:space="preserve"> LOTE 4</w:t>
            </w:r>
          </w:p>
        </w:tc>
        <w:tc>
          <w:tcPr>
            <w:tcW w:w="986" w:type="dxa"/>
            <w:tcBorders>
              <w:top w:val="nil"/>
              <w:left w:val="nil"/>
              <w:bottom w:val="single" w:sz="4" w:space="0" w:color="auto"/>
              <w:right w:val="single" w:sz="4" w:space="0" w:color="auto"/>
            </w:tcBorders>
            <w:shd w:val="clear" w:color="auto" w:fill="auto"/>
            <w:noWrap/>
            <w:vAlign w:val="center"/>
            <w:hideMark/>
          </w:tcPr>
          <w:p w14:paraId="46F86946"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242.300</w:t>
            </w:r>
          </w:p>
        </w:tc>
        <w:tc>
          <w:tcPr>
            <w:tcW w:w="1247" w:type="dxa"/>
            <w:tcBorders>
              <w:top w:val="nil"/>
              <w:left w:val="nil"/>
              <w:bottom w:val="single" w:sz="4" w:space="0" w:color="auto"/>
              <w:right w:val="single" w:sz="4" w:space="0" w:color="auto"/>
            </w:tcBorders>
            <w:shd w:val="clear" w:color="auto" w:fill="auto"/>
            <w:noWrap/>
            <w:vAlign w:val="center"/>
            <w:hideMark/>
          </w:tcPr>
          <w:p w14:paraId="42EB78E6"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241.650</w:t>
            </w:r>
          </w:p>
        </w:tc>
        <w:tc>
          <w:tcPr>
            <w:tcW w:w="709" w:type="dxa"/>
            <w:tcBorders>
              <w:top w:val="nil"/>
              <w:left w:val="nil"/>
              <w:bottom w:val="single" w:sz="4" w:space="0" w:color="auto"/>
              <w:right w:val="single" w:sz="4" w:space="0" w:color="auto"/>
            </w:tcBorders>
            <w:shd w:val="clear" w:color="auto" w:fill="auto"/>
            <w:noWrap/>
            <w:vAlign w:val="center"/>
            <w:hideMark/>
          </w:tcPr>
          <w:p w14:paraId="5E89DA8E"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0,27%</w:t>
            </w:r>
          </w:p>
        </w:tc>
        <w:tc>
          <w:tcPr>
            <w:tcW w:w="1474" w:type="dxa"/>
            <w:tcBorders>
              <w:top w:val="nil"/>
              <w:left w:val="single" w:sz="4" w:space="0" w:color="auto"/>
              <w:right w:val="single" w:sz="4" w:space="0" w:color="auto"/>
            </w:tcBorders>
            <w:shd w:val="clear" w:color="auto" w:fill="auto"/>
            <w:noWrap/>
            <w:vAlign w:val="center"/>
            <w:hideMark/>
          </w:tcPr>
          <w:p w14:paraId="699272F8" w14:textId="77777777" w:rsidR="00BE5781" w:rsidRPr="002F3E5F" w:rsidRDefault="00384FD8" w:rsidP="00BE5781">
            <w:pPr>
              <w:jc w:val="right"/>
              <w:rPr>
                <w:rFonts w:ascii="Arial" w:hAnsi="Arial" w:cs="Arial"/>
                <w:color w:val="000000"/>
                <w:sz w:val="14"/>
                <w:szCs w:val="14"/>
              </w:rPr>
            </w:pPr>
            <w:r w:rsidRPr="002F3E5F">
              <w:rPr>
                <w:rFonts w:ascii="Arial" w:hAnsi="Arial" w:cs="Arial"/>
                <w:color w:val="000000"/>
                <w:sz w:val="14"/>
                <w:szCs w:val="14"/>
              </w:rPr>
              <w:t>Abierto</w:t>
            </w:r>
            <w:r>
              <w:rPr>
                <w:rFonts w:ascii="Arial" w:hAnsi="Arial" w:cs="Arial"/>
                <w:color w:val="000000"/>
                <w:sz w:val="14"/>
                <w:szCs w:val="14"/>
              </w:rPr>
              <w:t xml:space="preserve"> superior al umbral europeo</w:t>
            </w:r>
          </w:p>
        </w:tc>
      </w:tr>
      <w:tr w:rsidR="00BE5781" w:rsidRPr="00B666A5" w14:paraId="435EB593" w14:textId="77777777" w:rsidTr="00DB18E1">
        <w:trPr>
          <w:trHeight w:val="315"/>
          <w:jc w:val="center"/>
        </w:trPr>
        <w:tc>
          <w:tcPr>
            <w:tcW w:w="993" w:type="dxa"/>
            <w:vMerge/>
            <w:tcBorders>
              <w:top w:val="nil"/>
              <w:left w:val="single" w:sz="4" w:space="0" w:color="auto"/>
              <w:bottom w:val="single" w:sz="4" w:space="0" w:color="000000"/>
              <w:right w:val="single" w:sz="4" w:space="0" w:color="auto"/>
            </w:tcBorders>
            <w:vAlign w:val="center"/>
            <w:hideMark/>
          </w:tcPr>
          <w:p w14:paraId="7A6EAA6C" w14:textId="77777777" w:rsidR="00BE5781" w:rsidRPr="002F3E5F" w:rsidRDefault="00BE5781" w:rsidP="00BE5781">
            <w:pPr>
              <w:rPr>
                <w:rFonts w:ascii="Arial" w:hAnsi="Arial" w:cs="Arial"/>
                <w:color w:val="000000"/>
                <w:sz w:val="14"/>
                <w:szCs w:val="14"/>
              </w:rPr>
            </w:pPr>
          </w:p>
        </w:tc>
        <w:tc>
          <w:tcPr>
            <w:tcW w:w="2409" w:type="dxa"/>
            <w:vMerge/>
            <w:tcBorders>
              <w:top w:val="nil"/>
              <w:left w:val="single" w:sz="4" w:space="0" w:color="auto"/>
              <w:bottom w:val="single" w:sz="4" w:space="0" w:color="000000"/>
              <w:right w:val="single" w:sz="4" w:space="0" w:color="auto"/>
            </w:tcBorders>
            <w:vAlign w:val="center"/>
            <w:hideMark/>
          </w:tcPr>
          <w:p w14:paraId="028CEA19"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72FD741B"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APRO 17/2024: Suministro de desfibriladores automáticos implantables, electrodos y malla antibiótica, con destino al Hospital Universitario de Navarra del Servicio Navarro de Salud </w:t>
            </w:r>
            <w:r w:rsidR="00083165">
              <w:rPr>
                <w:rFonts w:ascii="Arial" w:hAnsi="Arial" w:cs="Arial"/>
                <w:color w:val="000000"/>
                <w:sz w:val="14"/>
                <w:szCs w:val="14"/>
              </w:rPr>
              <w:t>–</w:t>
            </w:r>
            <w:proofErr w:type="spellStart"/>
            <w:r w:rsidRPr="002F3E5F">
              <w:rPr>
                <w:rFonts w:ascii="Arial" w:hAnsi="Arial" w:cs="Arial"/>
                <w:color w:val="000000"/>
                <w:sz w:val="14"/>
                <w:szCs w:val="14"/>
              </w:rPr>
              <w:t>Osasunbidea</w:t>
            </w:r>
            <w:proofErr w:type="spellEnd"/>
            <w:r w:rsidR="00083165">
              <w:rPr>
                <w:rFonts w:ascii="Arial" w:hAnsi="Arial" w:cs="Arial"/>
                <w:color w:val="000000"/>
                <w:sz w:val="14"/>
                <w:szCs w:val="14"/>
              </w:rPr>
              <w:t xml:space="preserve"> LOTE 5</w:t>
            </w:r>
          </w:p>
        </w:tc>
        <w:tc>
          <w:tcPr>
            <w:tcW w:w="986" w:type="dxa"/>
            <w:tcBorders>
              <w:top w:val="nil"/>
              <w:left w:val="nil"/>
              <w:bottom w:val="single" w:sz="4" w:space="0" w:color="auto"/>
              <w:right w:val="single" w:sz="4" w:space="0" w:color="auto"/>
            </w:tcBorders>
            <w:shd w:val="clear" w:color="auto" w:fill="auto"/>
            <w:noWrap/>
            <w:vAlign w:val="center"/>
            <w:hideMark/>
          </w:tcPr>
          <w:p w14:paraId="005C2467"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47.100</w:t>
            </w:r>
          </w:p>
        </w:tc>
        <w:tc>
          <w:tcPr>
            <w:tcW w:w="1247" w:type="dxa"/>
            <w:tcBorders>
              <w:top w:val="nil"/>
              <w:left w:val="nil"/>
              <w:bottom w:val="single" w:sz="4" w:space="0" w:color="auto"/>
              <w:right w:val="single" w:sz="4" w:space="0" w:color="auto"/>
            </w:tcBorders>
            <w:shd w:val="clear" w:color="auto" w:fill="auto"/>
            <w:noWrap/>
            <w:vAlign w:val="center"/>
            <w:hideMark/>
          </w:tcPr>
          <w:p w14:paraId="69ED3FE2"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47.100</w:t>
            </w:r>
          </w:p>
        </w:tc>
        <w:tc>
          <w:tcPr>
            <w:tcW w:w="709" w:type="dxa"/>
            <w:tcBorders>
              <w:top w:val="nil"/>
              <w:left w:val="nil"/>
              <w:bottom w:val="single" w:sz="4" w:space="0" w:color="auto"/>
              <w:right w:val="single" w:sz="4" w:space="0" w:color="auto"/>
            </w:tcBorders>
            <w:shd w:val="clear" w:color="auto" w:fill="auto"/>
            <w:noWrap/>
            <w:vAlign w:val="center"/>
            <w:hideMark/>
          </w:tcPr>
          <w:p w14:paraId="4DB8B158"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0,00%</w:t>
            </w:r>
          </w:p>
        </w:tc>
        <w:tc>
          <w:tcPr>
            <w:tcW w:w="1474" w:type="dxa"/>
            <w:tcBorders>
              <w:top w:val="nil"/>
              <w:left w:val="single" w:sz="4" w:space="0" w:color="auto"/>
              <w:right w:val="single" w:sz="4" w:space="0" w:color="auto"/>
            </w:tcBorders>
            <w:shd w:val="clear" w:color="auto" w:fill="auto"/>
            <w:noWrap/>
            <w:vAlign w:val="center"/>
          </w:tcPr>
          <w:p w14:paraId="417868F1" w14:textId="77777777" w:rsidR="00BE5781" w:rsidRPr="002F3E5F" w:rsidRDefault="00BE5781" w:rsidP="00BE5781">
            <w:pPr>
              <w:jc w:val="right"/>
              <w:rPr>
                <w:rFonts w:ascii="Arial" w:hAnsi="Arial" w:cs="Arial"/>
                <w:color w:val="000000"/>
                <w:sz w:val="14"/>
                <w:szCs w:val="14"/>
              </w:rPr>
            </w:pPr>
          </w:p>
        </w:tc>
      </w:tr>
      <w:tr w:rsidR="00BE5781" w:rsidRPr="00B666A5" w14:paraId="4B31901C" w14:textId="77777777" w:rsidTr="00DB18E1">
        <w:trPr>
          <w:trHeight w:val="315"/>
          <w:jc w:val="center"/>
        </w:trPr>
        <w:tc>
          <w:tcPr>
            <w:tcW w:w="993" w:type="dxa"/>
            <w:vMerge/>
            <w:tcBorders>
              <w:top w:val="nil"/>
              <w:left w:val="single" w:sz="4" w:space="0" w:color="auto"/>
              <w:bottom w:val="single" w:sz="4" w:space="0" w:color="000000"/>
              <w:right w:val="single" w:sz="4" w:space="0" w:color="auto"/>
            </w:tcBorders>
            <w:vAlign w:val="center"/>
            <w:hideMark/>
          </w:tcPr>
          <w:p w14:paraId="2368A1F2" w14:textId="77777777" w:rsidR="00BE5781" w:rsidRPr="002F3E5F" w:rsidRDefault="00BE5781" w:rsidP="00BE5781">
            <w:pPr>
              <w:rPr>
                <w:rFonts w:ascii="Arial" w:hAnsi="Arial" w:cs="Arial"/>
                <w:color w:val="000000"/>
                <w:sz w:val="14"/>
                <w:szCs w:val="14"/>
              </w:rPr>
            </w:pPr>
          </w:p>
        </w:tc>
        <w:tc>
          <w:tcPr>
            <w:tcW w:w="2409" w:type="dxa"/>
            <w:vMerge/>
            <w:tcBorders>
              <w:top w:val="nil"/>
              <w:left w:val="single" w:sz="4" w:space="0" w:color="auto"/>
              <w:bottom w:val="single" w:sz="4" w:space="0" w:color="000000"/>
              <w:right w:val="single" w:sz="4" w:space="0" w:color="auto"/>
            </w:tcBorders>
            <w:vAlign w:val="center"/>
            <w:hideMark/>
          </w:tcPr>
          <w:p w14:paraId="001976B8"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6BEC0DFD"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APRO 17/2024: Suministro de desfibriladores automáticos implantables, electrodos y malla antibiótica, con destino al Hospital Universitario de Navarra del Servicio Navarro de Salud </w:t>
            </w:r>
            <w:r w:rsidR="00083165">
              <w:rPr>
                <w:rFonts w:ascii="Arial" w:hAnsi="Arial" w:cs="Arial"/>
                <w:color w:val="000000"/>
                <w:sz w:val="14"/>
                <w:szCs w:val="14"/>
              </w:rPr>
              <w:t>–</w:t>
            </w:r>
            <w:proofErr w:type="spellStart"/>
            <w:r w:rsidRPr="002F3E5F">
              <w:rPr>
                <w:rFonts w:ascii="Arial" w:hAnsi="Arial" w:cs="Arial"/>
                <w:color w:val="000000"/>
                <w:sz w:val="14"/>
                <w:szCs w:val="14"/>
              </w:rPr>
              <w:t>Osasunbidea</w:t>
            </w:r>
            <w:proofErr w:type="spellEnd"/>
            <w:r w:rsidR="00083165">
              <w:rPr>
                <w:rFonts w:ascii="Arial" w:hAnsi="Arial" w:cs="Arial"/>
                <w:color w:val="000000"/>
                <w:sz w:val="14"/>
                <w:szCs w:val="14"/>
              </w:rPr>
              <w:t xml:space="preserve"> LOTE 6</w:t>
            </w:r>
          </w:p>
        </w:tc>
        <w:tc>
          <w:tcPr>
            <w:tcW w:w="986" w:type="dxa"/>
            <w:tcBorders>
              <w:top w:val="nil"/>
              <w:left w:val="nil"/>
              <w:bottom w:val="single" w:sz="4" w:space="0" w:color="auto"/>
              <w:right w:val="single" w:sz="4" w:space="0" w:color="auto"/>
            </w:tcBorders>
            <w:shd w:val="clear" w:color="auto" w:fill="auto"/>
            <w:noWrap/>
            <w:vAlign w:val="center"/>
            <w:hideMark/>
          </w:tcPr>
          <w:p w14:paraId="59E1960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116.660</w:t>
            </w:r>
          </w:p>
        </w:tc>
        <w:tc>
          <w:tcPr>
            <w:tcW w:w="1247" w:type="dxa"/>
            <w:tcBorders>
              <w:top w:val="nil"/>
              <w:left w:val="nil"/>
              <w:bottom w:val="single" w:sz="4" w:space="0" w:color="auto"/>
              <w:right w:val="single" w:sz="4" w:space="0" w:color="auto"/>
            </w:tcBorders>
            <w:shd w:val="clear" w:color="auto" w:fill="auto"/>
            <w:noWrap/>
            <w:vAlign w:val="center"/>
            <w:hideMark/>
          </w:tcPr>
          <w:p w14:paraId="3E4465A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113.648</w:t>
            </w:r>
          </w:p>
        </w:tc>
        <w:tc>
          <w:tcPr>
            <w:tcW w:w="709" w:type="dxa"/>
            <w:tcBorders>
              <w:top w:val="nil"/>
              <w:left w:val="nil"/>
              <w:bottom w:val="single" w:sz="4" w:space="0" w:color="auto"/>
              <w:right w:val="single" w:sz="4" w:space="0" w:color="auto"/>
            </w:tcBorders>
            <w:shd w:val="clear" w:color="auto" w:fill="auto"/>
            <w:noWrap/>
            <w:vAlign w:val="center"/>
            <w:hideMark/>
          </w:tcPr>
          <w:p w14:paraId="60FB8CFB"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2,58%</w:t>
            </w:r>
          </w:p>
        </w:tc>
        <w:tc>
          <w:tcPr>
            <w:tcW w:w="1474" w:type="dxa"/>
            <w:tcBorders>
              <w:top w:val="nil"/>
              <w:left w:val="single" w:sz="4" w:space="0" w:color="auto"/>
              <w:right w:val="single" w:sz="4" w:space="0" w:color="auto"/>
            </w:tcBorders>
            <w:shd w:val="clear" w:color="auto" w:fill="auto"/>
            <w:noWrap/>
            <w:vAlign w:val="center"/>
          </w:tcPr>
          <w:p w14:paraId="2D5C5B91" w14:textId="77777777" w:rsidR="00BE5781" w:rsidRPr="002F3E5F" w:rsidRDefault="00BE5781" w:rsidP="00BE5781">
            <w:pPr>
              <w:jc w:val="right"/>
              <w:rPr>
                <w:rFonts w:ascii="Arial" w:hAnsi="Arial" w:cs="Arial"/>
                <w:color w:val="000000"/>
                <w:sz w:val="14"/>
                <w:szCs w:val="14"/>
              </w:rPr>
            </w:pPr>
          </w:p>
        </w:tc>
      </w:tr>
      <w:tr w:rsidR="00BE5781" w:rsidRPr="00B666A5" w14:paraId="49217CE1" w14:textId="77777777" w:rsidTr="00DB18E1">
        <w:trPr>
          <w:trHeight w:val="315"/>
          <w:jc w:val="center"/>
        </w:trPr>
        <w:tc>
          <w:tcPr>
            <w:tcW w:w="993" w:type="dxa"/>
            <w:vMerge/>
            <w:tcBorders>
              <w:top w:val="nil"/>
              <w:left w:val="single" w:sz="4" w:space="0" w:color="auto"/>
              <w:bottom w:val="single" w:sz="4" w:space="0" w:color="000000"/>
              <w:right w:val="single" w:sz="4" w:space="0" w:color="auto"/>
            </w:tcBorders>
            <w:vAlign w:val="center"/>
            <w:hideMark/>
          </w:tcPr>
          <w:p w14:paraId="4772521F" w14:textId="77777777" w:rsidR="00BE5781" w:rsidRPr="002F3E5F" w:rsidRDefault="00BE5781" w:rsidP="00BE5781">
            <w:pPr>
              <w:rPr>
                <w:rFonts w:ascii="Arial" w:hAnsi="Arial" w:cs="Arial"/>
                <w:color w:val="000000"/>
                <w:sz w:val="14"/>
                <w:szCs w:val="14"/>
              </w:rPr>
            </w:pPr>
          </w:p>
        </w:tc>
        <w:tc>
          <w:tcPr>
            <w:tcW w:w="2409" w:type="dxa"/>
            <w:vMerge/>
            <w:tcBorders>
              <w:top w:val="nil"/>
              <w:left w:val="single" w:sz="4" w:space="0" w:color="auto"/>
              <w:bottom w:val="single" w:sz="4" w:space="0" w:color="000000"/>
              <w:right w:val="single" w:sz="4" w:space="0" w:color="auto"/>
            </w:tcBorders>
            <w:vAlign w:val="center"/>
            <w:hideMark/>
          </w:tcPr>
          <w:p w14:paraId="07C541D6"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357B68AA"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APRO 17/2024: Suministro de desfibriladores automáticos implantables, electrodos y malla antibiótica, con destino al </w:t>
            </w:r>
            <w:r w:rsidRPr="002F3E5F">
              <w:rPr>
                <w:rFonts w:ascii="Arial" w:hAnsi="Arial" w:cs="Arial"/>
                <w:color w:val="000000"/>
                <w:sz w:val="14"/>
                <w:szCs w:val="14"/>
              </w:rPr>
              <w:lastRenderedPageBreak/>
              <w:t xml:space="preserve">Hospital Universitario de Navarra del Servicio Navarro de Salud </w:t>
            </w:r>
            <w:r w:rsidR="00083165">
              <w:rPr>
                <w:rFonts w:ascii="Arial" w:hAnsi="Arial" w:cs="Arial"/>
                <w:color w:val="000000"/>
                <w:sz w:val="14"/>
                <w:szCs w:val="14"/>
              </w:rPr>
              <w:t>–</w:t>
            </w:r>
            <w:proofErr w:type="spellStart"/>
            <w:r w:rsidRPr="002F3E5F">
              <w:rPr>
                <w:rFonts w:ascii="Arial" w:hAnsi="Arial" w:cs="Arial"/>
                <w:color w:val="000000"/>
                <w:sz w:val="14"/>
                <w:szCs w:val="14"/>
              </w:rPr>
              <w:t>Osasunbidea</w:t>
            </w:r>
            <w:proofErr w:type="spellEnd"/>
            <w:r w:rsidR="00083165">
              <w:rPr>
                <w:rFonts w:ascii="Arial" w:hAnsi="Arial" w:cs="Arial"/>
                <w:color w:val="000000"/>
                <w:sz w:val="14"/>
                <w:szCs w:val="14"/>
              </w:rPr>
              <w:t xml:space="preserve"> LOTE 7</w:t>
            </w:r>
          </w:p>
        </w:tc>
        <w:tc>
          <w:tcPr>
            <w:tcW w:w="986" w:type="dxa"/>
            <w:tcBorders>
              <w:top w:val="nil"/>
              <w:left w:val="nil"/>
              <w:bottom w:val="single" w:sz="4" w:space="0" w:color="auto"/>
              <w:right w:val="single" w:sz="4" w:space="0" w:color="auto"/>
            </w:tcBorders>
            <w:shd w:val="clear" w:color="auto" w:fill="auto"/>
            <w:noWrap/>
            <w:vAlign w:val="center"/>
            <w:hideMark/>
          </w:tcPr>
          <w:p w14:paraId="5A6B04E4"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lastRenderedPageBreak/>
              <w:t>130.010</w:t>
            </w:r>
          </w:p>
        </w:tc>
        <w:tc>
          <w:tcPr>
            <w:tcW w:w="1247" w:type="dxa"/>
            <w:tcBorders>
              <w:top w:val="nil"/>
              <w:left w:val="nil"/>
              <w:bottom w:val="single" w:sz="4" w:space="0" w:color="auto"/>
              <w:right w:val="single" w:sz="4" w:space="0" w:color="auto"/>
            </w:tcBorders>
            <w:shd w:val="clear" w:color="auto" w:fill="auto"/>
            <w:noWrap/>
            <w:vAlign w:val="center"/>
            <w:hideMark/>
          </w:tcPr>
          <w:p w14:paraId="56A7957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125.670</w:t>
            </w:r>
          </w:p>
        </w:tc>
        <w:tc>
          <w:tcPr>
            <w:tcW w:w="709" w:type="dxa"/>
            <w:tcBorders>
              <w:top w:val="nil"/>
              <w:left w:val="nil"/>
              <w:bottom w:val="single" w:sz="4" w:space="0" w:color="auto"/>
              <w:right w:val="single" w:sz="4" w:space="0" w:color="auto"/>
            </w:tcBorders>
            <w:shd w:val="clear" w:color="auto" w:fill="auto"/>
            <w:noWrap/>
            <w:vAlign w:val="center"/>
            <w:hideMark/>
          </w:tcPr>
          <w:p w14:paraId="761CD821"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3,34%</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4B9C6026" w14:textId="77777777" w:rsidR="00BE5781" w:rsidRPr="002F3E5F" w:rsidRDefault="00BE5781" w:rsidP="00BE5781">
            <w:pPr>
              <w:jc w:val="right"/>
              <w:rPr>
                <w:rFonts w:ascii="Arial" w:hAnsi="Arial" w:cs="Arial"/>
                <w:color w:val="000000"/>
                <w:sz w:val="14"/>
                <w:szCs w:val="14"/>
              </w:rPr>
            </w:pPr>
          </w:p>
        </w:tc>
      </w:tr>
      <w:tr w:rsidR="00BE5781" w:rsidRPr="00B666A5" w14:paraId="69B624D8" w14:textId="77777777" w:rsidTr="00DB18E1">
        <w:trPr>
          <w:trHeight w:val="315"/>
          <w:jc w:val="center"/>
        </w:trPr>
        <w:tc>
          <w:tcPr>
            <w:tcW w:w="993" w:type="dxa"/>
            <w:vMerge/>
            <w:tcBorders>
              <w:top w:val="nil"/>
              <w:left w:val="single" w:sz="4" w:space="0" w:color="auto"/>
              <w:bottom w:val="single" w:sz="4" w:space="0" w:color="000000"/>
              <w:right w:val="single" w:sz="4" w:space="0" w:color="auto"/>
            </w:tcBorders>
            <w:vAlign w:val="center"/>
            <w:hideMark/>
          </w:tcPr>
          <w:p w14:paraId="24C08CDF" w14:textId="77777777" w:rsidR="00BE5781" w:rsidRPr="002F3E5F" w:rsidRDefault="00BE5781" w:rsidP="00BE5781">
            <w:pPr>
              <w:rPr>
                <w:rFonts w:ascii="Arial" w:hAnsi="Arial" w:cs="Arial"/>
                <w:color w:val="000000"/>
                <w:sz w:val="14"/>
                <w:szCs w:val="14"/>
              </w:rPr>
            </w:pPr>
          </w:p>
        </w:tc>
        <w:tc>
          <w:tcPr>
            <w:tcW w:w="2409" w:type="dxa"/>
            <w:vMerge/>
            <w:tcBorders>
              <w:top w:val="nil"/>
              <w:left w:val="single" w:sz="4" w:space="0" w:color="auto"/>
              <w:bottom w:val="single" w:sz="4" w:space="0" w:color="000000"/>
              <w:right w:val="single" w:sz="4" w:space="0" w:color="auto"/>
            </w:tcBorders>
            <w:vAlign w:val="center"/>
            <w:hideMark/>
          </w:tcPr>
          <w:p w14:paraId="09E90548"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4B7C4C75"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APRO 17/2024: Suministro de desfibriladores automáticos implantables, electrodos y malla antibiótica, con destino al Hospital Universitario de Navarra del Servicio Navarro de Salud </w:t>
            </w:r>
            <w:r w:rsidR="00083165">
              <w:rPr>
                <w:rFonts w:ascii="Arial" w:hAnsi="Arial" w:cs="Arial"/>
                <w:color w:val="000000"/>
                <w:sz w:val="14"/>
                <w:szCs w:val="14"/>
              </w:rPr>
              <w:t>–</w:t>
            </w:r>
            <w:proofErr w:type="spellStart"/>
            <w:r w:rsidRPr="002F3E5F">
              <w:rPr>
                <w:rFonts w:ascii="Arial" w:hAnsi="Arial" w:cs="Arial"/>
                <w:color w:val="000000"/>
                <w:sz w:val="14"/>
                <w:szCs w:val="14"/>
              </w:rPr>
              <w:t>Osasunbidea</w:t>
            </w:r>
            <w:proofErr w:type="spellEnd"/>
            <w:r w:rsidR="00083165">
              <w:rPr>
                <w:rFonts w:ascii="Arial" w:hAnsi="Arial" w:cs="Arial"/>
                <w:color w:val="000000"/>
                <w:sz w:val="14"/>
                <w:szCs w:val="14"/>
              </w:rPr>
              <w:t xml:space="preserve"> LOTE 8</w:t>
            </w:r>
          </w:p>
        </w:tc>
        <w:tc>
          <w:tcPr>
            <w:tcW w:w="986" w:type="dxa"/>
            <w:tcBorders>
              <w:top w:val="nil"/>
              <w:left w:val="nil"/>
              <w:bottom w:val="single" w:sz="4" w:space="0" w:color="auto"/>
              <w:right w:val="single" w:sz="4" w:space="0" w:color="auto"/>
            </w:tcBorders>
            <w:shd w:val="clear" w:color="auto" w:fill="auto"/>
            <w:noWrap/>
            <w:vAlign w:val="center"/>
            <w:hideMark/>
          </w:tcPr>
          <w:p w14:paraId="7A8E1245"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133.010</w:t>
            </w:r>
          </w:p>
        </w:tc>
        <w:tc>
          <w:tcPr>
            <w:tcW w:w="1247" w:type="dxa"/>
            <w:tcBorders>
              <w:top w:val="nil"/>
              <w:left w:val="nil"/>
              <w:bottom w:val="single" w:sz="4" w:space="0" w:color="auto"/>
              <w:right w:val="single" w:sz="4" w:space="0" w:color="auto"/>
            </w:tcBorders>
            <w:shd w:val="clear" w:color="auto" w:fill="auto"/>
            <w:noWrap/>
            <w:vAlign w:val="center"/>
            <w:hideMark/>
          </w:tcPr>
          <w:p w14:paraId="375FE53E"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129.428</w:t>
            </w:r>
          </w:p>
        </w:tc>
        <w:tc>
          <w:tcPr>
            <w:tcW w:w="709" w:type="dxa"/>
            <w:tcBorders>
              <w:top w:val="nil"/>
              <w:left w:val="nil"/>
              <w:bottom w:val="single" w:sz="4" w:space="0" w:color="auto"/>
              <w:right w:val="single" w:sz="4" w:space="0" w:color="auto"/>
            </w:tcBorders>
            <w:shd w:val="clear" w:color="auto" w:fill="auto"/>
            <w:noWrap/>
            <w:vAlign w:val="center"/>
            <w:hideMark/>
          </w:tcPr>
          <w:p w14:paraId="74EA3EE2"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2,69%</w:t>
            </w:r>
          </w:p>
        </w:tc>
        <w:tc>
          <w:tcPr>
            <w:tcW w:w="1474" w:type="dxa"/>
            <w:tcBorders>
              <w:top w:val="single" w:sz="4" w:space="0" w:color="auto"/>
              <w:left w:val="single" w:sz="4" w:space="0" w:color="auto"/>
              <w:right w:val="single" w:sz="4" w:space="0" w:color="auto"/>
            </w:tcBorders>
            <w:shd w:val="clear" w:color="auto" w:fill="auto"/>
            <w:noWrap/>
            <w:vAlign w:val="center"/>
          </w:tcPr>
          <w:p w14:paraId="597B4941" w14:textId="77777777" w:rsidR="00BE5781" w:rsidRPr="002F3E5F" w:rsidRDefault="00BE5781" w:rsidP="00BE5781">
            <w:pPr>
              <w:jc w:val="right"/>
              <w:rPr>
                <w:rFonts w:ascii="Arial" w:hAnsi="Arial" w:cs="Arial"/>
                <w:color w:val="000000"/>
                <w:sz w:val="14"/>
                <w:szCs w:val="14"/>
              </w:rPr>
            </w:pPr>
          </w:p>
        </w:tc>
      </w:tr>
      <w:tr w:rsidR="00BE5781" w:rsidRPr="00B666A5" w14:paraId="68FE0F2A" w14:textId="77777777" w:rsidTr="00DB18E1">
        <w:trPr>
          <w:trHeight w:val="315"/>
          <w:jc w:val="center"/>
        </w:trPr>
        <w:tc>
          <w:tcPr>
            <w:tcW w:w="993" w:type="dxa"/>
            <w:vMerge/>
            <w:tcBorders>
              <w:top w:val="nil"/>
              <w:left w:val="single" w:sz="4" w:space="0" w:color="auto"/>
              <w:bottom w:val="single" w:sz="4" w:space="0" w:color="000000"/>
              <w:right w:val="single" w:sz="4" w:space="0" w:color="auto"/>
            </w:tcBorders>
            <w:vAlign w:val="center"/>
            <w:hideMark/>
          </w:tcPr>
          <w:p w14:paraId="0BB05155" w14:textId="77777777" w:rsidR="00BE5781" w:rsidRPr="002F3E5F" w:rsidRDefault="00BE5781" w:rsidP="00BE5781">
            <w:pPr>
              <w:rPr>
                <w:rFonts w:ascii="Arial" w:hAnsi="Arial" w:cs="Arial"/>
                <w:color w:val="000000"/>
                <w:sz w:val="14"/>
                <w:szCs w:val="14"/>
              </w:rPr>
            </w:pPr>
          </w:p>
        </w:tc>
        <w:tc>
          <w:tcPr>
            <w:tcW w:w="2409" w:type="dxa"/>
            <w:vMerge/>
            <w:tcBorders>
              <w:top w:val="nil"/>
              <w:left w:val="single" w:sz="4" w:space="0" w:color="auto"/>
              <w:bottom w:val="single" w:sz="4" w:space="0" w:color="000000"/>
              <w:right w:val="single" w:sz="4" w:space="0" w:color="auto"/>
            </w:tcBorders>
            <w:vAlign w:val="center"/>
            <w:hideMark/>
          </w:tcPr>
          <w:p w14:paraId="062CDBB6"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01F58094"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APRO 17/2024: Suministro de desfibriladores automáticos implantables, electrodos y malla antibiótica, con destino al Hospital Universitario de Navarra del Servicio Navarro de Salud </w:t>
            </w:r>
            <w:r w:rsidR="00083165">
              <w:rPr>
                <w:rFonts w:ascii="Arial" w:hAnsi="Arial" w:cs="Arial"/>
                <w:color w:val="000000"/>
                <w:sz w:val="14"/>
                <w:szCs w:val="14"/>
              </w:rPr>
              <w:t>–</w:t>
            </w:r>
            <w:proofErr w:type="spellStart"/>
            <w:r w:rsidRPr="002F3E5F">
              <w:rPr>
                <w:rFonts w:ascii="Arial" w:hAnsi="Arial" w:cs="Arial"/>
                <w:color w:val="000000"/>
                <w:sz w:val="14"/>
                <w:szCs w:val="14"/>
              </w:rPr>
              <w:t>Osasunbidea</w:t>
            </w:r>
            <w:proofErr w:type="spellEnd"/>
            <w:r w:rsidR="00083165">
              <w:rPr>
                <w:rFonts w:ascii="Arial" w:hAnsi="Arial" w:cs="Arial"/>
                <w:color w:val="000000"/>
                <w:sz w:val="14"/>
                <w:szCs w:val="14"/>
              </w:rPr>
              <w:t xml:space="preserve"> LOTE 9</w:t>
            </w:r>
          </w:p>
        </w:tc>
        <w:tc>
          <w:tcPr>
            <w:tcW w:w="986" w:type="dxa"/>
            <w:tcBorders>
              <w:top w:val="nil"/>
              <w:left w:val="nil"/>
              <w:bottom w:val="single" w:sz="4" w:space="0" w:color="auto"/>
              <w:right w:val="single" w:sz="4" w:space="0" w:color="auto"/>
            </w:tcBorders>
            <w:shd w:val="clear" w:color="auto" w:fill="auto"/>
            <w:noWrap/>
            <w:vAlign w:val="center"/>
            <w:hideMark/>
          </w:tcPr>
          <w:p w14:paraId="42526EBB"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12.000</w:t>
            </w:r>
          </w:p>
        </w:tc>
        <w:tc>
          <w:tcPr>
            <w:tcW w:w="1247" w:type="dxa"/>
            <w:tcBorders>
              <w:top w:val="nil"/>
              <w:left w:val="nil"/>
              <w:bottom w:val="single" w:sz="4" w:space="0" w:color="auto"/>
              <w:right w:val="single" w:sz="4" w:space="0" w:color="auto"/>
            </w:tcBorders>
            <w:shd w:val="clear" w:color="auto" w:fill="auto"/>
            <w:noWrap/>
            <w:vAlign w:val="center"/>
            <w:hideMark/>
          </w:tcPr>
          <w:p w14:paraId="6F6EC1EB"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12.000</w:t>
            </w:r>
          </w:p>
        </w:tc>
        <w:tc>
          <w:tcPr>
            <w:tcW w:w="709" w:type="dxa"/>
            <w:tcBorders>
              <w:top w:val="nil"/>
              <w:left w:val="nil"/>
              <w:bottom w:val="single" w:sz="4" w:space="0" w:color="auto"/>
              <w:right w:val="single" w:sz="4" w:space="0" w:color="auto"/>
            </w:tcBorders>
            <w:shd w:val="clear" w:color="auto" w:fill="auto"/>
            <w:noWrap/>
            <w:vAlign w:val="center"/>
            <w:hideMark/>
          </w:tcPr>
          <w:p w14:paraId="071237E1"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0,00%</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60F66E9B" w14:textId="77777777" w:rsidR="00BE5781" w:rsidRPr="002F3E5F" w:rsidRDefault="00BE5781" w:rsidP="00BE5781">
            <w:pPr>
              <w:jc w:val="right"/>
              <w:rPr>
                <w:rFonts w:ascii="Arial" w:hAnsi="Arial" w:cs="Arial"/>
                <w:color w:val="000000"/>
                <w:sz w:val="14"/>
                <w:szCs w:val="14"/>
              </w:rPr>
            </w:pPr>
          </w:p>
        </w:tc>
      </w:tr>
      <w:tr w:rsidR="00BE5781" w:rsidRPr="00B666A5" w14:paraId="56863225" w14:textId="77777777" w:rsidTr="00DB18E1">
        <w:trPr>
          <w:trHeight w:val="315"/>
          <w:jc w:val="center"/>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598BCCF"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M3</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14:paraId="7F904961"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Departamento de Universidad, Innovación y Transformación Digital</w:t>
            </w:r>
          </w:p>
        </w:tc>
        <w:tc>
          <w:tcPr>
            <w:tcW w:w="3828" w:type="dxa"/>
            <w:tcBorders>
              <w:top w:val="nil"/>
              <w:left w:val="nil"/>
              <w:bottom w:val="single" w:sz="4" w:space="0" w:color="auto"/>
              <w:right w:val="single" w:sz="4" w:space="0" w:color="auto"/>
            </w:tcBorders>
            <w:shd w:val="clear" w:color="auto" w:fill="auto"/>
            <w:noWrap/>
            <w:vAlign w:val="bottom"/>
            <w:hideMark/>
          </w:tcPr>
          <w:p w14:paraId="5D5C1BED"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Contratación de la ampliación hardware y software de la infraestructura servidora del entorno distribuido de Gobierno de Navarra</w:t>
            </w:r>
            <w:r w:rsidR="00083165">
              <w:rPr>
                <w:rFonts w:ascii="Arial" w:hAnsi="Arial" w:cs="Arial"/>
                <w:color w:val="000000"/>
                <w:sz w:val="14"/>
                <w:szCs w:val="14"/>
              </w:rPr>
              <w:t xml:space="preserve"> LOTE 1</w:t>
            </w:r>
          </w:p>
        </w:tc>
        <w:tc>
          <w:tcPr>
            <w:tcW w:w="986" w:type="dxa"/>
            <w:tcBorders>
              <w:top w:val="nil"/>
              <w:left w:val="nil"/>
              <w:bottom w:val="single" w:sz="4" w:space="0" w:color="auto"/>
              <w:right w:val="single" w:sz="4" w:space="0" w:color="auto"/>
            </w:tcBorders>
            <w:shd w:val="clear" w:color="auto" w:fill="auto"/>
            <w:noWrap/>
            <w:vAlign w:val="center"/>
            <w:hideMark/>
          </w:tcPr>
          <w:p w14:paraId="31A83F85"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1.155.473</w:t>
            </w:r>
          </w:p>
        </w:tc>
        <w:tc>
          <w:tcPr>
            <w:tcW w:w="1247" w:type="dxa"/>
            <w:tcBorders>
              <w:top w:val="nil"/>
              <w:left w:val="nil"/>
              <w:bottom w:val="single" w:sz="4" w:space="0" w:color="auto"/>
              <w:right w:val="single" w:sz="4" w:space="0" w:color="auto"/>
            </w:tcBorders>
            <w:shd w:val="clear" w:color="auto" w:fill="auto"/>
            <w:noWrap/>
            <w:vAlign w:val="center"/>
            <w:hideMark/>
          </w:tcPr>
          <w:p w14:paraId="1E99A4CA"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1.071.671</w:t>
            </w:r>
          </w:p>
        </w:tc>
        <w:tc>
          <w:tcPr>
            <w:tcW w:w="709" w:type="dxa"/>
            <w:tcBorders>
              <w:top w:val="nil"/>
              <w:left w:val="nil"/>
              <w:bottom w:val="single" w:sz="4" w:space="0" w:color="auto"/>
              <w:right w:val="single" w:sz="4" w:space="0" w:color="auto"/>
            </w:tcBorders>
            <w:shd w:val="clear" w:color="auto" w:fill="auto"/>
            <w:noWrap/>
            <w:vAlign w:val="center"/>
            <w:hideMark/>
          </w:tcPr>
          <w:p w14:paraId="07539A33"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7,25%</w:t>
            </w:r>
          </w:p>
        </w:tc>
        <w:tc>
          <w:tcPr>
            <w:tcW w:w="1474" w:type="dxa"/>
            <w:tcBorders>
              <w:top w:val="single" w:sz="4" w:space="0" w:color="auto"/>
              <w:left w:val="single" w:sz="4" w:space="0" w:color="auto"/>
              <w:right w:val="single" w:sz="4" w:space="0" w:color="auto"/>
            </w:tcBorders>
            <w:shd w:val="clear" w:color="auto" w:fill="auto"/>
            <w:noWrap/>
            <w:vAlign w:val="center"/>
            <w:hideMark/>
          </w:tcPr>
          <w:p w14:paraId="2D4F4E93" w14:textId="77777777" w:rsidR="00BE5781" w:rsidRPr="002F3E5F" w:rsidRDefault="00BE5781" w:rsidP="00BE5781">
            <w:pPr>
              <w:jc w:val="right"/>
              <w:rPr>
                <w:rFonts w:ascii="Arial" w:hAnsi="Arial" w:cs="Arial"/>
                <w:color w:val="000000"/>
                <w:sz w:val="14"/>
                <w:szCs w:val="14"/>
              </w:rPr>
            </w:pPr>
          </w:p>
        </w:tc>
      </w:tr>
      <w:tr w:rsidR="00BE5781" w:rsidRPr="00B666A5" w14:paraId="274432A5" w14:textId="77777777" w:rsidTr="00DB18E1">
        <w:trPr>
          <w:trHeight w:val="315"/>
          <w:jc w:val="center"/>
        </w:trPr>
        <w:tc>
          <w:tcPr>
            <w:tcW w:w="993" w:type="dxa"/>
            <w:vMerge/>
            <w:tcBorders>
              <w:top w:val="nil"/>
              <w:left w:val="single" w:sz="4" w:space="0" w:color="auto"/>
              <w:bottom w:val="single" w:sz="4" w:space="0" w:color="000000"/>
              <w:right w:val="single" w:sz="4" w:space="0" w:color="auto"/>
            </w:tcBorders>
            <w:vAlign w:val="center"/>
            <w:hideMark/>
          </w:tcPr>
          <w:p w14:paraId="753E9FFD" w14:textId="77777777" w:rsidR="00BE5781" w:rsidRPr="002F3E5F" w:rsidRDefault="00BE5781" w:rsidP="00BE5781">
            <w:pPr>
              <w:rPr>
                <w:rFonts w:ascii="Arial" w:hAnsi="Arial" w:cs="Arial"/>
                <w:color w:val="000000"/>
                <w:sz w:val="14"/>
                <w:szCs w:val="14"/>
              </w:rPr>
            </w:pPr>
          </w:p>
        </w:tc>
        <w:tc>
          <w:tcPr>
            <w:tcW w:w="2409" w:type="dxa"/>
            <w:vMerge/>
            <w:tcBorders>
              <w:top w:val="nil"/>
              <w:left w:val="single" w:sz="4" w:space="0" w:color="auto"/>
              <w:bottom w:val="single" w:sz="4" w:space="0" w:color="000000"/>
              <w:right w:val="single" w:sz="4" w:space="0" w:color="auto"/>
            </w:tcBorders>
            <w:vAlign w:val="center"/>
            <w:hideMark/>
          </w:tcPr>
          <w:p w14:paraId="7E8C91FC"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71C97218"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Contratación de la ampliación hardware y software de la infraestructura servidora del entorno distribuido de Gobierno de Navarra</w:t>
            </w:r>
            <w:r w:rsidR="00083165">
              <w:rPr>
                <w:rFonts w:ascii="Arial" w:hAnsi="Arial" w:cs="Arial"/>
                <w:color w:val="000000"/>
                <w:sz w:val="14"/>
                <w:szCs w:val="14"/>
              </w:rPr>
              <w:t xml:space="preserve"> LOTE 2</w:t>
            </w:r>
          </w:p>
        </w:tc>
        <w:tc>
          <w:tcPr>
            <w:tcW w:w="986" w:type="dxa"/>
            <w:tcBorders>
              <w:top w:val="nil"/>
              <w:left w:val="nil"/>
              <w:bottom w:val="single" w:sz="4" w:space="0" w:color="auto"/>
              <w:right w:val="single" w:sz="4" w:space="0" w:color="auto"/>
            </w:tcBorders>
            <w:shd w:val="clear" w:color="auto" w:fill="auto"/>
            <w:noWrap/>
            <w:vAlign w:val="center"/>
            <w:hideMark/>
          </w:tcPr>
          <w:p w14:paraId="582B052B"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43.773</w:t>
            </w:r>
          </w:p>
        </w:tc>
        <w:tc>
          <w:tcPr>
            <w:tcW w:w="1247" w:type="dxa"/>
            <w:tcBorders>
              <w:top w:val="nil"/>
              <w:left w:val="nil"/>
              <w:bottom w:val="single" w:sz="4" w:space="0" w:color="auto"/>
              <w:right w:val="single" w:sz="4" w:space="0" w:color="auto"/>
            </w:tcBorders>
            <w:shd w:val="clear" w:color="auto" w:fill="auto"/>
            <w:noWrap/>
            <w:vAlign w:val="center"/>
            <w:hideMark/>
          </w:tcPr>
          <w:p w14:paraId="0572259B"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41.135</w:t>
            </w:r>
          </w:p>
        </w:tc>
        <w:tc>
          <w:tcPr>
            <w:tcW w:w="709" w:type="dxa"/>
            <w:tcBorders>
              <w:top w:val="nil"/>
              <w:left w:val="nil"/>
              <w:bottom w:val="single" w:sz="4" w:space="0" w:color="auto"/>
              <w:right w:val="single" w:sz="4" w:space="0" w:color="auto"/>
            </w:tcBorders>
            <w:shd w:val="clear" w:color="auto" w:fill="auto"/>
            <w:noWrap/>
            <w:vAlign w:val="center"/>
            <w:hideMark/>
          </w:tcPr>
          <w:p w14:paraId="07195CC4"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6,03%</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73087A2E" w14:textId="77777777" w:rsidR="00BE5781" w:rsidRPr="002F3E5F" w:rsidRDefault="00083165" w:rsidP="00BE5781">
            <w:pPr>
              <w:jc w:val="right"/>
              <w:rPr>
                <w:rFonts w:ascii="Arial" w:hAnsi="Arial" w:cs="Arial"/>
                <w:color w:val="000000"/>
                <w:sz w:val="14"/>
                <w:szCs w:val="14"/>
              </w:rPr>
            </w:pPr>
            <w:r w:rsidRPr="002F3E5F">
              <w:rPr>
                <w:rFonts w:ascii="Arial" w:hAnsi="Arial" w:cs="Arial"/>
                <w:color w:val="000000"/>
                <w:sz w:val="14"/>
                <w:szCs w:val="14"/>
              </w:rPr>
              <w:t>Abierto</w:t>
            </w:r>
            <w:r>
              <w:rPr>
                <w:rFonts w:ascii="Arial" w:hAnsi="Arial" w:cs="Arial"/>
                <w:color w:val="000000"/>
                <w:sz w:val="14"/>
                <w:szCs w:val="14"/>
              </w:rPr>
              <w:t xml:space="preserve"> superior al umbral europeo</w:t>
            </w:r>
          </w:p>
        </w:tc>
      </w:tr>
      <w:tr w:rsidR="00BE5781" w:rsidRPr="00B666A5" w14:paraId="4423DCA9" w14:textId="77777777" w:rsidTr="00DB18E1">
        <w:trPr>
          <w:trHeight w:val="31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E57A833"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M4</w:t>
            </w:r>
          </w:p>
        </w:tc>
        <w:tc>
          <w:tcPr>
            <w:tcW w:w="2409" w:type="dxa"/>
            <w:tcBorders>
              <w:top w:val="nil"/>
              <w:left w:val="nil"/>
              <w:bottom w:val="single" w:sz="4" w:space="0" w:color="auto"/>
              <w:right w:val="single" w:sz="4" w:space="0" w:color="auto"/>
            </w:tcBorders>
            <w:shd w:val="clear" w:color="auto" w:fill="auto"/>
            <w:noWrap/>
            <w:vAlign w:val="bottom"/>
            <w:hideMark/>
          </w:tcPr>
          <w:p w14:paraId="03DC9894"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Departamento de Universidad, Innovación y Transformación Digital</w:t>
            </w:r>
          </w:p>
        </w:tc>
        <w:tc>
          <w:tcPr>
            <w:tcW w:w="3828" w:type="dxa"/>
            <w:tcBorders>
              <w:top w:val="nil"/>
              <w:left w:val="nil"/>
              <w:bottom w:val="single" w:sz="4" w:space="0" w:color="auto"/>
              <w:right w:val="single" w:sz="4" w:space="0" w:color="auto"/>
            </w:tcBorders>
            <w:shd w:val="clear" w:color="auto" w:fill="auto"/>
            <w:noWrap/>
            <w:vAlign w:val="bottom"/>
            <w:hideMark/>
          </w:tcPr>
          <w:p w14:paraId="40D6168B"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Implantación del CPD del Gobierno de Navarra definido por software</w:t>
            </w:r>
          </w:p>
        </w:tc>
        <w:tc>
          <w:tcPr>
            <w:tcW w:w="986" w:type="dxa"/>
            <w:tcBorders>
              <w:top w:val="nil"/>
              <w:left w:val="nil"/>
              <w:bottom w:val="single" w:sz="4" w:space="0" w:color="auto"/>
              <w:right w:val="single" w:sz="4" w:space="0" w:color="auto"/>
            </w:tcBorders>
            <w:shd w:val="clear" w:color="auto" w:fill="auto"/>
            <w:noWrap/>
            <w:vAlign w:val="center"/>
            <w:hideMark/>
          </w:tcPr>
          <w:p w14:paraId="702BB5D9" w14:textId="77777777" w:rsidR="00BE5781" w:rsidRPr="002F3E5F" w:rsidRDefault="00BE5781" w:rsidP="00BE5781">
            <w:pPr>
              <w:jc w:val="right"/>
              <w:rPr>
                <w:rFonts w:ascii="Arial" w:hAnsi="Arial" w:cs="Arial"/>
                <w:color w:val="000000"/>
                <w:sz w:val="14"/>
                <w:szCs w:val="14"/>
              </w:rPr>
            </w:pPr>
            <w:r>
              <w:rPr>
                <w:rFonts w:ascii="Arial" w:hAnsi="Arial" w:cs="Arial"/>
                <w:color w:val="000000"/>
                <w:sz w:val="14"/>
                <w:szCs w:val="14"/>
              </w:rPr>
              <w:t>1.384.298</w:t>
            </w:r>
          </w:p>
        </w:tc>
        <w:tc>
          <w:tcPr>
            <w:tcW w:w="1247" w:type="dxa"/>
            <w:tcBorders>
              <w:top w:val="nil"/>
              <w:left w:val="nil"/>
              <w:bottom w:val="single" w:sz="4" w:space="0" w:color="auto"/>
              <w:right w:val="single" w:sz="4" w:space="0" w:color="auto"/>
            </w:tcBorders>
            <w:shd w:val="clear" w:color="auto" w:fill="auto"/>
            <w:noWrap/>
            <w:vAlign w:val="center"/>
            <w:hideMark/>
          </w:tcPr>
          <w:p w14:paraId="57EC407D"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1.310.515,66</w:t>
            </w:r>
          </w:p>
        </w:tc>
        <w:tc>
          <w:tcPr>
            <w:tcW w:w="709" w:type="dxa"/>
            <w:tcBorders>
              <w:top w:val="nil"/>
              <w:left w:val="nil"/>
              <w:bottom w:val="single" w:sz="4" w:space="0" w:color="auto"/>
              <w:right w:val="single" w:sz="4" w:space="0" w:color="auto"/>
            </w:tcBorders>
            <w:shd w:val="clear" w:color="auto" w:fill="auto"/>
            <w:noWrap/>
            <w:vAlign w:val="center"/>
            <w:hideMark/>
          </w:tcPr>
          <w:p w14:paraId="1D72E297"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5,33%</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5B6B72E7" w14:textId="77777777" w:rsidR="00BE5781" w:rsidRPr="002F3E5F" w:rsidRDefault="00384FD8" w:rsidP="00BE5781">
            <w:pPr>
              <w:jc w:val="right"/>
              <w:rPr>
                <w:rFonts w:ascii="Arial" w:hAnsi="Arial" w:cs="Arial"/>
                <w:color w:val="000000"/>
                <w:sz w:val="14"/>
                <w:szCs w:val="14"/>
              </w:rPr>
            </w:pPr>
            <w:r w:rsidRPr="002F3E5F">
              <w:rPr>
                <w:rFonts w:ascii="Arial" w:hAnsi="Arial" w:cs="Arial"/>
                <w:color w:val="000000"/>
                <w:sz w:val="14"/>
                <w:szCs w:val="14"/>
              </w:rPr>
              <w:t>Abierto</w:t>
            </w:r>
            <w:r>
              <w:rPr>
                <w:rFonts w:ascii="Arial" w:hAnsi="Arial" w:cs="Arial"/>
                <w:color w:val="000000"/>
                <w:sz w:val="14"/>
                <w:szCs w:val="14"/>
              </w:rPr>
              <w:t xml:space="preserve"> superior al umbral europeo</w:t>
            </w:r>
          </w:p>
        </w:tc>
      </w:tr>
      <w:tr w:rsidR="00BE5781" w:rsidRPr="00B666A5" w14:paraId="1428B563" w14:textId="77777777" w:rsidTr="00DB18E1">
        <w:trPr>
          <w:trHeight w:val="386"/>
          <w:jc w:val="center"/>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D529F2"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M5</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B6E7A1"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 xml:space="preserve">Departamento de Universidad, Innovación y Transformación Digital </w:t>
            </w:r>
          </w:p>
        </w:tc>
        <w:tc>
          <w:tcPr>
            <w:tcW w:w="3828" w:type="dxa"/>
            <w:tcBorders>
              <w:top w:val="single" w:sz="4" w:space="0" w:color="auto"/>
              <w:left w:val="nil"/>
              <w:bottom w:val="single" w:sz="4" w:space="0" w:color="auto"/>
              <w:right w:val="single" w:sz="4" w:space="0" w:color="auto"/>
            </w:tcBorders>
            <w:shd w:val="clear" w:color="auto" w:fill="auto"/>
            <w:noWrap/>
            <w:vAlign w:val="bottom"/>
            <w:hideMark/>
          </w:tcPr>
          <w:p w14:paraId="7DE0E699"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Estaciones de trabajo, monitores, portátiles, replicadores de puertos y sus licencias asociadas (2023-2025)</w:t>
            </w:r>
            <w:r w:rsidR="00083165">
              <w:rPr>
                <w:rFonts w:ascii="Arial" w:hAnsi="Arial" w:cs="Arial"/>
                <w:color w:val="000000"/>
                <w:sz w:val="14"/>
                <w:szCs w:val="14"/>
              </w:rPr>
              <w:t xml:space="preserve"> LOTE 1</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7FB76FD"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1.746.364</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4510A80B"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1.289.080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B0B898F"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26,18%</w:t>
            </w:r>
          </w:p>
        </w:tc>
        <w:tc>
          <w:tcPr>
            <w:tcW w:w="1474" w:type="dxa"/>
            <w:tcBorders>
              <w:top w:val="single" w:sz="4" w:space="0" w:color="auto"/>
              <w:left w:val="single" w:sz="4" w:space="0" w:color="auto"/>
              <w:right w:val="single" w:sz="4" w:space="0" w:color="auto"/>
            </w:tcBorders>
            <w:shd w:val="clear" w:color="auto" w:fill="auto"/>
            <w:noWrap/>
            <w:vAlign w:val="center"/>
          </w:tcPr>
          <w:p w14:paraId="74A90B70" w14:textId="77777777" w:rsidR="00BE5781" w:rsidRPr="002F3E5F" w:rsidRDefault="00BE5781" w:rsidP="00BE5781">
            <w:pPr>
              <w:jc w:val="right"/>
              <w:rPr>
                <w:rFonts w:ascii="Arial" w:hAnsi="Arial" w:cs="Arial"/>
                <w:color w:val="000000"/>
                <w:sz w:val="14"/>
                <w:szCs w:val="14"/>
              </w:rPr>
            </w:pPr>
          </w:p>
        </w:tc>
      </w:tr>
      <w:tr w:rsidR="00BE5781" w:rsidRPr="00B666A5" w14:paraId="34687FEF" w14:textId="77777777" w:rsidTr="00DB18E1">
        <w:trPr>
          <w:trHeight w:val="421"/>
          <w:jc w:val="center"/>
        </w:trPr>
        <w:tc>
          <w:tcPr>
            <w:tcW w:w="993" w:type="dxa"/>
            <w:vMerge/>
            <w:tcBorders>
              <w:top w:val="single" w:sz="4" w:space="0" w:color="auto"/>
              <w:left w:val="single" w:sz="4" w:space="0" w:color="auto"/>
              <w:bottom w:val="nil"/>
              <w:right w:val="single" w:sz="4" w:space="0" w:color="auto"/>
            </w:tcBorders>
            <w:vAlign w:val="center"/>
            <w:hideMark/>
          </w:tcPr>
          <w:p w14:paraId="78C34771" w14:textId="77777777" w:rsidR="00BE5781" w:rsidRPr="002F3E5F" w:rsidRDefault="00BE5781" w:rsidP="00BE5781">
            <w:pPr>
              <w:rPr>
                <w:rFonts w:ascii="Arial" w:hAnsi="Arial" w:cs="Arial"/>
                <w:color w:val="000000"/>
                <w:sz w:val="14"/>
                <w:szCs w:val="14"/>
              </w:rPr>
            </w:pPr>
          </w:p>
        </w:tc>
        <w:tc>
          <w:tcPr>
            <w:tcW w:w="2409" w:type="dxa"/>
            <w:vMerge/>
            <w:tcBorders>
              <w:top w:val="single" w:sz="4" w:space="0" w:color="auto"/>
              <w:left w:val="single" w:sz="4" w:space="0" w:color="auto"/>
              <w:bottom w:val="nil"/>
              <w:right w:val="single" w:sz="4" w:space="0" w:color="auto"/>
            </w:tcBorders>
            <w:vAlign w:val="center"/>
            <w:hideMark/>
          </w:tcPr>
          <w:p w14:paraId="7698A7E5" w14:textId="77777777" w:rsidR="00BE5781" w:rsidRPr="002F3E5F" w:rsidRDefault="00BE5781" w:rsidP="00BE5781">
            <w:pPr>
              <w:rPr>
                <w:rFonts w:ascii="Arial" w:hAnsi="Arial" w:cs="Arial"/>
                <w:color w:val="000000"/>
                <w:sz w:val="14"/>
                <w:szCs w:val="14"/>
              </w:rPr>
            </w:pPr>
          </w:p>
        </w:tc>
        <w:tc>
          <w:tcPr>
            <w:tcW w:w="3828" w:type="dxa"/>
            <w:tcBorders>
              <w:top w:val="single" w:sz="4" w:space="0" w:color="auto"/>
              <w:left w:val="nil"/>
              <w:bottom w:val="single" w:sz="4" w:space="0" w:color="auto"/>
              <w:right w:val="single" w:sz="4" w:space="0" w:color="auto"/>
            </w:tcBorders>
            <w:shd w:val="clear" w:color="auto" w:fill="auto"/>
            <w:noWrap/>
            <w:vAlign w:val="bottom"/>
            <w:hideMark/>
          </w:tcPr>
          <w:p w14:paraId="596DE11E"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Estaciones de trabajo, monitores, portátiles, replicadores de puertos y sus licencias asociadas (2023-2025)</w:t>
            </w:r>
            <w:r w:rsidR="00083165">
              <w:rPr>
                <w:rFonts w:ascii="Arial" w:hAnsi="Arial" w:cs="Arial"/>
                <w:color w:val="000000"/>
                <w:sz w:val="14"/>
                <w:szCs w:val="14"/>
              </w:rPr>
              <w:t xml:space="preserve"> LOTE 2</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67622F83"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24.888</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3CC598D8"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20.690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38571A9"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16,87%</w:t>
            </w:r>
          </w:p>
        </w:tc>
        <w:tc>
          <w:tcPr>
            <w:tcW w:w="1474" w:type="dxa"/>
            <w:tcBorders>
              <w:left w:val="single" w:sz="4" w:space="0" w:color="auto"/>
              <w:right w:val="single" w:sz="4" w:space="0" w:color="auto"/>
            </w:tcBorders>
            <w:shd w:val="clear" w:color="auto" w:fill="auto"/>
            <w:noWrap/>
            <w:vAlign w:val="center"/>
            <w:hideMark/>
          </w:tcPr>
          <w:p w14:paraId="3166160B" w14:textId="77777777" w:rsidR="00BE5781" w:rsidRPr="002F3E5F" w:rsidRDefault="00083165" w:rsidP="00BE5781">
            <w:pPr>
              <w:jc w:val="right"/>
              <w:rPr>
                <w:rFonts w:ascii="Arial" w:hAnsi="Arial" w:cs="Arial"/>
                <w:color w:val="000000"/>
                <w:sz w:val="14"/>
                <w:szCs w:val="14"/>
              </w:rPr>
            </w:pPr>
            <w:r w:rsidRPr="002F3E5F">
              <w:rPr>
                <w:rFonts w:ascii="Arial" w:hAnsi="Arial" w:cs="Arial"/>
                <w:color w:val="000000"/>
                <w:sz w:val="14"/>
                <w:szCs w:val="14"/>
              </w:rPr>
              <w:t>Abierto</w:t>
            </w:r>
            <w:r>
              <w:rPr>
                <w:rFonts w:ascii="Arial" w:hAnsi="Arial" w:cs="Arial"/>
                <w:color w:val="000000"/>
                <w:sz w:val="14"/>
                <w:szCs w:val="14"/>
              </w:rPr>
              <w:t xml:space="preserve"> superior al umbral europeo</w:t>
            </w:r>
          </w:p>
        </w:tc>
      </w:tr>
      <w:tr w:rsidR="00BE5781" w:rsidRPr="002F3E5F" w14:paraId="617D9A59" w14:textId="77777777" w:rsidTr="00DB18E1">
        <w:trPr>
          <w:trHeight w:val="413"/>
          <w:jc w:val="center"/>
        </w:trPr>
        <w:tc>
          <w:tcPr>
            <w:tcW w:w="993" w:type="dxa"/>
            <w:vMerge/>
            <w:tcBorders>
              <w:top w:val="nil"/>
              <w:left w:val="single" w:sz="4" w:space="0" w:color="auto"/>
              <w:bottom w:val="nil"/>
              <w:right w:val="single" w:sz="4" w:space="0" w:color="auto"/>
            </w:tcBorders>
            <w:vAlign w:val="center"/>
            <w:hideMark/>
          </w:tcPr>
          <w:p w14:paraId="2800C8CB" w14:textId="77777777" w:rsidR="00BE5781" w:rsidRPr="002F3E5F" w:rsidRDefault="00BE5781" w:rsidP="00BE5781">
            <w:pPr>
              <w:rPr>
                <w:rFonts w:ascii="Arial" w:hAnsi="Arial" w:cs="Arial"/>
                <w:color w:val="000000"/>
                <w:sz w:val="14"/>
                <w:szCs w:val="14"/>
              </w:rPr>
            </w:pPr>
          </w:p>
        </w:tc>
        <w:tc>
          <w:tcPr>
            <w:tcW w:w="2409" w:type="dxa"/>
            <w:vMerge/>
            <w:tcBorders>
              <w:top w:val="nil"/>
              <w:left w:val="single" w:sz="4" w:space="0" w:color="auto"/>
              <w:bottom w:val="nil"/>
              <w:right w:val="single" w:sz="4" w:space="0" w:color="auto"/>
            </w:tcBorders>
            <w:vAlign w:val="center"/>
            <w:hideMark/>
          </w:tcPr>
          <w:p w14:paraId="4123ECD6"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1A41A676"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Estaciones de trabajo, monitores, portátiles, replicadores de puertos y sus licencias asociadas (2023-2025)</w:t>
            </w:r>
            <w:r w:rsidR="00083165">
              <w:rPr>
                <w:rFonts w:ascii="Arial" w:hAnsi="Arial" w:cs="Arial"/>
                <w:color w:val="000000"/>
                <w:sz w:val="14"/>
                <w:szCs w:val="14"/>
              </w:rPr>
              <w:t xml:space="preserve"> LOTE 3</w:t>
            </w:r>
          </w:p>
        </w:tc>
        <w:tc>
          <w:tcPr>
            <w:tcW w:w="986" w:type="dxa"/>
            <w:tcBorders>
              <w:top w:val="nil"/>
              <w:left w:val="nil"/>
              <w:bottom w:val="single" w:sz="4" w:space="0" w:color="auto"/>
              <w:right w:val="single" w:sz="4" w:space="0" w:color="auto"/>
            </w:tcBorders>
            <w:shd w:val="clear" w:color="auto" w:fill="auto"/>
            <w:noWrap/>
            <w:vAlign w:val="center"/>
            <w:hideMark/>
          </w:tcPr>
          <w:p w14:paraId="639BB2BD"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39.782</w:t>
            </w:r>
          </w:p>
        </w:tc>
        <w:tc>
          <w:tcPr>
            <w:tcW w:w="1247" w:type="dxa"/>
            <w:tcBorders>
              <w:top w:val="single" w:sz="4" w:space="0" w:color="auto"/>
              <w:left w:val="nil"/>
              <w:bottom w:val="single" w:sz="4" w:space="0" w:color="auto"/>
              <w:right w:val="single" w:sz="4" w:space="0" w:color="000000"/>
            </w:tcBorders>
            <w:shd w:val="clear" w:color="000000" w:fill="D9D9D9"/>
            <w:noWrap/>
            <w:vAlign w:val="center"/>
            <w:hideMark/>
          </w:tcPr>
          <w:p w14:paraId="6724ED80" w14:textId="77777777" w:rsidR="00BE5781" w:rsidRPr="002F3E5F" w:rsidRDefault="00BE5781" w:rsidP="00BE5781">
            <w:pPr>
              <w:jc w:val="center"/>
              <w:rPr>
                <w:rFonts w:ascii="Arial" w:hAnsi="Arial" w:cs="Arial"/>
                <w:color w:val="000000"/>
                <w:sz w:val="14"/>
                <w:szCs w:val="14"/>
              </w:rPr>
            </w:pPr>
            <w:r>
              <w:rPr>
                <w:rFonts w:ascii="Arial" w:hAnsi="Arial" w:cs="Arial"/>
                <w:color w:val="000000"/>
                <w:sz w:val="14"/>
                <w:szCs w:val="14"/>
              </w:rPr>
              <w:t>D</w:t>
            </w:r>
            <w:r w:rsidR="00384FD8">
              <w:rPr>
                <w:rFonts w:ascii="Arial" w:hAnsi="Arial" w:cs="Arial"/>
                <w:color w:val="000000"/>
                <w:sz w:val="14"/>
                <w:szCs w:val="14"/>
              </w:rPr>
              <w:t>esierto</w:t>
            </w:r>
          </w:p>
        </w:tc>
        <w:tc>
          <w:tcPr>
            <w:tcW w:w="709" w:type="dxa"/>
            <w:tcBorders>
              <w:top w:val="nil"/>
              <w:left w:val="nil"/>
              <w:bottom w:val="single" w:sz="4" w:space="0" w:color="auto"/>
              <w:right w:val="single" w:sz="4" w:space="0" w:color="auto"/>
            </w:tcBorders>
            <w:shd w:val="clear" w:color="auto" w:fill="auto"/>
            <w:noWrap/>
            <w:vAlign w:val="center"/>
            <w:hideMark/>
          </w:tcPr>
          <w:p w14:paraId="0EB83679"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Abierto</w:t>
            </w:r>
          </w:p>
        </w:tc>
        <w:tc>
          <w:tcPr>
            <w:tcW w:w="1474" w:type="dxa"/>
            <w:tcBorders>
              <w:top w:val="nil"/>
              <w:left w:val="single" w:sz="4" w:space="0" w:color="auto"/>
              <w:right w:val="single" w:sz="4" w:space="0" w:color="auto"/>
            </w:tcBorders>
            <w:shd w:val="clear" w:color="auto" w:fill="auto"/>
            <w:noWrap/>
            <w:vAlign w:val="center"/>
          </w:tcPr>
          <w:p w14:paraId="4C0E73CF" w14:textId="77777777" w:rsidR="00BE5781" w:rsidRPr="002F3E5F" w:rsidRDefault="00BE5781" w:rsidP="00BE5781">
            <w:pPr>
              <w:jc w:val="right"/>
              <w:rPr>
                <w:rFonts w:ascii="Arial" w:hAnsi="Arial" w:cs="Arial"/>
                <w:color w:val="000000"/>
                <w:sz w:val="14"/>
                <w:szCs w:val="14"/>
              </w:rPr>
            </w:pPr>
          </w:p>
        </w:tc>
      </w:tr>
      <w:tr w:rsidR="00BE5781" w:rsidRPr="002F3E5F" w14:paraId="35936C09" w14:textId="77777777" w:rsidTr="00DB18E1">
        <w:trPr>
          <w:trHeight w:val="418"/>
          <w:jc w:val="center"/>
        </w:trPr>
        <w:tc>
          <w:tcPr>
            <w:tcW w:w="993" w:type="dxa"/>
            <w:vMerge/>
            <w:tcBorders>
              <w:top w:val="nil"/>
              <w:left w:val="single" w:sz="4" w:space="0" w:color="auto"/>
              <w:bottom w:val="nil"/>
              <w:right w:val="single" w:sz="4" w:space="0" w:color="auto"/>
            </w:tcBorders>
            <w:vAlign w:val="center"/>
            <w:hideMark/>
          </w:tcPr>
          <w:p w14:paraId="2A97337B" w14:textId="77777777" w:rsidR="00BE5781" w:rsidRPr="002F3E5F" w:rsidRDefault="00BE5781" w:rsidP="00BE5781">
            <w:pPr>
              <w:rPr>
                <w:rFonts w:ascii="Arial" w:hAnsi="Arial" w:cs="Arial"/>
                <w:color w:val="000000"/>
                <w:sz w:val="14"/>
                <w:szCs w:val="14"/>
              </w:rPr>
            </w:pPr>
          </w:p>
        </w:tc>
        <w:tc>
          <w:tcPr>
            <w:tcW w:w="2409" w:type="dxa"/>
            <w:vMerge/>
            <w:tcBorders>
              <w:top w:val="nil"/>
              <w:left w:val="single" w:sz="4" w:space="0" w:color="auto"/>
              <w:bottom w:val="nil"/>
              <w:right w:val="single" w:sz="4" w:space="0" w:color="auto"/>
            </w:tcBorders>
            <w:vAlign w:val="center"/>
            <w:hideMark/>
          </w:tcPr>
          <w:p w14:paraId="059EC5C9"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37166A2A"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Estaciones de trabajo, monitores, portátiles, replicadores de puertos y sus licencias asociadas (2023-2025)</w:t>
            </w:r>
            <w:r w:rsidR="00083165">
              <w:rPr>
                <w:rFonts w:ascii="Arial" w:hAnsi="Arial" w:cs="Arial"/>
                <w:color w:val="000000"/>
                <w:sz w:val="14"/>
                <w:szCs w:val="14"/>
              </w:rPr>
              <w:t xml:space="preserve"> LOTE 4</w:t>
            </w:r>
          </w:p>
        </w:tc>
        <w:tc>
          <w:tcPr>
            <w:tcW w:w="986" w:type="dxa"/>
            <w:tcBorders>
              <w:top w:val="nil"/>
              <w:left w:val="nil"/>
              <w:bottom w:val="single" w:sz="4" w:space="0" w:color="auto"/>
              <w:right w:val="single" w:sz="4" w:space="0" w:color="auto"/>
            </w:tcBorders>
            <w:shd w:val="clear" w:color="auto" w:fill="auto"/>
            <w:noWrap/>
            <w:vAlign w:val="center"/>
            <w:hideMark/>
          </w:tcPr>
          <w:p w14:paraId="71F3A54C"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22.120</w:t>
            </w:r>
          </w:p>
        </w:tc>
        <w:tc>
          <w:tcPr>
            <w:tcW w:w="1247" w:type="dxa"/>
            <w:tcBorders>
              <w:top w:val="single" w:sz="4" w:space="0" w:color="auto"/>
              <w:left w:val="nil"/>
              <w:bottom w:val="single" w:sz="4" w:space="0" w:color="auto"/>
              <w:right w:val="single" w:sz="4" w:space="0" w:color="000000"/>
            </w:tcBorders>
            <w:shd w:val="clear" w:color="000000" w:fill="D9D9D9"/>
            <w:noWrap/>
            <w:vAlign w:val="center"/>
            <w:hideMark/>
          </w:tcPr>
          <w:p w14:paraId="2B193EDC" w14:textId="77777777" w:rsidR="00BE5781" w:rsidRPr="002F3E5F" w:rsidRDefault="00BE5781" w:rsidP="00BE5781">
            <w:pPr>
              <w:jc w:val="center"/>
              <w:rPr>
                <w:rFonts w:ascii="Arial" w:hAnsi="Arial" w:cs="Arial"/>
                <w:color w:val="000000"/>
                <w:sz w:val="14"/>
                <w:szCs w:val="14"/>
              </w:rPr>
            </w:pPr>
            <w:r>
              <w:rPr>
                <w:rFonts w:ascii="Arial" w:hAnsi="Arial" w:cs="Arial"/>
                <w:color w:val="000000"/>
                <w:sz w:val="14"/>
                <w:szCs w:val="14"/>
              </w:rPr>
              <w:t>D</w:t>
            </w:r>
            <w:r w:rsidR="00384FD8">
              <w:rPr>
                <w:rFonts w:ascii="Arial" w:hAnsi="Arial" w:cs="Arial"/>
                <w:color w:val="000000"/>
                <w:sz w:val="14"/>
                <w:szCs w:val="14"/>
              </w:rPr>
              <w:t>esierto</w:t>
            </w:r>
          </w:p>
        </w:tc>
        <w:tc>
          <w:tcPr>
            <w:tcW w:w="709" w:type="dxa"/>
            <w:tcBorders>
              <w:top w:val="nil"/>
              <w:left w:val="nil"/>
              <w:bottom w:val="single" w:sz="4" w:space="0" w:color="auto"/>
              <w:right w:val="single" w:sz="4" w:space="0" w:color="auto"/>
            </w:tcBorders>
            <w:shd w:val="clear" w:color="auto" w:fill="auto"/>
            <w:noWrap/>
            <w:vAlign w:val="center"/>
            <w:hideMark/>
          </w:tcPr>
          <w:p w14:paraId="028D4748"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Abierto</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00F441F8" w14:textId="77777777" w:rsidR="00BE5781" w:rsidRPr="002F3E5F" w:rsidRDefault="00BE5781" w:rsidP="00BE5781">
            <w:pPr>
              <w:jc w:val="right"/>
              <w:rPr>
                <w:rFonts w:ascii="Arial" w:hAnsi="Arial" w:cs="Arial"/>
                <w:color w:val="000000"/>
                <w:sz w:val="14"/>
                <w:szCs w:val="14"/>
              </w:rPr>
            </w:pPr>
          </w:p>
        </w:tc>
      </w:tr>
      <w:tr w:rsidR="00BE5781" w:rsidRPr="00B666A5" w14:paraId="6C98D15E" w14:textId="77777777" w:rsidTr="00DB18E1">
        <w:trPr>
          <w:trHeight w:val="315"/>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474CB"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M6</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14:paraId="0721938C"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Departamento De Hacienda Y Política Financiera</w:t>
            </w:r>
          </w:p>
        </w:tc>
        <w:tc>
          <w:tcPr>
            <w:tcW w:w="3828" w:type="dxa"/>
            <w:tcBorders>
              <w:top w:val="nil"/>
              <w:left w:val="nil"/>
              <w:bottom w:val="single" w:sz="4" w:space="0" w:color="auto"/>
              <w:right w:val="single" w:sz="4" w:space="0" w:color="auto"/>
            </w:tcBorders>
            <w:shd w:val="clear" w:color="auto" w:fill="auto"/>
            <w:noWrap/>
            <w:vAlign w:val="bottom"/>
            <w:hideMark/>
          </w:tcPr>
          <w:p w14:paraId="2E2628D1"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Suministro y renovación de diferentes equipos audiovisuales en las salas de vistas de los Palacios de Justicia de Pamplona, Tudela, Estella, Tafalla y Aoiz</w:t>
            </w:r>
            <w:r w:rsidR="00083165">
              <w:rPr>
                <w:rFonts w:ascii="Arial" w:hAnsi="Arial" w:cs="Arial"/>
                <w:color w:val="000000"/>
                <w:sz w:val="14"/>
                <w:szCs w:val="14"/>
              </w:rPr>
              <w:t xml:space="preserve">. </w:t>
            </w:r>
          </w:p>
        </w:tc>
        <w:tc>
          <w:tcPr>
            <w:tcW w:w="986" w:type="dxa"/>
            <w:tcBorders>
              <w:top w:val="nil"/>
              <w:left w:val="nil"/>
              <w:bottom w:val="single" w:sz="4" w:space="0" w:color="auto"/>
              <w:right w:val="single" w:sz="4" w:space="0" w:color="auto"/>
            </w:tcBorders>
            <w:shd w:val="clear" w:color="auto" w:fill="auto"/>
            <w:noWrap/>
            <w:vAlign w:val="center"/>
            <w:hideMark/>
          </w:tcPr>
          <w:p w14:paraId="08F8B44B"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466.164</w:t>
            </w:r>
          </w:p>
        </w:tc>
        <w:tc>
          <w:tcPr>
            <w:tcW w:w="1247" w:type="dxa"/>
            <w:tcBorders>
              <w:top w:val="nil"/>
              <w:left w:val="nil"/>
              <w:bottom w:val="single" w:sz="4" w:space="0" w:color="auto"/>
              <w:right w:val="single" w:sz="4" w:space="0" w:color="auto"/>
            </w:tcBorders>
            <w:shd w:val="clear" w:color="auto" w:fill="auto"/>
            <w:noWrap/>
            <w:vAlign w:val="center"/>
            <w:hideMark/>
          </w:tcPr>
          <w:p w14:paraId="482956F8"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386.630</w:t>
            </w:r>
          </w:p>
        </w:tc>
        <w:tc>
          <w:tcPr>
            <w:tcW w:w="709" w:type="dxa"/>
            <w:tcBorders>
              <w:top w:val="nil"/>
              <w:left w:val="nil"/>
              <w:bottom w:val="single" w:sz="4" w:space="0" w:color="auto"/>
              <w:right w:val="single" w:sz="4" w:space="0" w:color="auto"/>
            </w:tcBorders>
            <w:shd w:val="clear" w:color="auto" w:fill="auto"/>
            <w:noWrap/>
            <w:vAlign w:val="center"/>
            <w:hideMark/>
          </w:tcPr>
          <w:p w14:paraId="74FA4AFF"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17,06%</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411C0FD9" w14:textId="77777777" w:rsidR="00BE5781" w:rsidRPr="002F3E5F" w:rsidRDefault="00384FD8" w:rsidP="00BE5781">
            <w:pPr>
              <w:jc w:val="right"/>
              <w:rPr>
                <w:rFonts w:ascii="Arial" w:hAnsi="Arial" w:cs="Arial"/>
                <w:color w:val="000000"/>
                <w:sz w:val="14"/>
                <w:szCs w:val="14"/>
              </w:rPr>
            </w:pPr>
            <w:r w:rsidRPr="002F3E5F">
              <w:rPr>
                <w:rFonts w:ascii="Arial" w:hAnsi="Arial" w:cs="Arial"/>
                <w:color w:val="000000"/>
                <w:sz w:val="14"/>
                <w:szCs w:val="14"/>
              </w:rPr>
              <w:t>Abierto</w:t>
            </w:r>
            <w:r>
              <w:rPr>
                <w:rFonts w:ascii="Arial" w:hAnsi="Arial" w:cs="Arial"/>
                <w:color w:val="000000"/>
                <w:sz w:val="14"/>
                <w:szCs w:val="14"/>
              </w:rPr>
              <w:t xml:space="preserve"> superior al umbral europeo</w:t>
            </w:r>
          </w:p>
        </w:tc>
      </w:tr>
      <w:tr w:rsidR="00BE5781" w:rsidRPr="00B666A5" w14:paraId="05D35975" w14:textId="77777777" w:rsidTr="00DB18E1">
        <w:trPr>
          <w:trHeight w:val="399"/>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DA505AD"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M7</w:t>
            </w:r>
          </w:p>
        </w:tc>
        <w:tc>
          <w:tcPr>
            <w:tcW w:w="2409" w:type="dxa"/>
            <w:tcBorders>
              <w:top w:val="nil"/>
              <w:left w:val="nil"/>
              <w:bottom w:val="single" w:sz="4" w:space="0" w:color="auto"/>
              <w:right w:val="single" w:sz="4" w:space="0" w:color="auto"/>
            </w:tcBorders>
            <w:shd w:val="clear" w:color="auto" w:fill="auto"/>
            <w:noWrap/>
            <w:vAlign w:val="bottom"/>
            <w:hideMark/>
          </w:tcPr>
          <w:p w14:paraId="7ED78181"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Departamento De Hacienda Y Política Financiera </w:t>
            </w:r>
          </w:p>
        </w:tc>
        <w:tc>
          <w:tcPr>
            <w:tcW w:w="3828" w:type="dxa"/>
            <w:tcBorders>
              <w:top w:val="nil"/>
              <w:left w:val="nil"/>
              <w:bottom w:val="single" w:sz="4" w:space="0" w:color="auto"/>
              <w:right w:val="single" w:sz="4" w:space="0" w:color="auto"/>
            </w:tcBorders>
            <w:shd w:val="clear" w:color="auto" w:fill="auto"/>
            <w:noWrap/>
            <w:vAlign w:val="bottom"/>
            <w:hideMark/>
          </w:tcPr>
          <w:p w14:paraId="2C9032E4"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Suministro y montaje de armarios compactos en el Archivo Contemporáneo de Navarra. Segunda licitación.</w:t>
            </w:r>
          </w:p>
        </w:tc>
        <w:tc>
          <w:tcPr>
            <w:tcW w:w="986" w:type="dxa"/>
            <w:tcBorders>
              <w:top w:val="nil"/>
              <w:left w:val="nil"/>
              <w:bottom w:val="single" w:sz="4" w:space="0" w:color="auto"/>
              <w:right w:val="single" w:sz="4" w:space="0" w:color="auto"/>
            </w:tcBorders>
            <w:shd w:val="clear" w:color="auto" w:fill="auto"/>
            <w:noWrap/>
            <w:vAlign w:val="center"/>
            <w:hideMark/>
          </w:tcPr>
          <w:p w14:paraId="32FD2693"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500.000</w:t>
            </w:r>
          </w:p>
        </w:tc>
        <w:tc>
          <w:tcPr>
            <w:tcW w:w="1247" w:type="dxa"/>
            <w:tcBorders>
              <w:top w:val="nil"/>
              <w:left w:val="nil"/>
              <w:bottom w:val="single" w:sz="4" w:space="0" w:color="auto"/>
              <w:right w:val="single" w:sz="4" w:space="0" w:color="auto"/>
            </w:tcBorders>
            <w:shd w:val="clear" w:color="auto" w:fill="auto"/>
            <w:noWrap/>
            <w:vAlign w:val="center"/>
            <w:hideMark/>
          </w:tcPr>
          <w:p w14:paraId="34BDB5C3"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500.000</w:t>
            </w:r>
          </w:p>
        </w:tc>
        <w:tc>
          <w:tcPr>
            <w:tcW w:w="709" w:type="dxa"/>
            <w:tcBorders>
              <w:top w:val="nil"/>
              <w:left w:val="nil"/>
              <w:bottom w:val="single" w:sz="4" w:space="0" w:color="auto"/>
              <w:right w:val="single" w:sz="4" w:space="0" w:color="auto"/>
            </w:tcBorders>
            <w:shd w:val="clear" w:color="auto" w:fill="auto"/>
            <w:noWrap/>
            <w:vAlign w:val="center"/>
            <w:hideMark/>
          </w:tcPr>
          <w:p w14:paraId="6CF2C3F1"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0,00%</w:t>
            </w:r>
          </w:p>
        </w:tc>
        <w:tc>
          <w:tcPr>
            <w:tcW w:w="1474" w:type="dxa"/>
            <w:tcBorders>
              <w:top w:val="nil"/>
              <w:left w:val="nil"/>
              <w:bottom w:val="single" w:sz="4" w:space="0" w:color="auto"/>
              <w:right w:val="single" w:sz="4" w:space="0" w:color="auto"/>
            </w:tcBorders>
            <w:shd w:val="clear" w:color="auto" w:fill="auto"/>
            <w:noWrap/>
            <w:vAlign w:val="center"/>
            <w:hideMark/>
          </w:tcPr>
          <w:p w14:paraId="3853E70B" w14:textId="77777777" w:rsidR="00BE5781" w:rsidRPr="002F3E5F" w:rsidRDefault="00384FD8" w:rsidP="00BE5781">
            <w:pPr>
              <w:jc w:val="right"/>
              <w:rPr>
                <w:rFonts w:ascii="Arial" w:hAnsi="Arial" w:cs="Arial"/>
                <w:color w:val="000000"/>
                <w:sz w:val="14"/>
                <w:szCs w:val="14"/>
              </w:rPr>
            </w:pPr>
            <w:r w:rsidRPr="002F3E5F">
              <w:rPr>
                <w:rFonts w:ascii="Arial" w:hAnsi="Arial" w:cs="Arial"/>
                <w:color w:val="000000"/>
                <w:sz w:val="14"/>
                <w:szCs w:val="14"/>
              </w:rPr>
              <w:t>Abierto</w:t>
            </w:r>
            <w:r>
              <w:rPr>
                <w:rFonts w:ascii="Arial" w:hAnsi="Arial" w:cs="Arial"/>
                <w:color w:val="000000"/>
                <w:sz w:val="14"/>
                <w:szCs w:val="14"/>
              </w:rPr>
              <w:t xml:space="preserve"> superior al umbral europeo</w:t>
            </w:r>
          </w:p>
        </w:tc>
      </w:tr>
      <w:tr w:rsidR="00BE5781" w:rsidRPr="00B666A5" w14:paraId="745B43EA" w14:textId="77777777" w:rsidTr="00DB18E1">
        <w:trPr>
          <w:trHeight w:val="315"/>
          <w:jc w:val="center"/>
        </w:trPr>
        <w:tc>
          <w:tcPr>
            <w:tcW w:w="993" w:type="dxa"/>
            <w:vMerge w:val="restart"/>
            <w:tcBorders>
              <w:top w:val="single" w:sz="4" w:space="0" w:color="auto"/>
              <w:left w:val="single" w:sz="4" w:space="0" w:color="auto"/>
              <w:bottom w:val="single" w:sz="2" w:space="0" w:color="auto"/>
              <w:right w:val="single" w:sz="4" w:space="0" w:color="auto"/>
            </w:tcBorders>
            <w:shd w:val="clear" w:color="auto" w:fill="auto"/>
            <w:vAlign w:val="center"/>
            <w:hideMark/>
          </w:tcPr>
          <w:p w14:paraId="181B836C" w14:textId="77777777" w:rsidR="00BE5781" w:rsidRPr="002F3E5F" w:rsidRDefault="00DB18E1" w:rsidP="00BE5781">
            <w:pPr>
              <w:jc w:val="center"/>
              <w:rPr>
                <w:rFonts w:ascii="Arial" w:hAnsi="Arial" w:cs="Arial"/>
                <w:color w:val="000000"/>
                <w:sz w:val="14"/>
                <w:szCs w:val="14"/>
              </w:rPr>
            </w:pPr>
            <w:r>
              <w:rPr>
                <w:rFonts w:ascii="Arial" w:hAnsi="Arial" w:cs="Arial"/>
                <w:noProof/>
                <w:color w:val="000000"/>
                <w:sz w:val="14"/>
                <w:szCs w:val="14"/>
              </w:rPr>
              <mc:AlternateContent>
                <mc:Choice Requires="wps">
                  <w:drawing>
                    <wp:anchor distT="0" distB="0" distL="114300" distR="114300" simplePos="0" relativeHeight="251795968" behindDoc="0" locked="0" layoutInCell="1" allowOverlap="1" wp14:anchorId="734BA140" wp14:editId="3775F9EE">
                      <wp:simplePos x="0" y="0"/>
                      <wp:positionH relativeFrom="column">
                        <wp:posOffset>-51641</wp:posOffset>
                      </wp:positionH>
                      <wp:positionV relativeFrom="paragraph">
                        <wp:posOffset>1241997</wp:posOffset>
                      </wp:positionV>
                      <wp:extent cx="676141" cy="6440"/>
                      <wp:effectExtent l="0" t="0" r="29210" b="31750"/>
                      <wp:wrapNone/>
                      <wp:docPr id="6" name="Conector recto 6"/>
                      <wp:cNvGraphicFramePr/>
                      <a:graphic xmlns:a="http://schemas.openxmlformats.org/drawingml/2006/main">
                        <a:graphicData uri="http://schemas.microsoft.com/office/word/2010/wordprocessingShape">
                          <wps:wsp>
                            <wps:cNvCnPr/>
                            <wps:spPr>
                              <a:xfrm flipV="1">
                                <a:off x="0" y="0"/>
                                <a:ext cx="676141" cy="6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BE8CE9" id="Conector recto 6" o:spid="_x0000_s1026" style="position:absolute;flip:y;z-index:251795968;visibility:visible;mso-wrap-style:square;mso-wrap-distance-left:9pt;mso-wrap-distance-top:0;mso-wrap-distance-right:9pt;mso-wrap-distance-bottom:0;mso-position-horizontal:absolute;mso-position-horizontal-relative:text;mso-position-vertical:absolute;mso-position-vertical-relative:text" from="-4.05pt,97.8pt" to="49.2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" strokecolor="black [3040]"/>
                  </w:pict>
                </mc:Fallback>
              </mc:AlternateContent>
            </w:r>
            <w:r w:rsidR="00BE5781" w:rsidRPr="002F3E5F">
              <w:rPr>
                <w:rFonts w:ascii="Arial" w:hAnsi="Arial" w:cs="Arial"/>
                <w:color w:val="000000"/>
                <w:sz w:val="14"/>
                <w:szCs w:val="14"/>
              </w:rPr>
              <w:t>M8</w:t>
            </w:r>
          </w:p>
        </w:tc>
        <w:tc>
          <w:tcPr>
            <w:tcW w:w="2409" w:type="dxa"/>
            <w:vMerge w:val="restart"/>
            <w:tcBorders>
              <w:top w:val="single" w:sz="4" w:space="0" w:color="auto"/>
              <w:left w:val="single" w:sz="4" w:space="0" w:color="auto"/>
              <w:bottom w:val="single" w:sz="2" w:space="0" w:color="auto"/>
              <w:right w:val="single" w:sz="4" w:space="0" w:color="auto"/>
            </w:tcBorders>
            <w:shd w:val="clear" w:color="auto" w:fill="auto"/>
            <w:vAlign w:val="center"/>
            <w:hideMark/>
          </w:tcPr>
          <w:p w14:paraId="728D7643"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 xml:space="preserve">Instituto De Salud Pública Y Laboral De Navarra </w:t>
            </w:r>
          </w:p>
        </w:tc>
        <w:tc>
          <w:tcPr>
            <w:tcW w:w="3828" w:type="dxa"/>
            <w:tcBorders>
              <w:top w:val="single" w:sz="4" w:space="0" w:color="auto"/>
              <w:left w:val="nil"/>
              <w:bottom w:val="single" w:sz="2" w:space="0" w:color="auto"/>
              <w:right w:val="single" w:sz="4" w:space="0" w:color="auto"/>
            </w:tcBorders>
            <w:shd w:val="clear" w:color="auto" w:fill="auto"/>
            <w:noWrap/>
            <w:vAlign w:val="bottom"/>
            <w:hideMark/>
          </w:tcPr>
          <w:p w14:paraId="37FED2BD"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Contrato de suministro de diversas vacunas del Calendario Oficial de Vacunaciones de Navarra para el año 2024</w:t>
            </w:r>
            <w:r w:rsidR="00083165">
              <w:rPr>
                <w:rFonts w:ascii="Arial" w:hAnsi="Arial" w:cs="Arial"/>
                <w:color w:val="000000"/>
                <w:sz w:val="14"/>
                <w:szCs w:val="14"/>
              </w:rPr>
              <w:t xml:space="preserve"> LOTE 1</w:t>
            </w:r>
          </w:p>
        </w:tc>
        <w:tc>
          <w:tcPr>
            <w:tcW w:w="986" w:type="dxa"/>
            <w:tcBorders>
              <w:top w:val="single" w:sz="4" w:space="0" w:color="auto"/>
              <w:left w:val="nil"/>
              <w:bottom w:val="single" w:sz="2" w:space="0" w:color="auto"/>
              <w:right w:val="single" w:sz="4" w:space="0" w:color="auto"/>
            </w:tcBorders>
            <w:shd w:val="clear" w:color="auto" w:fill="auto"/>
            <w:noWrap/>
            <w:vAlign w:val="center"/>
            <w:hideMark/>
          </w:tcPr>
          <w:p w14:paraId="45E773CD"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1.170.000</w:t>
            </w:r>
          </w:p>
        </w:tc>
        <w:tc>
          <w:tcPr>
            <w:tcW w:w="1247" w:type="dxa"/>
            <w:tcBorders>
              <w:top w:val="single" w:sz="4" w:space="0" w:color="auto"/>
              <w:left w:val="nil"/>
              <w:bottom w:val="single" w:sz="2" w:space="0" w:color="auto"/>
              <w:right w:val="single" w:sz="4" w:space="0" w:color="auto"/>
            </w:tcBorders>
            <w:shd w:val="clear" w:color="auto" w:fill="auto"/>
            <w:noWrap/>
            <w:vAlign w:val="center"/>
            <w:hideMark/>
          </w:tcPr>
          <w:p w14:paraId="5B5262D4"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1.170.000</w:t>
            </w:r>
          </w:p>
        </w:tc>
        <w:tc>
          <w:tcPr>
            <w:tcW w:w="709" w:type="dxa"/>
            <w:tcBorders>
              <w:top w:val="single" w:sz="4" w:space="0" w:color="auto"/>
              <w:left w:val="nil"/>
              <w:bottom w:val="single" w:sz="2" w:space="0" w:color="auto"/>
              <w:right w:val="single" w:sz="4" w:space="0" w:color="auto"/>
            </w:tcBorders>
            <w:shd w:val="clear" w:color="auto" w:fill="auto"/>
            <w:noWrap/>
            <w:vAlign w:val="center"/>
            <w:hideMark/>
          </w:tcPr>
          <w:p w14:paraId="02A6335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0,00%</w:t>
            </w:r>
          </w:p>
        </w:tc>
        <w:tc>
          <w:tcPr>
            <w:tcW w:w="1474" w:type="dxa"/>
            <w:tcBorders>
              <w:top w:val="single" w:sz="4" w:space="0" w:color="auto"/>
              <w:left w:val="single" w:sz="4" w:space="0" w:color="auto"/>
              <w:bottom w:val="single" w:sz="2" w:space="0" w:color="auto"/>
              <w:right w:val="single" w:sz="4" w:space="0" w:color="auto"/>
            </w:tcBorders>
            <w:shd w:val="clear" w:color="auto" w:fill="auto"/>
            <w:noWrap/>
            <w:vAlign w:val="center"/>
            <w:hideMark/>
          </w:tcPr>
          <w:p w14:paraId="3D0B44CD" w14:textId="77777777" w:rsidR="00BE5781" w:rsidRPr="002F3E5F" w:rsidRDefault="00BE5781" w:rsidP="00BE5781">
            <w:pPr>
              <w:jc w:val="right"/>
              <w:rPr>
                <w:rFonts w:ascii="Arial" w:hAnsi="Arial" w:cs="Arial"/>
                <w:color w:val="000000"/>
                <w:sz w:val="14"/>
                <w:szCs w:val="14"/>
              </w:rPr>
            </w:pPr>
          </w:p>
        </w:tc>
      </w:tr>
      <w:tr w:rsidR="00BE5781" w:rsidRPr="00B666A5" w14:paraId="7C4025BB" w14:textId="77777777" w:rsidTr="00DB18E1">
        <w:trPr>
          <w:trHeight w:val="315"/>
          <w:jc w:val="center"/>
        </w:trPr>
        <w:tc>
          <w:tcPr>
            <w:tcW w:w="993" w:type="dxa"/>
            <w:vMerge/>
            <w:tcBorders>
              <w:top w:val="single" w:sz="2" w:space="0" w:color="auto"/>
              <w:left w:val="single" w:sz="4" w:space="0" w:color="auto"/>
              <w:bottom w:val="nil"/>
              <w:right w:val="single" w:sz="4" w:space="0" w:color="auto"/>
            </w:tcBorders>
            <w:vAlign w:val="center"/>
            <w:hideMark/>
          </w:tcPr>
          <w:p w14:paraId="6C4957E0" w14:textId="77777777" w:rsidR="00BE5781" w:rsidRPr="002F3E5F" w:rsidRDefault="00BE5781" w:rsidP="00BE5781">
            <w:pPr>
              <w:rPr>
                <w:rFonts w:ascii="Arial" w:hAnsi="Arial" w:cs="Arial"/>
                <w:color w:val="000000"/>
                <w:sz w:val="14"/>
                <w:szCs w:val="14"/>
              </w:rPr>
            </w:pPr>
          </w:p>
        </w:tc>
        <w:tc>
          <w:tcPr>
            <w:tcW w:w="2409" w:type="dxa"/>
            <w:vMerge/>
            <w:tcBorders>
              <w:top w:val="single" w:sz="2" w:space="0" w:color="auto"/>
              <w:left w:val="single" w:sz="4" w:space="0" w:color="auto"/>
              <w:bottom w:val="nil"/>
              <w:right w:val="single" w:sz="4" w:space="0" w:color="auto"/>
            </w:tcBorders>
            <w:vAlign w:val="center"/>
            <w:hideMark/>
          </w:tcPr>
          <w:p w14:paraId="54BD0D8E" w14:textId="77777777" w:rsidR="00BE5781" w:rsidRPr="002F3E5F" w:rsidRDefault="00BE5781" w:rsidP="00BE5781">
            <w:pPr>
              <w:rPr>
                <w:rFonts w:ascii="Arial" w:hAnsi="Arial" w:cs="Arial"/>
                <w:color w:val="000000"/>
                <w:sz w:val="14"/>
                <w:szCs w:val="14"/>
              </w:rPr>
            </w:pPr>
          </w:p>
        </w:tc>
        <w:tc>
          <w:tcPr>
            <w:tcW w:w="3828" w:type="dxa"/>
            <w:tcBorders>
              <w:top w:val="single" w:sz="2" w:space="0" w:color="auto"/>
              <w:left w:val="nil"/>
              <w:bottom w:val="single" w:sz="4" w:space="0" w:color="auto"/>
              <w:right w:val="single" w:sz="4" w:space="0" w:color="auto"/>
            </w:tcBorders>
            <w:shd w:val="clear" w:color="auto" w:fill="auto"/>
            <w:noWrap/>
            <w:vAlign w:val="bottom"/>
            <w:hideMark/>
          </w:tcPr>
          <w:p w14:paraId="73BDF10D"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Contrato de suministro de diversas vacunas del Calendario Oficial de Vacunaciones de Navarra para el año 2025</w:t>
            </w:r>
            <w:r w:rsidR="00083165">
              <w:rPr>
                <w:rFonts w:ascii="Arial" w:hAnsi="Arial" w:cs="Arial"/>
                <w:color w:val="000000"/>
                <w:sz w:val="14"/>
                <w:szCs w:val="14"/>
              </w:rPr>
              <w:t xml:space="preserve"> LOTE 2</w:t>
            </w:r>
          </w:p>
        </w:tc>
        <w:tc>
          <w:tcPr>
            <w:tcW w:w="986" w:type="dxa"/>
            <w:tcBorders>
              <w:top w:val="single" w:sz="2" w:space="0" w:color="auto"/>
              <w:left w:val="nil"/>
              <w:bottom w:val="single" w:sz="4" w:space="0" w:color="auto"/>
              <w:right w:val="single" w:sz="4" w:space="0" w:color="auto"/>
            </w:tcBorders>
            <w:shd w:val="clear" w:color="auto" w:fill="auto"/>
            <w:noWrap/>
            <w:vAlign w:val="center"/>
            <w:hideMark/>
          </w:tcPr>
          <w:p w14:paraId="58D57236"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1.691.250</w:t>
            </w:r>
          </w:p>
        </w:tc>
        <w:tc>
          <w:tcPr>
            <w:tcW w:w="1247" w:type="dxa"/>
            <w:tcBorders>
              <w:top w:val="single" w:sz="2" w:space="0" w:color="auto"/>
              <w:left w:val="nil"/>
              <w:bottom w:val="single" w:sz="4" w:space="0" w:color="auto"/>
              <w:right w:val="single" w:sz="4" w:space="0" w:color="auto"/>
            </w:tcBorders>
            <w:shd w:val="clear" w:color="auto" w:fill="auto"/>
            <w:noWrap/>
            <w:vAlign w:val="center"/>
            <w:hideMark/>
          </w:tcPr>
          <w:p w14:paraId="0F8B707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1.691.250</w:t>
            </w:r>
          </w:p>
        </w:tc>
        <w:tc>
          <w:tcPr>
            <w:tcW w:w="709" w:type="dxa"/>
            <w:tcBorders>
              <w:top w:val="single" w:sz="2" w:space="0" w:color="auto"/>
              <w:left w:val="nil"/>
              <w:bottom w:val="single" w:sz="4" w:space="0" w:color="auto"/>
              <w:right w:val="single" w:sz="4" w:space="0" w:color="auto"/>
            </w:tcBorders>
            <w:shd w:val="clear" w:color="auto" w:fill="auto"/>
            <w:noWrap/>
            <w:vAlign w:val="center"/>
            <w:hideMark/>
          </w:tcPr>
          <w:p w14:paraId="736544F6"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0,00%</w:t>
            </w:r>
          </w:p>
        </w:tc>
        <w:tc>
          <w:tcPr>
            <w:tcW w:w="1474" w:type="dxa"/>
            <w:tcBorders>
              <w:top w:val="single" w:sz="2" w:space="0" w:color="auto"/>
              <w:left w:val="single" w:sz="4" w:space="0" w:color="auto"/>
              <w:right w:val="single" w:sz="4" w:space="0" w:color="auto"/>
            </w:tcBorders>
            <w:shd w:val="clear" w:color="auto" w:fill="auto"/>
            <w:noWrap/>
            <w:vAlign w:val="center"/>
            <w:hideMark/>
          </w:tcPr>
          <w:p w14:paraId="0F138E20" w14:textId="77777777" w:rsidR="00BE5781" w:rsidRPr="002F3E5F" w:rsidRDefault="00384FD8" w:rsidP="00BE5781">
            <w:pPr>
              <w:jc w:val="right"/>
              <w:rPr>
                <w:rFonts w:ascii="Arial" w:hAnsi="Arial" w:cs="Arial"/>
                <w:color w:val="000000"/>
                <w:sz w:val="14"/>
                <w:szCs w:val="14"/>
              </w:rPr>
            </w:pPr>
            <w:r w:rsidRPr="002F3E5F">
              <w:rPr>
                <w:rFonts w:ascii="Arial" w:hAnsi="Arial" w:cs="Arial"/>
                <w:color w:val="000000"/>
                <w:sz w:val="14"/>
                <w:szCs w:val="14"/>
              </w:rPr>
              <w:t>Abierto</w:t>
            </w:r>
            <w:r>
              <w:rPr>
                <w:rFonts w:ascii="Arial" w:hAnsi="Arial" w:cs="Arial"/>
                <w:color w:val="000000"/>
                <w:sz w:val="14"/>
                <w:szCs w:val="14"/>
              </w:rPr>
              <w:t xml:space="preserve"> superior al umbral europeo</w:t>
            </w:r>
          </w:p>
        </w:tc>
      </w:tr>
      <w:tr w:rsidR="00BE5781" w:rsidRPr="00B666A5" w14:paraId="40BF40E5" w14:textId="77777777" w:rsidTr="00DB18E1">
        <w:trPr>
          <w:trHeight w:val="315"/>
          <w:jc w:val="center"/>
        </w:trPr>
        <w:tc>
          <w:tcPr>
            <w:tcW w:w="993" w:type="dxa"/>
            <w:vMerge/>
            <w:tcBorders>
              <w:top w:val="nil"/>
              <w:left w:val="single" w:sz="4" w:space="0" w:color="auto"/>
              <w:bottom w:val="nil"/>
              <w:right w:val="single" w:sz="4" w:space="0" w:color="auto"/>
            </w:tcBorders>
            <w:vAlign w:val="center"/>
            <w:hideMark/>
          </w:tcPr>
          <w:p w14:paraId="43F47B68" w14:textId="77777777" w:rsidR="00BE5781" w:rsidRPr="002F3E5F" w:rsidRDefault="00BE5781" w:rsidP="00BE5781">
            <w:pPr>
              <w:rPr>
                <w:rFonts w:ascii="Arial" w:hAnsi="Arial" w:cs="Arial"/>
                <w:color w:val="000000"/>
                <w:sz w:val="14"/>
                <w:szCs w:val="14"/>
              </w:rPr>
            </w:pPr>
          </w:p>
        </w:tc>
        <w:tc>
          <w:tcPr>
            <w:tcW w:w="2409" w:type="dxa"/>
            <w:vMerge/>
            <w:tcBorders>
              <w:top w:val="nil"/>
              <w:left w:val="single" w:sz="4" w:space="0" w:color="auto"/>
              <w:bottom w:val="nil"/>
              <w:right w:val="single" w:sz="4" w:space="0" w:color="auto"/>
            </w:tcBorders>
            <w:vAlign w:val="center"/>
            <w:hideMark/>
          </w:tcPr>
          <w:p w14:paraId="152F2405"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4C85821F"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Contrato de suministro de diversas vacunas del Calendario Oficial de Vacunaciones de Navarra para el año 2026</w:t>
            </w:r>
            <w:r w:rsidR="00083165">
              <w:rPr>
                <w:rFonts w:ascii="Arial" w:hAnsi="Arial" w:cs="Arial"/>
                <w:color w:val="000000"/>
                <w:sz w:val="14"/>
                <w:szCs w:val="14"/>
              </w:rPr>
              <w:t xml:space="preserve"> LOTE 3</w:t>
            </w:r>
          </w:p>
        </w:tc>
        <w:tc>
          <w:tcPr>
            <w:tcW w:w="986" w:type="dxa"/>
            <w:tcBorders>
              <w:top w:val="nil"/>
              <w:left w:val="nil"/>
              <w:bottom w:val="single" w:sz="4" w:space="0" w:color="auto"/>
              <w:right w:val="single" w:sz="4" w:space="0" w:color="auto"/>
            </w:tcBorders>
            <w:shd w:val="clear" w:color="auto" w:fill="auto"/>
            <w:noWrap/>
            <w:vAlign w:val="center"/>
            <w:hideMark/>
          </w:tcPr>
          <w:p w14:paraId="38DDC2D8"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400.200</w:t>
            </w:r>
          </w:p>
        </w:tc>
        <w:tc>
          <w:tcPr>
            <w:tcW w:w="1247" w:type="dxa"/>
            <w:tcBorders>
              <w:top w:val="nil"/>
              <w:left w:val="nil"/>
              <w:bottom w:val="single" w:sz="4" w:space="0" w:color="auto"/>
              <w:right w:val="single" w:sz="4" w:space="0" w:color="auto"/>
            </w:tcBorders>
            <w:shd w:val="clear" w:color="auto" w:fill="auto"/>
            <w:noWrap/>
            <w:vAlign w:val="center"/>
            <w:hideMark/>
          </w:tcPr>
          <w:p w14:paraId="2E889B4E"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400.200</w:t>
            </w:r>
          </w:p>
        </w:tc>
        <w:tc>
          <w:tcPr>
            <w:tcW w:w="709" w:type="dxa"/>
            <w:tcBorders>
              <w:top w:val="nil"/>
              <w:left w:val="nil"/>
              <w:bottom w:val="single" w:sz="4" w:space="0" w:color="auto"/>
              <w:right w:val="single" w:sz="4" w:space="0" w:color="auto"/>
            </w:tcBorders>
            <w:shd w:val="clear" w:color="auto" w:fill="auto"/>
            <w:noWrap/>
            <w:vAlign w:val="center"/>
            <w:hideMark/>
          </w:tcPr>
          <w:p w14:paraId="49BADA13"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0,00%</w:t>
            </w:r>
          </w:p>
        </w:tc>
        <w:tc>
          <w:tcPr>
            <w:tcW w:w="1474" w:type="dxa"/>
            <w:tcBorders>
              <w:top w:val="nil"/>
              <w:left w:val="single" w:sz="4" w:space="0" w:color="auto"/>
              <w:right w:val="single" w:sz="4" w:space="0" w:color="auto"/>
            </w:tcBorders>
            <w:shd w:val="clear" w:color="auto" w:fill="auto"/>
            <w:noWrap/>
            <w:vAlign w:val="center"/>
          </w:tcPr>
          <w:p w14:paraId="204CE378" w14:textId="77777777" w:rsidR="00BE5781" w:rsidRPr="002F3E5F" w:rsidRDefault="00BE5781" w:rsidP="00BE5781">
            <w:pPr>
              <w:jc w:val="right"/>
              <w:rPr>
                <w:rFonts w:ascii="Arial" w:hAnsi="Arial" w:cs="Arial"/>
                <w:color w:val="000000"/>
                <w:sz w:val="14"/>
                <w:szCs w:val="14"/>
              </w:rPr>
            </w:pPr>
          </w:p>
        </w:tc>
      </w:tr>
      <w:tr w:rsidR="00BE5781" w:rsidRPr="00B666A5" w14:paraId="6A8C415D" w14:textId="77777777" w:rsidTr="00DB18E1">
        <w:trPr>
          <w:trHeight w:val="315"/>
          <w:jc w:val="center"/>
        </w:trPr>
        <w:tc>
          <w:tcPr>
            <w:tcW w:w="993" w:type="dxa"/>
            <w:vMerge/>
            <w:tcBorders>
              <w:top w:val="nil"/>
              <w:left w:val="single" w:sz="4" w:space="0" w:color="auto"/>
              <w:bottom w:val="nil"/>
              <w:right w:val="single" w:sz="4" w:space="0" w:color="auto"/>
            </w:tcBorders>
            <w:vAlign w:val="center"/>
            <w:hideMark/>
          </w:tcPr>
          <w:p w14:paraId="042963EB" w14:textId="77777777" w:rsidR="00BE5781" w:rsidRPr="002F3E5F" w:rsidRDefault="00BE5781" w:rsidP="00BE5781">
            <w:pPr>
              <w:rPr>
                <w:rFonts w:ascii="Arial" w:hAnsi="Arial" w:cs="Arial"/>
                <w:color w:val="000000"/>
                <w:sz w:val="14"/>
                <w:szCs w:val="14"/>
              </w:rPr>
            </w:pPr>
          </w:p>
        </w:tc>
        <w:tc>
          <w:tcPr>
            <w:tcW w:w="2409" w:type="dxa"/>
            <w:vMerge/>
            <w:tcBorders>
              <w:top w:val="nil"/>
              <w:left w:val="single" w:sz="4" w:space="0" w:color="auto"/>
              <w:bottom w:val="single" w:sz="2" w:space="0" w:color="auto"/>
              <w:right w:val="single" w:sz="4" w:space="0" w:color="auto"/>
            </w:tcBorders>
            <w:vAlign w:val="center"/>
            <w:hideMark/>
          </w:tcPr>
          <w:p w14:paraId="42EACFDD"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2" w:space="0" w:color="auto"/>
              <w:right w:val="single" w:sz="4" w:space="0" w:color="auto"/>
            </w:tcBorders>
            <w:shd w:val="clear" w:color="auto" w:fill="auto"/>
            <w:noWrap/>
            <w:vAlign w:val="bottom"/>
            <w:hideMark/>
          </w:tcPr>
          <w:p w14:paraId="4535328B"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Contrato de suministro de diversas vacunas del Calendario Oficial de Vacunaciones de Navarra para el año 2027</w:t>
            </w:r>
            <w:r w:rsidR="00083165">
              <w:rPr>
                <w:rFonts w:ascii="Arial" w:hAnsi="Arial" w:cs="Arial"/>
                <w:color w:val="000000"/>
                <w:sz w:val="14"/>
                <w:szCs w:val="14"/>
              </w:rPr>
              <w:t xml:space="preserve"> LOTE 4</w:t>
            </w:r>
          </w:p>
        </w:tc>
        <w:tc>
          <w:tcPr>
            <w:tcW w:w="986" w:type="dxa"/>
            <w:tcBorders>
              <w:top w:val="nil"/>
              <w:left w:val="nil"/>
              <w:bottom w:val="single" w:sz="4" w:space="0" w:color="auto"/>
              <w:right w:val="single" w:sz="4" w:space="0" w:color="auto"/>
            </w:tcBorders>
            <w:shd w:val="clear" w:color="auto" w:fill="auto"/>
            <w:noWrap/>
            <w:vAlign w:val="center"/>
            <w:hideMark/>
          </w:tcPr>
          <w:p w14:paraId="24E0CF7F"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255.000</w:t>
            </w:r>
          </w:p>
        </w:tc>
        <w:tc>
          <w:tcPr>
            <w:tcW w:w="1247" w:type="dxa"/>
            <w:tcBorders>
              <w:top w:val="nil"/>
              <w:left w:val="nil"/>
              <w:bottom w:val="single" w:sz="4" w:space="0" w:color="auto"/>
              <w:right w:val="single" w:sz="4" w:space="0" w:color="auto"/>
            </w:tcBorders>
            <w:shd w:val="clear" w:color="auto" w:fill="auto"/>
            <w:noWrap/>
            <w:vAlign w:val="center"/>
            <w:hideMark/>
          </w:tcPr>
          <w:p w14:paraId="5F84FC2C"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255.000</w:t>
            </w:r>
          </w:p>
        </w:tc>
        <w:tc>
          <w:tcPr>
            <w:tcW w:w="709" w:type="dxa"/>
            <w:tcBorders>
              <w:top w:val="nil"/>
              <w:left w:val="nil"/>
              <w:bottom w:val="single" w:sz="4" w:space="0" w:color="auto"/>
              <w:right w:val="single" w:sz="4" w:space="0" w:color="auto"/>
            </w:tcBorders>
            <w:shd w:val="clear" w:color="auto" w:fill="auto"/>
            <w:noWrap/>
            <w:vAlign w:val="center"/>
            <w:hideMark/>
          </w:tcPr>
          <w:p w14:paraId="0BCB174D"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0,00%</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0949AD5B" w14:textId="77777777" w:rsidR="00BE5781" w:rsidRPr="002F3E5F" w:rsidRDefault="00BE5781" w:rsidP="00BE5781">
            <w:pPr>
              <w:jc w:val="right"/>
              <w:rPr>
                <w:rFonts w:ascii="Arial" w:hAnsi="Arial" w:cs="Arial"/>
                <w:color w:val="000000"/>
                <w:sz w:val="14"/>
                <w:szCs w:val="14"/>
              </w:rPr>
            </w:pPr>
          </w:p>
        </w:tc>
      </w:tr>
      <w:tr w:rsidR="00BE5781" w:rsidRPr="00B666A5" w14:paraId="7C4EE577" w14:textId="77777777" w:rsidTr="00DB18E1">
        <w:trPr>
          <w:trHeight w:val="315"/>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48DAA"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lastRenderedPageBreak/>
              <w:t>M9</w:t>
            </w:r>
          </w:p>
        </w:tc>
        <w:tc>
          <w:tcPr>
            <w:tcW w:w="2409" w:type="dxa"/>
            <w:tcBorders>
              <w:top w:val="single" w:sz="2" w:space="0" w:color="auto"/>
              <w:left w:val="nil"/>
              <w:bottom w:val="single" w:sz="4" w:space="0" w:color="auto"/>
              <w:right w:val="single" w:sz="4" w:space="0" w:color="auto"/>
            </w:tcBorders>
            <w:shd w:val="clear" w:color="auto" w:fill="auto"/>
            <w:noWrap/>
            <w:vAlign w:val="center"/>
            <w:hideMark/>
          </w:tcPr>
          <w:p w14:paraId="26AB766C"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Instituto De Salud Pública Y Laboral De Navarra </w:t>
            </w:r>
          </w:p>
        </w:tc>
        <w:tc>
          <w:tcPr>
            <w:tcW w:w="3828" w:type="dxa"/>
            <w:tcBorders>
              <w:top w:val="single" w:sz="2" w:space="0" w:color="auto"/>
              <w:left w:val="nil"/>
              <w:bottom w:val="single" w:sz="4" w:space="0" w:color="auto"/>
              <w:right w:val="single" w:sz="4" w:space="0" w:color="auto"/>
            </w:tcBorders>
            <w:shd w:val="clear" w:color="auto" w:fill="auto"/>
            <w:noWrap/>
            <w:vAlign w:val="bottom"/>
            <w:hideMark/>
          </w:tcPr>
          <w:p w14:paraId="1AEAC189"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Contrato de suministro de tres mamógrafos digitales con </w:t>
            </w:r>
            <w:proofErr w:type="spellStart"/>
            <w:r w:rsidRPr="002F3E5F">
              <w:rPr>
                <w:rFonts w:ascii="Arial" w:hAnsi="Arial" w:cs="Arial"/>
                <w:color w:val="000000"/>
                <w:sz w:val="14"/>
                <w:szCs w:val="14"/>
              </w:rPr>
              <w:t>tomosíntesis</w:t>
            </w:r>
            <w:proofErr w:type="spellEnd"/>
            <w:r w:rsidRPr="002F3E5F">
              <w:rPr>
                <w:rFonts w:ascii="Arial" w:hAnsi="Arial" w:cs="Arial"/>
                <w:color w:val="000000"/>
                <w:sz w:val="14"/>
                <w:szCs w:val="14"/>
              </w:rPr>
              <w:t xml:space="preserve"> para el Instituto de Salud Pública y Laboral de Navarra</w:t>
            </w:r>
          </w:p>
        </w:tc>
        <w:tc>
          <w:tcPr>
            <w:tcW w:w="986" w:type="dxa"/>
            <w:tcBorders>
              <w:top w:val="nil"/>
              <w:left w:val="nil"/>
              <w:bottom w:val="single" w:sz="4" w:space="0" w:color="auto"/>
              <w:right w:val="single" w:sz="4" w:space="0" w:color="auto"/>
            </w:tcBorders>
            <w:shd w:val="clear" w:color="auto" w:fill="auto"/>
            <w:noWrap/>
            <w:vAlign w:val="center"/>
            <w:hideMark/>
          </w:tcPr>
          <w:p w14:paraId="3B0F765E"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750.000</w:t>
            </w:r>
          </w:p>
        </w:tc>
        <w:tc>
          <w:tcPr>
            <w:tcW w:w="1247" w:type="dxa"/>
            <w:tcBorders>
              <w:top w:val="nil"/>
              <w:left w:val="nil"/>
              <w:bottom w:val="single" w:sz="4" w:space="0" w:color="auto"/>
              <w:right w:val="single" w:sz="4" w:space="0" w:color="auto"/>
            </w:tcBorders>
            <w:shd w:val="clear" w:color="auto" w:fill="auto"/>
            <w:noWrap/>
            <w:vAlign w:val="center"/>
            <w:hideMark/>
          </w:tcPr>
          <w:p w14:paraId="5B3CC691"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749.993</w:t>
            </w:r>
          </w:p>
        </w:tc>
        <w:tc>
          <w:tcPr>
            <w:tcW w:w="709" w:type="dxa"/>
            <w:tcBorders>
              <w:top w:val="nil"/>
              <w:left w:val="nil"/>
              <w:bottom w:val="single" w:sz="4" w:space="0" w:color="auto"/>
              <w:right w:val="single" w:sz="4" w:space="0" w:color="auto"/>
            </w:tcBorders>
            <w:shd w:val="clear" w:color="auto" w:fill="auto"/>
            <w:noWrap/>
            <w:vAlign w:val="center"/>
            <w:hideMark/>
          </w:tcPr>
          <w:p w14:paraId="459AA163"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0,00%</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582E1E57" w14:textId="77777777" w:rsidR="00BE5781" w:rsidRPr="002F3E5F" w:rsidRDefault="00384FD8" w:rsidP="00BE5781">
            <w:pPr>
              <w:jc w:val="right"/>
              <w:rPr>
                <w:rFonts w:ascii="Arial" w:hAnsi="Arial" w:cs="Arial"/>
                <w:color w:val="000000"/>
                <w:sz w:val="14"/>
                <w:szCs w:val="14"/>
              </w:rPr>
            </w:pPr>
            <w:r w:rsidRPr="002F3E5F">
              <w:rPr>
                <w:rFonts w:ascii="Arial" w:hAnsi="Arial" w:cs="Arial"/>
                <w:color w:val="000000"/>
                <w:sz w:val="14"/>
                <w:szCs w:val="14"/>
              </w:rPr>
              <w:t>Abierto</w:t>
            </w:r>
            <w:r>
              <w:rPr>
                <w:rFonts w:ascii="Arial" w:hAnsi="Arial" w:cs="Arial"/>
                <w:color w:val="000000"/>
                <w:sz w:val="14"/>
                <w:szCs w:val="14"/>
              </w:rPr>
              <w:t xml:space="preserve"> superior al umbral europeo</w:t>
            </w:r>
          </w:p>
        </w:tc>
      </w:tr>
      <w:tr w:rsidR="00BE5781" w:rsidRPr="00B666A5" w14:paraId="4C4FA06A" w14:textId="77777777" w:rsidTr="00DB18E1">
        <w:trPr>
          <w:trHeight w:val="31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9C5FBB7"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M10</w:t>
            </w:r>
          </w:p>
        </w:tc>
        <w:tc>
          <w:tcPr>
            <w:tcW w:w="2409" w:type="dxa"/>
            <w:tcBorders>
              <w:top w:val="nil"/>
              <w:left w:val="nil"/>
              <w:bottom w:val="single" w:sz="4" w:space="0" w:color="auto"/>
              <w:right w:val="single" w:sz="4" w:space="0" w:color="auto"/>
            </w:tcBorders>
            <w:shd w:val="clear" w:color="auto" w:fill="auto"/>
            <w:noWrap/>
            <w:vAlign w:val="bottom"/>
            <w:hideMark/>
          </w:tcPr>
          <w:p w14:paraId="3B56947E"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Fundación Navarra para la Gestión de Servicios Sociales </w:t>
            </w:r>
            <w:proofErr w:type="spellStart"/>
            <w:r w:rsidRPr="002F3E5F">
              <w:rPr>
                <w:rFonts w:ascii="Arial" w:hAnsi="Arial" w:cs="Arial"/>
                <w:color w:val="000000"/>
                <w:sz w:val="14"/>
                <w:szCs w:val="14"/>
              </w:rPr>
              <w:t>Publicos</w:t>
            </w:r>
            <w:proofErr w:type="spellEnd"/>
            <w:r w:rsidRPr="002F3E5F">
              <w:rPr>
                <w:rFonts w:ascii="Arial" w:hAnsi="Arial" w:cs="Arial"/>
                <w:color w:val="000000"/>
                <w:sz w:val="14"/>
                <w:szCs w:val="14"/>
              </w:rPr>
              <w:t xml:space="preserve"> </w:t>
            </w:r>
          </w:p>
        </w:tc>
        <w:tc>
          <w:tcPr>
            <w:tcW w:w="3828" w:type="dxa"/>
            <w:tcBorders>
              <w:top w:val="nil"/>
              <w:left w:val="nil"/>
              <w:bottom w:val="single" w:sz="4" w:space="0" w:color="auto"/>
              <w:right w:val="single" w:sz="4" w:space="0" w:color="auto"/>
            </w:tcBorders>
            <w:shd w:val="clear" w:color="auto" w:fill="auto"/>
            <w:noWrap/>
            <w:vAlign w:val="center"/>
            <w:hideMark/>
          </w:tcPr>
          <w:p w14:paraId="038B66BE"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Suministro furgonetas adaptadas como unidades móviles</w:t>
            </w:r>
          </w:p>
        </w:tc>
        <w:tc>
          <w:tcPr>
            <w:tcW w:w="986" w:type="dxa"/>
            <w:tcBorders>
              <w:top w:val="nil"/>
              <w:left w:val="nil"/>
              <w:bottom w:val="single" w:sz="4" w:space="0" w:color="auto"/>
              <w:right w:val="single" w:sz="4" w:space="0" w:color="auto"/>
            </w:tcBorders>
            <w:shd w:val="clear" w:color="auto" w:fill="auto"/>
            <w:noWrap/>
            <w:vAlign w:val="center"/>
            <w:hideMark/>
          </w:tcPr>
          <w:p w14:paraId="15F126A5"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195.690</w:t>
            </w:r>
          </w:p>
        </w:tc>
        <w:tc>
          <w:tcPr>
            <w:tcW w:w="1247" w:type="dxa"/>
            <w:tcBorders>
              <w:top w:val="nil"/>
              <w:left w:val="nil"/>
              <w:bottom w:val="single" w:sz="4" w:space="0" w:color="auto"/>
              <w:right w:val="single" w:sz="4" w:space="0" w:color="auto"/>
            </w:tcBorders>
            <w:shd w:val="clear" w:color="auto" w:fill="auto"/>
            <w:noWrap/>
            <w:vAlign w:val="center"/>
            <w:hideMark/>
          </w:tcPr>
          <w:p w14:paraId="5F645471"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195.132</w:t>
            </w:r>
          </w:p>
        </w:tc>
        <w:tc>
          <w:tcPr>
            <w:tcW w:w="709" w:type="dxa"/>
            <w:tcBorders>
              <w:top w:val="nil"/>
              <w:left w:val="nil"/>
              <w:bottom w:val="single" w:sz="4" w:space="0" w:color="auto"/>
              <w:right w:val="single" w:sz="4" w:space="0" w:color="auto"/>
            </w:tcBorders>
            <w:shd w:val="clear" w:color="auto" w:fill="auto"/>
            <w:noWrap/>
            <w:vAlign w:val="center"/>
            <w:hideMark/>
          </w:tcPr>
          <w:p w14:paraId="27085E5A"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0,28%</w:t>
            </w:r>
          </w:p>
        </w:tc>
        <w:tc>
          <w:tcPr>
            <w:tcW w:w="1474" w:type="dxa"/>
            <w:tcBorders>
              <w:top w:val="nil"/>
              <w:left w:val="nil"/>
              <w:bottom w:val="single" w:sz="4" w:space="0" w:color="auto"/>
              <w:right w:val="single" w:sz="4" w:space="0" w:color="auto"/>
            </w:tcBorders>
            <w:shd w:val="clear" w:color="auto" w:fill="auto"/>
            <w:noWrap/>
            <w:vAlign w:val="center"/>
            <w:hideMark/>
          </w:tcPr>
          <w:p w14:paraId="07185A5F"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p>
        </w:tc>
      </w:tr>
      <w:tr w:rsidR="00BE5781" w:rsidRPr="00B666A5" w14:paraId="112342DC" w14:textId="77777777" w:rsidTr="00DB18E1">
        <w:trPr>
          <w:trHeight w:val="227"/>
          <w:jc w:val="center"/>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5C9DB4D"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M11</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14:paraId="4BEED5D0"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 xml:space="preserve">Fundación Navarra para la Gestión de Servicios Sociales </w:t>
            </w:r>
            <w:proofErr w:type="spellStart"/>
            <w:r w:rsidRPr="002F3E5F">
              <w:rPr>
                <w:rFonts w:ascii="Arial" w:hAnsi="Arial" w:cs="Arial"/>
                <w:color w:val="000000"/>
                <w:sz w:val="14"/>
                <w:szCs w:val="14"/>
              </w:rPr>
              <w:t>Publicos</w:t>
            </w:r>
            <w:proofErr w:type="spellEnd"/>
            <w:r w:rsidRPr="002F3E5F">
              <w:rPr>
                <w:rFonts w:ascii="Arial" w:hAnsi="Arial" w:cs="Arial"/>
                <w:color w:val="000000"/>
                <w:sz w:val="14"/>
                <w:szCs w:val="14"/>
              </w:rPr>
              <w:t xml:space="preserve"> </w:t>
            </w:r>
          </w:p>
        </w:tc>
        <w:tc>
          <w:tcPr>
            <w:tcW w:w="3828" w:type="dxa"/>
            <w:tcBorders>
              <w:top w:val="nil"/>
              <w:left w:val="nil"/>
              <w:bottom w:val="single" w:sz="4" w:space="0" w:color="auto"/>
              <w:right w:val="single" w:sz="4" w:space="0" w:color="auto"/>
            </w:tcBorders>
            <w:shd w:val="clear" w:color="auto" w:fill="auto"/>
            <w:noWrap/>
            <w:vAlign w:val="center"/>
            <w:hideMark/>
          </w:tcPr>
          <w:p w14:paraId="248D7949"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Suministro catering </w:t>
            </w:r>
            <w:proofErr w:type="spellStart"/>
            <w:r w:rsidRPr="002F3E5F">
              <w:rPr>
                <w:rFonts w:ascii="Arial" w:hAnsi="Arial" w:cs="Arial"/>
                <w:color w:val="000000"/>
                <w:sz w:val="14"/>
                <w:szCs w:val="14"/>
              </w:rPr>
              <w:t>COAs</w:t>
            </w:r>
            <w:proofErr w:type="spellEnd"/>
            <w:r w:rsidR="00083165">
              <w:rPr>
                <w:rFonts w:ascii="Arial" w:hAnsi="Arial" w:cs="Arial"/>
                <w:color w:val="000000"/>
                <w:sz w:val="14"/>
                <w:szCs w:val="14"/>
              </w:rPr>
              <w:t xml:space="preserve"> LOTE 1</w:t>
            </w:r>
          </w:p>
        </w:tc>
        <w:tc>
          <w:tcPr>
            <w:tcW w:w="986" w:type="dxa"/>
            <w:tcBorders>
              <w:top w:val="nil"/>
              <w:left w:val="nil"/>
              <w:bottom w:val="single" w:sz="4" w:space="0" w:color="auto"/>
              <w:right w:val="single" w:sz="4" w:space="0" w:color="auto"/>
            </w:tcBorders>
            <w:shd w:val="clear" w:color="auto" w:fill="auto"/>
            <w:noWrap/>
            <w:vAlign w:val="center"/>
            <w:hideMark/>
          </w:tcPr>
          <w:p w14:paraId="6272AE7F"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82.673</w:t>
            </w:r>
          </w:p>
        </w:tc>
        <w:tc>
          <w:tcPr>
            <w:tcW w:w="1247" w:type="dxa"/>
            <w:tcBorders>
              <w:top w:val="nil"/>
              <w:left w:val="nil"/>
              <w:bottom w:val="single" w:sz="4" w:space="0" w:color="auto"/>
              <w:right w:val="single" w:sz="4" w:space="0" w:color="auto"/>
            </w:tcBorders>
            <w:shd w:val="clear" w:color="auto" w:fill="auto"/>
            <w:noWrap/>
            <w:vAlign w:val="center"/>
            <w:hideMark/>
          </w:tcPr>
          <w:p w14:paraId="649D3B31"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82.673</w:t>
            </w:r>
          </w:p>
        </w:tc>
        <w:tc>
          <w:tcPr>
            <w:tcW w:w="709" w:type="dxa"/>
            <w:tcBorders>
              <w:top w:val="nil"/>
              <w:left w:val="nil"/>
              <w:bottom w:val="single" w:sz="4" w:space="0" w:color="auto"/>
              <w:right w:val="single" w:sz="4" w:space="0" w:color="auto"/>
            </w:tcBorders>
            <w:shd w:val="clear" w:color="auto" w:fill="auto"/>
            <w:noWrap/>
            <w:vAlign w:val="center"/>
            <w:hideMark/>
          </w:tcPr>
          <w:p w14:paraId="7EF4A6B5"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0,00%</w:t>
            </w:r>
          </w:p>
        </w:tc>
        <w:tc>
          <w:tcPr>
            <w:tcW w:w="1474" w:type="dxa"/>
            <w:tcBorders>
              <w:top w:val="single" w:sz="4" w:space="0" w:color="auto"/>
              <w:left w:val="single" w:sz="4" w:space="0" w:color="auto"/>
              <w:right w:val="single" w:sz="4" w:space="0" w:color="auto"/>
            </w:tcBorders>
            <w:shd w:val="clear" w:color="auto" w:fill="auto"/>
            <w:noWrap/>
            <w:vAlign w:val="center"/>
            <w:hideMark/>
          </w:tcPr>
          <w:p w14:paraId="0AAC5AC7" w14:textId="77777777" w:rsidR="00BE5781" w:rsidRPr="002F3E5F" w:rsidRDefault="00BE5781" w:rsidP="00BE5781">
            <w:pPr>
              <w:jc w:val="right"/>
              <w:rPr>
                <w:rFonts w:ascii="Arial" w:hAnsi="Arial" w:cs="Arial"/>
                <w:color w:val="000000"/>
                <w:sz w:val="14"/>
                <w:szCs w:val="14"/>
              </w:rPr>
            </w:pPr>
          </w:p>
        </w:tc>
      </w:tr>
      <w:tr w:rsidR="00BE5781" w:rsidRPr="00B666A5" w14:paraId="1639E41D" w14:textId="77777777" w:rsidTr="00DB18E1">
        <w:trPr>
          <w:trHeight w:val="315"/>
          <w:jc w:val="center"/>
        </w:trPr>
        <w:tc>
          <w:tcPr>
            <w:tcW w:w="993" w:type="dxa"/>
            <w:vMerge/>
            <w:tcBorders>
              <w:top w:val="nil"/>
              <w:left w:val="single" w:sz="4" w:space="0" w:color="auto"/>
              <w:bottom w:val="single" w:sz="4" w:space="0" w:color="000000"/>
              <w:right w:val="single" w:sz="4" w:space="0" w:color="auto"/>
            </w:tcBorders>
            <w:vAlign w:val="center"/>
            <w:hideMark/>
          </w:tcPr>
          <w:p w14:paraId="10C8BF1A" w14:textId="77777777" w:rsidR="00BE5781" w:rsidRPr="002F3E5F" w:rsidRDefault="00BE5781" w:rsidP="00BE5781">
            <w:pPr>
              <w:rPr>
                <w:rFonts w:ascii="Arial" w:hAnsi="Arial" w:cs="Arial"/>
                <w:color w:val="000000"/>
                <w:sz w:val="14"/>
                <w:szCs w:val="14"/>
              </w:rPr>
            </w:pPr>
          </w:p>
        </w:tc>
        <w:tc>
          <w:tcPr>
            <w:tcW w:w="2409" w:type="dxa"/>
            <w:vMerge/>
            <w:tcBorders>
              <w:top w:val="nil"/>
              <w:left w:val="single" w:sz="4" w:space="0" w:color="auto"/>
              <w:bottom w:val="single" w:sz="4" w:space="0" w:color="000000"/>
              <w:right w:val="single" w:sz="4" w:space="0" w:color="auto"/>
            </w:tcBorders>
            <w:vAlign w:val="center"/>
            <w:hideMark/>
          </w:tcPr>
          <w:p w14:paraId="0057FF5F"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center"/>
            <w:hideMark/>
          </w:tcPr>
          <w:p w14:paraId="4AEC9875"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Suministro catering </w:t>
            </w:r>
            <w:proofErr w:type="spellStart"/>
            <w:r w:rsidRPr="002F3E5F">
              <w:rPr>
                <w:rFonts w:ascii="Arial" w:hAnsi="Arial" w:cs="Arial"/>
                <w:color w:val="000000"/>
                <w:sz w:val="14"/>
                <w:szCs w:val="14"/>
              </w:rPr>
              <w:t>COAs</w:t>
            </w:r>
            <w:proofErr w:type="spellEnd"/>
            <w:r w:rsidR="00083165">
              <w:rPr>
                <w:rFonts w:ascii="Arial" w:hAnsi="Arial" w:cs="Arial"/>
                <w:color w:val="000000"/>
                <w:sz w:val="14"/>
                <w:szCs w:val="14"/>
              </w:rPr>
              <w:t xml:space="preserve"> LOTE 2</w:t>
            </w:r>
          </w:p>
        </w:tc>
        <w:tc>
          <w:tcPr>
            <w:tcW w:w="986" w:type="dxa"/>
            <w:tcBorders>
              <w:top w:val="nil"/>
              <w:left w:val="nil"/>
              <w:bottom w:val="single" w:sz="4" w:space="0" w:color="auto"/>
              <w:right w:val="single" w:sz="4" w:space="0" w:color="auto"/>
            </w:tcBorders>
            <w:shd w:val="clear" w:color="auto" w:fill="auto"/>
            <w:noWrap/>
            <w:vAlign w:val="center"/>
            <w:hideMark/>
          </w:tcPr>
          <w:p w14:paraId="71A19C24" w14:textId="77777777" w:rsidR="00BE5781" w:rsidRPr="002F3E5F" w:rsidRDefault="00BE5781" w:rsidP="00BE5781">
            <w:pPr>
              <w:jc w:val="right"/>
              <w:rPr>
                <w:rFonts w:ascii="Arial" w:hAnsi="Arial" w:cs="Arial"/>
                <w:color w:val="000000"/>
                <w:sz w:val="14"/>
                <w:szCs w:val="14"/>
              </w:rPr>
            </w:pPr>
            <w:r>
              <w:rPr>
                <w:rFonts w:ascii="Arial" w:hAnsi="Arial" w:cs="Arial"/>
                <w:color w:val="000000"/>
                <w:sz w:val="14"/>
                <w:szCs w:val="14"/>
              </w:rPr>
              <w:t>44.092</w:t>
            </w:r>
          </w:p>
        </w:tc>
        <w:tc>
          <w:tcPr>
            <w:tcW w:w="1247" w:type="dxa"/>
            <w:tcBorders>
              <w:top w:val="nil"/>
              <w:left w:val="nil"/>
              <w:bottom w:val="single" w:sz="4" w:space="0" w:color="auto"/>
              <w:right w:val="single" w:sz="4" w:space="0" w:color="auto"/>
            </w:tcBorders>
            <w:shd w:val="clear" w:color="auto" w:fill="auto"/>
            <w:noWrap/>
            <w:vAlign w:val="center"/>
            <w:hideMark/>
          </w:tcPr>
          <w:p w14:paraId="5FEFFEEC"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44.092,00</w:t>
            </w:r>
          </w:p>
        </w:tc>
        <w:tc>
          <w:tcPr>
            <w:tcW w:w="709" w:type="dxa"/>
            <w:tcBorders>
              <w:top w:val="nil"/>
              <w:left w:val="nil"/>
              <w:bottom w:val="single" w:sz="4" w:space="0" w:color="auto"/>
              <w:right w:val="single" w:sz="4" w:space="0" w:color="auto"/>
            </w:tcBorders>
            <w:shd w:val="clear" w:color="auto" w:fill="auto"/>
            <w:noWrap/>
            <w:vAlign w:val="center"/>
            <w:hideMark/>
          </w:tcPr>
          <w:p w14:paraId="151388AA"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0,00%</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296EAEF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p>
        </w:tc>
      </w:tr>
    </w:tbl>
    <w:p w14:paraId="45F0E57B" w14:textId="77777777" w:rsidR="00A27712" w:rsidRPr="005812B1" w:rsidRDefault="00A27712" w:rsidP="00A27712">
      <w:pPr>
        <w:tabs>
          <w:tab w:val="left" w:pos="480"/>
          <w:tab w:val="num" w:pos="600"/>
          <w:tab w:val="num" w:pos="720"/>
          <w:tab w:val="num" w:pos="1320"/>
          <w:tab w:val="num" w:pos="2062"/>
          <w:tab w:val="num" w:pos="4472"/>
          <w:tab w:val="center" w:pos="5103"/>
          <w:tab w:val="center" w:pos="6237"/>
          <w:tab w:val="center" w:pos="7371"/>
        </w:tabs>
        <w:spacing w:after="140"/>
        <w:jc w:val="both"/>
        <w:rPr>
          <w:spacing w:val="6"/>
          <w:sz w:val="26"/>
          <w:lang w:val="es-ES_tradnl" w:eastAsia="en-US"/>
        </w:rPr>
      </w:pPr>
    </w:p>
    <w:p w14:paraId="45A07B52" w14:textId="77777777" w:rsidR="00BE5781" w:rsidRDefault="00BE5781" w:rsidP="00A27712">
      <w:pPr>
        <w:pStyle w:val="atitulo1"/>
        <w:sectPr w:rsidR="00BE5781" w:rsidSect="00F5513E">
          <w:pgSz w:w="16840" w:h="11907" w:orient="landscape" w:code="9"/>
          <w:pgMar w:top="1985" w:right="2109" w:bottom="1559" w:left="1644" w:header="369" w:footer="136" w:gutter="0"/>
          <w:cols w:space="720"/>
          <w:docGrid w:linePitch="360"/>
        </w:sectPr>
      </w:pPr>
      <w:bookmarkStart w:id="178" w:name="_Toc150243208"/>
      <w:bookmarkEnd w:id="175"/>
    </w:p>
    <w:p w14:paraId="38A7D840" w14:textId="77777777" w:rsidR="00BE5781" w:rsidRPr="008D3E65" w:rsidRDefault="00DB18E1" w:rsidP="00DB18E1">
      <w:pPr>
        <w:pStyle w:val="texto"/>
        <w:tabs>
          <w:tab w:val="num" w:pos="300"/>
          <w:tab w:val="num" w:pos="600"/>
        </w:tabs>
        <w:spacing w:before="240" w:after="60"/>
        <w:jc w:val="center"/>
        <w:rPr>
          <w:rFonts w:ascii="Arial" w:eastAsiaTheme="minorHAnsi" w:hAnsi="Arial" w:cs="Arial"/>
          <w:spacing w:val="0"/>
          <w:szCs w:val="26"/>
          <w:lang w:eastAsia="en-US"/>
        </w:rPr>
      </w:pPr>
      <w:r>
        <w:rPr>
          <w:rFonts w:ascii="Arial" w:eastAsiaTheme="minorHAnsi" w:hAnsi="Arial" w:cs="Arial"/>
          <w:noProof/>
          <w:spacing w:val="0"/>
          <w:szCs w:val="26"/>
        </w:rPr>
        <w:lastRenderedPageBreak/>
        <mc:AlternateContent>
          <mc:Choice Requires="wps">
            <w:drawing>
              <wp:anchor distT="0" distB="0" distL="114300" distR="114300" simplePos="0" relativeHeight="251796992" behindDoc="0" locked="0" layoutInCell="1" allowOverlap="1" wp14:anchorId="4401E5AB" wp14:editId="17D4B288">
                <wp:simplePos x="0" y="0"/>
                <wp:positionH relativeFrom="column">
                  <wp:posOffset>450009</wp:posOffset>
                </wp:positionH>
                <wp:positionV relativeFrom="paragraph">
                  <wp:posOffset>4780754</wp:posOffset>
                </wp:positionV>
                <wp:extent cx="6440" cy="218941"/>
                <wp:effectExtent l="0" t="0" r="31750" b="29210"/>
                <wp:wrapNone/>
                <wp:docPr id="24" name="Conector recto 24"/>
                <wp:cNvGraphicFramePr/>
                <a:graphic xmlns:a="http://schemas.openxmlformats.org/drawingml/2006/main">
                  <a:graphicData uri="http://schemas.microsoft.com/office/word/2010/wordprocessingShape">
                    <wps:wsp>
                      <wps:cNvCnPr/>
                      <wps:spPr>
                        <a:xfrm flipH="1">
                          <a:off x="0" y="0"/>
                          <a:ext cx="6440" cy="21894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F31010" id="Conector recto 24" o:spid="_x0000_s1026" style="position:absolute;flip:x;z-index:251796992;visibility:visible;mso-wrap-style:square;mso-wrap-distance-left:9pt;mso-wrap-distance-top:0;mso-wrap-distance-right:9pt;mso-wrap-distance-bottom:0;mso-position-horizontal:absolute;mso-position-horizontal-relative:text;mso-position-vertical:absolute;mso-position-vertical-relative:text" from="35.45pt,376.45pt" to="35.95pt,3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" strokecolor="black [3040]"/>
            </w:pict>
          </mc:Fallback>
        </mc:AlternateContent>
      </w:r>
      <w:r w:rsidR="00BE5781" w:rsidRPr="008D3E65">
        <w:rPr>
          <w:rFonts w:ascii="Arial" w:eastAsiaTheme="minorHAnsi" w:hAnsi="Arial" w:cs="Arial"/>
          <w:spacing w:val="0"/>
          <w:szCs w:val="26"/>
          <w:lang w:eastAsia="en-US"/>
        </w:rPr>
        <w:t>CONTRATO SERVICIO</w:t>
      </w:r>
    </w:p>
    <w:tbl>
      <w:tblPr>
        <w:tblW w:w="11641" w:type="dxa"/>
        <w:jc w:val="center"/>
        <w:tblLayout w:type="fixed"/>
        <w:tblCellMar>
          <w:left w:w="70" w:type="dxa"/>
          <w:right w:w="70" w:type="dxa"/>
        </w:tblCellMar>
        <w:tblLook w:val="04A0" w:firstRow="1" w:lastRow="0" w:firstColumn="1" w:lastColumn="0" w:noHBand="0" w:noVBand="1"/>
      </w:tblPr>
      <w:tblGrid>
        <w:gridCol w:w="846"/>
        <w:gridCol w:w="2551"/>
        <w:gridCol w:w="3828"/>
        <w:gridCol w:w="986"/>
        <w:gridCol w:w="1247"/>
        <w:gridCol w:w="709"/>
        <w:gridCol w:w="1474"/>
      </w:tblGrid>
      <w:tr w:rsidR="00BE5781" w:rsidRPr="00B666A5" w14:paraId="760FBA6A" w14:textId="77777777" w:rsidTr="00F405EB">
        <w:trPr>
          <w:trHeight w:val="270"/>
          <w:tblHeader/>
          <w:jc w:val="center"/>
        </w:trPr>
        <w:tc>
          <w:tcPr>
            <w:tcW w:w="846" w:type="dxa"/>
            <w:tcBorders>
              <w:top w:val="single" w:sz="4" w:space="0" w:color="auto"/>
              <w:left w:val="single" w:sz="4" w:space="0" w:color="auto"/>
              <w:bottom w:val="single" w:sz="4" w:space="0" w:color="auto"/>
              <w:right w:val="nil"/>
            </w:tcBorders>
            <w:shd w:val="clear" w:color="000000" w:fill="9BC2E6"/>
            <w:noWrap/>
            <w:vAlign w:val="center"/>
          </w:tcPr>
          <w:p w14:paraId="1A1FD277" w14:textId="77777777" w:rsidR="00F405EB" w:rsidRDefault="00BE5781" w:rsidP="00F405EB">
            <w:pPr>
              <w:jc w:val="center"/>
              <w:rPr>
                <w:rFonts w:ascii="Arial" w:hAnsi="Arial" w:cs="Arial"/>
                <w:b/>
                <w:bCs/>
                <w:color w:val="000000"/>
                <w:sz w:val="16"/>
                <w:szCs w:val="16"/>
              </w:rPr>
            </w:pPr>
            <w:r>
              <w:rPr>
                <w:rFonts w:ascii="Arial" w:hAnsi="Arial" w:cs="Arial"/>
                <w:b/>
                <w:bCs/>
                <w:color w:val="000000"/>
                <w:sz w:val="16"/>
                <w:szCs w:val="16"/>
              </w:rPr>
              <w:t>Nº</w:t>
            </w:r>
          </w:p>
          <w:p w14:paraId="51D9D015" w14:textId="77777777" w:rsidR="00BE5781" w:rsidRPr="00B666A5" w:rsidRDefault="00BE5781" w:rsidP="00F405EB">
            <w:pPr>
              <w:jc w:val="center"/>
              <w:rPr>
                <w:rFonts w:ascii="Arial" w:hAnsi="Arial" w:cs="Arial"/>
                <w:b/>
                <w:bCs/>
                <w:color w:val="000000"/>
                <w:sz w:val="16"/>
                <w:szCs w:val="16"/>
              </w:rPr>
            </w:pPr>
            <w:r>
              <w:rPr>
                <w:rFonts w:ascii="Arial" w:hAnsi="Arial" w:cs="Arial"/>
                <w:b/>
                <w:bCs/>
                <w:color w:val="000000"/>
                <w:sz w:val="16"/>
                <w:szCs w:val="16"/>
              </w:rPr>
              <w:t>Muestra</w:t>
            </w:r>
          </w:p>
        </w:tc>
        <w:tc>
          <w:tcPr>
            <w:tcW w:w="2551"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2C109FF4" w14:textId="77777777" w:rsidR="00BE5781" w:rsidRPr="00B666A5" w:rsidRDefault="00BE5781" w:rsidP="00BE5781">
            <w:pPr>
              <w:rPr>
                <w:rFonts w:ascii="Arial" w:hAnsi="Arial" w:cs="Arial"/>
                <w:b/>
                <w:bCs/>
                <w:color w:val="000000"/>
                <w:sz w:val="16"/>
                <w:szCs w:val="16"/>
              </w:rPr>
            </w:pPr>
            <w:proofErr w:type="spellStart"/>
            <w:r>
              <w:rPr>
                <w:rFonts w:ascii="Arial" w:hAnsi="Arial" w:cs="Arial"/>
                <w:b/>
                <w:bCs/>
                <w:color w:val="000000"/>
                <w:sz w:val="16"/>
                <w:szCs w:val="16"/>
              </w:rPr>
              <w:t>Organo</w:t>
            </w:r>
            <w:proofErr w:type="spellEnd"/>
            <w:r>
              <w:rPr>
                <w:rFonts w:ascii="Arial" w:hAnsi="Arial" w:cs="Arial"/>
                <w:b/>
                <w:bCs/>
                <w:color w:val="000000"/>
                <w:sz w:val="16"/>
                <w:szCs w:val="16"/>
              </w:rPr>
              <w:t xml:space="preserve"> contratación</w:t>
            </w:r>
          </w:p>
        </w:tc>
        <w:tc>
          <w:tcPr>
            <w:tcW w:w="3828" w:type="dxa"/>
            <w:tcBorders>
              <w:top w:val="single" w:sz="4" w:space="0" w:color="auto"/>
              <w:left w:val="nil"/>
              <w:bottom w:val="single" w:sz="4" w:space="0" w:color="auto"/>
              <w:right w:val="single" w:sz="4" w:space="0" w:color="auto"/>
            </w:tcBorders>
            <w:shd w:val="clear" w:color="000000" w:fill="9BC2E6"/>
            <w:noWrap/>
            <w:vAlign w:val="center"/>
          </w:tcPr>
          <w:p w14:paraId="14D523D1" w14:textId="77777777" w:rsidR="00BE5781" w:rsidRPr="00B666A5" w:rsidRDefault="00BE5781" w:rsidP="00BE5781">
            <w:pPr>
              <w:rPr>
                <w:rFonts w:ascii="Arial" w:hAnsi="Arial" w:cs="Arial"/>
                <w:b/>
                <w:bCs/>
                <w:color w:val="000000"/>
                <w:sz w:val="16"/>
                <w:szCs w:val="16"/>
              </w:rPr>
            </w:pPr>
            <w:r>
              <w:rPr>
                <w:rFonts w:ascii="Arial" w:hAnsi="Arial" w:cs="Arial"/>
                <w:b/>
                <w:bCs/>
                <w:color w:val="000000"/>
                <w:sz w:val="16"/>
                <w:szCs w:val="16"/>
              </w:rPr>
              <w:t>Contrato</w:t>
            </w:r>
          </w:p>
        </w:tc>
        <w:tc>
          <w:tcPr>
            <w:tcW w:w="986" w:type="dxa"/>
            <w:tcBorders>
              <w:top w:val="single" w:sz="4" w:space="0" w:color="auto"/>
              <w:left w:val="nil"/>
              <w:bottom w:val="single" w:sz="4" w:space="0" w:color="auto"/>
              <w:right w:val="single" w:sz="4" w:space="0" w:color="auto"/>
            </w:tcBorders>
            <w:shd w:val="clear" w:color="000000" w:fill="9BC2E6"/>
            <w:noWrap/>
            <w:vAlign w:val="center"/>
          </w:tcPr>
          <w:p w14:paraId="4FCBCA0A" w14:textId="77777777" w:rsidR="00BE5781" w:rsidRDefault="00BE5781" w:rsidP="00BE5781">
            <w:pPr>
              <w:rPr>
                <w:rFonts w:ascii="Arial" w:hAnsi="Arial" w:cs="Arial"/>
                <w:b/>
                <w:bCs/>
                <w:color w:val="000000"/>
                <w:sz w:val="16"/>
                <w:szCs w:val="16"/>
              </w:rPr>
            </w:pPr>
            <w:r>
              <w:rPr>
                <w:rFonts w:ascii="Arial" w:hAnsi="Arial" w:cs="Arial"/>
                <w:b/>
                <w:bCs/>
                <w:color w:val="000000"/>
                <w:sz w:val="16"/>
                <w:szCs w:val="16"/>
              </w:rPr>
              <w:t>Importe</w:t>
            </w:r>
          </w:p>
          <w:p w14:paraId="5812B58D" w14:textId="77777777" w:rsidR="00BE5781" w:rsidRPr="00B666A5" w:rsidRDefault="00BE5781" w:rsidP="00BE5781">
            <w:pPr>
              <w:rPr>
                <w:rFonts w:ascii="Arial" w:hAnsi="Arial" w:cs="Arial"/>
                <w:b/>
                <w:bCs/>
                <w:color w:val="000000"/>
                <w:sz w:val="16"/>
                <w:szCs w:val="16"/>
              </w:rPr>
            </w:pPr>
            <w:r>
              <w:rPr>
                <w:rFonts w:ascii="Arial" w:hAnsi="Arial" w:cs="Arial"/>
                <w:b/>
                <w:bCs/>
                <w:color w:val="000000"/>
                <w:sz w:val="16"/>
                <w:szCs w:val="16"/>
              </w:rPr>
              <w:t>licitación</w:t>
            </w:r>
          </w:p>
        </w:tc>
        <w:tc>
          <w:tcPr>
            <w:tcW w:w="1247" w:type="dxa"/>
            <w:tcBorders>
              <w:top w:val="single" w:sz="4" w:space="0" w:color="auto"/>
              <w:left w:val="nil"/>
              <w:bottom w:val="single" w:sz="4" w:space="0" w:color="auto"/>
              <w:right w:val="single" w:sz="4" w:space="0" w:color="auto"/>
            </w:tcBorders>
            <w:shd w:val="clear" w:color="000000" w:fill="9BC2E6"/>
            <w:noWrap/>
            <w:vAlign w:val="center"/>
          </w:tcPr>
          <w:p w14:paraId="60CBCCD8" w14:textId="77777777" w:rsidR="00BE5781" w:rsidRDefault="00BE5781" w:rsidP="00BE5781">
            <w:pPr>
              <w:rPr>
                <w:rFonts w:ascii="Arial" w:hAnsi="Arial" w:cs="Arial"/>
                <w:b/>
                <w:bCs/>
                <w:color w:val="000000"/>
                <w:sz w:val="16"/>
                <w:szCs w:val="16"/>
              </w:rPr>
            </w:pPr>
            <w:r>
              <w:rPr>
                <w:rFonts w:ascii="Arial" w:hAnsi="Arial" w:cs="Arial"/>
                <w:b/>
                <w:bCs/>
                <w:color w:val="000000"/>
                <w:sz w:val="16"/>
                <w:szCs w:val="16"/>
              </w:rPr>
              <w:t xml:space="preserve">Importe </w:t>
            </w:r>
          </w:p>
          <w:p w14:paraId="057E6685" w14:textId="77777777" w:rsidR="00BE5781" w:rsidRPr="00B666A5" w:rsidRDefault="00BE5781" w:rsidP="00BE5781">
            <w:pPr>
              <w:rPr>
                <w:rFonts w:ascii="Arial" w:hAnsi="Arial" w:cs="Arial"/>
                <w:b/>
                <w:bCs/>
                <w:color w:val="000000"/>
                <w:sz w:val="16"/>
                <w:szCs w:val="16"/>
              </w:rPr>
            </w:pPr>
            <w:r>
              <w:rPr>
                <w:rFonts w:ascii="Arial" w:hAnsi="Arial" w:cs="Arial"/>
                <w:b/>
                <w:bCs/>
                <w:color w:val="000000"/>
                <w:sz w:val="16"/>
                <w:szCs w:val="16"/>
              </w:rPr>
              <w:t>adjudicación</w:t>
            </w:r>
          </w:p>
        </w:tc>
        <w:tc>
          <w:tcPr>
            <w:tcW w:w="709" w:type="dxa"/>
            <w:tcBorders>
              <w:top w:val="single" w:sz="4" w:space="0" w:color="auto"/>
              <w:left w:val="nil"/>
              <w:bottom w:val="single" w:sz="4" w:space="0" w:color="auto"/>
              <w:right w:val="single" w:sz="4" w:space="0" w:color="auto"/>
            </w:tcBorders>
            <w:shd w:val="clear" w:color="000000" w:fill="9BC2E6"/>
            <w:vAlign w:val="center"/>
          </w:tcPr>
          <w:p w14:paraId="5D2FACF2" w14:textId="77777777" w:rsidR="00BE5781" w:rsidRPr="00B666A5" w:rsidRDefault="00BE5781" w:rsidP="00BE5781">
            <w:pPr>
              <w:jc w:val="center"/>
              <w:rPr>
                <w:rFonts w:ascii="Arial" w:hAnsi="Arial" w:cs="Arial"/>
                <w:b/>
                <w:bCs/>
                <w:sz w:val="16"/>
                <w:szCs w:val="16"/>
              </w:rPr>
            </w:pPr>
            <w:r>
              <w:rPr>
                <w:rFonts w:ascii="Arial" w:hAnsi="Arial" w:cs="Arial"/>
                <w:b/>
                <w:bCs/>
                <w:sz w:val="16"/>
                <w:szCs w:val="16"/>
              </w:rPr>
              <w:t>Baja</w:t>
            </w:r>
          </w:p>
        </w:tc>
        <w:tc>
          <w:tcPr>
            <w:tcW w:w="1474" w:type="dxa"/>
            <w:tcBorders>
              <w:top w:val="single" w:sz="4" w:space="0" w:color="auto"/>
              <w:left w:val="nil"/>
              <w:bottom w:val="single" w:sz="4" w:space="0" w:color="auto"/>
              <w:right w:val="single" w:sz="4" w:space="0" w:color="auto"/>
            </w:tcBorders>
            <w:shd w:val="clear" w:color="000000" w:fill="9BC2E6"/>
            <w:noWrap/>
            <w:vAlign w:val="center"/>
          </w:tcPr>
          <w:p w14:paraId="090A9556" w14:textId="77777777" w:rsidR="00BE5781" w:rsidRPr="00B666A5" w:rsidRDefault="00BE5781" w:rsidP="00BE5781">
            <w:pPr>
              <w:jc w:val="right"/>
              <w:rPr>
                <w:rFonts w:ascii="Arial" w:hAnsi="Arial" w:cs="Arial"/>
                <w:b/>
                <w:bCs/>
                <w:color w:val="000000"/>
                <w:sz w:val="16"/>
                <w:szCs w:val="16"/>
              </w:rPr>
            </w:pPr>
            <w:r>
              <w:rPr>
                <w:rFonts w:ascii="Arial" w:hAnsi="Arial" w:cs="Arial"/>
                <w:b/>
                <w:bCs/>
                <w:color w:val="000000"/>
                <w:sz w:val="16"/>
                <w:szCs w:val="16"/>
              </w:rPr>
              <w:t>Procedimiento</w:t>
            </w:r>
          </w:p>
        </w:tc>
      </w:tr>
      <w:tr w:rsidR="00BE5781" w:rsidRPr="002F3E5F" w14:paraId="7E6EBBD6" w14:textId="77777777" w:rsidTr="00F405EB">
        <w:trPr>
          <w:trHeight w:val="315"/>
          <w:jc w:val="center"/>
        </w:trPr>
        <w:tc>
          <w:tcPr>
            <w:tcW w:w="846" w:type="dxa"/>
            <w:vMerge w:val="restart"/>
            <w:tcBorders>
              <w:top w:val="nil"/>
              <w:left w:val="single" w:sz="4" w:space="0" w:color="auto"/>
              <w:bottom w:val="single" w:sz="4" w:space="0" w:color="000000"/>
              <w:right w:val="single" w:sz="4" w:space="0" w:color="auto"/>
            </w:tcBorders>
            <w:shd w:val="clear" w:color="auto" w:fill="auto"/>
            <w:vAlign w:val="center"/>
            <w:hideMark/>
          </w:tcPr>
          <w:p w14:paraId="546F5ADC"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M1</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4EFD888E"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Agencia Navarra Para La Dependencia</w:t>
            </w:r>
          </w:p>
        </w:tc>
        <w:tc>
          <w:tcPr>
            <w:tcW w:w="3828" w:type="dxa"/>
            <w:tcBorders>
              <w:top w:val="nil"/>
              <w:left w:val="nil"/>
              <w:bottom w:val="single" w:sz="4" w:space="0" w:color="auto"/>
              <w:right w:val="single" w:sz="4" w:space="0" w:color="auto"/>
            </w:tcBorders>
            <w:shd w:val="clear" w:color="auto" w:fill="auto"/>
            <w:noWrap/>
            <w:vAlign w:val="bottom"/>
            <w:hideMark/>
          </w:tcPr>
          <w:p w14:paraId="6F6C993B"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Contratos para gestionar </w:t>
            </w:r>
            <w:proofErr w:type="spellStart"/>
            <w:r w:rsidRPr="002F3E5F">
              <w:rPr>
                <w:rFonts w:ascii="Arial" w:hAnsi="Arial" w:cs="Arial"/>
                <w:color w:val="000000"/>
                <w:sz w:val="14"/>
                <w:szCs w:val="14"/>
              </w:rPr>
              <w:t>Oncineda</w:t>
            </w:r>
            <w:proofErr w:type="spellEnd"/>
            <w:r w:rsidRPr="002F3E5F">
              <w:rPr>
                <w:rFonts w:ascii="Arial" w:hAnsi="Arial" w:cs="Arial"/>
                <w:color w:val="000000"/>
                <w:sz w:val="14"/>
                <w:szCs w:val="14"/>
              </w:rPr>
              <w:t xml:space="preserve">, PF Las </w:t>
            </w:r>
            <w:proofErr w:type="spellStart"/>
            <w:r w:rsidRPr="002F3E5F">
              <w:rPr>
                <w:rFonts w:ascii="Arial" w:hAnsi="Arial" w:cs="Arial"/>
                <w:color w:val="000000"/>
                <w:sz w:val="14"/>
                <w:szCs w:val="14"/>
              </w:rPr>
              <w:t>Torchas</w:t>
            </w:r>
            <w:proofErr w:type="spellEnd"/>
            <w:r w:rsidRPr="002F3E5F">
              <w:rPr>
                <w:rFonts w:ascii="Arial" w:hAnsi="Arial" w:cs="Arial"/>
                <w:color w:val="000000"/>
                <w:sz w:val="14"/>
                <w:szCs w:val="14"/>
              </w:rPr>
              <w:t xml:space="preserve">, Las Hayas y CD Pilar </w:t>
            </w:r>
            <w:proofErr w:type="spellStart"/>
            <w:r w:rsidRPr="002F3E5F">
              <w:rPr>
                <w:rFonts w:ascii="Arial" w:hAnsi="Arial" w:cs="Arial"/>
                <w:color w:val="000000"/>
                <w:sz w:val="14"/>
                <w:szCs w:val="14"/>
              </w:rPr>
              <w:t>Gogorcena</w:t>
            </w:r>
            <w:proofErr w:type="spellEnd"/>
            <w:r w:rsidR="00F26D64">
              <w:rPr>
                <w:rFonts w:ascii="Arial" w:hAnsi="Arial" w:cs="Arial"/>
                <w:color w:val="000000"/>
                <w:sz w:val="14"/>
                <w:szCs w:val="14"/>
              </w:rPr>
              <w:t xml:space="preserve"> LOTE 1</w:t>
            </w:r>
          </w:p>
        </w:tc>
        <w:tc>
          <w:tcPr>
            <w:tcW w:w="986" w:type="dxa"/>
            <w:tcBorders>
              <w:top w:val="nil"/>
              <w:left w:val="nil"/>
              <w:bottom w:val="single" w:sz="4" w:space="0" w:color="auto"/>
              <w:right w:val="single" w:sz="4" w:space="0" w:color="auto"/>
            </w:tcBorders>
            <w:shd w:val="clear" w:color="auto" w:fill="auto"/>
            <w:noWrap/>
            <w:vAlign w:val="center"/>
            <w:hideMark/>
          </w:tcPr>
          <w:p w14:paraId="343F70FC"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406.307</w:t>
            </w:r>
          </w:p>
        </w:tc>
        <w:tc>
          <w:tcPr>
            <w:tcW w:w="1247" w:type="dxa"/>
            <w:tcBorders>
              <w:top w:val="nil"/>
              <w:left w:val="nil"/>
              <w:bottom w:val="single" w:sz="4" w:space="0" w:color="auto"/>
              <w:right w:val="single" w:sz="4" w:space="0" w:color="auto"/>
            </w:tcBorders>
            <w:shd w:val="clear" w:color="auto" w:fill="auto"/>
            <w:noWrap/>
            <w:vAlign w:val="center"/>
            <w:hideMark/>
          </w:tcPr>
          <w:p w14:paraId="00DE3377"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400.507</w:t>
            </w:r>
          </w:p>
        </w:tc>
        <w:tc>
          <w:tcPr>
            <w:tcW w:w="709" w:type="dxa"/>
            <w:tcBorders>
              <w:top w:val="nil"/>
              <w:left w:val="nil"/>
              <w:bottom w:val="single" w:sz="4" w:space="0" w:color="auto"/>
              <w:right w:val="single" w:sz="4" w:space="0" w:color="auto"/>
            </w:tcBorders>
            <w:shd w:val="clear" w:color="auto" w:fill="auto"/>
            <w:noWrap/>
            <w:vAlign w:val="center"/>
            <w:hideMark/>
          </w:tcPr>
          <w:p w14:paraId="67690D62"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1,43%</w:t>
            </w:r>
          </w:p>
        </w:tc>
        <w:tc>
          <w:tcPr>
            <w:tcW w:w="1474" w:type="dxa"/>
            <w:tcBorders>
              <w:top w:val="single" w:sz="4" w:space="0" w:color="auto"/>
              <w:left w:val="single" w:sz="4" w:space="0" w:color="auto"/>
              <w:right w:val="single" w:sz="4" w:space="0" w:color="auto"/>
            </w:tcBorders>
            <w:shd w:val="clear" w:color="auto" w:fill="auto"/>
            <w:noWrap/>
            <w:vAlign w:val="center"/>
          </w:tcPr>
          <w:p w14:paraId="44334870" w14:textId="77777777" w:rsidR="00BE5781" w:rsidRPr="002F3E5F" w:rsidRDefault="00BE5781" w:rsidP="00BE5781">
            <w:pPr>
              <w:jc w:val="right"/>
              <w:rPr>
                <w:rFonts w:ascii="Arial" w:hAnsi="Arial" w:cs="Arial"/>
                <w:color w:val="000000"/>
                <w:sz w:val="14"/>
                <w:szCs w:val="14"/>
              </w:rPr>
            </w:pPr>
          </w:p>
        </w:tc>
      </w:tr>
      <w:tr w:rsidR="00BE5781" w:rsidRPr="002F3E5F" w14:paraId="343F480F" w14:textId="77777777" w:rsidTr="00F405EB">
        <w:trPr>
          <w:trHeight w:val="315"/>
          <w:jc w:val="center"/>
        </w:trPr>
        <w:tc>
          <w:tcPr>
            <w:tcW w:w="846" w:type="dxa"/>
            <w:vMerge/>
            <w:tcBorders>
              <w:top w:val="nil"/>
              <w:left w:val="single" w:sz="4" w:space="0" w:color="auto"/>
              <w:bottom w:val="single" w:sz="4" w:space="0" w:color="000000"/>
              <w:right w:val="single" w:sz="4" w:space="0" w:color="auto"/>
            </w:tcBorders>
            <w:vAlign w:val="center"/>
            <w:hideMark/>
          </w:tcPr>
          <w:p w14:paraId="7929080F" w14:textId="77777777" w:rsidR="00BE5781" w:rsidRPr="002F3E5F" w:rsidRDefault="00BE5781" w:rsidP="00BE5781">
            <w:pPr>
              <w:rPr>
                <w:rFonts w:ascii="Arial" w:hAnsi="Arial" w:cs="Arial"/>
                <w:color w:val="000000"/>
                <w:sz w:val="14"/>
                <w:szCs w:val="14"/>
              </w:rPr>
            </w:pPr>
          </w:p>
        </w:tc>
        <w:tc>
          <w:tcPr>
            <w:tcW w:w="2551" w:type="dxa"/>
            <w:vMerge/>
            <w:tcBorders>
              <w:top w:val="nil"/>
              <w:left w:val="single" w:sz="4" w:space="0" w:color="auto"/>
              <w:bottom w:val="single" w:sz="4" w:space="0" w:color="000000"/>
              <w:right w:val="single" w:sz="4" w:space="0" w:color="auto"/>
            </w:tcBorders>
            <w:vAlign w:val="center"/>
            <w:hideMark/>
          </w:tcPr>
          <w:p w14:paraId="36272973"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176E0050"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Contratos para gestionar </w:t>
            </w:r>
            <w:proofErr w:type="spellStart"/>
            <w:r w:rsidRPr="002F3E5F">
              <w:rPr>
                <w:rFonts w:ascii="Arial" w:hAnsi="Arial" w:cs="Arial"/>
                <w:color w:val="000000"/>
                <w:sz w:val="14"/>
                <w:szCs w:val="14"/>
              </w:rPr>
              <w:t>Oncineda</w:t>
            </w:r>
            <w:proofErr w:type="spellEnd"/>
            <w:r w:rsidRPr="002F3E5F">
              <w:rPr>
                <w:rFonts w:ascii="Arial" w:hAnsi="Arial" w:cs="Arial"/>
                <w:color w:val="000000"/>
                <w:sz w:val="14"/>
                <w:szCs w:val="14"/>
              </w:rPr>
              <w:t xml:space="preserve">, PF Las </w:t>
            </w:r>
            <w:proofErr w:type="spellStart"/>
            <w:r w:rsidRPr="002F3E5F">
              <w:rPr>
                <w:rFonts w:ascii="Arial" w:hAnsi="Arial" w:cs="Arial"/>
                <w:color w:val="000000"/>
                <w:sz w:val="14"/>
                <w:szCs w:val="14"/>
              </w:rPr>
              <w:t>Torchas</w:t>
            </w:r>
            <w:proofErr w:type="spellEnd"/>
            <w:r w:rsidRPr="002F3E5F">
              <w:rPr>
                <w:rFonts w:ascii="Arial" w:hAnsi="Arial" w:cs="Arial"/>
                <w:color w:val="000000"/>
                <w:sz w:val="14"/>
                <w:szCs w:val="14"/>
              </w:rPr>
              <w:t xml:space="preserve">, Las Hayas y CD Pilar </w:t>
            </w:r>
            <w:proofErr w:type="spellStart"/>
            <w:r w:rsidRPr="002F3E5F">
              <w:rPr>
                <w:rFonts w:ascii="Arial" w:hAnsi="Arial" w:cs="Arial"/>
                <w:color w:val="000000"/>
                <w:sz w:val="14"/>
                <w:szCs w:val="14"/>
              </w:rPr>
              <w:t>Gogorcena</w:t>
            </w:r>
            <w:proofErr w:type="spellEnd"/>
            <w:r w:rsidR="00F26D64">
              <w:rPr>
                <w:rFonts w:ascii="Arial" w:hAnsi="Arial" w:cs="Arial"/>
                <w:color w:val="000000"/>
                <w:sz w:val="14"/>
                <w:szCs w:val="14"/>
              </w:rPr>
              <w:t xml:space="preserve"> LOTE 2</w:t>
            </w:r>
          </w:p>
        </w:tc>
        <w:tc>
          <w:tcPr>
            <w:tcW w:w="986" w:type="dxa"/>
            <w:tcBorders>
              <w:top w:val="nil"/>
              <w:left w:val="nil"/>
              <w:bottom w:val="single" w:sz="4" w:space="0" w:color="auto"/>
              <w:right w:val="single" w:sz="4" w:space="0" w:color="auto"/>
            </w:tcBorders>
            <w:shd w:val="clear" w:color="auto" w:fill="auto"/>
            <w:noWrap/>
            <w:vAlign w:val="center"/>
            <w:hideMark/>
          </w:tcPr>
          <w:p w14:paraId="720EC73D"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440.648</w:t>
            </w:r>
          </w:p>
        </w:tc>
        <w:tc>
          <w:tcPr>
            <w:tcW w:w="1247" w:type="dxa"/>
            <w:tcBorders>
              <w:top w:val="nil"/>
              <w:left w:val="nil"/>
              <w:bottom w:val="single" w:sz="4" w:space="0" w:color="auto"/>
              <w:right w:val="single" w:sz="4" w:space="0" w:color="auto"/>
            </w:tcBorders>
            <w:shd w:val="clear" w:color="auto" w:fill="auto"/>
            <w:noWrap/>
            <w:vAlign w:val="center"/>
            <w:hideMark/>
          </w:tcPr>
          <w:p w14:paraId="3BFE689F"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432.058</w:t>
            </w:r>
          </w:p>
        </w:tc>
        <w:tc>
          <w:tcPr>
            <w:tcW w:w="709" w:type="dxa"/>
            <w:tcBorders>
              <w:top w:val="nil"/>
              <w:left w:val="nil"/>
              <w:bottom w:val="single" w:sz="4" w:space="0" w:color="auto"/>
              <w:right w:val="single" w:sz="4" w:space="0" w:color="auto"/>
            </w:tcBorders>
            <w:shd w:val="clear" w:color="auto" w:fill="auto"/>
            <w:noWrap/>
            <w:vAlign w:val="center"/>
            <w:hideMark/>
          </w:tcPr>
          <w:p w14:paraId="2A00602C"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1,95%</w:t>
            </w:r>
          </w:p>
        </w:tc>
        <w:tc>
          <w:tcPr>
            <w:tcW w:w="1474" w:type="dxa"/>
            <w:tcBorders>
              <w:top w:val="nil"/>
              <w:left w:val="single" w:sz="4" w:space="0" w:color="auto"/>
              <w:right w:val="single" w:sz="4" w:space="0" w:color="auto"/>
            </w:tcBorders>
            <w:shd w:val="clear" w:color="auto" w:fill="auto"/>
            <w:noWrap/>
            <w:vAlign w:val="center"/>
            <w:hideMark/>
          </w:tcPr>
          <w:p w14:paraId="6B764B9A" w14:textId="77777777" w:rsidR="00BE5781" w:rsidRPr="002F3E5F" w:rsidRDefault="00384FD8" w:rsidP="00BE5781">
            <w:pPr>
              <w:jc w:val="right"/>
              <w:rPr>
                <w:rFonts w:ascii="Arial" w:hAnsi="Arial" w:cs="Arial"/>
                <w:color w:val="000000"/>
                <w:sz w:val="14"/>
                <w:szCs w:val="14"/>
              </w:rPr>
            </w:pPr>
            <w:r w:rsidRPr="002F3E5F">
              <w:rPr>
                <w:rFonts w:ascii="Arial" w:hAnsi="Arial" w:cs="Arial"/>
                <w:color w:val="000000"/>
                <w:sz w:val="14"/>
                <w:szCs w:val="14"/>
              </w:rPr>
              <w:t>Abierto</w:t>
            </w:r>
            <w:r>
              <w:rPr>
                <w:rFonts w:ascii="Arial" w:hAnsi="Arial" w:cs="Arial"/>
                <w:color w:val="000000"/>
                <w:sz w:val="14"/>
                <w:szCs w:val="14"/>
              </w:rPr>
              <w:t xml:space="preserve"> superior al umbral europeo</w:t>
            </w:r>
            <w:r w:rsidR="00BE5781" w:rsidRPr="002F3E5F">
              <w:rPr>
                <w:rFonts w:ascii="Arial" w:hAnsi="Arial" w:cs="Arial"/>
                <w:color w:val="000000"/>
                <w:sz w:val="14"/>
                <w:szCs w:val="14"/>
              </w:rPr>
              <w:t> </w:t>
            </w:r>
          </w:p>
        </w:tc>
      </w:tr>
      <w:tr w:rsidR="00BE5781" w:rsidRPr="002F3E5F" w14:paraId="6EACC1BD" w14:textId="77777777" w:rsidTr="00F405EB">
        <w:trPr>
          <w:trHeight w:val="315"/>
          <w:jc w:val="center"/>
        </w:trPr>
        <w:tc>
          <w:tcPr>
            <w:tcW w:w="846" w:type="dxa"/>
            <w:vMerge/>
            <w:tcBorders>
              <w:top w:val="nil"/>
              <w:left w:val="single" w:sz="4" w:space="0" w:color="auto"/>
              <w:bottom w:val="single" w:sz="4" w:space="0" w:color="000000"/>
              <w:right w:val="single" w:sz="4" w:space="0" w:color="auto"/>
            </w:tcBorders>
            <w:vAlign w:val="center"/>
            <w:hideMark/>
          </w:tcPr>
          <w:p w14:paraId="7ABC3DB0" w14:textId="77777777" w:rsidR="00BE5781" w:rsidRPr="002F3E5F" w:rsidRDefault="00BE5781" w:rsidP="00BE5781">
            <w:pPr>
              <w:rPr>
                <w:rFonts w:ascii="Arial" w:hAnsi="Arial" w:cs="Arial"/>
                <w:color w:val="000000"/>
                <w:sz w:val="14"/>
                <w:szCs w:val="14"/>
              </w:rPr>
            </w:pPr>
          </w:p>
        </w:tc>
        <w:tc>
          <w:tcPr>
            <w:tcW w:w="2551" w:type="dxa"/>
            <w:vMerge/>
            <w:tcBorders>
              <w:top w:val="nil"/>
              <w:left w:val="single" w:sz="4" w:space="0" w:color="auto"/>
              <w:bottom w:val="single" w:sz="4" w:space="0" w:color="000000"/>
              <w:right w:val="single" w:sz="4" w:space="0" w:color="auto"/>
            </w:tcBorders>
            <w:vAlign w:val="center"/>
            <w:hideMark/>
          </w:tcPr>
          <w:p w14:paraId="22978BC4"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2AD99760"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Contratos para gestionar </w:t>
            </w:r>
            <w:proofErr w:type="spellStart"/>
            <w:r w:rsidRPr="002F3E5F">
              <w:rPr>
                <w:rFonts w:ascii="Arial" w:hAnsi="Arial" w:cs="Arial"/>
                <w:color w:val="000000"/>
                <w:sz w:val="14"/>
                <w:szCs w:val="14"/>
              </w:rPr>
              <w:t>Oncineda</w:t>
            </w:r>
            <w:proofErr w:type="spellEnd"/>
            <w:r w:rsidRPr="002F3E5F">
              <w:rPr>
                <w:rFonts w:ascii="Arial" w:hAnsi="Arial" w:cs="Arial"/>
                <w:color w:val="000000"/>
                <w:sz w:val="14"/>
                <w:szCs w:val="14"/>
              </w:rPr>
              <w:t xml:space="preserve">, PF Las </w:t>
            </w:r>
            <w:proofErr w:type="spellStart"/>
            <w:r w:rsidRPr="002F3E5F">
              <w:rPr>
                <w:rFonts w:ascii="Arial" w:hAnsi="Arial" w:cs="Arial"/>
                <w:color w:val="000000"/>
                <w:sz w:val="14"/>
                <w:szCs w:val="14"/>
              </w:rPr>
              <w:t>Torchas</w:t>
            </w:r>
            <w:proofErr w:type="spellEnd"/>
            <w:r w:rsidRPr="002F3E5F">
              <w:rPr>
                <w:rFonts w:ascii="Arial" w:hAnsi="Arial" w:cs="Arial"/>
                <w:color w:val="000000"/>
                <w:sz w:val="14"/>
                <w:szCs w:val="14"/>
              </w:rPr>
              <w:t xml:space="preserve">, Las Hayas y CD Pilar </w:t>
            </w:r>
            <w:proofErr w:type="spellStart"/>
            <w:r w:rsidRPr="002F3E5F">
              <w:rPr>
                <w:rFonts w:ascii="Arial" w:hAnsi="Arial" w:cs="Arial"/>
                <w:color w:val="000000"/>
                <w:sz w:val="14"/>
                <w:szCs w:val="14"/>
              </w:rPr>
              <w:t>Gogorcena</w:t>
            </w:r>
            <w:proofErr w:type="spellEnd"/>
            <w:r w:rsidR="00F26D64">
              <w:rPr>
                <w:rFonts w:ascii="Arial" w:hAnsi="Arial" w:cs="Arial"/>
                <w:color w:val="000000"/>
                <w:sz w:val="14"/>
                <w:szCs w:val="14"/>
              </w:rPr>
              <w:t xml:space="preserve"> LOTE 3</w:t>
            </w:r>
          </w:p>
        </w:tc>
        <w:tc>
          <w:tcPr>
            <w:tcW w:w="986" w:type="dxa"/>
            <w:tcBorders>
              <w:top w:val="nil"/>
              <w:left w:val="nil"/>
              <w:bottom w:val="single" w:sz="4" w:space="0" w:color="auto"/>
              <w:right w:val="single" w:sz="4" w:space="0" w:color="auto"/>
            </w:tcBorders>
            <w:shd w:val="clear" w:color="auto" w:fill="auto"/>
            <w:noWrap/>
            <w:vAlign w:val="center"/>
            <w:hideMark/>
          </w:tcPr>
          <w:p w14:paraId="7891080D"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155.016</w:t>
            </w:r>
          </w:p>
        </w:tc>
        <w:tc>
          <w:tcPr>
            <w:tcW w:w="1247" w:type="dxa"/>
            <w:tcBorders>
              <w:top w:val="nil"/>
              <w:left w:val="nil"/>
              <w:bottom w:val="single" w:sz="4" w:space="0" w:color="auto"/>
              <w:right w:val="single" w:sz="4" w:space="0" w:color="auto"/>
            </w:tcBorders>
            <w:shd w:val="clear" w:color="auto" w:fill="auto"/>
            <w:noWrap/>
            <w:vAlign w:val="center"/>
            <w:hideMark/>
          </w:tcPr>
          <w:p w14:paraId="6EEED42E"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153.369</w:t>
            </w:r>
          </w:p>
        </w:tc>
        <w:tc>
          <w:tcPr>
            <w:tcW w:w="709" w:type="dxa"/>
            <w:tcBorders>
              <w:top w:val="nil"/>
              <w:left w:val="nil"/>
              <w:bottom w:val="single" w:sz="4" w:space="0" w:color="auto"/>
              <w:right w:val="single" w:sz="4" w:space="0" w:color="auto"/>
            </w:tcBorders>
            <w:shd w:val="clear" w:color="auto" w:fill="auto"/>
            <w:noWrap/>
            <w:vAlign w:val="center"/>
            <w:hideMark/>
          </w:tcPr>
          <w:p w14:paraId="5B4ED37B"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1,06%</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7A140FBD" w14:textId="77777777" w:rsidR="00BE5781" w:rsidRPr="002F3E5F" w:rsidRDefault="00BE5781" w:rsidP="00BE5781">
            <w:pPr>
              <w:jc w:val="right"/>
              <w:rPr>
                <w:rFonts w:ascii="Arial" w:hAnsi="Arial" w:cs="Arial"/>
                <w:color w:val="000000"/>
                <w:sz w:val="14"/>
                <w:szCs w:val="14"/>
              </w:rPr>
            </w:pPr>
          </w:p>
        </w:tc>
      </w:tr>
      <w:tr w:rsidR="00BE5781" w:rsidRPr="002F3E5F" w14:paraId="64005097" w14:textId="77777777" w:rsidTr="00F405EB">
        <w:trPr>
          <w:trHeight w:val="315"/>
          <w:jc w:val="center"/>
        </w:trPr>
        <w:tc>
          <w:tcPr>
            <w:tcW w:w="846" w:type="dxa"/>
            <w:vMerge w:val="restart"/>
            <w:tcBorders>
              <w:top w:val="nil"/>
              <w:left w:val="single" w:sz="4" w:space="0" w:color="auto"/>
              <w:bottom w:val="nil"/>
              <w:right w:val="single" w:sz="4" w:space="0" w:color="auto"/>
            </w:tcBorders>
            <w:shd w:val="clear" w:color="auto" w:fill="auto"/>
            <w:vAlign w:val="center"/>
            <w:hideMark/>
          </w:tcPr>
          <w:p w14:paraId="74916811"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M2</w:t>
            </w:r>
          </w:p>
        </w:tc>
        <w:tc>
          <w:tcPr>
            <w:tcW w:w="2551" w:type="dxa"/>
            <w:vMerge w:val="restart"/>
            <w:tcBorders>
              <w:top w:val="nil"/>
              <w:left w:val="single" w:sz="4" w:space="0" w:color="auto"/>
              <w:bottom w:val="nil"/>
              <w:right w:val="single" w:sz="4" w:space="0" w:color="auto"/>
            </w:tcBorders>
            <w:shd w:val="clear" w:color="auto" w:fill="auto"/>
            <w:vAlign w:val="center"/>
            <w:hideMark/>
          </w:tcPr>
          <w:p w14:paraId="0952507C"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 xml:space="preserve">Servicio Navarro De Salud - </w:t>
            </w:r>
            <w:proofErr w:type="spellStart"/>
            <w:r w:rsidRPr="002F3E5F">
              <w:rPr>
                <w:rFonts w:ascii="Arial" w:hAnsi="Arial" w:cs="Arial"/>
                <w:color w:val="000000"/>
                <w:sz w:val="14"/>
                <w:szCs w:val="14"/>
              </w:rPr>
              <w:t>Osasunbidea</w:t>
            </w:r>
            <w:proofErr w:type="spellEnd"/>
            <w:r w:rsidRPr="002F3E5F">
              <w:rPr>
                <w:rFonts w:ascii="Arial" w:hAnsi="Arial" w:cs="Arial"/>
                <w:color w:val="000000"/>
                <w:sz w:val="14"/>
                <w:szCs w:val="14"/>
              </w:rPr>
              <w:t xml:space="preserve"> </w:t>
            </w:r>
          </w:p>
        </w:tc>
        <w:tc>
          <w:tcPr>
            <w:tcW w:w="3828" w:type="dxa"/>
            <w:tcBorders>
              <w:top w:val="nil"/>
              <w:left w:val="nil"/>
              <w:bottom w:val="single" w:sz="4" w:space="0" w:color="auto"/>
              <w:right w:val="single" w:sz="4" w:space="0" w:color="auto"/>
            </w:tcBorders>
            <w:shd w:val="clear" w:color="auto" w:fill="auto"/>
            <w:noWrap/>
            <w:vAlign w:val="bottom"/>
            <w:hideMark/>
          </w:tcPr>
          <w:p w14:paraId="35E665B6"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PRESYCON 1/2023. Contrato para la práctica de exploraciones y pruebas diagnósticas a los beneficiarios del Servicio Navarro de Salud-</w:t>
            </w:r>
            <w:proofErr w:type="spellStart"/>
            <w:r w:rsidRPr="002F3E5F">
              <w:rPr>
                <w:rFonts w:ascii="Arial" w:hAnsi="Arial" w:cs="Arial"/>
                <w:color w:val="000000"/>
                <w:sz w:val="14"/>
                <w:szCs w:val="14"/>
              </w:rPr>
              <w:t>Osasunbidea</w:t>
            </w:r>
            <w:proofErr w:type="spellEnd"/>
            <w:r w:rsidR="00F26D64">
              <w:rPr>
                <w:rFonts w:ascii="Arial" w:hAnsi="Arial" w:cs="Arial"/>
                <w:color w:val="000000"/>
                <w:sz w:val="14"/>
                <w:szCs w:val="14"/>
              </w:rPr>
              <w:t xml:space="preserve"> LOTE 1</w:t>
            </w:r>
          </w:p>
        </w:tc>
        <w:tc>
          <w:tcPr>
            <w:tcW w:w="986" w:type="dxa"/>
            <w:tcBorders>
              <w:top w:val="nil"/>
              <w:left w:val="nil"/>
              <w:bottom w:val="single" w:sz="4" w:space="0" w:color="auto"/>
              <w:right w:val="single" w:sz="4" w:space="0" w:color="auto"/>
            </w:tcBorders>
            <w:shd w:val="clear" w:color="auto" w:fill="auto"/>
            <w:noWrap/>
            <w:vAlign w:val="center"/>
            <w:hideMark/>
          </w:tcPr>
          <w:p w14:paraId="62D8C797"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2.543.620</w:t>
            </w:r>
          </w:p>
        </w:tc>
        <w:tc>
          <w:tcPr>
            <w:tcW w:w="1247" w:type="dxa"/>
            <w:tcBorders>
              <w:top w:val="nil"/>
              <w:left w:val="nil"/>
              <w:bottom w:val="single" w:sz="4" w:space="0" w:color="auto"/>
              <w:right w:val="single" w:sz="4" w:space="0" w:color="auto"/>
            </w:tcBorders>
            <w:shd w:val="clear" w:color="auto" w:fill="auto"/>
            <w:noWrap/>
            <w:vAlign w:val="center"/>
            <w:hideMark/>
          </w:tcPr>
          <w:p w14:paraId="316DC8D8"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2.041.328</w:t>
            </w:r>
          </w:p>
        </w:tc>
        <w:tc>
          <w:tcPr>
            <w:tcW w:w="709" w:type="dxa"/>
            <w:tcBorders>
              <w:top w:val="nil"/>
              <w:left w:val="nil"/>
              <w:bottom w:val="single" w:sz="4" w:space="0" w:color="auto"/>
              <w:right w:val="single" w:sz="4" w:space="0" w:color="auto"/>
            </w:tcBorders>
            <w:shd w:val="clear" w:color="auto" w:fill="auto"/>
            <w:noWrap/>
            <w:vAlign w:val="center"/>
            <w:hideMark/>
          </w:tcPr>
          <w:p w14:paraId="5BBEC9E7"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19,75%</w:t>
            </w:r>
          </w:p>
        </w:tc>
        <w:tc>
          <w:tcPr>
            <w:tcW w:w="1474" w:type="dxa"/>
            <w:tcBorders>
              <w:top w:val="single" w:sz="4" w:space="0" w:color="auto"/>
              <w:left w:val="single" w:sz="4" w:space="0" w:color="auto"/>
              <w:right w:val="single" w:sz="4" w:space="0" w:color="auto"/>
            </w:tcBorders>
            <w:shd w:val="clear" w:color="auto" w:fill="auto"/>
            <w:noWrap/>
            <w:vAlign w:val="center"/>
            <w:hideMark/>
          </w:tcPr>
          <w:p w14:paraId="41548F0A" w14:textId="77777777" w:rsidR="00BE5781" w:rsidRPr="002F3E5F" w:rsidRDefault="00BE5781" w:rsidP="00BE5781">
            <w:pPr>
              <w:jc w:val="right"/>
              <w:rPr>
                <w:rFonts w:ascii="Arial" w:hAnsi="Arial" w:cs="Arial"/>
                <w:color w:val="000000"/>
                <w:sz w:val="14"/>
                <w:szCs w:val="14"/>
              </w:rPr>
            </w:pPr>
          </w:p>
        </w:tc>
      </w:tr>
      <w:tr w:rsidR="00BE5781" w:rsidRPr="002F3E5F" w14:paraId="00A93D93" w14:textId="77777777" w:rsidTr="00F405EB">
        <w:trPr>
          <w:trHeight w:val="315"/>
          <w:jc w:val="center"/>
        </w:trPr>
        <w:tc>
          <w:tcPr>
            <w:tcW w:w="846" w:type="dxa"/>
            <w:vMerge/>
            <w:tcBorders>
              <w:top w:val="nil"/>
              <w:left w:val="single" w:sz="4" w:space="0" w:color="auto"/>
              <w:bottom w:val="nil"/>
              <w:right w:val="single" w:sz="4" w:space="0" w:color="auto"/>
            </w:tcBorders>
            <w:vAlign w:val="center"/>
            <w:hideMark/>
          </w:tcPr>
          <w:p w14:paraId="7B20A883" w14:textId="77777777" w:rsidR="00BE5781" w:rsidRPr="002F3E5F" w:rsidRDefault="00BE5781" w:rsidP="00BE5781">
            <w:pPr>
              <w:rPr>
                <w:rFonts w:ascii="Arial" w:hAnsi="Arial" w:cs="Arial"/>
                <w:color w:val="000000"/>
                <w:sz w:val="14"/>
                <w:szCs w:val="14"/>
              </w:rPr>
            </w:pPr>
          </w:p>
        </w:tc>
        <w:tc>
          <w:tcPr>
            <w:tcW w:w="2551" w:type="dxa"/>
            <w:vMerge/>
            <w:tcBorders>
              <w:top w:val="nil"/>
              <w:left w:val="single" w:sz="4" w:space="0" w:color="auto"/>
              <w:bottom w:val="nil"/>
              <w:right w:val="single" w:sz="4" w:space="0" w:color="auto"/>
            </w:tcBorders>
            <w:vAlign w:val="center"/>
            <w:hideMark/>
          </w:tcPr>
          <w:p w14:paraId="2EEDACDE"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6F0D7D1D"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PRESYCON 1/2023. Contrato para la práctica de exploraciones y pruebas diagnósticas a los beneficiarios del Servicio Navarro de Salud-</w:t>
            </w:r>
            <w:proofErr w:type="spellStart"/>
            <w:r w:rsidRPr="002F3E5F">
              <w:rPr>
                <w:rFonts w:ascii="Arial" w:hAnsi="Arial" w:cs="Arial"/>
                <w:color w:val="000000"/>
                <w:sz w:val="14"/>
                <w:szCs w:val="14"/>
              </w:rPr>
              <w:t>Osasunbidea</w:t>
            </w:r>
            <w:proofErr w:type="spellEnd"/>
            <w:r w:rsidR="00F26D64">
              <w:rPr>
                <w:rFonts w:ascii="Arial" w:hAnsi="Arial" w:cs="Arial"/>
                <w:color w:val="000000"/>
                <w:sz w:val="14"/>
                <w:szCs w:val="14"/>
              </w:rPr>
              <w:t xml:space="preserve"> LOTE 2</w:t>
            </w:r>
          </w:p>
        </w:tc>
        <w:tc>
          <w:tcPr>
            <w:tcW w:w="986" w:type="dxa"/>
            <w:tcBorders>
              <w:top w:val="nil"/>
              <w:left w:val="nil"/>
              <w:bottom w:val="single" w:sz="4" w:space="0" w:color="auto"/>
              <w:right w:val="single" w:sz="4" w:space="0" w:color="auto"/>
            </w:tcBorders>
            <w:shd w:val="clear" w:color="auto" w:fill="auto"/>
            <w:noWrap/>
            <w:vAlign w:val="center"/>
            <w:hideMark/>
          </w:tcPr>
          <w:p w14:paraId="7385B1C6"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910.800</w:t>
            </w:r>
          </w:p>
        </w:tc>
        <w:tc>
          <w:tcPr>
            <w:tcW w:w="1247" w:type="dxa"/>
            <w:tcBorders>
              <w:top w:val="nil"/>
              <w:left w:val="nil"/>
              <w:bottom w:val="single" w:sz="4" w:space="0" w:color="auto"/>
              <w:right w:val="single" w:sz="4" w:space="0" w:color="auto"/>
            </w:tcBorders>
            <w:shd w:val="clear" w:color="auto" w:fill="auto"/>
            <w:noWrap/>
            <w:vAlign w:val="center"/>
            <w:hideMark/>
          </w:tcPr>
          <w:p w14:paraId="6B01FD07"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885.500</w:t>
            </w:r>
          </w:p>
        </w:tc>
        <w:tc>
          <w:tcPr>
            <w:tcW w:w="709" w:type="dxa"/>
            <w:tcBorders>
              <w:top w:val="nil"/>
              <w:left w:val="nil"/>
              <w:bottom w:val="single" w:sz="4" w:space="0" w:color="auto"/>
              <w:right w:val="single" w:sz="4" w:space="0" w:color="auto"/>
            </w:tcBorders>
            <w:shd w:val="clear" w:color="auto" w:fill="auto"/>
            <w:noWrap/>
            <w:vAlign w:val="center"/>
            <w:hideMark/>
          </w:tcPr>
          <w:p w14:paraId="4654D86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2,78%</w:t>
            </w:r>
          </w:p>
        </w:tc>
        <w:tc>
          <w:tcPr>
            <w:tcW w:w="1474" w:type="dxa"/>
            <w:tcBorders>
              <w:top w:val="nil"/>
              <w:left w:val="single" w:sz="4" w:space="0" w:color="auto"/>
              <w:right w:val="single" w:sz="4" w:space="0" w:color="auto"/>
            </w:tcBorders>
            <w:shd w:val="clear" w:color="auto" w:fill="auto"/>
            <w:noWrap/>
            <w:vAlign w:val="center"/>
            <w:hideMark/>
          </w:tcPr>
          <w:p w14:paraId="3FFDA4D4" w14:textId="77777777" w:rsidR="00BE5781" w:rsidRPr="002F3E5F" w:rsidRDefault="00384FD8" w:rsidP="00BE5781">
            <w:pPr>
              <w:jc w:val="right"/>
              <w:rPr>
                <w:rFonts w:ascii="Arial" w:hAnsi="Arial" w:cs="Arial"/>
                <w:color w:val="000000"/>
                <w:sz w:val="14"/>
                <w:szCs w:val="14"/>
              </w:rPr>
            </w:pPr>
            <w:r w:rsidRPr="002F3E5F">
              <w:rPr>
                <w:rFonts w:ascii="Arial" w:hAnsi="Arial" w:cs="Arial"/>
                <w:color w:val="000000"/>
                <w:sz w:val="14"/>
                <w:szCs w:val="14"/>
              </w:rPr>
              <w:t>Abierto</w:t>
            </w:r>
            <w:r>
              <w:rPr>
                <w:rFonts w:ascii="Arial" w:hAnsi="Arial" w:cs="Arial"/>
                <w:color w:val="000000"/>
                <w:sz w:val="14"/>
                <w:szCs w:val="14"/>
              </w:rPr>
              <w:t xml:space="preserve"> superior al umbral europeo</w:t>
            </w:r>
            <w:r w:rsidR="00BE5781" w:rsidRPr="002F3E5F">
              <w:rPr>
                <w:rFonts w:ascii="Arial" w:hAnsi="Arial" w:cs="Arial"/>
                <w:color w:val="000000"/>
                <w:sz w:val="14"/>
                <w:szCs w:val="14"/>
              </w:rPr>
              <w:t> </w:t>
            </w:r>
          </w:p>
        </w:tc>
      </w:tr>
      <w:tr w:rsidR="00BE5781" w:rsidRPr="002F3E5F" w14:paraId="77E824D5" w14:textId="77777777" w:rsidTr="00F405EB">
        <w:trPr>
          <w:trHeight w:val="315"/>
          <w:jc w:val="center"/>
        </w:trPr>
        <w:tc>
          <w:tcPr>
            <w:tcW w:w="846" w:type="dxa"/>
            <w:vMerge/>
            <w:tcBorders>
              <w:top w:val="nil"/>
              <w:left w:val="single" w:sz="4" w:space="0" w:color="auto"/>
              <w:bottom w:val="nil"/>
              <w:right w:val="single" w:sz="4" w:space="0" w:color="auto"/>
            </w:tcBorders>
            <w:vAlign w:val="center"/>
            <w:hideMark/>
          </w:tcPr>
          <w:p w14:paraId="77ABDABC" w14:textId="77777777" w:rsidR="00BE5781" w:rsidRPr="002F3E5F" w:rsidRDefault="00BE5781" w:rsidP="00BE5781">
            <w:pPr>
              <w:rPr>
                <w:rFonts w:ascii="Arial" w:hAnsi="Arial" w:cs="Arial"/>
                <w:color w:val="000000"/>
                <w:sz w:val="14"/>
                <w:szCs w:val="14"/>
              </w:rPr>
            </w:pPr>
          </w:p>
        </w:tc>
        <w:tc>
          <w:tcPr>
            <w:tcW w:w="2551" w:type="dxa"/>
            <w:vMerge/>
            <w:tcBorders>
              <w:top w:val="nil"/>
              <w:left w:val="single" w:sz="4" w:space="0" w:color="auto"/>
              <w:bottom w:val="nil"/>
              <w:right w:val="single" w:sz="4" w:space="0" w:color="auto"/>
            </w:tcBorders>
            <w:vAlign w:val="center"/>
            <w:hideMark/>
          </w:tcPr>
          <w:p w14:paraId="16F35031"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0F582A6A"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PRESYCON 1/2023. Contrato para la práctica de exploraciones y pruebas diagnósticas a los beneficiarios del Servicio Navarro de Salud-</w:t>
            </w:r>
            <w:proofErr w:type="spellStart"/>
            <w:r w:rsidRPr="002F3E5F">
              <w:rPr>
                <w:rFonts w:ascii="Arial" w:hAnsi="Arial" w:cs="Arial"/>
                <w:color w:val="000000"/>
                <w:sz w:val="14"/>
                <w:szCs w:val="14"/>
              </w:rPr>
              <w:t>Osasunbidea</w:t>
            </w:r>
            <w:proofErr w:type="spellEnd"/>
            <w:r w:rsidR="00F26D64">
              <w:rPr>
                <w:rFonts w:ascii="Arial" w:hAnsi="Arial" w:cs="Arial"/>
                <w:color w:val="000000"/>
                <w:sz w:val="14"/>
                <w:szCs w:val="14"/>
              </w:rPr>
              <w:t xml:space="preserve"> LOTE 3</w:t>
            </w:r>
          </w:p>
        </w:tc>
        <w:tc>
          <w:tcPr>
            <w:tcW w:w="986" w:type="dxa"/>
            <w:tcBorders>
              <w:top w:val="nil"/>
              <w:left w:val="nil"/>
              <w:bottom w:val="single" w:sz="4" w:space="0" w:color="auto"/>
              <w:right w:val="single" w:sz="4" w:space="0" w:color="auto"/>
            </w:tcBorders>
            <w:shd w:val="clear" w:color="auto" w:fill="auto"/>
            <w:noWrap/>
            <w:vAlign w:val="center"/>
            <w:hideMark/>
          </w:tcPr>
          <w:p w14:paraId="445FEA57"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256.620</w:t>
            </w:r>
          </w:p>
        </w:tc>
        <w:tc>
          <w:tcPr>
            <w:tcW w:w="1247" w:type="dxa"/>
            <w:tcBorders>
              <w:top w:val="nil"/>
              <w:left w:val="nil"/>
              <w:bottom w:val="single" w:sz="4" w:space="0" w:color="auto"/>
              <w:right w:val="single" w:sz="4" w:space="0" w:color="auto"/>
            </w:tcBorders>
            <w:shd w:val="clear" w:color="auto" w:fill="auto"/>
            <w:noWrap/>
            <w:vAlign w:val="center"/>
            <w:hideMark/>
          </w:tcPr>
          <w:p w14:paraId="2EADF089"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256.620</w:t>
            </w:r>
          </w:p>
        </w:tc>
        <w:tc>
          <w:tcPr>
            <w:tcW w:w="709" w:type="dxa"/>
            <w:tcBorders>
              <w:top w:val="nil"/>
              <w:left w:val="nil"/>
              <w:bottom w:val="single" w:sz="4" w:space="0" w:color="auto"/>
              <w:right w:val="single" w:sz="4" w:space="0" w:color="auto"/>
            </w:tcBorders>
            <w:shd w:val="clear" w:color="auto" w:fill="auto"/>
            <w:noWrap/>
            <w:vAlign w:val="center"/>
            <w:hideMark/>
          </w:tcPr>
          <w:p w14:paraId="61F184F2"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0,00%</w:t>
            </w:r>
          </w:p>
        </w:tc>
        <w:tc>
          <w:tcPr>
            <w:tcW w:w="1474" w:type="dxa"/>
            <w:tcBorders>
              <w:top w:val="nil"/>
              <w:left w:val="single" w:sz="4" w:space="0" w:color="auto"/>
              <w:right w:val="single" w:sz="4" w:space="0" w:color="auto"/>
            </w:tcBorders>
            <w:shd w:val="clear" w:color="auto" w:fill="auto"/>
            <w:noWrap/>
            <w:vAlign w:val="center"/>
          </w:tcPr>
          <w:p w14:paraId="09861534" w14:textId="77777777" w:rsidR="00BE5781" w:rsidRPr="002F3E5F" w:rsidRDefault="00BE5781" w:rsidP="00BE5781">
            <w:pPr>
              <w:jc w:val="right"/>
              <w:rPr>
                <w:rFonts w:ascii="Arial" w:hAnsi="Arial" w:cs="Arial"/>
                <w:color w:val="000000"/>
                <w:sz w:val="14"/>
                <w:szCs w:val="14"/>
              </w:rPr>
            </w:pPr>
          </w:p>
        </w:tc>
      </w:tr>
      <w:tr w:rsidR="00BE5781" w:rsidRPr="002F3E5F" w14:paraId="68BE15EF" w14:textId="77777777" w:rsidTr="00F405EB">
        <w:trPr>
          <w:trHeight w:val="315"/>
          <w:jc w:val="center"/>
        </w:trPr>
        <w:tc>
          <w:tcPr>
            <w:tcW w:w="846" w:type="dxa"/>
            <w:vMerge/>
            <w:tcBorders>
              <w:top w:val="nil"/>
              <w:left w:val="single" w:sz="4" w:space="0" w:color="auto"/>
              <w:bottom w:val="nil"/>
              <w:right w:val="single" w:sz="4" w:space="0" w:color="auto"/>
            </w:tcBorders>
            <w:vAlign w:val="center"/>
            <w:hideMark/>
          </w:tcPr>
          <w:p w14:paraId="1FDA0162" w14:textId="77777777" w:rsidR="00BE5781" w:rsidRPr="002F3E5F" w:rsidRDefault="00BE5781" w:rsidP="00BE5781">
            <w:pPr>
              <w:rPr>
                <w:rFonts w:ascii="Arial" w:hAnsi="Arial" w:cs="Arial"/>
                <w:color w:val="000000"/>
                <w:sz w:val="14"/>
                <w:szCs w:val="14"/>
              </w:rPr>
            </w:pPr>
          </w:p>
        </w:tc>
        <w:tc>
          <w:tcPr>
            <w:tcW w:w="2551" w:type="dxa"/>
            <w:vMerge/>
            <w:tcBorders>
              <w:top w:val="nil"/>
              <w:left w:val="single" w:sz="4" w:space="0" w:color="auto"/>
              <w:bottom w:val="nil"/>
              <w:right w:val="single" w:sz="4" w:space="0" w:color="auto"/>
            </w:tcBorders>
            <w:vAlign w:val="center"/>
            <w:hideMark/>
          </w:tcPr>
          <w:p w14:paraId="0973C5C7"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3977071C"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PRESYCON 1/2023. Contrato para la práctica de exploraciones y pruebas diagnósticas a los beneficiarios del Servicio Navarro de Salud-</w:t>
            </w:r>
            <w:proofErr w:type="spellStart"/>
            <w:r w:rsidRPr="002F3E5F">
              <w:rPr>
                <w:rFonts w:ascii="Arial" w:hAnsi="Arial" w:cs="Arial"/>
                <w:color w:val="000000"/>
                <w:sz w:val="14"/>
                <w:szCs w:val="14"/>
              </w:rPr>
              <w:t>Osasunbidea</w:t>
            </w:r>
            <w:proofErr w:type="spellEnd"/>
            <w:r w:rsidR="00F26D64">
              <w:rPr>
                <w:rFonts w:ascii="Arial" w:hAnsi="Arial" w:cs="Arial"/>
                <w:color w:val="000000"/>
                <w:sz w:val="14"/>
                <w:szCs w:val="14"/>
              </w:rPr>
              <w:t xml:space="preserve"> LOTE 4</w:t>
            </w:r>
          </w:p>
        </w:tc>
        <w:tc>
          <w:tcPr>
            <w:tcW w:w="986" w:type="dxa"/>
            <w:tcBorders>
              <w:top w:val="nil"/>
              <w:left w:val="nil"/>
              <w:bottom w:val="single" w:sz="4" w:space="0" w:color="auto"/>
              <w:right w:val="single" w:sz="4" w:space="0" w:color="auto"/>
            </w:tcBorders>
            <w:shd w:val="clear" w:color="auto" w:fill="auto"/>
            <w:noWrap/>
            <w:vAlign w:val="center"/>
            <w:hideMark/>
          </w:tcPr>
          <w:p w14:paraId="26589045"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149.400</w:t>
            </w:r>
          </w:p>
        </w:tc>
        <w:tc>
          <w:tcPr>
            <w:tcW w:w="1247" w:type="dxa"/>
            <w:tcBorders>
              <w:top w:val="nil"/>
              <w:left w:val="nil"/>
              <w:bottom w:val="single" w:sz="4" w:space="0" w:color="auto"/>
              <w:right w:val="single" w:sz="4" w:space="0" w:color="auto"/>
            </w:tcBorders>
            <w:shd w:val="clear" w:color="auto" w:fill="auto"/>
            <w:noWrap/>
            <w:vAlign w:val="center"/>
            <w:hideMark/>
          </w:tcPr>
          <w:p w14:paraId="2EA36B67"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149.400</w:t>
            </w:r>
          </w:p>
        </w:tc>
        <w:tc>
          <w:tcPr>
            <w:tcW w:w="709" w:type="dxa"/>
            <w:tcBorders>
              <w:top w:val="nil"/>
              <w:left w:val="nil"/>
              <w:bottom w:val="single" w:sz="4" w:space="0" w:color="auto"/>
              <w:right w:val="single" w:sz="4" w:space="0" w:color="auto"/>
            </w:tcBorders>
            <w:shd w:val="clear" w:color="auto" w:fill="auto"/>
            <w:noWrap/>
            <w:vAlign w:val="center"/>
            <w:hideMark/>
          </w:tcPr>
          <w:p w14:paraId="4E5C1B12"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0,00%</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3E875469" w14:textId="77777777" w:rsidR="00BE5781" w:rsidRPr="002F3E5F" w:rsidRDefault="00BE5781" w:rsidP="00BE5781">
            <w:pPr>
              <w:jc w:val="right"/>
              <w:rPr>
                <w:rFonts w:ascii="Arial" w:hAnsi="Arial" w:cs="Arial"/>
                <w:color w:val="000000"/>
                <w:sz w:val="14"/>
                <w:szCs w:val="14"/>
              </w:rPr>
            </w:pPr>
          </w:p>
        </w:tc>
      </w:tr>
      <w:tr w:rsidR="00BE5781" w:rsidRPr="002F3E5F" w14:paraId="2D1741C5" w14:textId="77777777" w:rsidTr="00F405EB">
        <w:trPr>
          <w:trHeight w:val="31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C7133"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M3</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786FA9A2"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Servicio Navarro De Salud - </w:t>
            </w:r>
            <w:proofErr w:type="spellStart"/>
            <w:r w:rsidRPr="002F3E5F">
              <w:rPr>
                <w:rFonts w:ascii="Arial" w:hAnsi="Arial" w:cs="Arial"/>
                <w:color w:val="000000"/>
                <w:sz w:val="14"/>
                <w:szCs w:val="14"/>
              </w:rPr>
              <w:t>Osasunbidea</w:t>
            </w:r>
            <w:proofErr w:type="spellEnd"/>
            <w:r w:rsidRPr="002F3E5F">
              <w:rPr>
                <w:rFonts w:ascii="Arial" w:hAnsi="Arial" w:cs="Arial"/>
                <w:color w:val="000000"/>
                <w:sz w:val="14"/>
                <w:szCs w:val="14"/>
              </w:rPr>
              <w:t xml:space="preserve"> </w:t>
            </w:r>
          </w:p>
        </w:tc>
        <w:tc>
          <w:tcPr>
            <w:tcW w:w="3828" w:type="dxa"/>
            <w:tcBorders>
              <w:top w:val="nil"/>
              <w:left w:val="nil"/>
              <w:bottom w:val="single" w:sz="4" w:space="0" w:color="auto"/>
              <w:right w:val="single" w:sz="4" w:space="0" w:color="auto"/>
            </w:tcBorders>
            <w:shd w:val="clear" w:color="auto" w:fill="auto"/>
            <w:noWrap/>
            <w:vAlign w:val="bottom"/>
            <w:hideMark/>
          </w:tcPr>
          <w:p w14:paraId="6ECBB292"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SER 116/2023: Servicio de alimentación de pacientes de la Gerencia de Salud Mental y gestión del servicio de cafetería del Centro San Francisco Javier.</w:t>
            </w:r>
          </w:p>
        </w:tc>
        <w:tc>
          <w:tcPr>
            <w:tcW w:w="986" w:type="dxa"/>
            <w:tcBorders>
              <w:top w:val="nil"/>
              <w:left w:val="nil"/>
              <w:bottom w:val="single" w:sz="4" w:space="0" w:color="auto"/>
              <w:right w:val="single" w:sz="4" w:space="0" w:color="auto"/>
            </w:tcBorders>
            <w:shd w:val="clear" w:color="auto" w:fill="auto"/>
            <w:noWrap/>
            <w:vAlign w:val="center"/>
            <w:hideMark/>
          </w:tcPr>
          <w:p w14:paraId="178E7BA9"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1.026.168</w:t>
            </w:r>
          </w:p>
        </w:tc>
        <w:tc>
          <w:tcPr>
            <w:tcW w:w="1247" w:type="dxa"/>
            <w:tcBorders>
              <w:top w:val="nil"/>
              <w:left w:val="nil"/>
              <w:bottom w:val="single" w:sz="4" w:space="0" w:color="auto"/>
              <w:right w:val="single" w:sz="4" w:space="0" w:color="auto"/>
            </w:tcBorders>
            <w:shd w:val="clear" w:color="auto" w:fill="auto"/>
            <w:noWrap/>
            <w:vAlign w:val="center"/>
            <w:hideMark/>
          </w:tcPr>
          <w:p w14:paraId="502AB62B"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944.149</w:t>
            </w:r>
          </w:p>
        </w:tc>
        <w:tc>
          <w:tcPr>
            <w:tcW w:w="709" w:type="dxa"/>
            <w:tcBorders>
              <w:top w:val="nil"/>
              <w:left w:val="nil"/>
              <w:bottom w:val="single" w:sz="4" w:space="0" w:color="auto"/>
              <w:right w:val="single" w:sz="4" w:space="0" w:color="auto"/>
            </w:tcBorders>
            <w:shd w:val="clear" w:color="auto" w:fill="auto"/>
            <w:noWrap/>
            <w:vAlign w:val="center"/>
            <w:hideMark/>
          </w:tcPr>
          <w:p w14:paraId="119B7D2B"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7,99%</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151DA387"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p>
        </w:tc>
      </w:tr>
      <w:tr w:rsidR="00BE5781" w:rsidRPr="002F3E5F" w14:paraId="575FEE8D" w14:textId="77777777" w:rsidTr="00F405EB">
        <w:trPr>
          <w:trHeight w:val="31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042E03B"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M4</w:t>
            </w:r>
          </w:p>
        </w:tc>
        <w:tc>
          <w:tcPr>
            <w:tcW w:w="2551" w:type="dxa"/>
            <w:tcBorders>
              <w:top w:val="nil"/>
              <w:left w:val="nil"/>
              <w:bottom w:val="single" w:sz="4" w:space="0" w:color="auto"/>
              <w:right w:val="single" w:sz="4" w:space="0" w:color="auto"/>
            </w:tcBorders>
            <w:shd w:val="clear" w:color="auto" w:fill="auto"/>
            <w:noWrap/>
            <w:vAlign w:val="bottom"/>
            <w:hideMark/>
          </w:tcPr>
          <w:p w14:paraId="50A12414"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Servicio Navarro De Salud - </w:t>
            </w:r>
            <w:proofErr w:type="spellStart"/>
            <w:r w:rsidRPr="002F3E5F">
              <w:rPr>
                <w:rFonts w:ascii="Arial" w:hAnsi="Arial" w:cs="Arial"/>
                <w:color w:val="000000"/>
                <w:sz w:val="14"/>
                <w:szCs w:val="14"/>
              </w:rPr>
              <w:t>Osasunbidea</w:t>
            </w:r>
            <w:proofErr w:type="spellEnd"/>
            <w:r w:rsidRPr="002F3E5F">
              <w:rPr>
                <w:rFonts w:ascii="Arial" w:hAnsi="Arial" w:cs="Arial"/>
                <w:color w:val="000000"/>
                <w:sz w:val="14"/>
                <w:szCs w:val="14"/>
              </w:rPr>
              <w:t xml:space="preserve"> </w:t>
            </w:r>
          </w:p>
        </w:tc>
        <w:tc>
          <w:tcPr>
            <w:tcW w:w="3828" w:type="dxa"/>
            <w:tcBorders>
              <w:top w:val="nil"/>
              <w:left w:val="nil"/>
              <w:bottom w:val="single" w:sz="4" w:space="0" w:color="auto"/>
              <w:right w:val="single" w:sz="4" w:space="0" w:color="auto"/>
            </w:tcBorders>
            <w:shd w:val="clear" w:color="auto" w:fill="auto"/>
            <w:noWrap/>
            <w:vAlign w:val="bottom"/>
            <w:hideMark/>
          </w:tcPr>
          <w:p w14:paraId="50F1FBCA"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SER 82/2023: Servicio de alimentación de pacientes y personal de guardia, gestión de la cafetería del Hospital Reina Sofía de Tudela y el servicio de comida a pacientes del centro de Salud Mental.</w:t>
            </w:r>
          </w:p>
        </w:tc>
        <w:tc>
          <w:tcPr>
            <w:tcW w:w="986" w:type="dxa"/>
            <w:tcBorders>
              <w:top w:val="nil"/>
              <w:left w:val="nil"/>
              <w:bottom w:val="single" w:sz="4" w:space="0" w:color="auto"/>
              <w:right w:val="single" w:sz="4" w:space="0" w:color="auto"/>
            </w:tcBorders>
            <w:shd w:val="clear" w:color="auto" w:fill="auto"/>
            <w:noWrap/>
            <w:vAlign w:val="center"/>
            <w:hideMark/>
          </w:tcPr>
          <w:p w14:paraId="6E555D21"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847.067</w:t>
            </w:r>
          </w:p>
        </w:tc>
        <w:tc>
          <w:tcPr>
            <w:tcW w:w="1247" w:type="dxa"/>
            <w:tcBorders>
              <w:top w:val="nil"/>
              <w:left w:val="nil"/>
              <w:bottom w:val="single" w:sz="4" w:space="0" w:color="auto"/>
              <w:right w:val="single" w:sz="4" w:space="0" w:color="auto"/>
            </w:tcBorders>
            <w:shd w:val="clear" w:color="auto" w:fill="auto"/>
            <w:noWrap/>
            <w:vAlign w:val="center"/>
            <w:hideMark/>
          </w:tcPr>
          <w:p w14:paraId="5BE2B8A4"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804.838</w:t>
            </w:r>
          </w:p>
        </w:tc>
        <w:tc>
          <w:tcPr>
            <w:tcW w:w="709" w:type="dxa"/>
            <w:tcBorders>
              <w:top w:val="nil"/>
              <w:left w:val="nil"/>
              <w:bottom w:val="single" w:sz="4" w:space="0" w:color="auto"/>
              <w:right w:val="single" w:sz="4" w:space="0" w:color="auto"/>
            </w:tcBorders>
            <w:shd w:val="clear" w:color="auto" w:fill="auto"/>
            <w:noWrap/>
            <w:vAlign w:val="center"/>
            <w:hideMark/>
          </w:tcPr>
          <w:p w14:paraId="23D25CF2"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4,99%</w:t>
            </w:r>
          </w:p>
        </w:tc>
        <w:tc>
          <w:tcPr>
            <w:tcW w:w="1474" w:type="dxa"/>
            <w:tcBorders>
              <w:top w:val="nil"/>
              <w:left w:val="nil"/>
              <w:bottom w:val="single" w:sz="4" w:space="0" w:color="auto"/>
              <w:right w:val="single" w:sz="4" w:space="0" w:color="auto"/>
            </w:tcBorders>
            <w:shd w:val="clear" w:color="auto" w:fill="auto"/>
            <w:noWrap/>
            <w:vAlign w:val="center"/>
            <w:hideMark/>
          </w:tcPr>
          <w:p w14:paraId="584482EF" w14:textId="77777777" w:rsidR="00BE5781" w:rsidRPr="002F3E5F" w:rsidRDefault="00384FD8" w:rsidP="00BE5781">
            <w:pPr>
              <w:jc w:val="right"/>
              <w:rPr>
                <w:rFonts w:ascii="Arial" w:hAnsi="Arial" w:cs="Arial"/>
                <w:color w:val="000000"/>
                <w:sz w:val="14"/>
                <w:szCs w:val="14"/>
              </w:rPr>
            </w:pPr>
            <w:r w:rsidRPr="002F3E5F">
              <w:rPr>
                <w:rFonts w:ascii="Arial" w:hAnsi="Arial" w:cs="Arial"/>
                <w:color w:val="000000"/>
                <w:sz w:val="14"/>
                <w:szCs w:val="14"/>
              </w:rPr>
              <w:t>Abierto</w:t>
            </w:r>
            <w:r>
              <w:rPr>
                <w:rFonts w:ascii="Arial" w:hAnsi="Arial" w:cs="Arial"/>
                <w:color w:val="000000"/>
                <w:sz w:val="14"/>
                <w:szCs w:val="14"/>
              </w:rPr>
              <w:t xml:space="preserve"> superior al umbral europeo</w:t>
            </w:r>
          </w:p>
        </w:tc>
      </w:tr>
      <w:tr w:rsidR="00BE5781" w:rsidRPr="002F3E5F" w14:paraId="6F4980A6" w14:textId="77777777" w:rsidTr="00F405EB">
        <w:trPr>
          <w:trHeight w:val="31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64F8E5D"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M5</w:t>
            </w:r>
          </w:p>
        </w:tc>
        <w:tc>
          <w:tcPr>
            <w:tcW w:w="2551" w:type="dxa"/>
            <w:tcBorders>
              <w:top w:val="nil"/>
              <w:left w:val="nil"/>
              <w:bottom w:val="single" w:sz="4" w:space="0" w:color="auto"/>
              <w:right w:val="single" w:sz="4" w:space="0" w:color="auto"/>
            </w:tcBorders>
            <w:shd w:val="clear" w:color="auto" w:fill="auto"/>
            <w:noWrap/>
            <w:vAlign w:val="bottom"/>
            <w:hideMark/>
          </w:tcPr>
          <w:p w14:paraId="051531EC"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Departamento de Universidad, Innovación y Transformación Digital </w:t>
            </w:r>
          </w:p>
        </w:tc>
        <w:tc>
          <w:tcPr>
            <w:tcW w:w="3828" w:type="dxa"/>
            <w:tcBorders>
              <w:top w:val="nil"/>
              <w:left w:val="nil"/>
              <w:bottom w:val="single" w:sz="4" w:space="0" w:color="auto"/>
              <w:right w:val="single" w:sz="4" w:space="0" w:color="auto"/>
            </w:tcBorders>
            <w:shd w:val="clear" w:color="auto" w:fill="auto"/>
            <w:noWrap/>
            <w:vAlign w:val="bottom"/>
            <w:hideMark/>
          </w:tcPr>
          <w:p w14:paraId="1928DDB0"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Gestión de proyectos, evolución y mantenimiento del Portal de Contratación y otras aplicaciones relacionadas durante los años 2023-2026</w:t>
            </w:r>
          </w:p>
        </w:tc>
        <w:tc>
          <w:tcPr>
            <w:tcW w:w="986" w:type="dxa"/>
            <w:tcBorders>
              <w:top w:val="nil"/>
              <w:left w:val="nil"/>
              <w:bottom w:val="single" w:sz="4" w:space="0" w:color="auto"/>
              <w:right w:val="single" w:sz="4" w:space="0" w:color="auto"/>
            </w:tcBorders>
            <w:shd w:val="clear" w:color="auto" w:fill="auto"/>
            <w:noWrap/>
            <w:vAlign w:val="center"/>
            <w:hideMark/>
          </w:tcPr>
          <w:p w14:paraId="4FCD7032"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1.138.740</w:t>
            </w:r>
          </w:p>
        </w:tc>
        <w:tc>
          <w:tcPr>
            <w:tcW w:w="1247" w:type="dxa"/>
            <w:tcBorders>
              <w:top w:val="nil"/>
              <w:left w:val="nil"/>
              <w:bottom w:val="single" w:sz="4" w:space="0" w:color="auto"/>
              <w:right w:val="single" w:sz="4" w:space="0" w:color="auto"/>
            </w:tcBorders>
            <w:shd w:val="clear" w:color="auto" w:fill="auto"/>
            <w:noWrap/>
            <w:vAlign w:val="center"/>
            <w:hideMark/>
          </w:tcPr>
          <w:p w14:paraId="1755FE0A"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1.081.801</w:t>
            </w:r>
          </w:p>
        </w:tc>
        <w:tc>
          <w:tcPr>
            <w:tcW w:w="709" w:type="dxa"/>
            <w:tcBorders>
              <w:top w:val="nil"/>
              <w:left w:val="nil"/>
              <w:bottom w:val="single" w:sz="4" w:space="0" w:color="auto"/>
              <w:right w:val="single" w:sz="4" w:space="0" w:color="auto"/>
            </w:tcBorders>
            <w:shd w:val="clear" w:color="auto" w:fill="auto"/>
            <w:noWrap/>
            <w:vAlign w:val="center"/>
            <w:hideMark/>
          </w:tcPr>
          <w:p w14:paraId="58FF913C"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5,00%</w:t>
            </w:r>
          </w:p>
        </w:tc>
        <w:tc>
          <w:tcPr>
            <w:tcW w:w="1474" w:type="dxa"/>
            <w:tcBorders>
              <w:top w:val="nil"/>
              <w:left w:val="nil"/>
              <w:bottom w:val="single" w:sz="4" w:space="0" w:color="auto"/>
              <w:right w:val="single" w:sz="4" w:space="0" w:color="auto"/>
            </w:tcBorders>
            <w:shd w:val="clear" w:color="auto" w:fill="auto"/>
            <w:noWrap/>
            <w:vAlign w:val="center"/>
            <w:hideMark/>
          </w:tcPr>
          <w:p w14:paraId="5F738F33" w14:textId="77777777" w:rsidR="00BE5781" w:rsidRPr="002F3E5F" w:rsidRDefault="00384FD8" w:rsidP="00BE5781">
            <w:pPr>
              <w:jc w:val="right"/>
              <w:rPr>
                <w:rFonts w:ascii="Arial" w:hAnsi="Arial" w:cs="Arial"/>
                <w:color w:val="000000"/>
                <w:sz w:val="14"/>
                <w:szCs w:val="14"/>
              </w:rPr>
            </w:pPr>
            <w:r w:rsidRPr="002F3E5F">
              <w:rPr>
                <w:rFonts w:ascii="Arial" w:hAnsi="Arial" w:cs="Arial"/>
                <w:color w:val="000000"/>
                <w:sz w:val="14"/>
                <w:szCs w:val="14"/>
              </w:rPr>
              <w:t>Abierto</w:t>
            </w:r>
            <w:r>
              <w:rPr>
                <w:rFonts w:ascii="Arial" w:hAnsi="Arial" w:cs="Arial"/>
                <w:color w:val="000000"/>
                <w:sz w:val="14"/>
                <w:szCs w:val="14"/>
              </w:rPr>
              <w:t xml:space="preserve"> superior al umbral europeo</w:t>
            </w:r>
          </w:p>
        </w:tc>
      </w:tr>
      <w:tr w:rsidR="00BE5781" w:rsidRPr="002F3E5F" w14:paraId="57274283" w14:textId="77777777" w:rsidTr="00F405EB">
        <w:trPr>
          <w:trHeight w:val="31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1D95A6F"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M6</w:t>
            </w:r>
          </w:p>
        </w:tc>
        <w:tc>
          <w:tcPr>
            <w:tcW w:w="2551" w:type="dxa"/>
            <w:tcBorders>
              <w:top w:val="nil"/>
              <w:left w:val="nil"/>
              <w:bottom w:val="single" w:sz="4" w:space="0" w:color="auto"/>
              <w:right w:val="single" w:sz="4" w:space="0" w:color="auto"/>
            </w:tcBorders>
            <w:shd w:val="clear" w:color="auto" w:fill="auto"/>
            <w:noWrap/>
            <w:vAlign w:val="bottom"/>
            <w:hideMark/>
          </w:tcPr>
          <w:p w14:paraId="3A6F5786"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Departamento de Universidad, Innovación y Transformación Digital </w:t>
            </w:r>
          </w:p>
        </w:tc>
        <w:tc>
          <w:tcPr>
            <w:tcW w:w="3828" w:type="dxa"/>
            <w:tcBorders>
              <w:top w:val="nil"/>
              <w:left w:val="nil"/>
              <w:bottom w:val="single" w:sz="4" w:space="0" w:color="auto"/>
              <w:right w:val="single" w:sz="4" w:space="0" w:color="auto"/>
            </w:tcBorders>
            <w:shd w:val="clear" w:color="auto" w:fill="auto"/>
            <w:noWrap/>
            <w:vAlign w:val="bottom"/>
            <w:hideMark/>
          </w:tcPr>
          <w:p w14:paraId="5C7D8B9E"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Asistencia técnica para el desarrollo y servicios complementarios de aplicaciones en Arquitectura Microsoft para el conjunto de aplicaciones de la suite SIMPA (Sistemas de provisión y Acceso) durante los años 2023-2026</w:t>
            </w:r>
          </w:p>
        </w:tc>
        <w:tc>
          <w:tcPr>
            <w:tcW w:w="986" w:type="dxa"/>
            <w:tcBorders>
              <w:top w:val="nil"/>
              <w:left w:val="nil"/>
              <w:bottom w:val="single" w:sz="4" w:space="0" w:color="auto"/>
              <w:right w:val="single" w:sz="4" w:space="0" w:color="auto"/>
            </w:tcBorders>
            <w:shd w:val="clear" w:color="auto" w:fill="auto"/>
            <w:noWrap/>
            <w:vAlign w:val="center"/>
            <w:hideMark/>
          </w:tcPr>
          <w:p w14:paraId="5762015E"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678.051</w:t>
            </w:r>
          </w:p>
        </w:tc>
        <w:tc>
          <w:tcPr>
            <w:tcW w:w="1247" w:type="dxa"/>
            <w:tcBorders>
              <w:top w:val="nil"/>
              <w:left w:val="nil"/>
              <w:bottom w:val="single" w:sz="4" w:space="0" w:color="auto"/>
              <w:right w:val="single" w:sz="4" w:space="0" w:color="auto"/>
            </w:tcBorders>
            <w:shd w:val="clear" w:color="auto" w:fill="auto"/>
            <w:noWrap/>
            <w:vAlign w:val="center"/>
            <w:hideMark/>
          </w:tcPr>
          <w:p w14:paraId="65DB4C3C"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650.929</w:t>
            </w:r>
          </w:p>
        </w:tc>
        <w:tc>
          <w:tcPr>
            <w:tcW w:w="709" w:type="dxa"/>
            <w:tcBorders>
              <w:top w:val="nil"/>
              <w:left w:val="nil"/>
              <w:bottom w:val="single" w:sz="4" w:space="0" w:color="auto"/>
              <w:right w:val="single" w:sz="4" w:space="0" w:color="auto"/>
            </w:tcBorders>
            <w:shd w:val="clear" w:color="auto" w:fill="auto"/>
            <w:noWrap/>
            <w:vAlign w:val="center"/>
            <w:hideMark/>
          </w:tcPr>
          <w:p w14:paraId="290898E1"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4,00%</w:t>
            </w:r>
          </w:p>
        </w:tc>
        <w:tc>
          <w:tcPr>
            <w:tcW w:w="1474" w:type="dxa"/>
            <w:tcBorders>
              <w:top w:val="nil"/>
              <w:left w:val="nil"/>
              <w:bottom w:val="single" w:sz="4" w:space="0" w:color="auto"/>
              <w:right w:val="single" w:sz="4" w:space="0" w:color="auto"/>
            </w:tcBorders>
            <w:shd w:val="clear" w:color="auto" w:fill="auto"/>
            <w:noWrap/>
            <w:vAlign w:val="center"/>
            <w:hideMark/>
          </w:tcPr>
          <w:p w14:paraId="49DDA59D" w14:textId="77777777" w:rsidR="00BE5781" w:rsidRPr="002F3E5F" w:rsidRDefault="00384FD8" w:rsidP="00BE5781">
            <w:pPr>
              <w:jc w:val="right"/>
              <w:rPr>
                <w:rFonts w:ascii="Arial" w:hAnsi="Arial" w:cs="Arial"/>
                <w:color w:val="000000"/>
                <w:sz w:val="14"/>
                <w:szCs w:val="14"/>
              </w:rPr>
            </w:pPr>
            <w:r w:rsidRPr="002F3E5F">
              <w:rPr>
                <w:rFonts w:ascii="Arial" w:hAnsi="Arial" w:cs="Arial"/>
                <w:color w:val="000000"/>
                <w:sz w:val="14"/>
                <w:szCs w:val="14"/>
              </w:rPr>
              <w:t>Abierto</w:t>
            </w:r>
            <w:r>
              <w:rPr>
                <w:rFonts w:ascii="Arial" w:hAnsi="Arial" w:cs="Arial"/>
                <w:color w:val="000000"/>
                <w:sz w:val="14"/>
                <w:szCs w:val="14"/>
              </w:rPr>
              <w:t xml:space="preserve"> superior al umbral europeo</w:t>
            </w:r>
          </w:p>
        </w:tc>
      </w:tr>
      <w:tr w:rsidR="00BE5781" w:rsidRPr="002F3E5F" w14:paraId="6286C8C3" w14:textId="77777777" w:rsidTr="00F405EB">
        <w:trPr>
          <w:trHeight w:val="31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82F8A90"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M7</w:t>
            </w:r>
          </w:p>
        </w:tc>
        <w:tc>
          <w:tcPr>
            <w:tcW w:w="2551" w:type="dxa"/>
            <w:tcBorders>
              <w:top w:val="nil"/>
              <w:left w:val="nil"/>
              <w:bottom w:val="single" w:sz="4" w:space="0" w:color="auto"/>
              <w:right w:val="single" w:sz="4" w:space="0" w:color="auto"/>
            </w:tcBorders>
            <w:shd w:val="clear" w:color="auto" w:fill="auto"/>
            <w:noWrap/>
            <w:vAlign w:val="bottom"/>
            <w:hideMark/>
          </w:tcPr>
          <w:p w14:paraId="72E36A29"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Departamento de Universidad, Innovación y Transformación Digital </w:t>
            </w:r>
          </w:p>
        </w:tc>
        <w:tc>
          <w:tcPr>
            <w:tcW w:w="3828" w:type="dxa"/>
            <w:tcBorders>
              <w:top w:val="nil"/>
              <w:left w:val="nil"/>
              <w:bottom w:val="single" w:sz="4" w:space="0" w:color="auto"/>
              <w:right w:val="single" w:sz="4" w:space="0" w:color="auto"/>
            </w:tcBorders>
            <w:shd w:val="clear" w:color="auto" w:fill="auto"/>
            <w:noWrap/>
            <w:vAlign w:val="bottom"/>
            <w:hideMark/>
          </w:tcPr>
          <w:p w14:paraId="196C9B69"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Gestión de proyectos, soporte a los proyectos de migración de los servicios de orquestación</w:t>
            </w:r>
          </w:p>
        </w:tc>
        <w:tc>
          <w:tcPr>
            <w:tcW w:w="986" w:type="dxa"/>
            <w:tcBorders>
              <w:top w:val="nil"/>
              <w:left w:val="nil"/>
              <w:bottom w:val="single" w:sz="4" w:space="0" w:color="auto"/>
              <w:right w:val="single" w:sz="4" w:space="0" w:color="auto"/>
            </w:tcBorders>
            <w:shd w:val="clear" w:color="auto" w:fill="auto"/>
            <w:noWrap/>
            <w:vAlign w:val="center"/>
            <w:hideMark/>
          </w:tcPr>
          <w:p w14:paraId="7692D00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494.971</w:t>
            </w:r>
          </w:p>
        </w:tc>
        <w:tc>
          <w:tcPr>
            <w:tcW w:w="1247" w:type="dxa"/>
            <w:tcBorders>
              <w:top w:val="nil"/>
              <w:left w:val="nil"/>
              <w:bottom w:val="single" w:sz="4" w:space="0" w:color="auto"/>
              <w:right w:val="single" w:sz="4" w:space="0" w:color="auto"/>
            </w:tcBorders>
            <w:shd w:val="clear" w:color="auto" w:fill="auto"/>
            <w:noWrap/>
            <w:vAlign w:val="center"/>
            <w:hideMark/>
          </w:tcPr>
          <w:p w14:paraId="79428D6D"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492.793</w:t>
            </w:r>
          </w:p>
        </w:tc>
        <w:tc>
          <w:tcPr>
            <w:tcW w:w="709" w:type="dxa"/>
            <w:tcBorders>
              <w:top w:val="nil"/>
              <w:left w:val="nil"/>
              <w:bottom w:val="single" w:sz="4" w:space="0" w:color="auto"/>
              <w:right w:val="single" w:sz="4" w:space="0" w:color="auto"/>
            </w:tcBorders>
            <w:shd w:val="clear" w:color="auto" w:fill="auto"/>
            <w:noWrap/>
            <w:vAlign w:val="center"/>
            <w:hideMark/>
          </w:tcPr>
          <w:p w14:paraId="0938918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0,44%</w:t>
            </w:r>
          </w:p>
        </w:tc>
        <w:tc>
          <w:tcPr>
            <w:tcW w:w="1474" w:type="dxa"/>
            <w:tcBorders>
              <w:top w:val="nil"/>
              <w:left w:val="nil"/>
              <w:bottom w:val="single" w:sz="4" w:space="0" w:color="auto"/>
              <w:right w:val="single" w:sz="4" w:space="0" w:color="auto"/>
            </w:tcBorders>
            <w:shd w:val="clear" w:color="auto" w:fill="auto"/>
            <w:noWrap/>
            <w:vAlign w:val="center"/>
            <w:hideMark/>
          </w:tcPr>
          <w:p w14:paraId="5A329B9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p>
        </w:tc>
      </w:tr>
      <w:tr w:rsidR="00BE5781" w:rsidRPr="002F3E5F" w14:paraId="502EC49D" w14:textId="77777777" w:rsidTr="00F405EB">
        <w:trPr>
          <w:trHeight w:val="406"/>
          <w:jc w:val="center"/>
        </w:trPr>
        <w:tc>
          <w:tcPr>
            <w:tcW w:w="846" w:type="dxa"/>
            <w:vMerge w:val="restart"/>
            <w:tcBorders>
              <w:top w:val="nil"/>
              <w:left w:val="single" w:sz="4" w:space="0" w:color="auto"/>
              <w:bottom w:val="single" w:sz="4" w:space="0" w:color="000000"/>
              <w:right w:val="single" w:sz="4" w:space="0" w:color="auto"/>
            </w:tcBorders>
            <w:shd w:val="clear" w:color="auto" w:fill="auto"/>
            <w:vAlign w:val="center"/>
            <w:hideMark/>
          </w:tcPr>
          <w:p w14:paraId="67D0DECB"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M9</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52FFF88C"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 xml:space="preserve">Departamento De Hacienda Y Política Financiera </w:t>
            </w:r>
          </w:p>
        </w:tc>
        <w:tc>
          <w:tcPr>
            <w:tcW w:w="3828" w:type="dxa"/>
            <w:tcBorders>
              <w:top w:val="nil"/>
              <w:left w:val="nil"/>
              <w:bottom w:val="single" w:sz="4" w:space="0" w:color="auto"/>
              <w:right w:val="single" w:sz="4" w:space="0" w:color="auto"/>
            </w:tcBorders>
            <w:shd w:val="clear" w:color="auto" w:fill="auto"/>
            <w:noWrap/>
            <w:vAlign w:val="bottom"/>
            <w:hideMark/>
          </w:tcPr>
          <w:p w14:paraId="40EEF4CA" w14:textId="77777777" w:rsidR="00BE5781" w:rsidRPr="002F3E5F" w:rsidRDefault="00F26D64" w:rsidP="00F26D64">
            <w:pPr>
              <w:rPr>
                <w:rFonts w:ascii="Arial" w:hAnsi="Arial" w:cs="Arial"/>
                <w:color w:val="000000"/>
                <w:sz w:val="14"/>
                <w:szCs w:val="14"/>
              </w:rPr>
            </w:pPr>
            <w:r w:rsidRPr="002F3E5F">
              <w:rPr>
                <w:rFonts w:ascii="Arial" w:hAnsi="Arial" w:cs="Arial"/>
                <w:color w:val="000000"/>
                <w:sz w:val="14"/>
                <w:szCs w:val="14"/>
              </w:rPr>
              <w:t>Contrato de seguros de responsabilidad patrimonial y daños</w:t>
            </w:r>
            <w:r>
              <w:rPr>
                <w:rFonts w:ascii="Arial" w:hAnsi="Arial" w:cs="Arial"/>
                <w:color w:val="000000"/>
                <w:sz w:val="14"/>
                <w:szCs w:val="14"/>
              </w:rPr>
              <w:t xml:space="preserve"> P</w:t>
            </w:r>
            <w:r w:rsidRPr="002F3E5F">
              <w:rPr>
                <w:rFonts w:ascii="Arial" w:hAnsi="Arial" w:cs="Arial"/>
                <w:color w:val="000000"/>
                <w:sz w:val="14"/>
                <w:szCs w:val="14"/>
              </w:rPr>
              <w:t xml:space="preserve">arlamento y </w:t>
            </w:r>
            <w:r>
              <w:rPr>
                <w:rFonts w:ascii="Arial" w:hAnsi="Arial" w:cs="Arial"/>
                <w:color w:val="000000"/>
                <w:sz w:val="14"/>
                <w:szCs w:val="14"/>
              </w:rPr>
              <w:t>Cá</w:t>
            </w:r>
            <w:r w:rsidRPr="002F3E5F">
              <w:rPr>
                <w:rFonts w:ascii="Arial" w:hAnsi="Arial" w:cs="Arial"/>
                <w:color w:val="000000"/>
                <w:sz w:val="14"/>
                <w:szCs w:val="14"/>
              </w:rPr>
              <w:t xml:space="preserve">mara de </w:t>
            </w:r>
            <w:r>
              <w:rPr>
                <w:rFonts w:ascii="Arial" w:hAnsi="Arial" w:cs="Arial"/>
                <w:color w:val="000000"/>
                <w:sz w:val="14"/>
                <w:szCs w:val="14"/>
              </w:rPr>
              <w:t>C</w:t>
            </w:r>
            <w:r w:rsidRPr="002F3E5F">
              <w:rPr>
                <w:rFonts w:ascii="Arial" w:hAnsi="Arial" w:cs="Arial"/>
                <w:color w:val="000000"/>
                <w:sz w:val="14"/>
                <w:szCs w:val="14"/>
              </w:rPr>
              <w:t>omptos</w:t>
            </w:r>
            <w:r>
              <w:rPr>
                <w:rFonts w:ascii="Arial" w:hAnsi="Arial" w:cs="Arial"/>
                <w:color w:val="000000"/>
                <w:sz w:val="14"/>
                <w:szCs w:val="14"/>
              </w:rPr>
              <w:t xml:space="preserve"> LOTE 1</w:t>
            </w:r>
          </w:p>
        </w:tc>
        <w:tc>
          <w:tcPr>
            <w:tcW w:w="986" w:type="dxa"/>
            <w:tcBorders>
              <w:top w:val="nil"/>
              <w:left w:val="nil"/>
              <w:bottom w:val="single" w:sz="4" w:space="0" w:color="auto"/>
              <w:right w:val="single" w:sz="4" w:space="0" w:color="auto"/>
            </w:tcBorders>
            <w:shd w:val="clear" w:color="auto" w:fill="auto"/>
            <w:noWrap/>
            <w:vAlign w:val="center"/>
            <w:hideMark/>
          </w:tcPr>
          <w:p w14:paraId="2A31D2BC"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1.000.000</w:t>
            </w:r>
          </w:p>
        </w:tc>
        <w:tc>
          <w:tcPr>
            <w:tcW w:w="1247" w:type="dxa"/>
            <w:tcBorders>
              <w:top w:val="nil"/>
              <w:left w:val="nil"/>
              <w:bottom w:val="single" w:sz="4" w:space="0" w:color="auto"/>
              <w:right w:val="single" w:sz="4" w:space="0" w:color="auto"/>
            </w:tcBorders>
            <w:shd w:val="clear" w:color="auto" w:fill="auto"/>
            <w:noWrap/>
            <w:vAlign w:val="center"/>
            <w:hideMark/>
          </w:tcPr>
          <w:p w14:paraId="546E389C"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848.978</w:t>
            </w:r>
          </w:p>
        </w:tc>
        <w:tc>
          <w:tcPr>
            <w:tcW w:w="709" w:type="dxa"/>
            <w:tcBorders>
              <w:top w:val="nil"/>
              <w:left w:val="nil"/>
              <w:bottom w:val="single" w:sz="4" w:space="0" w:color="auto"/>
              <w:right w:val="single" w:sz="4" w:space="0" w:color="auto"/>
            </w:tcBorders>
            <w:shd w:val="clear" w:color="auto" w:fill="auto"/>
            <w:noWrap/>
            <w:vAlign w:val="center"/>
            <w:hideMark/>
          </w:tcPr>
          <w:p w14:paraId="237E88FF"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15,10%</w:t>
            </w:r>
          </w:p>
        </w:tc>
        <w:tc>
          <w:tcPr>
            <w:tcW w:w="1474" w:type="dxa"/>
            <w:tcBorders>
              <w:top w:val="single" w:sz="4" w:space="0" w:color="auto"/>
              <w:left w:val="single" w:sz="4" w:space="0" w:color="auto"/>
              <w:right w:val="single" w:sz="4" w:space="0" w:color="auto"/>
            </w:tcBorders>
            <w:shd w:val="clear" w:color="auto" w:fill="auto"/>
            <w:noWrap/>
            <w:vAlign w:val="center"/>
            <w:hideMark/>
          </w:tcPr>
          <w:p w14:paraId="485A6DB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r w:rsidR="00F26D64">
              <w:rPr>
                <w:rFonts w:ascii="Arial" w:hAnsi="Arial" w:cs="Arial"/>
                <w:color w:val="000000"/>
                <w:sz w:val="14"/>
                <w:szCs w:val="14"/>
              </w:rPr>
              <w:t xml:space="preserve"> superior al umbral comunitario</w:t>
            </w:r>
          </w:p>
        </w:tc>
      </w:tr>
      <w:tr w:rsidR="00BE5781" w:rsidRPr="002F3E5F" w14:paraId="2F34FDAE" w14:textId="77777777" w:rsidTr="00F405EB">
        <w:trPr>
          <w:trHeight w:val="425"/>
          <w:jc w:val="center"/>
        </w:trPr>
        <w:tc>
          <w:tcPr>
            <w:tcW w:w="846" w:type="dxa"/>
            <w:vMerge/>
            <w:tcBorders>
              <w:top w:val="nil"/>
              <w:left w:val="single" w:sz="4" w:space="0" w:color="auto"/>
              <w:bottom w:val="single" w:sz="4" w:space="0" w:color="auto"/>
              <w:right w:val="single" w:sz="4" w:space="0" w:color="auto"/>
            </w:tcBorders>
            <w:vAlign w:val="center"/>
            <w:hideMark/>
          </w:tcPr>
          <w:p w14:paraId="2D39A669" w14:textId="77777777" w:rsidR="00BE5781" w:rsidRPr="002F3E5F" w:rsidRDefault="00BE5781" w:rsidP="00BE5781">
            <w:pPr>
              <w:rPr>
                <w:rFonts w:ascii="Arial" w:hAnsi="Arial" w:cs="Arial"/>
                <w:color w:val="000000"/>
                <w:sz w:val="14"/>
                <w:szCs w:val="14"/>
              </w:rPr>
            </w:pPr>
          </w:p>
        </w:tc>
        <w:tc>
          <w:tcPr>
            <w:tcW w:w="2551" w:type="dxa"/>
            <w:vMerge/>
            <w:tcBorders>
              <w:top w:val="nil"/>
              <w:left w:val="single" w:sz="4" w:space="0" w:color="auto"/>
              <w:bottom w:val="single" w:sz="4" w:space="0" w:color="auto"/>
              <w:right w:val="single" w:sz="4" w:space="0" w:color="auto"/>
            </w:tcBorders>
            <w:vAlign w:val="center"/>
            <w:hideMark/>
          </w:tcPr>
          <w:p w14:paraId="17B1C8CA"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tcPr>
          <w:p w14:paraId="1A709B2B" w14:textId="77777777" w:rsidR="00BE5781" w:rsidRPr="002F3E5F" w:rsidRDefault="00F26D64" w:rsidP="00BE5781">
            <w:pPr>
              <w:rPr>
                <w:rFonts w:ascii="Arial" w:hAnsi="Arial" w:cs="Arial"/>
                <w:color w:val="000000"/>
                <w:sz w:val="14"/>
                <w:szCs w:val="14"/>
              </w:rPr>
            </w:pPr>
            <w:r w:rsidRPr="002F3E5F">
              <w:rPr>
                <w:rFonts w:ascii="Arial" w:hAnsi="Arial" w:cs="Arial"/>
                <w:color w:val="000000"/>
                <w:sz w:val="14"/>
                <w:szCs w:val="14"/>
              </w:rPr>
              <w:t>Contrato de seguros de responsabilidad patrimonial y daños</w:t>
            </w:r>
            <w:r>
              <w:rPr>
                <w:rFonts w:ascii="Arial" w:hAnsi="Arial" w:cs="Arial"/>
                <w:color w:val="000000"/>
                <w:sz w:val="14"/>
                <w:szCs w:val="14"/>
              </w:rPr>
              <w:t xml:space="preserve"> P</w:t>
            </w:r>
            <w:r w:rsidRPr="002F3E5F">
              <w:rPr>
                <w:rFonts w:ascii="Arial" w:hAnsi="Arial" w:cs="Arial"/>
                <w:color w:val="000000"/>
                <w:sz w:val="14"/>
                <w:szCs w:val="14"/>
              </w:rPr>
              <w:t xml:space="preserve">arlamento y </w:t>
            </w:r>
            <w:r>
              <w:rPr>
                <w:rFonts w:ascii="Arial" w:hAnsi="Arial" w:cs="Arial"/>
                <w:color w:val="000000"/>
                <w:sz w:val="14"/>
                <w:szCs w:val="14"/>
              </w:rPr>
              <w:t>Cá</w:t>
            </w:r>
            <w:r w:rsidRPr="002F3E5F">
              <w:rPr>
                <w:rFonts w:ascii="Arial" w:hAnsi="Arial" w:cs="Arial"/>
                <w:color w:val="000000"/>
                <w:sz w:val="14"/>
                <w:szCs w:val="14"/>
              </w:rPr>
              <w:t xml:space="preserve">mara de </w:t>
            </w:r>
            <w:r>
              <w:rPr>
                <w:rFonts w:ascii="Arial" w:hAnsi="Arial" w:cs="Arial"/>
                <w:color w:val="000000"/>
                <w:sz w:val="14"/>
                <w:szCs w:val="14"/>
              </w:rPr>
              <w:t>C</w:t>
            </w:r>
            <w:r w:rsidRPr="002F3E5F">
              <w:rPr>
                <w:rFonts w:ascii="Arial" w:hAnsi="Arial" w:cs="Arial"/>
                <w:color w:val="000000"/>
                <w:sz w:val="14"/>
                <w:szCs w:val="14"/>
              </w:rPr>
              <w:t>omptos</w:t>
            </w:r>
            <w:r>
              <w:rPr>
                <w:rFonts w:ascii="Arial" w:hAnsi="Arial" w:cs="Arial"/>
                <w:color w:val="000000"/>
                <w:sz w:val="14"/>
                <w:szCs w:val="14"/>
              </w:rPr>
              <w:t xml:space="preserve"> LOTE 2</w:t>
            </w:r>
          </w:p>
        </w:tc>
        <w:tc>
          <w:tcPr>
            <w:tcW w:w="986" w:type="dxa"/>
            <w:tcBorders>
              <w:top w:val="nil"/>
              <w:left w:val="nil"/>
              <w:bottom w:val="single" w:sz="4" w:space="0" w:color="auto"/>
              <w:right w:val="single" w:sz="4" w:space="0" w:color="auto"/>
            </w:tcBorders>
            <w:shd w:val="clear" w:color="auto" w:fill="auto"/>
            <w:noWrap/>
            <w:vAlign w:val="center"/>
            <w:hideMark/>
          </w:tcPr>
          <w:p w14:paraId="6CFD736C"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1.140.000</w:t>
            </w:r>
          </w:p>
        </w:tc>
        <w:tc>
          <w:tcPr>
            <w:tcW w:w="1247" w:type="dxa"/>
            <w:tcBorders>
              <w:top w:val="nil"/>
              <w:left w:val="nil"/>
              <w:bottom w:val="single" w:sz="4" w:space="0" w:color="auto"/>
              <w:right w:val="single" w:sz="4" w:space="0" w:color="auto"/>
            </w:tcBorders>
            <w:shd w:val="clear" w:color="auto" w:fill="auto"/>
            <w:noWrap/>
            <w:vAlign w:val="center"/>
            <w:hideMark/>
          </w:tcPr>
          <w:p w14:paraId="5241D5EB"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1.107.738</w:t>
            </w:r>
          </w:p>
        </w:tc>
        <w:tc>
          <w:tcPr>
            <w:tcW w:w="709" w:type="dxa"/>
            <w:tcBorders>
              <w:top w:val="nil"/>
              <w:left w:val="nil"/>
              <w:bottom w:val="single" w:sz="4" w:space="0" w:color="auto"/>
              <w:right w:val="single" w:sz="4" w:space="0" w:color="auto"/>
            </w:tcBorders>
            <w:shd w:val="clear" w:color="auto" w:fill="auto"/>
            <w:noWrap/>
            <w:vAlign w:val="center"/>
            <w:hideMark/>
          </w:tcPr>
          <w:p w14:paraId="42B8709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2,83%</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38C31623"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 </w:t>
            </w:r>
          </w:p>
        </w:tc>
      </w:tr>
      <w:tr w:rsidR="00BE5781" w:rsidRPr="002F3E5F" w14:paraId="5A59BED9" w14:textId="77777777" w:rsidTr="00F405EB">
        <w:trPr>
          <w:trHeight w:val="31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4C232" w14:textId="77777777" w:rsidR="00BE5781" w:rsidRPr="002F3E5F" w:rsidRDefault="00BE5781" w:rsidP="00BE5781">
            <w:pPr>
              <w:jc w:val="center"/>
              <w:rPr>
                <w:rFonts w:ascii="Arial" w:hAnsi="Arial" w:cs="Arial"/>
                <w:sz w:val="14"/>
                <w:szCs w:val="14"/>
              </w:rPr>
            </w:pPr>
            <w:r w:rsidRPr="002F3E5F">
              <w:rPr>
                <w:rFonts w:ascii="Arial" w:hAnsi="Arial" w:cs="Arial"/>
                <w:sz w:val="14"/>
                <w:szCs w:val="14"/>
              </w:rPr>
              <w:t>M14</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2ECAC4AB"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Departamento De Educación </w:t>
            </w:r>
          </w:p>
        </w:tc>
        <w:tc>
          <w:tcPr>
            <w:tcW w:w="3828" w:type="dxa"/>
            <w:tcBorders>
              <w:top w:val="single" w:sz="4" w:space="0" w:color="auto"/>
              <w:left w:val="nil"/>
              <w:bottom w:val="single" w:sz="4" w:space="0" w:color="auto"/>
              <w:right w:val="single" w:sz="4" w:space="0" w:color="auto"/>
            </w:tcBorders>
            <w:shd w:val="clear" w:color="auto" w:fill="auto"/>
            <w:noWrap/>
            <w:vAlign w:val="bottom"/>
            <w:hideMark/>
          </w:tcPr>
          <w:p w14:paraId="33E7990E"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Contratación de la redacción del proyecto y dirección de las obras de una nueva Escuela Infantil en Burlada</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56E78C1F"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165.785</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0BF75988"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140.000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B3268D6"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15,55%</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47EC9695"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p>
        </w:tc>
      </w:tr>
      <w:tr w:rsidR="00F26D64" w:rsidRPr="002F3E5F" w14:paraId="36364064" w14:textId="77777777" w:rsidTr="00320B34">
        <w:trPr>
          <w:trHeight w:val="315"/>
          <w:jc w:val="center"/>
        </w:trPr>
        <w:tc>
          <w:tcPr>
            <w:tcW w:w="846" w:type="dxa"/>
            <w:tcBorders>
              <w:top w:val="single" w:sz="4" w:space="0" w:color="auto"/>
              <w:bottom w:val="single" w:sz="2" w:space="0" w:color="auto"/>
            </w:tcBorders>
            <w:shd w:val="clear" w:color="auto" w:fill="auto"/>
            <w:noWrap/>
            <w:vAlign w:val="center"/>
          </w:tcPr>
          <w:p w14:paraId="3FFB7A2D" w14:textId="77777777" w:rsidR="00F26D64" w:rsidRPr="002F3E5F" w:rsidRDefault="00F26D64" w:rsidP="00BE5781">
            <w:pPr>
              <w:jc w:val="center"/>
              <w:rPr>
                <w:rFonts w:ascii="Arial" w:hAnsi="Arial" w:cs="Arial"/>
                <w:sz w:val="14"/>
                <w:szCs w:val="14"/>
              </w:rPr>
            </w:pPr>
          </w:p>
        </w:tc>
        <w:tc>
          <w:tcPr>
            <w:tcW w:w="2551" w:type="dxa"/>
            <w:tcBorders>
              <w:top w:val="single" w:sz="4" w:space="0" w:color="auto"/>
              <w:bottom w:val="single" w:sz="2" w:space="0" w:color="auto"/>
            </w:tcBorders>
            <w:shd w:val="clear" w:color="auto" w:fill="auto"/>
            <w:noWrap/>
            <w:vAlign w:val="bottom"/>
          </w:tcPr>
          <w:p w14:paraId="2D8AE70B" w14:textId="77777777" w:rsidR="00F26D64" w:rsidRPr="002F3E5F" w:rsidRDefault="00F26D64" w:rsidP="00BE5781">
            <w:pPr>
              <w:rPr>
                <w:rFonts w:ascii="Arial" w:hAnsi="Arial" w:cs="Arial"/>
                <w:color w:val="000000"/>
                <w:sz w:val="14"/>
                <w:szCs w:val="14"/>
              </w:rPr>
            </w:pPr>
          </w:p>
        </w:tc>
        <w:tc>
          <w:tcPr>
            <w:tcW w:w="3828" w:type="dxa"/>
            <w:tcBorders>
              <w:top w:val="single" w:sz="4" w:space="0" w:color="auto"/>
              <w:bottom w:val="single" w:sz="2" w:space="0" w:color="auto"/>
            </w:tcBorders>
            <w:shd w:val="clear" w:color="auto" w:fill="auto"/>
            <w:noWrap/>
            <w:vAlign w:val="bottom"/>
          </w:tcPr>
          <w:p w14:paraId="44CE4A8B" w14:textId="77777777" w:rsidR="00F26D64" w:rsidRPr="002F3E5F" w:rsidRDefault="00F26D64" w:rsidP="00BE5781">
            <w:pPr>
              <w:rPr>
                <w:rFonts w:ascii="Arial" w:hAnsi="Arial" w:cs="Arial"/>
                <w:color w:val="000000"/>
                <w:sz w:val="14"/>
                <w:szCs w:val="14"/>
              </w:rPr>
            </w:pPr>
          </w:p>
        </w:tc>
        <w:tc>
          <w:tcPr>
            <w:tcW w:w="986" w:type="dxa"/>
            <w:tcBorders>
              <w:top w:val="single" w:sz="4" w:space="0" w:color="auto"/>
              <w:bottom w:val="single" w:sz="2" w:space="0" w:color="auto"/>
            </w:tcBorders>
            <w:shd w:val="clear" w:color="auto" w:fill="auto"/>
            <w:noWrap/>
            <w:vAlign w:val="center"/>
          </w:tcPr>
          <w:p w14:paraId="390E7D27" w14:textId="77777777" w:rsidR="00F26D64" w:rsidRPr="002F3E5F" w:rsidRDefault="00F26D64" w:rsidP="00BE5781">
            <w:pPr>
              <w:jc w:val="right"/>
              <w:rPr>
                <w:rFonts w:ascii="Arial" w:hAnsi="Arial" w:cs="Arial"/>
                <w:color w:val="000000"/>
                <w:sz w:val="14"/>
                <w:szCs w:val="14"/>
              </w:rPr>
            </w:pPr>
          </w:p>
        </w:tc>
        <w:tc>
          <w:tcPr>
            <w:tcW w:w="1247" w:type="dxa"/>
            <w:tcBorders>
              <w:top w:val="single" w:sz="4" w:space="0" w:color="auto"/>
              <w:bottom w:val="single" w:sz="2" w:space="0" w:color="auto"/>
            </w:tcBorders>
            <w:shd w:val="clear" w:color="auto" w:fill="auto"/>
            <w:noWrap/>
            <w:vAlign w:val="center"/>
          </w:tcPr>
          <w:p w14:paraId="7BE42605" w14:textId="77777777" w:rsidR="00F26D64" w:rsidRPr="002F3E5F" w:rsidRDefault="00F26D64" w:rsidP="00BE5781">
            <w:pPr>
              <w:jc w:val="right"/>
              <w:rPr>
                <w:rFonts w:ascii="Arial" w:hAnsi="Arial" w:cs="Arial"/>
                <w:color w:val="000000"/>
                <w:sz w:val="14"/>
                <w:szCs w:val="14"/>
              </w:rPr>
            </w:pPr>
          </w:p>
        </w:tc>
        <w:tc>
          <w:tcPr>
            <w:tcW w:w="709" w:type="dxa"/>
            <w:tcBorders>
              <w:top w:val="single" w:sz="4" w:space="0" w:color="auto"/>
              <w:bottom w:val="single" w:sz="2" w:space="0" w:color="auto"/>
            </w:tcBorders>
            <w:shd w:val="clear" w:color="auto" w:fill="auto"/>
            <w:noWrap/>
            <w:vAlign w:val="center"/>
          </w:tcPr>
          <w:p w14:paraId="7A937A62" w14:textId="77777777" w:rsidR="00F26D64" w:rsidRPr="002F3E5F" w:rsidRDefault="00F26D64" w:rsidP="00BE5781">
            <w:pPr>
              <w:jc w:val="right"/>
              <w:rPr>
                <w:rFonts w:ascii="Arial" w:hAnsi="Arial" w:cs="Arial"/>
                <w:color w:val="000000"/>
                <w:sz w:val="14"/>
                <w:szCs w:val="14"/>
              </w:rPr>
            </w:pPr>
          </w:p>
        </w:tc>
        <w:tc>
          <w:tcPr>
            <w:tcW w:w="1474" w:type="dxa"/>
            <w:tcBorders>
              <w:top w:val="single" w:sz="4" w:space="0" w:color="auto"/>
              <w:bottom w:val="single" w:sz="2" w:space="0" w:color="auto"/>
            </w:tcBorders>
            <w:shd w:val="clear" w:color="auto" w:fill="auto"/>
            <w:noWrap/>
            <w:vAlign w:val="center"/>
          </w:tcPr>
          <w:p w14:paraId="06CB0973" w14:textId="77777777" w:rsidR="00F26D64" w:rsidRPr="002F3E5F" w:rsidRDefault="00F26D64" w:rsidP="00BE5781">
            <w:pPr>
              <w:jc w:val="right"/>
              <w:rPr>
                <w:rFonts w:ascii="Arial" w:hAnsi="Arial" w:cs="Arial"/>
                <w:color w:val="000000"/>
                <w:sz w:val="14"/>
                <w:szCs w:val="14"/>
              </w:rPr>
            </w:pPr>
          </w:p>
        </w:tc>
      </w:tr>
      <w:tr w:rsidR="00BE5781" w:rsidRPr="002F3E5F" w14:paraId="4728E37E" w14:textId="77777777" w:rsidTr="00320B34">
        <w:trPr>
          <w:trHeight w:val="315"/>
          <w:jc w:val="center"/>
        </w:trPr>
        <w:tc>
          <w:tcPr>
            <w:tcW w:w="846"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14:paraId="5A511E55"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M15</w:t>
            </w:r>
          </w:p>
        </w:tc>
        <w:tc>
          <w:tcPr>
            <w:tcW w:w="2551"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14:paraId="75059332"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Centro Navarro De Autoaprendizaje De Idiomas, S.A. (</w:t>
            </w:r>
            <w:proofErr w:type="spellStart"/>
            <w:r w:rsidRPr="002F3E5F">
              <w:rPr>
                <w:rFonts w:ascii="Arial" w:hAnsi="Arial" w:cs="Arial"/>
                <w:color w:val="000000"/>
                <w:sz w:val="14"/>
                <w:szCs w:val="14"/>
              </w:rPr>
              <w:t>Cnai</w:t>
            </w:r>
            <w:proofErr w:type="spellEnd"/>
            <w:r w:rsidRPr="002F3E5F">
              <w:rPr>
                <w:rFonts w:ascii="Arial" w:hAnsi="Arial" w:cs="Arial"/>
                <w:color w:val="000000"/>
                <w:sz w:val="14"/>
                <w:szCs w:val="14"/>
              </w:rPr>
              <w:t xml:space="preserve">) </w:t>
            </w:r>
          </w:p>
        </w:tc>
        <w:tc>
          <w:tcPr>
            <w:tcW w:w="3828" w:type="dxa"/>
            <w:tcBorders>
              <w:top w:val="single" w:sz="2" w:space="0" w:color="auto"/>
              <w:left w:val="nil"/>
              <w:bottom w:val="single" w:sz="2" w:space="0" w:color="auto"/>
              <w:right w:val="single" w:sz="4" w:space="0" w:color="auto"/>
            </w:tcBorders>
            <w:shd w:val="clear" w:color="auto" w:fill="auto"/>
            <w:noWrap/>
            <w:vAlign w:val="bottom"/>
            <w:hideMark/>
          </w:tcPr>
          <w:p w14:paraId="71ECC9B7"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Contratación del servicio de acciones formativas para el sector de Actividades de acondicionamiento físico y animación financiado a cargo de los fondos del Plan de Recuperación, Transformación y Resiliencia (Next </w:t>
            </w:r>
            <w:proofErr w:type="spellStart"/>
            <w:r w:rsidRPr="002F3E5F">
              <w:rPr>
                <w:rFonts w:ascii="Arial" w:hAnsi="Arial" w:cs="Arial"/>
                <w:color w:val="000000"/>
                <w:sz w:val="14"/>
                <w:szCs w:val="14"/>
              </w:rPr>
              <w:t>Generation</w:t>
            </w:r>
            <w:proofErr w:type="spellEnd"/>
            <w:r w:rsidRPr="002F3E5F">
              <w:rPr>
                <w:rFonts w:ascii="Arial" w:hAnsi="Arial" w:cs="Arial"/>
                <w:color w:val="000000"/>
                <w:sz w:val="14"/>
                <w:szCs w:val="14"/>
              </w:rPr>
              <w:t xml:space="preserve"> EU)</w:t>
            </w:r>
            <w:r w:rsidR="00F26D64">
              <w:rPr>
                <w:rFonts w:ascii="Arial" w:hAnsi="Arial" w:cs="Arial"/>
                <w:color w:val="000000"/>
                <w:sz w:val="14"/>
                <w:szCs w:val="14"/>
              </w:rPr>
              <w:t xml:space="preserve"> LOTE 1</w:t>
            </w:r>
          </w:p>
        </w:tc>
        <w:tc>
          <w:tcPr>
            <w:tcW w:w="986" w:type="dxa"/>
            <w:tcBorders>
              <w:top w:val="single" w:sz="2" w:space="0" w:color="auto"/>
              <w:left w:val="nil"/>
              <w:bottom w:val="single" w:sz="2" w:space="0" w:color="auto"/>
              <w:right w:val="single" w:sz="4" w:space="0" w:color="auto"/>
            </w:tcBorders>
            <w:shd w:val="clear" w:color="auto" w:fill="auto"/>
            <w:noWrap/>
            <w:vAlign w:val="center"/>
            <w:hideMark/>
          </w:tcPr>
          <w:p w14:paraId="240368B2"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238.800</w:t>
            </w:r>
          </w:p>
        </w:tc>
        <w:tc>
          <w:tcPr>
            <w:tcW w:w="1247" w:type="dxa"/>
            <w:tcBorders>
              <w:top w:val="single" w:sz="2" w:space="0" w:color="auto"/>
              <w:left w:val="nil"/>
              <w:bottom w:val="single" w:sz="2" w:space="0" w:color="auto"/>
              <w:right w:val="single" w:sz="4" w:space="0" w:color="auto"/>
            </w:tcBorders>
            <w:shd w:val="clear" w:color="auto" w:fill="auto"/>
            <w:noWrap/>
            <w:vAlign w:val="center"/>
            <w:hideMark/>
          </w:tcPr>
          <w:p w14:paraId="31D427D7"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197.400</w:t>
            </w:r>
          </w:p>
        </w:tc>
        <w:tc>
          <w:tcPr>
            <w:tcW w:w="709" w:type="dxa"/>
            <w:tcBorders>
              <w:top w:val="single" w:sz="2" w:space="0" w:color="auto"/>
              <w:left w:val="nil"/>
              <w:bottom w:val="single" w:sz="2" w:space="0" w:color="auto"/>
              <w:right w:val="single" w:sz="4" w:space="0" w:color="auto"/>
            </w:tcBorders>
            <w:shd w:val="clear" w:color="auto" w:fill="auto"/>
            <w:noWrap/>
            <w:vAlign w:val="center"/>
            <w:hideMark/>
          </w:tcPr>
          <w:p w14:paraId="33093F45"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17,34%</w:t>
            </w:r>
          </w:p>
        </w:tc>
        <w:tc>
          <w:tcPr>
            <w:tcW w:w="1474" w:type="dxa"/>
            <w:tcBorders>
              <w:top w:val="single" w:sz="2" w:space="0" w:color="auto"/>
              <w:left w:val="single" w:sz="4" w:space="0" w:color="auto"/>
              <w:bottom w:val="single" w:sz="2" w:space="0" w:color="auto"/>
              <w:right w:val="single" w:sz="4" w:space="0" w:color="auto"/>
            </w:tcBorders>
            <w:shd w:val="clear" w:color="auto" w:fill="auto"/>
            <w:noWrap/>
            <w:vAlign w:val="center"/>
          </w:tcPr>
          <w:p w14:paraId="04CCFD95" w14:textId="77777777" w:rsidR="00BE5781" w:rsidRPr="002F3E5F" w:rsidRDefault="00BE5781" w:rsidP="00BE5781">
            <w:pPr>
              <w:jc w:val="right"/>
              <w:rPr>
                <w:rFonts w:ascii="Arial" w:hAnsi="Arial" w:cs="Arial"/>
                <w:color w:val="000000"/>
                <w:sz w:val="14"/>
                <w:szCs w:val="14"/>
              </w:rPr>
            </w:pPr>
          </w:p>
        </w:tc>
      </w:tr>
      <w:tr w:rsidR="00BE5781" w:rsidRPr="002F3E5F" w14:paraId="7D2EC748" w14:textId="77777777" w:rsidTr="00320B34">
        <w:trPr>
          <w:trHeight w:val="315"/>
          <w:jc w:val="center"/>
        </w:trPr>
        <w:tc>
          <w:tcPr>
            <w:tcW w:w="846" w:type="dxa"/>
            <w:vMerge/>
            <w:tcBorders>
              <w:top w:val="single" w:sz="2" w:space="0" w:color="auto"/>
              <w:left w:val="single" w:sz="4" w:space="0" w:color="auto"/>
              <w:bottom w:val="nil"/>
              <w:right w:val="single" w:sz="4" w:space="0" w:color="auto"/>
            </w:tcBorders>
            <w:vAlign w:val="center"/>
            <w:hideMark/>
          </w:tcPr>
          <w:p w14:paraId="06AC329E" w14:textId="77777777" w:rsidR="00BE5781" w:rsidRPr="002F3E5F" w:rsidRDefault="00BE5781" w:rsidP="00BE5781">
            <w:pPr>
              <w:rPr>
                <w:rFonts w:ascii="Arial" w:hAnsi="Arial" w:cs="Arial"/>
                <w:color w:val="000000"/>
                <w:sz w:val="14"/>
                <w:szCs w:val="14"/>
              </w:rPr>
            </w:pPr>
          </w:p>
        </w:tc>
        <w:tc>
          <w:tcPr>
            <w:tcW w:w="2551" w:type="dxa"/>
            <w:vMerge/>
            <w:tcBorders>
              <w:top w:val="single" w:sz="2" w:space="0" w:color="auto"/>
              <w:left w:val="single" w:sz="4" w:space="0" w:color="auto"/>
              <w:bottom w:val="nil"/>
              <w:right w:val="single" w:sz="4" w:space="0" w:color="auto"/>
            </w:tcBorders>
            <w:vAlign w:val="center"/>
            <w:hideMark/>
          </w:tcPr>
          <w:p w14:paraId="171E82B6" w14:textId="77777777" w:rsidR="00BE5781" w:rsidRPr="002F3E5F" w:rsidRDefault="00BE5781" w:rsidP="00BE5781">
            <w:pPr>
              <w:rPr>
                <w:rFonts w:ascii="Arial" w:hAnsi="Arial" w:cs="Arial"/>
                <w:color w:val="000000"/>
                <w:sz w:val="14"/>
                <w:szCs w:val="14"/>
              </w:rPr>
            </w:pPr>
          </w:p>
        </w:tc>
        <w:tc>
          <w:tcPr>
            <w:tcW w:w="3828" w:type="dxa"/>
            <w:tcBorders>
              <w:top w:val="single" w:sz="2" w:space="0" w:color="auto"/>
              <w:left w:val="nil"/>
              <w:bottom w:val="single" w:sz="4" w:space="0" w:color="auto"/>
              <w:right w:val="single" w:sz="4" w:space="0" w:color="auto"/>
            </w:tcBorders>
            <w:shd w:val="clear" w:color="auto" w:fill="auto"/>
            <w:noWrap/>
            <w:vAlign w:val="bottom"/>
            <w:hideMark/>
          </w:tcPr>
          <w:p w14:paraId="08893326"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Contratación del servicio de acciones formativas para el sector de Actividades de acondicionamiento físico y animación financiado a cargo de los fondos del Plan de Recuperación, Transformación y Resiliencia (Next </w:t>
            </w:r>
            <w:proofErr w:type="spellStart"/>
            <w:r w:rsidRPr="002F3E5F">
              <w:rPr>
                <w:rFonts w:ascii="Arial" w:hAnsi="Arial" w:cs="Arial"/>
                <w:color w:val="000000"/>
                <w:sz w:val="14"/>
                <w:szCs w:val="14"/>
              </w:rPr>
              <w:t>Generation</w:t>
            </w:r>
            <w:proofErr w:type="spellEnd"/>
            <w:r w:rsidRPr="002F3E5F">
              <w:rPr>
                <w:rFonts w:ascii="Arial" w:hAnsi="Arial" w:cs="Arial"/>
                <w:color w:val="000000"/>
                <w:sz w:val="14"/>
                <w:szCs w:val="14"/>
              </w:rPr>
              <w:t xml:space="preserve"> EU)</w:t>
            </w:r>
            <w:r w:rsidR="00F26D64">
              <w:rPr>
                <w:rFonts w:ascii="Arial" w:hAnsi="Arial" w:cs="Arial"/>
                <w:color w:val="000000"/>
                <w:sz w:val="14"/>
                <w:szCs w:val="14"/>
              </w:rPr>
              <w:t xml:space="preserve"> LOTE 2</w:t>
            </w:r>
          </w:p>
        </w:tc>
        <w:tc>
          <w:tcPr>
            <w:tcW w:w="986" w:type="dxa"/>
            <w:tcBorders>
              <w:top w:val="single" w:sz="2" w:space="0" w:color="auto"/>
              <w:left w:val="nil"/>
              <w:bottom w:val="single" w:sz="4" w:space="0" w:color="auto"/>
              <w:right w:val="single" w:sz="4" w:space="0" w:color="auto"/>
            </w:tcBorders>
            <w:shd w:val="clear" w:color="auto" w:fill="auto"/>
            <w:noWrap/>
            <w:vAlign w:val="center"/>
            <w:hideMark/>
          </w:tcPr>
          <w:p w14:paraId="127BE0AB"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238.800</w:t>
            </w:r>
          </w:p>
        </w:tc>
        <w:tc>
          <w:tcPr>
            <w:tcW w:w="1247" w:type="dxa"/>
            <w:tcBorders>
              <w:top w:val="single" w:sz="2" w:space="0" w:color="auto"/>
              <w:left w:val="nil"/>
              <w:bottom w:val="single" w:sz="4" w:space="0" w:color="auto"/>
              <w:right w:val="single" w:sz="4" w:space="0" w:color="auto"/>
            </w:tcBorders>
            <w:shd w:val="clear" w:color="auto" w:fill="auto"/>
            <w:noWrap/>
            <w:vAlign w:val="center"/>
            <w:hideMark/>
          </w:tcPr>
          <w:p w14:paraId="3566CBE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197.400</w:t>
            </w:r>
          </w:p>
        </w:tc>
        <w:tc>
          <w:tcPr>
            <w:tcW w:w="709" w:type="dxa"/>
            <w:tcBorders>
              <w:top w:val="single" w:sz="2" w:space="0" w:color="auto"/>
              <w:left w:val="nil"/>
              <w:bottom w:val="single" w:sz="4" w:space="0" w:color="auto"/>
              <w:right w:val="single" w:sz="4" w:space="0" w:color="auto"/>
            </w:tcBorders>
            <w:shd w:val="clear" w:color="auto" w:fill="auto"/>
            <w:noWrap/>
            <w:vAlign w:val="center"/>
            <w:hideMark/>
          </w:tcPr>
          <w:p w14:paraId="43A81C5A"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17,34%</w:t>
            </w:r>
          </w:p>
        </w:tc>
        <w:tc>
          <w:tcPr>
            <w:tcW w:w="1474" w:type="dxa"/>
            <w:tcBorders>
              <w:top w:val="single" w:sz="2" w:space="0" w:color="auto"/>
              <w:left w:val="single" w:sz="4" w:space="0" w:color="auto"/>
              <w:right w:val="single" w:sz="4" w:space="0" w:color="auto"/>
            </w:tcBorders>
            <w:shd w:val="clear" w:color="auto" w:fill="auto"/>
            <w:noWrap/>
            <w:vAlign w:val="center"/>
            <w:hideMark/>
          </w:tcPr>
          <w:p w14:paraId="23548994" w14:textId="77777777" w:rsidR="00BE5781" w:rsidRPr="002F3E5F" w:rsidRDefault="00F26D64" w:rsidP="00BE5781">
            <w:pPr>
              <w:jc w:val="right"/>
              <w:rPr>
                <w:rFonts w:ascii="Arial" w:hAnsi="Arial" w:cs="Arial"/>
                <w:color w:val="000000"/>
                <w:sz w:val="14"/>
                <w:szCs w:val="14"/>
              </w:rPr>
            </w:pPr>
            <w:r>
              <w:rPr>
                <w:rFonts w:ascii="Arial" w:hAnsi="Arial" w:cs="Arial"/>
                <w:color w:val="000000"/>
                <w:sz w:val="14"/>
                <w:szCs w:val="14"/>
              </w:rPr>
              <w:t>Abierto superior al umbral europeo</w:t>
            </w:r>
            <w:r w:rsidR="00BE5781" w:rsidRPr="002F3E5F">
              <w:rPr>
                <w:rFonts w:ascii="Arial" w:hAnsi="Arial" w:cs="Arial"/>
                <w:color w:val="000000"/>
                <w:sz w:val="14"/>
                <w:szCs w:val="14"/>
              </w:rPr>
              <w:t> </w:t>
            </w:r>
          </w:p>
        </w:tc>
      </w:tr>
      <w:tr w:rsidR="00BE5781" w:rsidRPr="002F3E5F" w14:paraId="45531E49" w14:textId="77777777" w:rsidTr="00F405EB">
        <w:trPr>
          <w:trHeight w:val="315"/>
          <w:jc w:val="center"/>
        </w:trPr>
        <w:tc>
          <w:tcPr>
            <w:tcW w:w="846" w:type="dxa"/>
            <w:vMerge/>
            <w:tcBorders>
              <w:top w:val="nil"/>
              <w:left w:val="single" w:sz="4" w:space="0" w:color="auto"/>
              <w:bottom w:val="nil"/>
              <w:right w:val="single" w:sz="4" w:space="0" w:color="auto"/>
            </w:tcBorders>
            <w:vAlign w:val="center"/>
            <w:hideMark/>
          </w:tcPr>
          <w:p w14:paraId="06A0112B" w14:textId="77777777" w:rsidR="00BE5781" w:rsidRPr="002F3E5F" w:rsidRDefault="00BE5781" w:rsidP="00BE5781">
            <w:pPr>
              <w:rPr>
                <w:rFonts w:ascii="Arial" w:hAnsi="Arial" w:cs="Arial"/>
                <w:color w:val="000000"/>
                <w:sz w:val="14"/>
                <w:szCs w:val="14"/>
              </w:rPr>
            </w:pPr>
          </w:p>
        </w:tc>
        <w:tc>
          <w:tcPr>
            <w:tcW w:w="2551" w:type="dxa"/>
            <w:vMerge/>
            <w:tcBorders>
              <w:top w:val="nil"/>
              <w:left w:val="single" w:sz="4" w:space="0" w:color="auto"/>
              <w:bottom w:val="nil"/>
              <w:right w:val="single" w:sz="4" w:space="0" w:color="auto"/>
            </w:tcBorders>
            <w:vAlign w:val="center"/>
            <w:hideMark/>
          </w:tcPr>
          <w:p w14:paraId="45BF4369"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5589F41A"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Contratación del servicio de acciones formativas para el sector de Actividades de acondicionamiento físico y animación financiado a cargo de los fondos del Plan de Recuperación, Transformación y Resiliencia (Next </w:t>
            </w:r>
            <w:proofErr w:type="spellStart"/>
            <w:r w:rsidRPr="002F3E5F">
              <w:rPr>
                <w:rFonts w:ascii="Arial" w:hAnsi="Arial" w:cs="Arial"/>
                <w:color w:val="000000"/>
                <w:sz w:val="14"/>
                <w:szCs w:val="14"/>
              </w:rPr>
              <w:t>Generation</w:t>
            </w:r>
            <w:proofErr w:type="spellEnd"/>
            <w:r w:rsidRPr="002F3E5F">
              <w:rPr>
                <w:rFonts w:ascii="Arial" w:hAnsi="Arial" w:cs="Arial"/>
                <w:color w:val="000000"/>
                <w:sz w:val="14"/>
                <w:szCs w:val="14"/>
              </w:rPr>
              <w:t xml:space="preserve"> EU)</w:t>
            </w:r>
            <w:r w:rsidR="00F26D64">
              <w:rPr>
                <w:rFonts w:ascii="Arial" w:hAnsi="Arial" w:cs="Arial"/>
                <w:color w:val="000000"/>
                <w:sz w:val="14"/>
                <w:szCs w:val="14"/>
              </w:rPr>
              <w:t xml:space="preserve"> LOTE 3</w:t>
            </w:r>
          </w:p>
        </w:tc>
        <w:tc>
          <w:tcPr>
            <w:tcW w:w="986" w:type="dxa"/>
            <w:tcBorders>
              <w:top w:val="nil"/>
              <w:left w:val="nil"/>
              <w:bottom w:val="single" w:sz="4" w:space="0" w:color="auto"/>
              <w:right w:val="single" w:sz="4" w:space="0" w:color="auto"/>
            </w:tcBorders>
            <w:shd w:val="clear" w:color="auto" w:fill="auto"/>
            <w:noWrap/>
            <w:vAlign w:val="center"/>
            <w:hideMark/>
          </w:tcPr>
          <w:p w14:paraId="286664EF"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304.800</w:t>
            </w:r>
          </w:p>
        </w:tc>
        <w:tc>
          <w:tcPr>
            <w:tcW w:w="1247" w:type="dxa"/>
            <w:tcBorders>
              <w:top w:val="nil"/>
              <w:left w:val="nil"/>
              <w:bottom w:val="single" w:sz="4" w:space="0" w:color="auto"/>
              <w:right w:val="single" w:sz="4" w:space="0" w:color="auto"/>
            </w:tcBorders>
            <w:shd w:val="clear" w:color="auto" w:fill="auto"/>
            <w:noWrap/>
            <w:vAlign w:val="center"/>
            <w:hideMark/>
          </w:tcPr>
          <w:p w14:paraId="7B3AF658" w14:textId="77777777" w:rsidR="00BE5781" w:rsidRPr="002F3E5F" w:rsidRDefault="00BE5781" w:rsidP="00BE5781">
            <w:pPr>
              <w:jc w:val="center"/>
              <w:rPr>
                <w:rFonts w:ascii="Arial" w:hAnsi="Arial" w:cs="Arial"/>
                <w:color w:val="000000"/>
                <w:sz w:val="14"/>
                <w:szCs w:val="14"/>
              </w:rPr>
            </w:pPr>
            <w:r>
              <w:rPr>
                <w:rFonts w:ascii="Arial" w:hAnsi="Arial" w:cs="Arial"/>
                <w:color w:val="000000"/>
                <w:sz w:val="14"/>
                <w:szCs w:val="14"/>
              </w:rPr>
              <w:t>D</w:t>
            </w:r>
            <w:r w:rsidR="00F26D64">
              <w:rPr>
                <w:rFonts w:ascii="Arial" w:hAnsi="Arial" w:cs="Arial"/>
                <w:color w:val="000000"/>
                <w:sz w:val="14"/>
                <w:szCs w:val="14"/>
              </w:rPr>
              <w:t>esierto</w:t>
            </w:r>
          </w:p>
        </w:tc>
        <w:tc>
          <w:tcPr>
            <w:tcW w:w="709" w:type="dxa"/>
            <w:tcBorders>
              <w:top w:val="nil"/>
              <w:left w:val="nil"/>
              <w:bottom w:val="single" w:sz="4" w:space="0" w:color="auto"/>
              <w:right w:val="single" w:sz="4" w:space="0" w:color="auto"/>
            </w:tcBorders>
            <w:shd w:val="clear" w:color="auto" w:fill="auto"/>
            <w:noWrap/>
            <w:vAlign w:val="center"/>
            <w:hideMark/>
          </w:tcPr>
          <w:p w14:paraId="20097FC9" w14:textId="77777777" w:rsidR="00BE5781" w:rsidRPr="002F3E5F" w:rsidRDefault="00F26D64" w:rsidP="00BE5781">
            <w:pPr>
              <w:jc w:val="center"/>
              <w:rPr>
                <w:rFonts w:ascii="Arial" w:hAnsi="Arial" w:cs="Arial"/>
                <w:color w:val="000000"/>
                <w:sz w:val="14"/>
                <w:szCs w:val="14"/>
              </w:rPr>
            </w:pPr>
            <w:r>
              <w:rPr>
                <w:rFonts w:ascii="Arial" w:hAnsi="Arial" w:cs="Arial"/>
                <w:color w:val="000000"/>
                <w:sz w:val="14"/>
                <w:szCs w:val="14"/>
              </w:rPr>
              <w:t>Desierto</w:t>
            </w:r>
          </w:p>
        </w:tc>
        <w:tc>
          <w:tcPr>
            <w:tcW w:w="1474" w:type="dxa"/>
            <w:tcBorders>
              <w:top w:val="nil"/>
              <w:left w:val="single" w:sz="4" w:space="0" w:color="auto"/>
              <w:right w:val="single" w:sz="4" w:space="0" w:color="auto"/>
            </w:tcBorders>
            <w:shd w:val="clear" w:color="auto" w:fill="auto"/>
            <w:noWrap/>
            <w:vAlign w:val="center"/>
            <w:hideMark/>
          </w:tcPr>
          <w:p w14:paraId="2778189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 </w:t>
            </w:r>
          </w:p>
        </w:tc>
      </w:tr>
      <w:tr w:rsidR="00BE5781" w:rsidRPr="002F3E5F" w14:paraId="1C41D413" w14:textId="77777777" w:rsidTr="00F405EB">
        <w:trPr>
          <w:trHeight w:val="315"/>
          <w:jc w:val="center"/>
        </w:trPr>
        <w:tc>
          <w:tcPr>
            <w:tcW w:w="846" w:type="dxa"/>
            <w:vMerge/>
            <w:tcBorders>
              <w:top w:val="nil"/>
              <w:left w:val="single" w:sz="4" w:space="0" w:color="auto"/>
              <w:bottom w:val="nil"/>
              <w:right w:val="single" w:sz="4" w:space="0" w:color="auto"/>
            </w:tcBorders>
            <w:vAlign w:val="center"/>
            <w:hideMark/>
          </w:tcPr>
          <w:p w14:paraId="20BDA56C" w14:textId="77777777" w:rsidR="00BE5781" w:rsidRPr="002F3E5F" w:rsidRDefault="00BE5781" w:rsidP="00BE5781">
            <w:pPr>
              <w:rPr>
                <w:rFonts w:ascii="Arial" w:hAnsi="Arial" w:cs="Arial"/>
                <w:color w:val="000000"/>
                <w:sz w:val="14"/>
                <w:szCs w:val="14"/>
              </w:rPr>
            </w:pPr>
          </w:p>
        </w:tc>
        <w:tc>
          <w:tcPr>
            <w:tcW w:w="2551" w:type="dxa"/>
            <w:vMerge/>
            <w:tcBorders>
              <w:top w:val="nil"/>
              <w:left w:val="single" w:sz="4" w:space="0" w:color="auto"/>
              <w:bottom w:val="nil"/>
              <w:right w:val="single" w:sz="4" w:space="0" w:color="auto"/>
            </w:tcBorders>
            <w:vAlign w:val="center"/>
            <w:hideMark/>
          </w:tcPr>
          <w:p w14:paraId="267FDDFA"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12738D13"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Contratación del servicio de acciones formativas para el sector de Actividades de acondicionamiento físico y animación financiado a cargo de los fondos del Plan de Recuperación, Transformación y Resiliencia (Next </w:t>
            </w:r>
            <w:proofErr w:type="spellStart"/>
            <w:r w:rsidRPr="002F3E5F">
              <w:rPr>
                <w:rFonts w:ascii="Arial" w:hAnsi="Arial" w:cs="Arial"/>
                <w:color w:val="000000"/>
                <w:sz w:val="14"/>
                <w:szCs w:val="14"/>
              </w:rPr>
              <w:t>Generation</w:t>
            </w:r>
            <w:proofErr w:type="spellEnd"/>
            <w:r w:rsidRPr="002F3E5F">
              <w:rPr>
                <w:rFonts w:ascii="Arial" w:hAnsi="Arial" w:cs="Arial"/>
                <w:color w:val="000000"/>
                <w:sz w:val="14"/>
                <w:szCs w:val="14"/>
              </w:rPr>
              <w:t xml:space="preserve"> EU)</w:t>
            </w:r>
            <w:r w:rsidR="00F26D64">
              <w:rPr>
                <w:rFonts w:ascii="Arial" w:hAnsi="Arial" w:cs="Arial"/>
                <w:color w:val="000000"/>
                <w:sz w:val="14"/>
                <w:szCs w:val="14"/>
              </w:rPr>
              <w:t xml:space="preserve"> LOTE 4</w:t>
            </w:r>
          </w:p>
        </w:tc>
        <w:tc>
          <w:tcPr>
            <w:tcW w:w="986" w:type="dxa"/>
            <w:tcBorders>
              <w:top w:val="nil"/>
              <w:left w:val="nil"/>
              <w:bottom w:val="single" w:sz="4" w:space="0" w:color="auto"/>
              <w:right w:val="single" w:sz="4" w:space="0" w:color="auto"/>
            </w:tcBorders>
            <w:shd w:val="clear" w:color="auto" w:fill="auto"/>
            <w:noWrap/>
            <w:vAlign w:val="center"/>
            <w:hideMark/>
          </w:tcPr>
          <w:p w14:paraId="75F7CFCA"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140.400</w:t>
            </w:r>
          </w:p>
        </w:tc>
        <w:tc>
          <w:tcPr>
            <w:tcW w:w="1247" w:type="dxa"/>
            <w:tcBorders>
              <w:top w:val="nil"/>
              <w:left w:val="nil"/>
              <w:bottom w:val="single" w:sz="4" w:space="0" w:color="auto"/>
              <w:right w:val="single" w:sz="4" w:space="0" w:color="auto"/>
            </w:tcBorders>
            <w:shd w:val="clear" w:color="auto" w:fill="auto"/>
            <w:noWrap/>
            <w:vAlign w:val="center"/>
            <w:hideMark/>
          </w:tcPr>
          <w:p w14:paraId="3EEB79EF"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124.200</w:t>
            </w:r>
          </w:p>
        </w:tc>
        <w:tc>
          <w:tcPr>
            <w:tcW w:w="709" w:type="dxa"/>
            <w:tcBorders>
              <w:top w:val="nil"/>
              <w:left w:val="nil"/>
              <w:bottom w:val="single" w:sz="4" w:space="0" w:color="auto"/>
              <w:right w:val="single" w:sz="4" w:space="0" w:color="auto"/>
            </w:tcBorders>
            <w:shd w:val="clear" w:color="auto" w:fill="auto"/>
            <w:noWrap/>
            <w:vAlign w:val="center"/>
            <w:hideMark/>
          </w:tcPr>
          <w:p w14:paraId="6AB1A1E9"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11,54%</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3B9D4A8D"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 </w:t>
            </w:r>
          </w:p>
        </w:tc>
      </w:tr>
      <w:tr w:rsidR="00BE5781" w:rsidRPr="002F3E5F" w14:paraId="250093C0" w14:textId="77777777" w:rsidTr="00F405EB">
        <w:trPr>
          <w:trHeight w:val="315"/>
          <w:jc w:val="center"/>
        </w:trPr>
        <w:tc>
          <w:tcPr>
            <w:tcW w:w="846" w:type="dxa"/>
            <w:vMerge w:val="restart"/>
            <w:tcBorders>
              <w:top w:val="single" w:sz="4" w:space="0" w:color="auto"/>
              <w:left w:val="single" w:sz="4" w:space="0" w:color="auto"/>
              <w:bottom w:val="nil"/>
              <w:right w:val="single" w:sz="4" w:space="0" w:color="auto"/>
            </w:tcBorders>
            <w:shd w:val="clear" w:color="auto" w:fill="auto"/>
            <w:vAlign w:val="center"/>
            <w:hideMark/>
          </w:tcPr>
          <w:p w14:paraId="24719001"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M16</w:t>
            </w:r>
          </w:p>
        </w:tc>
        <w:tc>
          <w:tcPr>
            <w:tcW w:w="2551" w:type="dxa"/>
            <w:vMerge w:val="restart"/>
            <w:tcBorders>
              <w:top w:val="single" w:sz="4" w:space="0" w:color="auto"/>
              <w:left w:val="single" w:sz="4" w:space="0" w:color="auto"/>
              <w:bottom w:val="nil"/>
              <w:right w:val="single" w:sz="4" w:space="0" w:color="auto"/>
            </w:tcBorders>
            <w:shd w:val="clear" w:color="auto" w:fill="auto"/>
            <w:vAlign w:val="center"/>
            <w:hideMark/>
          </w:tcPr>
          <w:p w14:paraId="33AE4B8F"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Centro Navarro De Autoaprendizaje De Idiomas, S.A. (</w:t>
            </w:r>
            <w:proofErr w:type="spellStart"/>
            <w:r w:rsidRPr="002F3E5F">
              <w:rPr>
                <w:rFonts w:ascii="Arial" w:hAnsi="Arial" w:cs="Arial"/>
                <w:color w:val="000000"/>
                <w:sz w:val="14"/>
                <w:szCs w:val="14"/>
              </w:rPr>
              <w:t>Cnai</w:t>
            </w:r>
            <w:proofErr w:type="spellEnd"/>
            <w:r w:rsidRPr="002F3E5F">
              <w:rPr>
                <w:rFonts w:ascii="Arial" w:hAnsi="Arial" w:cs="Arial"/>
                <w:color w:val="000000"/>
                <w:sz w:val="14"/>
                <w:szCs w:val="14"/>
              </w:rPr>
              <w:t xml:space="preserve">)  </w:t>
            </w:r>
          </w:p>
        </w:tc>
        <w:tc>
          <w:tcPr>
            <w:tcW w:w="3828" w:type="dxa"/>
            <w:tcBorders>
              <w:top w:val="nil"/>
              <w:left w:val="nil"/>
              <w:bottom w:val="single" w:sz="4" w:space="0" w:color="auto"/>
              <w:right w:val="single" w:sz="4" w:space="0" w:color="auto"/>
            </w:tcBorders>
            <w:shd w:val="clear" w:color="auto" w:fill="auto"/>
            <w:noWrap/>
            <w:vAlign w:val="bottom"/>
            <w:hideMark/>
          </w:tcPr>
          <w:p w14:paraId="40957495"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Contratación del servicio de acciones formativas para el sector de docencia para el empleo financiado a cargo de los fondos del Plan de Recuperación, Transformación y Resiliencia (Next </w:t>
            </w:r>
            <w:proofErr w:type="spellStart"/>
            <w:r w:rsidRPr="002F3E5F">
              <w:rPr>
                <w:rFonts w:ascii="Arial" w:hAnsi="Arial" w:cs="Arial"/>
                <w:color w:val="000000"/>
                <w:sz w:val="14"/>
                <w:szCs w:val="14"/>
              </w:rPr>
              <w:t>Generation</w:t>
            </w:r>
            <w:proofErr w:type="spellEnd"/>
            <w:r w:rsidRPr="002F3E5F">
              <w:rPr>
                <w:rFonts w:ascii="Arial" w:hAnsi="Arial" w:cs="Arial"/>
                <w:color w:val="000000"/>
                <w:sz w:val="14"/>
                <w:szCs w:val="14"/>
              </w:rPr>
              <w:t xml:space="preserve"> EU)</w:t>
            </w:r>
            <w:r w:rsidR="00F26D64">
              <w:rPr>
                <w:rFonts w:ascii="Arial" w:hAnsi="Arial" w:cs="Arial"/>
                <w:color w:val="000000"/>
                <w:sz w:val="14"/>
                <w:szCs w:val="14"/>
              </w:rPr>
              <w:t xml:space="preserve"> LOTE 1</w:t>
            </w:r>
          </w:p>
        </w:tc>
        <w:tc>
          <w:tcPr>
            <w:tcW w:w="986" w:type="dxa"/>
            <w:tcBorders>
              <w:top w:val="nil"/>
              <w:left w:val="nil"/>
              <w:bottom w:val="single" w:sz="4" w:space="0" w:color="auto"/>
              <w:right w:val="single" w:sz="4" w:space="0" w:color="auto"/>
            </w:tcBorders>
            <w:shd w:val="clear" w:color="auto" w:fill="auto"/>
            <w:noWrap/>
            <w:vAlign w:val="center"/>
            <w:hideMark/>
          </w:tcPr>
          <w:p w14:paraId="40A6447B"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183.600</w:t>
            </w:r>
          </w:p>
        </w:tc>
        <w:tc>
          <w:tcPr>
            <w:tcW w:w="1247" w:type="dxa"/>
            <w:tcBorders>
              <w:top w:val="nil"/>
              <w:left w:val="nil"/>
              <w:bottom w:val="single" w:sz="4" w:space="0" w:color="auto"/>
              <w:right w:val="single" w:sz="4" w:space="0" w:color="auto"/>
            </w:tcBorders>
            <w:shd w:val="clear" w:color="auto" w:fill="auto"/>
            <w:noWrap/>
            <w:vAlign w:val="center"/>
            <w:hideMark/>
          </w:tcPr>
          <w:p w14:paraId="459E000B"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152.400</w:t>
            </w:r>
          </w:p>
        </w:tc>
        <w:tc>
          <w:tcPr>
            <w:tcW w:w="709" w:type="dxa"/>
            <w:tcBorders>
              <w:top w:val="nil"/>
              <w:left w:val="nil"/>
              <w:bottom w:val="single" w:sz="4" w:space="0" w:color="auto"/>
              <w:right w:val="single" w:sz="4" w:space="0" w:color="auto"/>
            </w:tcBorders>
            <w:shd w:val="clear" w:color="auto" w:fill="auto"/>
            <w:noWrap/>
            <w:vAlign w:val="center"/>
            <w:hideMark/>
          </w:tcPr>
          <w:p w14:paraId="59748C46"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16,99%</w:t>
            </w:r>
          </w:p>
        </w:tc>
        <w:tc>
          <w:tcPr>
            <w:tcW w:w="1474" w:type="dxa"/>
            <w:tcBorders>
              <w:top w:val="single" w:sz="4" w:space="0" w:color="auto"/>
              <w:left w:val="single" w:sz="4" w:space="0" w:color="auto"/>
              <w:right w:val="single" w:sz="4" w:space="0" w:color="auto"/>
            </w:tcBorders>
            <w:shd w:val="clear" w:color="auto" w:fill="auto"/>
            <w:noWrap/>
            <w:vAlign w:val="center"/>
            <w:hideMark/>
          </w:tcPr>
          <w:p w14:paraId="673630F2" w14:textId="77777777" w:rsidR="00BE5781" w:rsidRPr="002F3E5F" w:rsidRDefault="00BE5781" w:rsidP="00BE5781">
            <w:pPr>
              <w:jc w:val="right"/>
              <w:rPr>
                <w:rFonts w:ascii="Arial" w:hAnsi="Arial" w:cs="Arial"/>
                <w:color w:val="000000"/>
                <w:sz w:val="14"/>
                <w:szCs w:val="14"/>
              </w:rPr>
            </w:pPr>
          </w:p>
        </w:tc>
      </w:tr>
      <w:tr w:rsidR="00BE5781" w:rsidRPr="002F3E5F" w14:paraId="6F1F9E21" w14:textId="77777777" w:rsidTr="00F405EB">
        <w:trPr>
          <w:trHeight w:val="315"/>
          <w:jc w:val="center"/>
        </w:trPr>
        <w:tc>
          <w:tcPr>
            <w:tcW w:w="846" w:type="dxa"/>
            <w:vMerge/>
            <w:tcBorders>
              <w:top w:val="single" w:sz="4" w:space="0" w:color="auto"/>
              <w:left w:val="single" w:sz="4" w:space="0" w:color="auto"/>
              <w:bottom w:val="nil"/>
              <w:right w:val="single" w:sz="4" w:space="0" w:color="auto"/>
            </w:tcBorders>
            <w:vAlign w:val="center"/>
            <w:hideMark/>
          </w:tcPr>
          <w:p w14:paraId="2230EC71" w14:textId="77777777" w:rsidR="00BE5781" w:rsidRPr="002F3E5F" w:rsidRDefault="00BE5781" w:rsidP="00BE5781">
            <w:pPr>
              <w:rPr>
                <w:rFonts w:ascii="Arial" w:hAnsi="Arial" w:cs="Arial"/>
                <w:color w:val="000000"/>
                <w:sz w:val="14"/>
                <w:szCs w:val="14"/>
              </w:rPr>
            </w:pPr>
          </w:p>
        </w:tc>
        <w:tc>
          <w:tcPr>
            <w:tcW w:w="2551" w:type="dxa"/>
            <w:vMerge/>
            <w:tcBorders>
              <w:top w:val="single" w:sz="4" w:space="0" w:color="auto"/>
              <w:left w:val="single" w:sz="4" w:space="0" w:color="auto"/>
              <w:bottom w:val="nil"/>
              <w:right w:val="single" w:sz="4" w:space="0" w:color="auto"/>
            </w:tcBorders>
            <w:vAlign w:val="center"/>
            <w:hideMark/>
          </w:tcPr>
          <w:p w14:paraId="49EB6DA9"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67DAD897"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Contratación del servicio de acciones formativas para el sector de docencia para el empleo financiado a cargo de los fondos del Plan de Recuperación, Transformación y Resiliencia (Next </w:t>
            </w:r>
            <w:proofErr w:type="spellStart"/>
            <w:r w:rsidRPr="002F3E5F">
              <w:rPr>
                <w:rFonts w:ascii="Arial" w:hAnsi="Arial" w:cs="Arial"/>
                <w:color w:val="000000"/>
                <w:sz w:val="14"/>
                <w:szCs w:val="14"/>
              </w:rPr>
              <w:t>Generation</w:t>
            </w:r>
            <w:proofErr w:type="spellEnd"/>
            <w:r w:rsidRPr="002F3E5F">
              <w:rPr>
                <w:rFonts w:ascii="Arial" w:hAnsi="Arial" w:cs="Arial"/>
                <w:color w:val="000000"/>
                <w:sz w:val="14"/>
                <w:szCs w:val="14"/>
              </w:rPr>
              <w:t xml:space="preserve"> EU)</w:t>
            </w:r>
            <w:r w:rsidR="00F26D64">
              <w:rPr>
                <w:rFonts w:ascii="Arial" w:hAnsi="Arial" w:cs="Arial"/>
                <w:color w:val="000000"/>
                <w:sz w:val="14"/>
                <w:szCs w:val="14"/>
              </w:rPr>
              <w:t xml:space="preserve"> LOTE 2</w:t>
            </w:r>
          </w:p>
        </w:tc>
        <w:tc>
          <w:tcPr>
            <w:tcW w:w="986" w:type="dxa"/>
            <w:tcBorders>
              <w:top w:val="nil"/>
              <w:left w:val="nil"/>
              <w:bottom w:val="single" w:sz="4" w:space="0" w:color="auto"/>
              <w:right w:val="single" w:sz="4" w:space="0" w:color="auto"/>
            </w:tcBorders>
            <w:shd w:val="clear" w:color="auto" w:fill="auto"/>
            <w:noWrap/>
            <w:vAlign w:val="center"/>
            <w:hideMark/>
          </w:tcPr>
          <w:p w14:paraId="51B3FDC8"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183.600</w:t>
            </w:r>
          </w:p>
        </w:tc>
        <w:tc>
          <w:tcPr>
            <w:tcW w:w="1247" w:type="dxa"/>
            <w:tcBorders>
              <w:top w:val="nil"/>
              <w:left w:val="nil"/>
              <w:bottom w:val="single" w:sz="4" w:space="0" w:color="auto"/>
              <w:right w:val="single" w:sz="4" w:space="0" w:color="auto"/>
            </w:tcBorders>
            <w:shd w:val="clear" w:color="auto" w:fill="auto"/>
            <w:noWrap/>
            <w:vAlign w:val="center"/>
            <w:hideMark/>
          </w:tcPr>
          <w:p w14:paraId="011BD533"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176.256</w:t>
            </w:r>
          </w:p>
        </w:tc>
        <w:tc>
          <w:tcPr>
            <w:tcW w:w="709" w:type="dxa"/>
            <w:tcBorders>
              <w:top w:val="nil"/>
              <w:left w:val="nil"/>
              <w:bottom w:val="single" w:sz="4" w:space="0" w:color="auto"/>
              <w:right w:val="single" w:sz="4" w:space="0" w:color="auto"/>
            </w:tcBorders>
            <w:shd w:val="clear" w:color="auto" w:fill="auto"/>
            <w:noWrap/>
            <w:vAlign w:val="center"/>
            <w:hideMark/>
          </w:tcPr>
          <w:p w14:paraId="23CEBC74"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4,00%</w:t>
            </w:r>
          </w:p>
        </w:tc>
        <w:tc>
          <w:tcPr>
            <w:tcW w:w="1474" w:type="dxa"/>
            <w:tcBorders>
              <w:top w:val="nil"/>
              <w:left w:val="single" w:sz="4" w:space="0" w:color="auto"/>
              <w:right w:val="single" w:sz="4" w:space="0" w:color="auto"/>
            </w:tcBorders>
            <w:shd w:val="clear" w:color="auto" w:fill="auto"/>
            <w:noWrap/>
            <w:vAlign w:val="center"/>
            <w:hideMark/>
          </w:tcPr>
          <w:p w14:paraId="4D206716" w14:textId="77777777" w:rsidR="00BE5781" w:rsidRPr="002F3E5F" w:rsidRDefault="00F26D64" w:rsidP="00BE5781">
            <w:pPr>
              <w:jc w:val="right"/>
              <w:rPr>
                <w:rFonts w:ascii="Arial" w:hAnsi="Arial" w:cs="Arial"/>
                <w:color w:val="000000"/>
                <w:sz w:val="14"/>
                <w:szCs w:val="14"/>
              </w:rPr>
            </w:pPr>
            <w:r>
              <w:rPr>
                <w:rFonts w:ascii="Arial" w:hAnsi="Arial" w:cs="Arial"/>
                <w:color w:val="000000"/>
                <w:sz w:val="14"/>
                <w:szCs w:val="14"/>
              </w:rPr>
              <w:t>Abierto superior al umbral europeo</w:t>
            </w:r>
            <w:r w:rsidR="00BE5781" w:rsidRPr="002F3E5F">
              <w:rPr>
                <w:rFonts w:ascii="Arial" w:hAnsi="Arial" w:cs="Arial"/>
                <w:color w:val="000000"/>
                <w:sz w:val="14"/>
                <w:szCs w:val="14"/>
              </w:rPr>
              <w:t> </w:t>
            </w:r>
          </w:p>
        </w:tc>
      </w:tr>
      <w:tr w:rsidR="00BE5781" w:rsidRPr="002F3E5F" w14:paraId="58403E44" w14:textId="77777777" w:rsidTr="00F405EB">
        <w:trPr>
          <w:trHeight w:val="315"/>
          <w:jc w:val="center"/>
        </w:trPr>
        <w:tc>
          <w:tcPr>
            <w:tcW w:w="846" w:type="dxa"/>
            <w:vMerge/>
            <w:tcBorders>
              <w:top w:val="single" w:sz="4" w:space="0" w:color="auto"/>
              <w:left w:val="single" w:sz="4" w:space="0" w:color="auto"/>
              <w:bottom w:val="nil"/>
              <w:right w:val="single" w:sz="4" w:space="0" w:color="auto"/>
            </w:tcBorders>
            <w:vAlign w:val="center"/>
            <w:hideMark/>
          </w:tcPr>
          <w:p w14:paraId="2B024622" w14:textId="77777777" w:rsidR="00BE5781" w:rsidRPr="002F3E5F" w:rsidRDefault="00BE5781" w:rsidP="00BE5781">
            <w:pPr>
              <w:rPr>
                <w:rFonts w:ascii="Arial" w:hAnsi="Arial" w:cs="Arial"/>
                <w:color w:val="000000"/>
                <w:sz w:val="14"/>
                <w:szCs w:val="14"/>
              </w:rPr>
            </w:pPr>
          </w:p>
        </w:tc>
        <w:tc>
          <w:tcPr>
            <w:tcW w:w="2551" w:type="dxa"/>
            <w:vMerge/>
            <w:tcBorders>
              <w:top w:val="single" w:sz="4" w:space="0" w:color="auto"/>
              <w:left w:val="single" w:sz="4" w:space="0" w:color="auto"/>
              <w:bottom w:val="nil"/>
              <w:right w:val="single" w:sz="4" w:space="0" w:color="auto"/>
            </w:tcBorders>
            <w:vAlign w:val="center"/>
            <w:hideMark/>
          </w:tcPr>
          <w:p w14:paraId="114960CB"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47130870"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Contratación del servicio de acciones formativas para el sector de docencia para el empleo financiado a cargo de los fondos del Plan de Recuperación, Transformación y Resiliencia (Next </w:t>
            </w:r>
            <w:proofErr w:type="spellStart"/>
            <w:r w:rsidRPr="002F3E5F">
              <w:rPr>
                <w:rFonts w:ascii="Arial" w:hAnsi="Arial" w:cs="Arial"/>
                <w:color w:val="000000"/>
                <w:sz w:val="14"/>
                <w:szCs w:val="14"/>
              </w:rPr>
              <w:t>Generation</w:t>
            </w:r>
            <w:proofErr w:type="spellEnd"/>
            <w:r w:rsidRPr="002F3E5F">
              <w:rPr>
                <w:rFonts w:ascii="Arial" w:hAnsi="Arial" w:cs="Arial"/>
                <w:color w:val="000000"/>
                <w:sz w:val="14"/>
                <w:szCs w:val="14"/>
              </w:rPr>
              <w:t xml:space="preserve"> EU)</w:t>
            </w:r>
            <w:r w:rsidR="00F26D64">
              <w:rPr>
                <w:rFonts w:ascii="Arial" w:hAnsi="Arial" w:cs="Arial"/>
                <w:color w:val="000000"/>
                <w:sz w:val="14"/>
                <w:szCs w:val="14"/>
              </w:rPr>
              <w:t xml:space="preserve"> LOTE 3</w:t>
            </w:r>
          </w:p>
        </w:tc>
        <w:tc>
          <w:tcPr>
            <w:tcW w:w="986" w:type="dxa"/>
            <w:tcBorders>
              <w:top w:val="nil"/>
              <w:left w:val="nil"/>
              <w:bottom w:val="single" w:sz="4" w:space="0" w:color="auto"/>
              <w:right w:val="single" w:sz="4" w:space="0" w:color="auto"/>
            </w:tcBorders>
            <w:shd w:val="clear" w:color="auto" w:fill="auto"/>
            <w:noWrap/>
            <w:vAlign w:val="center"/>
            <w:hideMark/>
          </w:tcPr>
          <w:p w14:paraId="40378F79"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183.600</w:t>
            </w:r>
          </w:p>
        </w:tc>
        <w:tc>
          <w:tcPr>
            <w:tcW w:w="1247" w:type="dxa"/>
            <w:tcBorders>
              <w:top w:val="nil"/>
              <w:left w:val="nil"/>
              <w:bottom w:val="single" w:sz="4" w:space="0" w:color="auto"/>
              <w:right w:val="single" w:sz="4" w:space="0" w:color="auto"/>
            </w:tcBorders>
            <w:shd w:val="clear" w:color="auto" w:fill="auto"/>
            <w:noWrap/>
            <w:vAlign w:val="center"/>
            <w:hideMark/>
          </w:tcPr>
          <w:p w14:paraId="2E87E62E"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152.400</w:t>
            </w:r>
          </w:p>
        </w:tc>
        <w:tc>
          <w:tcPr>
            <w:tcW w:w="709" w:type="dxa"/>
            <w:tcBorders>
              <w:top w:val="nil"/>
              <w:left w:val="nil"/>
              <w:bottom w:val="single" w:sz="4" w:space="0" w:color="auto"/>
              <w:right w:val="single" w:sz="4" w:space="0" w:color="auto"/>
            </w:tcBorders>
            <w:shd w:val="clear" w:color="auto" w:fill="auto"/>
            <w:noWrap/>
            <w:vAlign w:val="center"/>
            <w:hideMark/>
          </w:tcPr>
          <w:p w14:paraId="2E9648A8"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16,99%</w:t>
            </w:r>
          </w:p>
        </w:tc>
        <w:tc>
          <w:tcPr>
            <w:tcW w:w="1474" w:type="dxa"/>
            <w:tcBorders>
              <w:top w:val="nil"/>
              <w:left w:val="single" w:sz="4" w:space="0" w:color="auto"/>
              <w:right w:val="single" w:sz="4" w:space="0" w:color="auto"/>
            </w:tcBorders>
            <w:shd w:val="clear" w:color="auto" w:fill="auto"/>
            <w:noWrap/>
            <w:vAlign w:val="center"/>
            <w:hideMark/>
          </w:tcPr>
          <w:p w14:paraId="566E159E"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 </w:t>
            </w:r>
          </w:p>
        </w:tc>
      </w:tr>
      <w:tr w:rsidR="00BE5781" w:rsidRPr="002F3E5F" w14:paraId="5CCF2D71" w14:textId="77777777" w:rsidTr="00F405EB">
        <w:trPr>
          <w:trHeight w:val="315"/>
          <w:jc w:val="center"/>
        </w:trPr>
        <w:tc>
          <w:tcPr>
            <w:tcW w:w="846" w:type="dxa"/>
            <w:vMerge/>
            <w:tcBorders>
              <w:top w:val="single" w:sz="4" w:space="0" w:color="auto"/>
              <w:left w:val="single" w:sz="4" w:space="0" w:color="auto"/>
              <w:bottom w:val="nil"/>
              <w:right w:val="single" w:sz="4" w:space="0" w:color="auto"/>
            </w:tcBorders>
            <w:vAlign w:val="center"/>
            <w:hideMark/>
          </w:tcPr>
          <w:p w14:paraId="33A197D0" w14:textId="77777777" w:rsidR="00BE5781" w:rsidRPr="002F3E5F" w:rsidRDefault="00BE5781" w:rsidP="00BE5781">
            <w:pPr>
              <w:rPr>
                <w:rFonts w:ascii="Arial" w:hAnsi="Arial" w:cs="Arial"/>
                <w:color w:val="000000"/>
                <w:sz w:val="14"/>
                <w:szCs w:val="14"/>
              </w:rPr>
            </w:pPr>
          </w:p>
        </w:tc>
        <w:tc>
          <w:tcPr>
            <w:tcW w:w="2551" w:type="dxa"/>
            <w:vMerge/>
            <w:tcBorders>
              <w:top w:val="single" w:sz="4" w:space="0" w:color="auto"/>
              <w:left w:val="single" w:sz="4" w:space="0" w:color="auto"/>
              <w:bottom w:val="nil"/>
              <w:right w:val="single" w:sz="4" w:space="0" w:color="auto"/>
            </w:tcBorders>
            <w:vAlign w:val="center"/>
            <w:hideMark/>
          </w:tcPr>
          <w:p w14:paraId="5949C99F"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7EC8C867"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Contratación del servicio de acciones formativas para el sector de docencia para el empleo financiado a cargo de los fondos del Plan de Recuperación, Transformación y Resiliencia (Next </w:t>
            </w:r>
            <w:proofErr w:type="spellStart"/>
            <w:r w:rsidRPr="002F3E5F">
              <w:rPr>
                <w:rFonts w:ascii="Arial" w:hAnsi="Arial" w:cs="Arial"/>
                <w:color w:val="000000"/>
                <w:sz w:val="14"/>
                <w:szCs w:val="14"/>
              </w:rPr>
              <w:t>Generation</w:t>
            </w:r>
            <w:proofErr w:type="spellEnd"/>
            <w:r w:rsidRPr="002F3E5F">
              <w:rPr>
                <w:rFonts w:ascii="Arial" w:hAnsi="Arial" w:cs="Arial"/>
                <w:color w:val="000000"/>
                <w:sz w:val="14"/>
                <w:szCs w:val="14"/>
              </w:rPr>
              <w:t xml:space="preserve"> EU)</w:t>
            </w:r>
            <w:r w:rsidR="00F26D64">
              <w:rPr>
                <w:rFonts w:ascii="Arial" w:hAnsi="Arial" w:cs="Arial"/>
                <w:color w:val="000000"/>
                <w:sz w:val="14"/>
                <w:szCs w:val="14"/>
              </w:rPr>
              <w:t xml:space="preserve"> LOTE 4</w:t>
            </w:r>
          </w:p>
        </w:tc>
        <w:tc>
          <w:tcPr>
            <w:tcW w:w="986" w:type="dxa"/>
            <w:tcBorders>
              <w:top w:val="nil"/>
              <w:left w:val="nil"/>
              <w:bottom w:val="single" w:sz="4" w:space="0" w:color="auto"/>
              <w:right w:val="single" w:sz="4" w:space="0" w:color="auto"/>
            </w:tcBorders>
            <w:shd w:val="clear" w:color="auto" w:fill="auto"/>
            <w:noWrap/>
            <w:vAlign w:val="center"/>
            <w:hideMark/>
          </w:tcPr>
          <w:p w14:paraId="77BD09FB"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183.600</w:t>
            </w:r>
          </w:p>
        </w:tc>
        <w:tc>
          <w:tcPr>
            <w:tcW w:w="1247" w:type="dxa"/>
            <w:tcBorders>
              <w:top w:val="nil"/>
              <w:left w:val="nil"/>
              <w:bottom w:val="single" w:sz="4" w:space="0" w:color="auto"/>
              <w:right w:val="single" w:sz="4" w:space="0" w:color="auto"/>
            </w:tcBorders>
            <w:shd w:val="clear" w:color="auto" w:fill="auto"/>
            <w:noWrap/>
            <w:vAlign w:val="center"/>
            <w:hideMark/>
          </w:tcPr>
          <w:p w14:paraId="2A34D80C" w14:textId="77777777" w:rsidR="00BE5781" w:rsidRPr="002F3E5F" w:rsidRDefault="00BE5781" w:rsidP="00BE5781">
            <w:pPr>
              <w:jc w:val="center"/>
              <w:rPr>
                <w:rFonts w:ascii="Arial" w:hAnsi="Arial" w:cs="Arial"/>
                <w:color w:val="000000"/>
                <w:sz w:val="14"/>
                <w:szCs w:val="14"/>
              </w:rPr>
            </w:pPr>
            <w:r>
              <w:rPr>
                <w:rFonts w:ascii="Arial" w:hAnsi="Arial" w:cs="Arial"/>
                <w:color w:val="000000"/>
                <w:sz w:val="14"/>
                <w:szCs w:val="14"/>
              </w:rPr>
              <w:t>D</w:t>
            </w:r>
            <w:r w:rsidR="00F26D64">
              <w:rPr>
                <w:rFonts w:ascii="Arial" w:hAnsi="Arial" w:cs="Arial"/>
                <w:color w:val="000000"/>
                <w:sz w:val="14"/>
                <w:szCs w:val="14"/>
              </w:rPr>
              <w:t>esierto</w:t>
            </w:r>
          </w:p>
        </w:tc>
        <w:tc>
          <w:tcPr>
            <w:tcW w:w="709" w:type="dxa"/>
            <w:tcBorders>
              <w:top w:val="nil"/>
              <w:left w:val="nil"/>
              <w:bottom w:val="single" w:sz="4" w:space="0" w:color="auto"/>
              <w:right w:val="single" w:sz="4" w:space="0" w:color="auto"/>
            </w:tcBorders>
            <w:shd w:val="clear" w:color="auto" w:fill="auto"/>
            <w:noWrap/>
            <w:vAlign w:val="center"/>
            <w:hideMark/>
          </w:tcPr>
          <w:p w14:paraId="4851138F" w14:textId="77777777" w:rsidR="00BE5781" w:rsidRPr="002F3E5F" w:rsidRDefault="00F26D64" w:rsidP="00BE5781">
            <w:pPr>
              <w:jc w:val="center"/>
              <w:rPr>
                <w:rFonts w:ascii="Arial" w:hAnsi="Arial" w:cs="Arial"/>
                <w:color w:val="000000"/>
                <w:sz w:val="14"/>
                <w:szCs w:val="14"/>
              </w:rPr>
            </w:pPr>
            <w:r>
              <w:rPr>
                <w:rFonts w:ascii="Arial" w:hAnsi="Arial" w:cs="Arial"/>
                <w:color w:val="000000"/>
                <w:sz w:val="14"/>
                <w:szCs w:val="14"/>
              </w:rPr>
              <w:t>Desierto</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69682E9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 </w:t>
            </w:r>
          </w:p>
        </w:tc>
      </w:tr>
      <w:tr w:rsidR="00BE5781" w:rsidRPr="002F3E5F" w14:paraId="2A6297C1" w14:textId="77777777" w:rsidTr="00F405EB">
        <w:trPr>
          <w:trHeight w:val="315"/>
          <w:jc w:val="center"/>
        </w:trPr>
        <w:tc>
          <w:tcPr>
            <w:tcW w:w="8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0F2DCE"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M17</w:t>
            </w:r>
          </w:p>
        </w:tc>
        <w:tc>
          <w:tcPr>
            <w:tcW w:w="2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5D04F0"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 xml:space="preserve">Navarra De Infraestructuras De Cultura, Deporte Y Ocio, S.L. </w:t>
            </w:r>
          </w:p>
        </w:tc>
        <w:tc>
          <w:tcPr>
            <w:tcW w:w="3828" w:type="dxa"/>
            <w:tcBorders>
              <w:top w:val="nil"/>
              <w:left w:val="nil"/>
              <w:bottom w:val="single" w:sz="4" w:space="0" w:color="auto"/>
              <w:right w:val="single" w:sz="4" w:space="0" w:color="auto"/>
            </w:tcBorders>
            <w:shd w:val="clear" w:color="auto" w:fill="auto"/>
            <w:noWrap/>
            <w:vAlign w:val="bottom"/>
            <w:hideMark/>
          </w:tcPr>
          <w:p w14:paraId="33934182"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Contratación de clases de esquí y guarda esquís.</w:t>
            </w:r>
            <w:r w:rsidR="00F26D64">
              <w:rPr>
                <w:rFonts w:ascii="Arial" w:hAnsi="Arial" w:cs="Arial"/>
                <w:color w:val="000000"/>
                <w:sz w:val="14"/>
                <w:szCs w:val="14"/>
              </w:rPr>
              <w:t xml:space="preserve"> LOTE 1</w:t>
            </w:r>
          </w:p>
        </w:tc>
        <w:tc>
          <w:tcPr>
            <w:tcW w:w="986" w:type="dxa"/>
            <w:tcBorders>
              <w:top w:val="nil"/>
              <w:left w:val="nil"/>
              <w:bottom w:val="single" w:sz="4" w:space="0" w:color="auto"/>
              <w:right w:val="single" w:sz="4" w:space="0" w:color="auto"/>
            </w:tcBorders>
            <w:shd w:val="clear" w:color="auto" w:fill="auto"/>
            <w:noWrap/>
            <w:vAlign w:val="center"/>
            <w:hideMark/>
          </w:tcPr>
          <w:p w14:paraId="3344D54B"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266.400</w:t>
            </w:r>
          </w:p>
        </w:tc>
        <w:tc>
          <w:tcPr>
            <w:tcW w:w="1247" w:type="dxa"/>
            <w:tcBorders>
              <w:top w:val="nil"/>
              <w:left w:val="nil"/>
              <w:bottom w:val="single" w:sz="4" w:space="0" w:color="auto"/>
              <w:right w:val="single" w:sz="4" w:space="0" w:color="auto"/>
            </w:tcBorders>
            <w:shd w:val="clear" w:color="auto" w:fill="auto"/>
            <w:noWrap/>
            <w:vAlign w:val="center"/>
            <w:hideMark/>
          </w:tcPr>
          <w:p w14:paraId="72B77982"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266.400</w:t>
            </w:r>
          </w:p>
        </w:tc>
        <w:tc>
          <w:tcPr>
            <w:tcW w:w="709" w:type="dxa"/>
            <w:tcBorders>
              <w:top w:val="nil"/>
              <w:left w:val="nil"/>
              <w:bottom w:val="single" w:sz="4" w:space="0" w:color="auto"/>
              <w:right w:val="single" w:sz="4" w:space="0" w:color="auto"/>
            </w:tcBorders>
            <w:shd w:val="clear" w:color="auto" w:fill="auto"/>
            <w:noWrap/>
            <w:vAlign w:val="center"/>
            <w:hideMark/>
          </w:tcPr>
          <w:p w14:paraId="03BD5336"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0,00%</w:t>
            </w:r>
          </w:p>
        </w:tc>
        <w:tc>
          <w:tcPr>
            <w:tcW w:w="1474" w:type="dxa"/>
            <w:tcBorders>
              <w:top w:val="single" w:sz="4" w:space="0" w:color="auto"/>
              <w:left w:val="single" w:sz="4" w:space="0" w:color="auto"/>
              <w:right w:val="single" w:sz="4" w:space="0" w:color="auto"/>
            </w:tcBorders>
            <w:shd w:val="clear" w:color="auto" w:fill="auto"/>
            <w:noWrap/>
            <w:vAlign w:val="center"/>
            <w:hideMark/>
          </w:tcPr>
          <w:p w14:paraId="112DF026"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r w:rsidR="00F26D64">
              <w:rPr>
                <w:rFonts w:ascii="Arial" w:hAnsi="Arial" w:cs="Arial"/>
                <w:color w:val="000000"/>
                <w:sz w:val="14"/>
                <w:szCs w:val="14"/>
              </w:rPr>
              <w:t xml:space="preserve"> superior al umbral europeo</w:t>
            </w:r>
          </w:p>
        </w:tc>
      </w:tr>
      <w:tr w:rsidR="00BE5781" w:rsidRPr="002F3E5F" w14:paraId="0601060A" w14:textId="77777777" w:rsidTr="00F405EB">
        <w:trPr>
          <w:trHeight w:val="315"/>
          <w:jc w:val="center"/>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23649890" w14:textId="77777777" w:rsidR="00BE5781" w:rsidRPr="002F3E5F" w:rsidRDefault="00BE5781" w:rsidP="00BE5781">
            <w:pPr>
              <w:rPr>
                <w:rFonts w:ascii="Arial" w:hAnsi="Arial" w:cs="Arial"/>
                <w:color w:val="000000"/>
                <w:sz w:val="14"/>
                <w:szCs w:val="14"/>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14:paraId="653D90CC" w14:textId="77777777" w:rsidR="00BE5781" w:rsidRPr="002F3E5F" w:rsidRDefault="00BE5781" w:rsidP="00BE5781">
            <w:pPr>
              <w:rPr>
                <w:rFonts w:ascii="Arial" w:hAnsi="Arial" w:cs="Arial"/>
                <w:color w:val="000000"/>
                <w:sz w:val="14"/>
                <w:szCs w:val="14"/>
              </w:rPr>
            </w:pPr>
          </w:p>
        </w:tc>
        <w:tc>
          <w:tcPr>
            <w:tcW w:w="3828" w:type="dxa"/>
            <w:tcBorders>
              <w:top w:val="nil"/>
              <w:left w:val="nil"/>
              <w:bottom w:val="single" w:sz="4" w:space="0" w:color="auto"/>
              <w:right w:val="single" w:sz="4" w:space="0" w:color="auto"/>
            </w:tcBorders>
            <w:shd w:val="clear" w:color="auto" w:fill="auto"/>
            <w:noWrap/>
            <w:vAlign w:val="bottom"/>
            <w:hideMark/>
          </w:tcPr>
          <w:p w14:paraId="05E8BCB4"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Contratación de clases de esquí y guarda esquís.</w:t>
            </w:r>
            <w:r w:rsidR="00F26D64">
              <w:rPr>
                <w:rFonts w:ascii="Arial" w:hAnsi="Arial" w:cs="Arial"/>
                <w:color w:val="000000"/>
                <w:sz w:val="14"/>
                <w:szCs w:val="14"/>
              </w:rPr>
              <w:t xml:space="preserve"> LOTE 2</w:t>
            </w:r>
          </w:p>
        </w:tc>
        <w:tc>
          <w:tcPr>
            <w:tcW w:w="986" w:type="dxa"/>
            <w:tcBorders>
              <w:top w:val="nil"/>
              <w:left w:val="nil"/>
              <w:bottom w:val="single" w:sz="4" w:space="0" w:color="auto"/>
              <w:right w:val="single" w:sz="4" w:space="0" w:color="auto"/>
            </w:tcBorders>
            <w:shd w:val="clear" w:color="auto" w:fill="auto"/>
            <w:noWrap/>
            <w:vAlign w:val="center"/>
            <w:hideMark/>
          </w:tcPr>
          <w:p w14:paraId="4C9BE9A8"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18.739</w:t>
            </w:r>
          </w:p>
        </w:tc>
        <w:tc>
          <w:tcPr>
            <w:tcW w:w="1247" w:type="dxa"/>
            <w:tcBorders>
              <w:top w:val="nil"/>
              <w:left w:val="nil"/>
              <w:bottom w:val="single" w:sz="4" w:space="0" w:color="auto"/>
              <w:right w:val="single" w:sz="4" w:space="0" w:color="auto"/>
            </w:tcBorders>
            <w:shd w:val="clear" w:color="auto" w:fill="auto"/>
            <w:noWrap/>
            <w:vAlign w:val="center"/>
            <w:hideMark/>
          </w:tcPr>
          <w:p w14:paraId="145FA894"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18.739</w:t>
            </w:r>
          </w:p>
        </w:tc>
        <w:tc>
          <w:tcPr>
            <w:tcW w:w="709" w:type="dxa"/>
            <w:tcBorders>
              <w:top w:val="nil"/>
              <w:left w:val="nil"/>
              <w:bottom w:val="single" w:sz="4" w:space="0" w:color="auto"/>
              <w:right w:val="single" w:sz="4" w:space="0" w:color="auto"/>
            </w:tcBorders>
            <w:shd w:val="clear" w:color="auto" w:fill="auto"/>
            <w:noWrap/>
            <w:vAlign w:val="center"/>
            <w:hideMark/>
          </w:tcPr>
          <w:p w14:paraId="34D2E160"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0,00%</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191CEEC7"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 </w:t>
            </w:r>
          </w:p>
        </w:tc>
      </w:tr>
      <w:tr w:rsidR="00BE5781" w:rsidRPr="002F3E5F" w14:paraId="0CB8AACF" w14:textId="77777777" w:rsidTr="00F405EB">
        <w:trPr>
          <w:trHeight w:val="31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0515485" w14:textId="77777777" w:rsidR="00BE5781" w:rsidRPr="002F3E5F" w:rsidRDefault="00BE5781" w:rsidP="00BE5781">
            <w:pPr>
              <w:jc w:val="center"/>
              <w:rPr>
                <w:rFonts w:ascii="Arial" w:hAnsi="Arial" w:cs="Arial"/>
                <w:color w:val="000000"/>
                <w:sz w:val="14"/>
                <w:szCs w:val="14"/>
              </w:rPr>
            </w:pPr>
            <w:r w:rsidRPr="002F3E5F">
              <w:rPr>
                <w:rFonts w:ascii="Arial" w:hAnsi="Arial" w:cs="Arial"/>
                <w:color w:val="000000"/>
                <w:sz w:val="14"/>
                <w:szCs w:val="14"/>
              </w:rPr>
              <w:t>M18</w:t>
            </w:r>
          </w:p>
        </w:tc>
        <w:tc>
          <w:tcPr>
            <w:tcW w:w="2551" w:type="dxa"/>
            <w:tcBorders>
              <w:top w:val="nil"/>
              <w:left w:val="nil"/>
              <w:bottom w:val="single" w:sz="4" w:space="0" w:color="auto"/>
              <w:right w:val="single" w:sz="4" w:space="0" w:color="auto"/>
            </w:tcBorders>
            <w:shd w:val="clear" w:color="auto" w:fill="auto"/>
            <w:noWrap/>
            <w:vAlign w:val="bottom"/>
            <w:hideMark/>
          </w:tcPr>
          <w:p w14:paraId="7B245691"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 xml:space="preserve">Navarra De Infraestructuras De Cultura, Deporte Y Ocio, S.L. </w:t>
            </w:r>
          </w:p>
        </w:tc>
        <w:tc>
          <w:tcPr>
            <w:tcW w:w="3828" w:type="dxa"/>
            <w:tcBorders>
              <w:top w:val="nil"/>
              <w:left w:val="nil"/>
              <w:bottom w:val="single" w:sz="4" w:space="0" w:color="auto"/>
              <w:right w:val="single" w:sz="4" w:space="0" w:color="auto"/>
            </w:tcBorders>
            <w:shd w:val="clear" w:color="auto" w:fill="auto"/>
            <w:noWrap/>
            <w:vAlign w:val="bottom"/>
            <w:hideMark/>
          </w:tcPr>
          <w:p w14:paraId="3C19FA61" w14:textId="77777777" w:rsidR="00BE5781" w:rsidRPr="002F3E5F" w:rsidRDefault="00BE5781" w:rsidP="00BE5781">
            <w:pPr>
              <w:rPr>
                <w:rFonts w:ascii="Arial" w:hAnsi="Arial" w:cs="Arial"/>
                <w:color w:val="000000"/>
                <w:sz w:val="14"/>
                <w:szCs w:val="14"/>
              </w:rPr>
            </w:pPr>
            <w:r w:rsidRPr="002F3E5F">
              <w:rPr>
                <w:rFonts w:ascii="Arial" w:hAnsi="Arial" w:cs="Arial"/>
                <w:color w:val="000000"/>
                <w:sz w:val="14"/>
                <w:szCs w:val="14"/>
              </w:rPr>
              <w:t>Suministro del equipamiento técnico de sonido para las gradas y la pista central del Navarra Arena.</w:t>
            </w:r>
          </w:p>
        </w:tc>
        <w:tc>
          <w:tcPr>
            <w:tcW w:w="986" w:type="dxa"/>
            <w:tcBorders>
              <w:top w:val="nil"/>
              <w:left w:val="nil"/>
              <w:bottom w:val="single" w:sz="4" w:space="0" w:color="auto"/>
              <w:right w:val="single" w:sz="4" w:space="0" w:color="auto"/>
            </w:tcBorders>
            <w:shd w:val="clear" w:color="auto" w:fill="auto"/>
            <w:noWrap/>
            <w:vAlign w:val="center"/>
            <w:hideMark/>
          </w:tcPr>
          <w:p w14:paraId="4BA71EE6"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213.965</w:t>
            </w:r>
          </w:p>
        </w:tc>
        <w:tc>
          <w:tcPr>
            <w:tcW w:w="1247" w:type="dxa"/>
            <w:tcBorders>
              <w:top w:val="nil"/>
              <w:left w:val="nil"/>
              <w:bottom w:val="single" w:sz="4" w:space="0" w:color="auto"/>
              <w:right w:val="single" w:sz="4" w:space="0" w:color="auto"/>
            </w:tcBorders>
            <w:shd w:val="clear" w:color="auto" w:fill="auto"/>
            <w:noWrap/>
            <w:vAlign w:val="center"/>
            <w:hideMark/>
          </w:tcPr>
          <w:p w14:paraId="65593837"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192.568</w:t>
            </w:r>
          </w:p>
        </w:tc>
        <w:tc>
          <w:tcPr>
            <w:tcW w:w="709" w:type="dxa"/>
            <w:tcBorders>
              <w:top w:val="nil"/>
              <w:left w:val="nil"/>
              <w:bottom w:val="single" w:sz="4" w:space="0" w:color="auto"/>
              <w:right w:val="single" w:sz="4" w:space="0" w:color="auto"/>
            </w:tcBorders>
            <w:shd w:val="clear" w:color="auto" w:fill="auto"/>
            <w:noWrap/>
            <w:vAlign w:val="center"/>
            <w:hideMark/>
          </w:tcPr>
          <w:p w14:paraId="2ACE8DF1"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10,00%</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512828F9" w14:textId="77777777" w:rsidR="00BE5781" w:rsidRPr="002F3E5F" w:rsidRDefault="00BE5781" w:rsidP="00BE5781">
            <w:pPr>
              <w:jc w:val="right"/>
              <w:rPr>
                <w:rFonts w:ascii="Arial" w:hAnsi="Arial" w:cs="Arial"/>
                <w:color w:val="000000"/>
                <w:sz w:val="14"/>
                <w:szCs w:val="14"/>
              </w:rPr>
            </w:pPr>
            <w:r w:rsidRPr="002F3E5F">
              <w:rPr>
                <w:rFonts w:ascii="Arial" w:hAnsi="Arial" w:cs="Arial"/>
                <w:color w:val="000000"/>
                <w:sz w:val="14"/>
                <w:szCs w:val="14"/>
              </w:rPr>
              <w:t>Abierto</w:t>
            </w:r>
          </w:p>
        </w:tc>
      </w:tr>
      <w:tr w:rsidR="00BE5781" w:rsidRPr="002F3E5F" w14:paraId="70C8224E" w14:textId="77777777" w:rsidTr="00F405EB">
        <w:trPr>
          <w:trHeight w:val="300"/>
          <w:jc w:val="center"/>
        </w:trPr>
        <w:tc>
          <w:tcPr>
            <w:tcW w:w="846" w:type="dxa"/>
            <w:tcBorders>
              <w:top w:val="nil"/>
              <w:left w:val="nil"/>
              <w:bottom w:val="nil"/>
              <w:right w:val="nil"/>
            </w:tcBorders>
            <w:shd w:val="clear" w:color="auto" w:fill="auto"/>
            <w:noWrap/>
            <w:vAlign w:val="bottom"/>
            <w:hideMark/>
          </w:tcPr>
          <w:p w14:paraId="237D6C37" w14:textId="77777777" w:rsidR="00BE5781" w:rsidRPr="002F3E5F" w:rsidRDefault="00BE5781" w:rsidP="00BE5781">
            <w:pPr>
              <w:jc w:val="center"/>
              <w:rPr>
                <w:rFonts w:ascii="Arial" w:hAnsi="Arial" w:cs="Arial"/>
                <w:color w:val="000000"/>
                <w:sz w:val="14"/>
                <w:szCs w:val="14"/>
              </w:rPr>
            </w:pPr>
          </w:p>
        </w:tc>
        <w:tc>
          <w:tcPr>
            <w:tcW w:w="2551" w:type="dxa"/>
            <w:tcBorders>
              <w:top w:val="nil"/>
              <w:left w:val="nil"/>
              <w:bottom w:val="nil"/>
              <w:right w:val="nil"/>
            </w:tcBorders>
            <w:shd w:val="clear" w:color="auto" w:fill="auto"/>
            <w:noWrap/>
            <w:vAlign w:val="bottom"/>
            <w:hideMark/>
          </w:tcPr>
          <w:p w14:paraId="1DAD497B" w14:textId="77777777" w:rsidR="00BE5781" w:rsidRPr="002F3E5F" w:rsidRDefault="00BE5781" w:rsidP="00BE5781">
            <w:pPr>
              <w:rPr>
                <w:rFonts w:ascii="Arial" w:hAnsi="Arial" w:cs="Arial"/>
                <w:sz w:val="14"/>
                <w:szCs w:val="14"/>
              </w:rPr>
            </w:pPr>
          </w:p>
        </w:tc>
        <w:tc>
          <w:tcPr>
            <w:tcW w:w="3828" w:type="dxa"/>
            <w:tcBorders>
              <w:top w:val="nil"/>
              <w:left w:val="nil"/>
              <w:bottom w:val="nil"/>
              <w:right w:val="nil"/>
            </w:tcBorders>
            <w:shd w:val="clear" w:color="auto" w:fill="auto"/>
            <w:noWrap/>
            <w:vAlign w:val="bottom"/>
            <w:hideMark/>
          </w:tcPr>
          <w:p w14:paraId="1BE8C2CF" w14:textId="77777777" w:rsidR="00BE5781" w:rsidRPr="002F3E5F" w:rsidRDefault="00BE5781" w:rsidP="00BE5781">
            <w:pPr>
              <w:rPr>
                <w:rFonts w:ascii="Arial" w:hAnsi="Arial" w:cs="Arial"/>
                <w:sz w:val="14"/>
                <w:szCs w:val="14"/>
              </w:rPr>
            </w:pPr>
          </w:p>
        </w:tc>
        <w:tc>
          <w:tcPr>
            <w:tcW w:w="986" w:type="dxa"/>
            <w:tcBorders>
              <w:top w:val="nil"/>
              <w:left w:val="nil"/>
              <w:bottom w:val="nil"/>
              <w:right w:val="nil"/>
            </w:tcBorders>
            <w:shd w:val="clear" w:color="auto" w:fill="auto"/>
            <w:noWrap/>
            <w:vAlign w:val="bottom"/>
            <w:hideMark/>
          </w:tcPr>
          <w:p w14:paraId="4B8651D8" w14:textId="77777777" w:rsidR="00BE5781" w:rsidRPr="002F3E5F" w:rsidRDefault="00BE5781" w:rsidP="00BE5781">
            <w:pPr>
              <w:rPr>
                <w:rFonts w:ascii="Arial" w:hAnsi="Arial" w:cs="Arial"/>
                <w:sz w:val="14"/>
                <w:szCs w:val="14"/>
              </w:rPr>
            </w:pPr>
          </w:p>
        </w:tc>
        <w:tc>
          <w:tcPr>
            <w:tcW w:w="1247" w:type="dxa"/>
            <w:tcBorders>
              <w:top w:val="nil"/>
              <w:left w:val="nil"/>
              <w:bottom w:val="nil"/>
              <w:right w:val="nil"/>
            </w:tcBorders>
            <w:shd w:val="clear" w:color="auto" w:fill="auto"/>
            <w:noWrap/>
            <w:vAlign w:val="bottom"/>
            <w:hideMark/>
          </w:tcPr>
          <w:p w14:paraId="7AFEB2B7" w14:textId="77777777" w:rsidR="00BE5781" w:rsidRPr="002F3E5F" w:rsidRDefault="00BE5781" w:rsidP="00BE5781">
            <w:pPr>
              <w:rPr>
                <w:rFonts w:ascii="Arial" w:hAnsi="Arial" w:cs="Arial"/>
                <w:sz w:val="14"/>
                <w:szCs w:val="14"/>
              </w:rPr>
            </w:pPr>
          </w:p>
        </w:tc>
        <w:tc>
          <w:tcPr>
            <w:tcW w:w="709" w:type="dxa"/>
            <w:tcBorders>
              <w:top w:val="nil"/>
              <w:left w:val="nil"/>
              <w:bottom w:val="nil"/>
              <w:right w:val="nil"/>
            </w:tcBorders>
            <w:shd w:val="clear" w:color="auto" w:fill="auto"/>
            <w:noWrap/>
            <w:vAlign w:val="bottom"/>
            <w:hideMark/>
          </w:tcPr>
          <w:p w14:paraId="181B2239" w14:textId="77777777" w:rsidR="00BE5781" w:rsidRPr="002F3E5F" w:rsidRDefault="00BE5781" w:rsidP="00BE5781">
            <w:pPr>
              <w:rPr>
                <w:rFonts w:ascii="Arial" w:hAnsi="Arial" w:cs="Arial"/>
                <w:sz w:val="14"/>
                <w:szCs w:val="14"/>
              </w:rPr>
            </w:pPr>
          </w:p>
        </w:tc>
        <w:tc>
          <w:tcPr>
            <w:tcW w:w="1474" w:type="dxa"/>
            <w:tcBorders>
              <w:top w:val="nil"/>
              <w:left w:val="nil"/>
              <w:bottom w:val="nil"/>
              <w:right w:val="nil"/>
            </w:tcBorders>
            <w:shd w:val="clear" w:color="auto" w:fill="auto"/>
            <w:noWrap/>
            <w:vAlign w:val="center"/>
            <w:hideMark/>
          </w:tcPr>
          <w:p w14:paraId="63FCB567" w14:textId="77777777" w:rsidR="00BE5781" w:rsidRPr="002F3E5F" w:rsidRDefault="00BE5781" w:rsidP="00BE5781">
            <w:pPr>
              <w:jc w:val="right"/>
              <w:rPr>
                <w:rFonts w:ascii="Arial" w:hAnsi="Arial" w:cs="Arial"/>
                <w:sz w:val="14"/>
                <w:szCs w:val="14"/>
              </w:rPr>
            </w:pPr>
          </w:p>
        </w:tc>
      </w:tr>
      <w:tr w:rsidR="00BE5781" w:rsidRPr="002F3E5F" w14:paraId="5A3C4B71" w14:textId="77777777" w:rsidTr="00F405EB">
        <w:trPr>
          <w:trHeight w:val="300"/>
          <w:jc w:val="center"/>
        </w:trPr>
        <w:tc>
          <w:tcPr>
            <w:tcW w:w="846" w:type="dxa"/>
            <w:tcBorders>
              <w:top w:val="nil"/>
              <w:left w:val="nil"/>
              <w:bottom w:val="nil"/>
              <w:right w:val="nil"/>
            </w:tcBorders>
            <w:shd w:val="clear" w:color="auto" w:fill="auto"/>
            <w:noWrap/>
            <w:vAlign w:val="bottom"/>
            <w:hideMark/>
          </w:tcPr>
          <w:p w14:paraId="48D90E22" w14:textId="77777777" w:rsidR="00BE5781" w:rsidRPr="002F3E5F" w:rsidRDefault="00BE5781" w:rsidP="00BE5781">
            <w:pPr>
              <w:rPr>
                <w:rFonts w:ascii="Arial" w:hAnsi="Arial" w:cs="Arial"/>
                <w:sz w:val="14"/>
                <w:szCs w:val="14"/>
              </w:rPr>
            </w:pPr>
          </w:p>
        </w:tc>
        <w:tc>
          <w:tcPr>
            <w:tcW w:w="2551" w:type="dxa"/>
            <w:tcBorders>
              <w:top w:val="nil"/>
              <w:left w:val="nil"/>
              <w:bottom w:val="nil"/>
              <w:right w:val="nil"/>
            </w:tcBorders>
            <w:shd w:val="clear" w:color="auto" w:fill="auto"/>
            <w:noWrap/>
            <w:vAlign w:val="bottom"/>
            <w:hideMark/>
          </w:tcPr>
          <w:p w14:paraId="4A001BAC" w14:textId="77777777" w:rsidR="00BE5781" w:rsidRPr="002F3E5F" w:rsidRDefault="00BE5781" w:rsidP="00BE5781">
            <w:pPr>
              <w:rPr>
                <w:rFonts w:ascii="Arial" w:hAnsi="Arial" w:cs="Arial"/>
                <w:sz w:val="14"/>
                <w:szCs w:val="14"/>
              </w:rPr>
            </w:pPr>
          </w:p>
        </w:tc>
        <w:tc>
          <w:tcPr>
            <w:tcW w:w="3828" w:type="dxa"/>
            <w:tcBorders>
              <w:top w:val="nil"/>
              <w:left w:val="nil"/>
              <w:bottom w:val="nil"/>
              <w:right w:val="nil"/>
            </w:tcBorders>
            <w:shd w:val="clear" w:color="auto" w:fill="auto"/>
            <w:noWrap/>
            <w:vAlign w:val="bottom"/>
            <w:hideMark/>
          </w:tcPr>
          <w:p w14:paraId="01326FDA" w14:textId="77777777" w:rsidR="00BE5781" w:rsidRPr="002F3E5F" w:rsidRDefault="00BE5781" w:rsidP="00BE5781">
            <w:pPr>
              <w:rPr>
                <w:rFonts w:ascii="Arial" w:hAnsi="Arial" w:cs="Arial"/>
                <w:sz w:val="14"/>
                <w:szCs w:val="14"/>
              </w:rPr>
            </w:pPr>
          </w:p>
        </w:tc>
        <w:tc>
          <w:tcPr>
            <w:tcW w:w="986" w:type="dxa"/>
            <w:tcBorders>
              <w:top w:val="nil"/>
              <w:left w:val="nil"/>
              <w:bottom w:val="nil"/>
              <w:right w:val="nil"/>
            </w:tcBorders>
            <w:shd w:val="clear" w:color="auto" w:fill="auto"/>
            <w:noWrap/>
            <w:vAlign w:val="bottom"/>
            <w:hideMark/>
          </w:tcPr>
          <w:p w14:paraId="06F9B3EC" w14:textId="77777777" w:rsidR="00BE5781" w:rsidRPr="002F3E5F" w:rsidRDefault="00BE5781" w:rsidP="00BE5781">
            <w:pPr>
              <w:rPr>
                <w:rFonts w:ascii="Arial" w:hAnsi="Arial" w:cs="Arial"/>
                <w:sz w:val="14"/>
                <w:szCs w:val="14"/>
              </w:rPr>
            </w:pPr>
          </w:p>
        </w:tc>
        <w:tc>
          <w:tcPr>
            <w:tcW w:w="1247" w:type="dxa"/>
            <w:tcBorders>
              <w:top w:val="nil"/>
              <w:left w:val="nil"/>
              <w:bottom w:val="nil"/>
              <w:right w:val="nil"/>
            </w:tcBorders>
            <w:shd w:val="clear" w:color="auto" w:fill="auto"/>
            <w:noWrap/>
            <w:vAlign w:val="bottom"/>
            <w:hideMark/>
          </w:tcPr>
          <w:p w14:paraId="34782147" w14:textId="77777777" w:rsidR="00BE5781" w:rsidRPr="002F3E5F" w:rsidRDefault="00BE5781" w:rsidP="00BE5781">
            <w:pPr>
              <w:rPr>
                <w:rFonts w:ascii="Arial" w:hAnsi="Arial" w:cs="Arial"/>
                <w:sz w:val="14"/>
                <w:szCs w:val="14"/>
              </w:rPr>
            </w:pPr>
          </w:p>
        </w:tc>
        <w:tc>
          <w:tcPr>
            <w:tcW w:w="709" w:type="dxa"/>
            <w:tcBorders>
              <w:top w:val="nil"/>
              <w:left w:val="nil"/>
              <w:bottom w:val="nil"/>
              <w:right w:val="nil"/>
            </w:tcBorders>
            <w:shd w:val="clear" w:color="auto" w:fill="auto"/>
            <w:noWrap/>
            <w:vAlign w:val="bottom"/>
            <w:hideMark/>
          </w:tcPr>
          <w:p w14:paraId="7FA17D23" w14:textId="77777777" w:rsidR="00BE5781" w:rsidRPr="002F3E5F" w:rsidRDefault="00BE5781" w:rsidP="00BE5781">
            <w:pPr>
              <w:rPr>
                <w:rFonts w:ascii="Arial" w:hAnsi="Arial" w:cs="Arial"/>
                <w:sz w:val="14"/>
                <w:szCs w:val="14"/>
              </w:rPr>
            </w:pPr>
          </w:p>
        </w:tc>
        <w:tc>
          <w:tcPr>
            <w:tcW w:w="1474" w:type="dxa"/>
            <w:tcBorders>
              <w:top w:val="nil"/>
              <w:left w:val="nil"/>
              <w:bottom w:val="nil"/>
              <w:right w:val="nil"/>
            </w:tcBorders>
            <w:shd w:val="clear" w:color="auto" w:fill="auto"/>
            <w:noWrap/>
            <w:vAlign w:val="center"/>
            <w:hideMark/>
          </w:tcPr>
          <w:p w14:paraId="714AB630" w14:textId="77777777" w:rsidR="00BE5781" w:rsidRPr="002F3E5F" w:rsidRDefault="00BE5781" w:rsidP="00BE5781">
            <w:pPr>
              <w:jc w:val="right"/>
              <w:rPr>
                <w:rFonts w:ascii="Arial" w:hAnsi="Arial" w:cs="Arial"/>
                <w:sz w:val="14"/>
                <w:szCs w:val="14"/>
              </w:rPr>
            </w:pPr>
          </w:p>
        </w:tc>
      </w:tr>
    </w:tbl>
    <w:p w14:paraId="56271F91" w14:textId="77777777" w:rsidR="00BE5781" w:rsidRDefault="00BE5781" w:rsidP="00A27712">
      <w:pPr>
        <w:pStyle w:val="atitulo1"/>
        <w:sectPr w:rsidR="00BE5781" w:rsidSect="00F5513E">
          <w:pgSz w:w="16840" w:h="11907" w:orient="landscape" w:code="9"/>
          <w:pgMar w:top="1559" w:right="2109" w:bottom="1559" w:left="1644" w:header="369" w:footer="136" w:gutter="0"/>
          <w:cols w:space="720"/>
          <w:docGrid w:linePitch="360"/>
        </w:sectPr>
      </w:pPr>
    </w:p>
    <w:p w14:paraId="4153C857" w14:textId="77777777" w:rsidR="00653EE1" w:rsidRDefault="00653EE1"/>
    <w:p w14:paraId="5B547964" w14:textId="49741FB6" w:rsidR="00E576C4" w:rsidRPr="002F3B63" w:rsidRDefault="00653EE1" w:rsidP="00156226">
      <w:pPr>
        <w:pStyle w:val="atitulo1"/>
        <w:spacing w:after="120"/>
      </w:pPr>
      <w:bookmarkStart w:id="179" w:name="_Toc151365881"/>
      <w:bookmarkStart w:id="180" w:name="_Toc182464293"/>
      <w:r w:rsidRPr="000D06D2">
        <w:t>Alegaciones formuladas al Informe Provisional</w:t>
      </w:r>
      <w:bookmarkEnd w:id="179"/>
      <w:bookmarkEnd w:id="180"/>
    </w:p>
    <w:p w14:paraId="52C1D0DC" w14:textId="144A84C8" w:rsidR="00E576C4" w:rsidRPr="00F05681" w:rsidRDefault="00E576C4" w:rsidP="00E576C4">
      <w:pPr>
        <w:pStyle w:val="Style"/>
        <w:spacing w:line="413" w:lineRule="exact"/>
        <w:jc w:val="both"/>
        <w:textAlignment w:val="baseline"/>
        <w:rPr>
          <w:rFonts w:ascii="Arial" w:eastAsia="Arial" w:hAnsi="Arial" w:cs="Arial"/>
          <w:b/>
          <w:bCs/>
          <w:sz w:val="22"/>
          <w:szCs w:val="22"/>
        </w:rPr>
      </w:pPr>
      <w:r w:rsidRPr="00F05681">
        <w:rPr>
          <w:rFonts w:ascii="Arial" w:eastAsia="Arial" w:hAnsi="Arial" w:cs="Arial"/>
          <w:b/>
          <w:bCs/>
          <w:sz w:val="22"/>
          <w:szCs w:val="22"/>
        </w:rPr>
        <w:t>Gobierno de Navarra/</w:t>
      </w:r>
      <w:proofErr w:type="spellStart"/>
      <w:r w:rsidRPr="00F05681">
        <w:rPr>
          <w:rFonts w:ascii="Arial" w:eastAsia="Arial" w:hAnsi="Arial" w:cs="Arial"/>
          <w:b/>
          <w:bCs/>
          <w:sz w:val="22"/>
          <w:szCs w:val="22"/>
        </w:rPr>
        <w:t>Nafarroako</w:t>
      </w:r>
      <w:proofErr w:type="spellEnd"/>
      <w:r w:rsidRPr="00F05681">
        <w:rPr>
          <w:rFonts w:ascii="Arial" w:eastAsia="Arial" w:hAnsi="Arial" w:cs="Arial"/>
          <w:b/>
          <w:bCs/>
          <w:sz w:val="22"/>
          <w:szCs w:val="22"/>
        </w:rPr>
        <w:t xml:space="preserve"> </w:t>
      </w:r>
      <w:proofErr w:type="spellStart"/>
      <w:r w:rsidRPr="00F05681">
        <w:rPr>
          <w:rFonts w:ascii="Arial" w:eastAsia="Arial" w:hAnsi="Arial" w:cs="Arial"/>
          <w:b/>
          <w:bCs/>
          <w:sz w:val="22"/>
          <w:szCs w:val="22"/>
        </w:rPr>
        <w:t>Gobernua</w:t>
      </w:r>
      <w:proofErr w:type="spellEnd"/>
    </w:p>
    <w:p w14:paraId="0BF84054" w14:textId="414EC553" w:rsidR="00E576C4" w:rsidRPr="00F05681" w:rsidRDefault="00E576C4" w:rsidP="00E576C4">
      <w:pPr>
        <w:pStyle w:val="Style"/>
        <w:spacing w:line="413" w:lineRule="exact"/>
        <w:jc w:val="both"/>
        <w:textAlignment w:val="baseline"/>
        <w:rPr>
          <w:rFonts w:ascii="Arial" w:eastAsia="Arial" w:hAnsi="Arial" w:cs="Arial"/>
          <w:b/>
          <w:bCs/>
          <w:sz w:val="22"/>
          <w:szCs w:val="22"/>
        </w:rPr>
      </w:pPr>
      <w:r w:rsidRPr="00F05681">
        <w:rPr>
          <w:rFonts w:ascii="Arial" w:eastAsia="Arial" w:hAnsi="Arial" w:cs="Arial"/>
          <w:b/>
          <w:bCs/>
          <w:sz w:val="22"/>
          <w:szCs w:val="22"/>
        </w:rPr>
        <w:t>Departamento de Economía y Hacienda/</w:t>
      </w:r>
      <w:proofErr w:type="spellStart"/>
      <w:r w:rsidRPr="00F05681">
        <w:rPr>
          <w:rFonts w:ascii="Arial" w:eastAsia="Arial" w:hAnsi="Arial" w:cs="Arial"/>
          <w:b/>
          <w:bCs/>
          <w:sz w:val="22"/>
          <w:szCs w:val="22"/>
        </w:rPr>
        <w:t>Ekonomia</w:t>
      </w:r>
      <w:proofErr w:type="spellEnd"/>
      <w:r w:rsidRPr="00F05681">
        <w:rPr>
          <w:rFonts w:ascii="Arial" w:eastAsia="Arial" w:hAnsi="Arial" w:cs="Arial"/>
          <w:b/>
          <w:bCs/>
          <w:sz w:val="22"/>
          <w:szCs w:val="22"/>
        </w:rPr>
        <w:t xml:space="preserve"> eta </w:t>
      </w:r>
      <w:proofErr w:type="spellStart"/>
      <w:r w:rsidRPr="00F05681">
        <w:rPr>
          <w:rFonts w:ascii="Arial" w:eastAsia="Arial" w:hAnsi="Arial" w:cs="Arial"/>
          <w:b/>
          <w:bCs/>
          <w:sz w:val="22"/>
          <w:szCs w:val="22"/>
        </w:rPr>
        <w:t>Ogasun</w:t>
      </w:r>
      <w:proofErr w:type="spellEnd"/>
      <w:r w:rsidRPr="00F05681">
        <w:rPr>
          <w:rFonts w:ascii="Arial" w:eastAsia="Arial" w:hAnsi="Arial" w:cs="Arial"/>
          <w:b/>
          <w:bCs/>
          <w:sz w:val="22"/>
          <w:szCs w:val="22"/>
        </w:rPr>
        <w:t xml:space="preserve"> </w:t>
      </w:r>
      <w:proofErr w:type="spellStart"/>
      <w:r w:rsidRPr="00F05681">
        <w:rPr>
          <w:rFonts w:ascii="Arial" w:eastAsia="Arial" w:hAnsi="Arial" w:cs="Arial"/>
          <w:b/>
          <w:bCs/>
          <w:sz w:val="22"/>
          <w:szCs w:val="22"/>
        </w:rPr>
        <w:t>Departamentua</w:t>
      </w:r>
      <w:proofErr w:type="spellEnd"/>
    </w:p>
    <w:p w14:paraId="23EC49B8" w14:textId="06F16475" w:rsidR="00E576C4" w:rsidRDefault="00E576C4" w:rsidP="002F3B63">
      <w:pPr>
        <w:pStyle w:val="Style"/>
        <w:spacing w:line="413" w:lineRule="exact"/>
        <w:jc w:val="both"/>
        <w:textAlignment w:val="baseline"/>
      </w:pPr>
      <w:r>
        <w:rPr>
          <w:rFonts w:ascii="Arial" w:eastAsia="Arial" w:hAnsi="Arial" w:cs="Arial"/>
          <w:sz w:val="23"/>
          <w:szCs w:val="23"/>
        </w:rPr>
        <w:t xml:space="preserve">En contestación a la Resolución del presidente de la Cámara de Comptos por la que se aprueba el informe provisional de fiscalización sobre "Cuentas Generales de Navarra 2023" en el que se daba traslado al organismo </w:t>
      </w:r>
      <w:proofErr w:type="spellStart"/>
      <w:r>
        <w:rPr>
          <w:rFonts w:ascii="Arial" w:eastAsia="Arial" w:hAnsi="Arial" w:cs="Arial"/>
          <w:sz w:val="23"/>
          <w:szCs w:val="23"/>
        </w:rPr>
        <w:t>fiscalizado</w:t>
      </w:r>
      <w:proofErr w:type="spellEnd"/>
      <w:r>
        <w:rPr>
          <w:rFonts w:ascii="Arial" w:eastAsia="Arial" w:hAnsi="Arial" w:cs="Arial"/>
          <w:sz w:val="23"/>
          <w:szCs w:val="23"/>
        </w:rPr>
        <w:t xml:space="preserve"> para en su caso formular las alegaciones pertinentes, le informo, tal y como señalan las Direcciones Generales competentes que: </w:t>
      </w:r>
    </w:p>
    <w:p w14:paraId="3AB5660D" w14:textId="77777777" w:rsidR="002F3B63" w:rsidRPr="002F3B63" w:rsidRDefault="002F3B63" w:rsidP="00156226">
      <w:pPr>
        <w:pStyle w:val="Style"/>
        <w:spacing w:line="213" w:lineRule="exact"/>
        <w:jc w:val="both"/>
        <w:textAlignment w:val="baseline"/>
      </w:pPr>
    </w:p>
    <w:p w14:paraId="3AD4E698" w14:textId="77777777" w:rsidR="00E576C4" w:rsidRDefault="00E576C4" w:rsidP="00E576C4">
      <w:pPr>
        <w:pStyle w:val="Style"/>
        <w:spacing w:line="250" w:lineRule="exact"/>
        <w:textAlignment w:val="baseline"/>
      </w:pPr>
      <w:r>
        <w:rPr>
          <w:rFonts w:ascii="Arial" w:eastAsia="Arial" w:hAnsi="Arial" w:cs="Arial"/>
          <w:sz w:val="23"/>
          <w:szCs w:val="23"/>
        </w:rPr>
        <w:t xml:space="preserve">Con carácter general: </w:t>
      </w:r>
    </w:p>
    <w:p w14:paraId="39504A75" w14:textId="7E48C9D6" w:rsidR="00E576C4" w:rsidRPr="002F3B63" w:rsidRDefault="00E576C4" w:rsidP="002F3B63">
      <w:pPr>
        <w:pStyle w:val="Style"/>
        <w:spacing w:line="413" w:lineRule="exact"/>
        <w:jc w:val="both"/>
        <w:textAlignment w:val="baseline"/>
        <w:rPr>
          <w:rFonts w:ascii="Arial" w:eastAsia="Arial" w:hAnsi="Arial" w:cs="Arial"/>
          <w:sz w:val="23"/>
          <w:szCs w:val="23"/>
        </w:rPr>
      </w:pPr>
      <w:r>
        <w:rPr>
          <w:rFonts w:ascii="Arial" w:eastAsia="Arial" w:hAnsi="Arial" w:cs="Arial"/>
          <w:sz w:val="23"/>
          <w:szCs w:val="23"/>
        </w:rPr>
        <w:t xml:space="preserve">A lo largo del informe se incluyen algunas afirmaciones que cuestionan la vinculación del objeto del contrato, la existencia o suficiencia de la motivación, la validez de alguna cláusula etc. Es necesario señalar que la vinculación con el objeto del contrato es un requisito de validez </w:t>
      </w:r>
      <w:proofErr w:type="gramStart"/>
      <w:r>
        <w:rPr>
          <w:rFonts w:ascii="Arial" w:eastAsia="Arial" w:hAnsi="Arial" w:cs="Arial"/>
          <w:sz w:val="23"/>
          <w:szCs w:val="23"/>
        </w:rPr>
        <w:t>del mismo</w:t>
      </w:r>
      <w:proofErr w:type="gramEnd"/>
      <w:r>
        <w:rPr>
          <w:rFonts w:ascii="Arial" w:eastAsia="Arial" w:hAnsi="Arial" w:cs="Arial"/>
          <w:sz w:val="23"/>
          <w:szCs w:val="23"/>
        </w:rPr>
        <w:t>, y además es un concepto jurídico indeterminado</w:t>
      </w:r>
      <w:r>
        <w:rPr>
          <w:sz w:val="23"/>
          <w:szCs w:val="23"/>
          <w:vertAlign w:val="superscript"/>
        </w:rPr>
        <w:t xml:space="preserve">1 </w:t>
      </w:r>
      <w:r>
        <w:rPr>
          <w:rFonts w:ascii="Arial" w:eastAsia="Arial" w:hAnsi="Arial" w:cs="Arial"/>
          <w:sz w:val="23"/>
          <w:szCs w:val="23"/>
        </w:rPr>
        <w:t xml:space="preserve">cuyo contenido y límites en el concreto caso de este concepto ha sido también de contenido muy dinámico en los últimos años. Lo mismo ocurre con la motivación y otras exigencias del expediente. Dado que la interpretación </w:t>
      </w:r>
      <w:r>
        <w:rPr>
          <w:rFonts w:ascii="Arial" w:eastAsia="Arial" w:hAnsi="Arial" w:cs="Arial"/>
          <w:i/>
          <w:iCs/>
          <w:sz w:val="23"/>
          <w:szCs w:val="23"/>
        </w:rPr>
        <w:t xml:space="preserve">ad </w:t>
      </w:r>
      <w:proofErr w:type="spellStart"/>
      <w:r>
        <w:rPr>
          <w:rFonts w:ascii="Arial" w:eastAsia="Arial" w:hAnsi="Arial" w:cs="Arial"/>
          <w:i/>
          <w:iCs/>
          <w:sz w:val="23"/>
          <w:szCs w:val="23"/>
        </w:rPr>
        <w:t>casum</w:t>
      </w:r>
      <w:proofErr w:type="spellEnd"/>
      <w:r>
        <w:rPr>
          <w:rFonts w:ascii="Arial" w:eastAsia="Arial" w:hAnsi="Arial" w:cs="Arial"/>
          <w:i/>
          <w:iCs/>
          <w:sz w:val="23"/>
          <w:szCs w:val="23"/>
        </w:rPr>
        <w:t xml:space="preserve"> </w:t>
      </w:r>
      <w:r>
        <w:rPr>
          <w:rFonts w:ascii="Arial" w:eastAsia="Arial" w:hAnsi="Arial" w:cs="Arial"/>
          <w:sz w:val="23"/>
          <w:szCs w:val="23"/>
        </w:rPr>
        <w:t xml:space="preserve">de la suficiencia de la motivación, vinculación al objeto del contrato, y en definitiva de todas las condiciones de validez de los expedientes, corresponde en primera instancia al órgano de contratación con la participación ineludible de sus servicios jurídicos y de la intervención, al aprobar el expediente, y en instancia revisora, a los distintos órganos con competencia para ello (señaladamente, aunque no de forma exclusiva, el Tribunal Administrativo de Contratos Públicos de Navarra), consideramos que es necesario aportar una justificación en las afirmaciones, que de conformidad con lo dispuesto por el artículo 39.1 LPACAP se refieren a contratos vigentes, con plenos efectos en el tráfico jurídico y que en tanto no sean recurridos y anulados por los órganos competentes (artículo 127.2 LFCP), son válidos en todos sus extremos. </w:t>
      </w:r>
    </w:p>
    <w:p w14:paraId="58454E02" w14:textId="77777777" w:rsidR="00E576C4" w:rsidRDefault="00E576C4" w:rsidP="002F3B63">
      <w:pPr>
        <w:pStyle w:val="Style"/>
        <w:numPr>
          <w:ilvl w:val="0"/>
          <w:numId w:val="42"/>
        </w:numPr>
        <w:spacing w:line="200" w:lineRule="exact"/>
        <w:ind w:left="737" w:hanging="357"/>
        <w:jc w:val="both"/>
        <w:textAlignment w:val="baseline"/>
      </w:pPr>
      <w:r>
        <w:rPr>
          <w:rFonts w:ascii="Arial" w:eastAsia="Arial" w:hAnsi="Arial" w:cs="Arial"/>
          <w:sz w:val="23"/>
          <w:szCs w:val="23"/>
        </w:rPr>
        <w:t xml:space="preserve">En relación con la ponderación de los criterios objetivos dentro del expediente, hay que recordar que acuerdo con el artículo 64.4. LFCP </w:t>
      </w:r>
      <w:r>
        <w:rPr>
          <w:rFonts w:ascii="Arial" w:eastAsia="Arial" w:hAnsi="Arial" w:cs="Arial"/>
          <w:i/>
          <w:iCs/>
          <w:sz w:val="23"/>
          <w:szCs w:val="23"/>
        </w:rPr>
        <w:t xml:space="preserve">"Cuando se utilicen </w:t>
      </w:r>
    </w:p>
    <w:p w14:paraId="0ECF89DE" w14:textId="0F881FA5" w:rsidR="00E576C4" w:rsidRDefault="00E576C4" w:rsidP="00E576C4">
      <w:pPr>
        <w:pStyle w:val="Style"/>
        <w:spacing w:line="480" w:lineRule="atLeast"/>
      </w:pPr>
      <w:r>
        <w:rPr>
          <w:noProof/>
        </w:rPr>
        <mc:AlternateContent>
          <mc:Choice Requires="wps">
            <w:drawing>
              <wp:anchor distT="0" distB="0" distL="114300" distR="114300" simplePos="0" relativeHeight="251821568" behindDoc="0" locked="0" layoutInCell="1" allowOverlap="1" wp14:anchorId="348487A4" wp14:editId="287AF14F">
                <wp:simplePos x="0" y="0"/>
                <wp:positionH relativeFrom="column">
                  <wp:posOffset>76835</wp:posOffset>
                </wp:positionH>
                <wp:positionV relativeFrom="paragraph">
                  <wp:posOffset>299085</wp:posOffset>
                </wp:positionV>
                <wp:extent cx="1028700" cy="0"/>
                <wp:effectExtent l="9525" t="10160" r="9525" b="8890"/>
                <wp:wrapNone/>
                <wp:docPr id="994103841" name="Conector recto de flecha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99984C" id="_x0000_t32" coordsize="21600,21600" o:spt="32" o:oned="t" path="m,l21600,21600e" filled="f">
                <v:path arrowok="t" fillok="f" o:connecttype="none"/>
                <o:lock v:ext="edit" shapetype="t"/>
              </v:shapetype>
              <v:shape id="Conector recto de flecha 97" o:spid="_x0000_s1026" type="#_x0000_t32" style="position:absolute;margin-left:6.05pt;margin-top:23.55pt;width:81pt;height:0;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"/>
            </w:pict>
          </mc:Fallback>
        </mc:AlternateContent>
      </w:r>
    </w:p>
    <w:p w14:paraId="4AE8BBA0" w14:textId="77777777" w:rsidR="00E576C4" w:rsidRDefault="00E576C4" w:rsidP="00E576C4">
      <w:pPr>
        <w:pStyle w:val="Style"/>
        <w:spacing w:line="240" w:lineRule="exact"/>
        <w:ind w:left="10"/>
        <w:jc w:val="both"/>
        <w:textAlignment w:val="baseline"/>
      </w:pPr>
      <w:r>
        <w:rPr>
          <w:w w:val="151"/>
          <w:sz w:val="17"/>
          <w:szCs w:val="17"/>
          <w:vertAlign w:val="superscript"/>
        </w:rPr>
        <w:t xml:space="preserve">1 </w:t>
      </w:r>
      <w:r>
        <w:rPr>
          <w:rFonts w:ascii="Arial" w:eastAsia="Arial" w:hAnsi="Arial" w:cs="Arial"/>
          <w:sz w:val="17"/>
          <w:szCs w:val="17"/>
        </w:rPr>
        <w:t xml:space="preserve">Concepto utilizado por las normas del que no puede deducirse con absoluta seguridad lo que aquellas han pretendido exactamente, siendo difícil alcanzar una solución exacta. De esta dificultad surgió la doctrina del «margen de apreciación», que deja cierta libertad, o al menos tolerancia jurídica, para que al concretar un concepto normativo puedan seguirse diversas opciones. (Diccionario panhispánico del español jurídico). </w:t>
      </w:r>
    </w:p>
    <w:p w14:paraId="17916530" w14:textId="77777777" w:rsidR="00E576C4" w:rsidRDefault="00E576C4" w:rsidP="00E576C4">
      <w:pPr>
        <w:pStyle w:val="Style"/>
        <w:spacing w:line="413" w:lineRule="exact"/>
        <w:ind w:left="365"/>
        <w:jc w:val="both"/>
        <w:textAlignment w:val="baseline"/>
      </w:pPr>
      <w:r>
        <w:rPr>
          <w:rFonts w:ascii="Arial" w:eastAsia="Arial" w:hAnsi="Arial" w:cs="Arial"/>
          <w:i/>
          <w:iCs/>
          <w:sz w:val="23"/>
          <w:szCs w:val="23"/>
        </w:rPr>
        <w:lastRenderedPageBreak/>
        <w:t>una pluralidad de criterios de adjudicación, al menos el 50% de la puntuación deberá calcularse mediante la aplicación de fórmulas objetivas que se establecerán en los pliegos, que determinarán la ponderación relativa de cada uno de ellos</w:t>
      </w:r>
      <w:r>
        <w:rPr>
          <w:rFonts w:ascii="Arial" w:eastAsia="Arial" w:hAnsi="Arial" w:cs="Arial"/>
          <w:i/>
          <w:iCs/>
          <w:sz w:val="23"/>
          <w:szCs w:val="23"/>
          <w:u w:val="single"/>
        </w:rPr>
        <w:t xml:space="preserve">. Cuando las prestaciones tengan carácter artístico </w:t>
      </w:r>
      <w:r>
        <w:rPr>
          <w:sz w:val="25"/>
          <w:szCs w:val="25"/>
          <w:u w:val="single"/>
        </w:rPr>
        <w:t xml:space="preserve">o </w:t>
      </w:r>
      <w:r>
        <w:rPr>
          <w:rFonts w:ascii="Arial" w:eastAsia="Arial" w:hAnsi="Arial" w:cs="Arial"/>
          <w:i/>
          <w:iCs/>
          <w:sz w:val="23"/>
          <w:szCs w:val="23"/>
          <w:u w:val="single"/>
        </w:rPr>
        <w:t xml:space="preserve">intelectual al menos el 20% de la puntuación se obtendrá a través de fórmulas </w:t>
      </w:r>
      <w:proofErr w:type="spellStart"/>
      <w:r>
        <w:rPr>
          <w:rFonts w:ascii="Arial" w:eastAsia="Arial" w:hAnsi="Arial" w:cs="Arial"/>
          <w:i/>
          <w:iCs/>
          <w:sz w:val="23"/>
          <w:szCs w:val="23"/>
          <w:u w:val="single"/>
        </w:rPr>
        <w:t>obietivas</w:t>
      </w:r>
      <w:proofErr w:type="spellEnd"/>
      <w:r>
        <w:rPr>
          <w:rFonts w:ascii="Arial" w:eastAsia="Arial" w:hAnsi="Arial" w:cs="Arial"/>
          <w:i/>
          <w:iCs/>
          <w:sz w:val="23"/>
          <w:szCs w:val="23"/>
          <w:u w:val="single"/>
        </w:rPr>
        <w:t xml:space="preserve">. Esta ponderación podrá expresarse </w:t>
      </w:r>
      <w:proofErr w:type="spellStart"/>
      <w:r>
        <w:rPr>
          <w:rFonts w:ascii="Arial" w:eastAsia="Arial" w:hAnsi="Arial" w:cs="Arial"/>
          <w:i/>
          <w:iCs/>
          <w:sz w:val="23"/>
          <w:szCs w:val="23"/>
          <w:u w:val="single"/>
        </w:rPr>
        <w:t>fiiando</w:t>
      </w:r>
      <w:proofErr w:type="spellEnd"/>
      <w:r>
        <w:rPr>
          <w:rFonts w:ascii="Arial" w:eastAsia="Arial" w:hAnsi="Arial" w:cs="Arial"/>
          <w:i/>
          <w:iCs/>
          <w:sz w:val="23"/>
          <w:szCs w:val="23"/>
          <w:u w:val="single"/>
        </w:rPr>
        <w:t xml:space="preserve"> una banda de valores con una amplitud máxima adecuada.</w:t>
      </w:r>
      <w:r>
        <w:rPr>
          <w:rFonts w:ascii="Arial" w:eastAsia="Arial" w:hAnsi="Arial" w:cs="Arial"/>
          <w:i/>
          <w:iCs/>
          <w:sz w:val="23"/>
          <w:szCs w:val="23"/>
        </w:rPr>
        <w:t xml:space="preserve">" </w:t>
      </w:r>
      <w:r>
        <w:rPr>
          <w:rFonts w:ascii="Arial" w:eastAsia="Arial" w:hAnsi="Arial" w:cs="Arial"/>
          <w:sz w:val="23"/>
          <w:szCs w:val="23"/>
        </w:rPr>
        <w:t xml:space="preserve">Por tanto, la exigencia de que al menos el 50% de la puntuación se otorgue con criterios objetivos no es aplicable a todos los contratos, y en concreto no lo es a los de carácter intelectual, en los que encajan los contratos de servicios de redacción de proyecto, entre otros, que pueden estar comprendidos entre los que no cumplen el 50%. </w:t>
      </w:r>
    </w:p>
    <w:p w14:paraId="1BDDC272" w14:textId="77777777" w:rsidR="00E576C4" w:rsidRDefault="00E576C4" w:rsidP="00E576C4">
      <w:pPr>
        <w:pStyle w:val="Style"/>
        <w:numPr>
          <w:ilvl w:val="0"/>
          <w:numId w:val="43"/>
        </w:numPr>
        <w:spacing w:line="413" w:lineRule="exact"/>
        <w:ind w:left="370" w:hanging="370"/>
        <w:jc w:val="both"/>
        <w:textAlignment w:val="baseline"/>
      </w:pPr>
      <w:r w:rsidRPr="00DA507D">
        <w:rPr>
          <w:rFonts w:ascii="Arial" w:eastAsia="Arial" w:hAnsi="Arial" w:cs="Arial"/>
          <w:bCs/>
          <w:w w:val="91"/>
          <w:sz w:val="23"/>
          <w:szCs w:val="23"/>
        </w:rPr>
        <w:t xml:space="preserve">El </w:t>
      </w:r>
      <w:r>
        <w:rPr>
          <w:rFonts w:ascii="Arial" w:eastAsia="Arial" w:hAnsi="Arial" w:cs="Arial"/>
          <w:sz w:val="23"/>
          <w:szCs w:val="23"/>
        </w:rPr>
        <w:t xml:space="preserve">informe manifiesta reparos en relación con la utilización de fórmulas para la valoración del precio que no sean proporcionales, o generen curvas o atenuaciones entre las ofertas. Esta postura del informe no se ha motivado, y no la consideramos apropiada dado que el mismo párrafo del informe reconoce que la Ley Foral de Contratos (y por añadidura, diremos, las Directivas de contratación de las que trae causa la LFCP, y la jurisprudencia tanto española como europea) no impone la utilización de determinadas fórmulas. La única obligación establecida por parte de la </w:t>
      </w:r>
      <w:proofErr w:type="gramStart"/>
      <w:r>
        <w:rPr>
          <w:rFonts w:ascii="Arial" w:eastAsia="Arial" w:hAnsi="Arial" w:cs="Arial"/>
          <w:sz w:val="23"/>
          <w:szCs w:val="23"/>
        </w:rPr>
        <w:t>Jurisprudencia,</w:t>
      </w:r>
      <w:proofErr w:type="gramEnd"/>
      <w:r>
        <w:rPr>
          <w:rFonts w:ascii="Arial" w:eastAsia="Arial" w:hAnsi="Arial" w:cs="Arial"/>
          <w:sz w:val="23"/>
          <w:szCs w:val="23"/>
        </w:rPr>
        <w:t xml:space="preserve"> es la exigencia de que una oferta más económica obtenga una mayor puntuación que otra menos económica, y esa circunstancia puede alcanzarse con la utilización de fórmulas lineales y proporcionales, o bien con fórmulas que dibujen curvas, dando lugar a umbrales de saciedad, tal como ha aceptado de forma expresa la reciente Sentencia del Tribunal Supremo de 5 de marzo de 2024 - ROJ: STS 1786/2024 ECLl:ES:TS:2024:1786. Por tanto, todas las fórmulas que cumplan la mencionada </w:t>
      </w:r>
      <w:proofErr w:type="gramStart"/>
      <w:r>
        <w:rPr>
          <w:rFonts w:ascii="Arial" w:eastAsia="Arial" w:hAnsi="Arial" w:cs="Arial"/>
          <w:sz w:val="23"/>
          <w:szCs w:val="23"/>
        </w:rPr>
        <w:t>restricción,</w:t>
      </w:r>
      <w:proofErr w:type="gramEnd"/>
      <w:r>
        <w:rPr>
          <w:rFonts w:ascii="Arial" w:eastAsia="Arial" w:hAnsi="Arial" w:cs="Arial"/>
          <w:sz w:val="23"/>
          <w:szCs w:val="23"/>
        </w:rPr>
        <w:t xml:space="preserve"> son a priori, igualmente válidas. </w:t>
      </w:r>
    </w:p>
    <w:p w14:paraId="25795181" w14:textId="77777777" w:rsidR="00E576C4" w:rsidRPr="00DA507D" w:rsidRDefault="00E576C4" w:rsidP="00E576C4">
      <w:pPr>
        <w:pStyle w:val="Style"/>
        <w:numPr>
          <w:ilvl w:val="0"/>
          <w:numId w:val="44"/>
        </w:numPr>
        <w:spacing w:line="413" w:lineRule="exact"/>
        <w:ind w:left="370" w:hanging="365"/>
        <w:jc w:val="both"/>
        <w:textAlignment w:val="baseline"/>
      </w:pPr>
      <w:r w:rsidRPr="00DA507D">
        <w:rPr>
          <w:rFonts w:ascii="Arial" w:eastAsia="Arial" w:hAnsi="Arial" w:cs="Arial"/>
          <w:bCs/>
          <w:w w:val="91"/>
          <w:sz w:val="23"/>
          <w:szCs w:val="23"/>
        </w:rPr>
        <w:t>El</w:t>
      </w:r>
      <w:r>
        <w:rPr>
          <w:rFonts w:ascii="Arial" w:eastAsia="Arial" w:hAnsi="Arial" w:cs="Arial"/>
          <w:b/>
          <w:w w:val="91"/>
          <w:sz w:val="23"/>
          <w:szCs w:val="23"/>
        </w:rPr>
        <w:t xml:space="preserve"> </w:t>
      </w:r>
      <w:r>
        <w:rPr>
          <w:rFonts w:ascii="Arial" w:eastAsia="Arial" w:hAnsi="Arial" w:cs="Arial"/>
          <w:sz w:val="23"/>
          <w:szCs w:val="23"/>
        </w:rPr>
        <w:t xml:space="preserve">informe manifiesta la conveniencia de que se otorguen puntuaciones también en los expedientes en que exista un único licitador. Sin embargo, entendemos que, dado que la valoración de las ofertas asignando la correspondiente puntuación tiene como única finalidad comparar entre ellas para decidir, de acuerdo con lo establecido en los pliegos, cuál es la mejor, no parece que otorgar puntuaciones sea requisito para alcanzar la finalidad de la valoración, dado que la única oferta será por </w:t>
      </w:r>
      <w:r>
        <w:rPr>
          <w:rFonts w:ascii="Arial" w:eastAsia="Arial" w:hAnsi="Arial" w:cs="Arial"/>
          <w:sz w:val="23"/>
          <w:szCs w:val="23"/>
        </w:rPr>
        <w:lastRenderedPageBreak/>
        <w:t xml:space="preserve">definición también la mejor. Siendo que la realización de trámites innecesarios (por no aportar valor para la consecución de la finalidad asignada) es contrario a la eficiencia en la actuación de la Administración, en los casos es que hay sólo una oferta resulta suficiente y adecuado, y por tanto una buena práctica de eficiencia y simplificación, el juicio positivo acerca del cumplimiento de las prescripciones técnicas, sin más detalle. </w:t>
      </w:r>
    </w:p>
    <w:p w14:paraId="3A387D48" w14:textId="77777777" w:rsidR="00E576C4" w:rsidRPr="00DA507D" w:rsidRDefault="00E576C4" w:rsidP="00E576C4">
      <w:pPr>
        <w:pStyle w:val="Style"/>
        <w:numPr>
          <w:ilvl w:val="0"/>
          <w:numId w:val="45"/>
        </w:numPr>
        <w:spacing w:line="413" w:lineRule="exact"/>
        <w:ind w:left="370" w:hanging="370"/>
        <w:jc w:val="both"/>
        <w:textAlignment w:val="baseline"/>
        <w:rPr>
          <w:sz w:val="2"/>
        </w:rPr>
      </w:pPr>
      <w:r>
        <w:rPr>
          <w:rFonts w:ascii="Arial" w:eastAsia="Arial" w:hAnsi="Arial" w:cs="Arial"/>
          <w:sz w:val="23"/>
          <w:szCs w:val="23"/>
        </w:rPr>
        <w:t xml:space="preserve">Del texto parece desprenderse que el manejo deseable de la documentación del sobre n°2, difiere del habitual aplicable a cualquier otra documentación que maneja la administración en su quehacer habitual. Sin embargo, es lo cierto que en ningún precepto legal se establece la obligación o la conveniencia de tratar estos documentos de forma distinta, y ello parece así porque la norma no ha considerado que los riesgos asociados al manejo de </w:t>
      </w:r>
      <w:proofErr w:type="gramStart"/>
      <w:r>
        <w:rPr>
          <w:rFonts w:ascii="Arial" w:eastAsia="Arial" w:hAnsi="Arial" w:cs="Arial"/>
          <w:sz w:val="23"/>
          <w:szCs w:val="23"/>
        </w:rPr>
        <w:t>la misma</w:t>
      </w:r>
      <w:proofErr w:type="gramEnd"/>
      <w:r>
        <w:rPr>
          <w:rFonts w:ascii="Arial" w:eastAsia="Arial" w:hAnsi="Arial" w:cs="Arial"/>
          <w:sz w:val="23"/>
          <w:szCs w:val="23"/>
        </w:rPr>
        <w:t xml:space="preserve"> excedan de los habituales (que deben quedar salvados con arreglo a los principios de actuación de todos los funcionarios públicos). Bien al contrario, en los casos en que se entiende que existe un riesgo para el cumplimiento de los principios de la contratación pública, la LFCP ha implementado y hecho obligatorios mecanismos que permitan dicha garantía, por ejemplo, la existencia de una herramienta de licitación electrónica que debe asegurar con arreglo a los más altos estándares aplicables, que las ofertas permanecen secretas hasta el momento de su apertura por parte de la mesa de contratación. Es en el</w:t>
      </w:r>
      <w:r>
        <w:t xml:space="preserve"> </w:t>
      </w:r>
      <w:r w:rsidRPr="00DA507D">
        <w:rPr>
          <w:rFonts w:ascii="Arial" w:eastAsia="Arial" w:hAnsi="Arial" w:cs="Arial"/>
          <w:sz w:val="23"/>
          <w:szCs w:val="23"/>
        </w:rPr>
        <w:t>momento de la licitación, cuando aún pueden formularse las ofertas, en el que</w:t>
      </w:r>
      <w:r>
        <w:rPr>
          <w:sz w:val="2"/>
        </w:rPr>
        <w:t xml:space="preserve"> </w:t>
      </w:r>
      <w:r w:rsidRPr="00DA507D">
        <w:rPr>
          <w:rFonts w:ascii="Arial" w:eastAsia="Arial" w:hAnsi="Arial" w:cs="Arial"/>
          <w:sz w:val="22"/>
          <w:szCs w:val="22"/>
        </w:rPr>
        <w:t xml:space="preserve">el conocimiento del contenido de las ofertas de todas o algunas empresas por parte de cualquier persona (incluidas las personas de la mesa de contratación), conlleva el riesgo de su mal uso y, por tanto, del perjuicio para los intereses de algunas de las licitadoras. De ahí, la especial cautela implementada por la LFCP. </w:t>
      </w:r>
    </w:p>
    <w:p w14:paraId="242B0E92" w14:textId="77777777" w:rsidR="00E576C4" w:rsidRDefault="00E576C4" w:rsidP="00E576C4">
      <w:pPr>
        <w:pStyle w:val="Style"/>
        <w:numPr>
          <w:ilvl w:val="0"/>
          <w:numId w:val="46"/>
        </w:numPr>
        <w:spacing w:before="4" w:line="413" w:lineRule="exact"/>
        <w:ind w:left="360" w:hanging="355"/>
        <w:textAlignment w:val="baseline"/>
      </w:pPr>
      <w:r>
        <w:rPr>
          <w:rFonts w:ascii="Arial" w:eastAsia="Arial" w:hAnsi="Arial" w:cs="Arial"/>
          <w:sz w:val="22"/>
          <w:szCs w:val="22"/>
        </w:rPr>
        <w:t xml:space="preserve">Se hace observar una errata en la referencia al alta de 4 de octubre de 2023(página 120 del informe) cuando el año al que refiere es el 2024. </w:t>
      </w:r>
    </w:p>
    <w:p w14:paraId="619CA5D2" w14:textId="29680F51" w:rsidR="00156226" w:rsidRPr="00DA507D" w:rsidRDefault="00E576C4" w:rsidP="00156226">
      <w:pPr>
        <w:pStyle w:val="Style"/>
        <w:numPr>
          <w:ilvl w:val="0"/>
          <w:numId w:val="46"/>
        </w:numPr>
        <w:spacing w:before="4" w:line="413" w:lineRule="exact"/>
        <w:ind w:left="360" w:hanging="370"/>
        <w:textAlignment w:val="baseline"/>
      </w:pPr>
      <w:r>
        <w:rPr>
          <w:rFonts w:ascii="Arial" w:eastAsia="Arial" w:hAnsi="Arial" w:cs="Arial"/>
          <w:sz w:val="22"/>
          <w:szCs w:val="22"/>
        </w:rPr>
        <w:t>En relación al modo de cálculo de los días de retraso (señalado en la página 39) se desconoce el modo en que se ha llevado a cabo.</w:t>
      </w:r>
    </w:p>
    <w:p w14:paraId="3D41B3CB" w14:textId="77777777" w:rsidR="00E576C4" w:rsidRPr="00DA507D" w:rsidRDefault="00E576C4" w:rsidP="00E576C4">
      <w:pPr>
        <w:pStyle w:val="Style"/>
        <w:spacing w:line="245" w:lineRule="exact"/>
        <w:ind w:left="360"/>
        <w:textAlignment w:val="baseline"/>
      </w:pPr>
      <w:r>
        <w:rPr>
          <w:rFonts w:ascii="Arial" w:eastAsia="Arial" w:hAnsi="Arial" w:cs="Arial"/>
          <w:sz w:val="22"/>
          <w:szCs w:val="22"/>
        </w:rPr>
        <w:t xml:space="preserve">Pamplona, 20 de noviembre de 2024 </w:t>
      </w:r>
    </w:p>
    <w:p w14:paraId="61E66514" w14:textId="77777777" w:rsidR="00B939DD" w:rsidRDefault="00E576C4" w:rsidP="00E576C4">
      <w:pPr>
        <w:pStyle w:val="Style"/>
        <w:spacing w:line="413" w:lineRule="exact"/>
        <w:ind w:left="2251" w:right="2616" w:firstLine="264"/>
        <w:jc w:val="center"/>
        <w:textAlignment w:val="baseline"/>
        <w:rPr>
          <w:rFonts w:ascii="Arial" w:eastAsia="Arial" w:hAnsi="Arial" w:cs="Arial"/>
          <w:sz w:val="22"/>
          <w:szCs w:val="22"/>
        </w:rPr>
      </w:pPr>
      <w:r>
        <w:rPr>
          <w:rFonts w:ascii="Arial" w:eastAsia="Arial" w:hAnsi="Arial" w:cs="Arial"/>
          <w:sz w:val="22"/>
          <w:szCs w:val="22"/>
        </w:rPr>
        <w:t>Secretaria General Técnica</w:t>
      </w:r>
    </w:p>
    <w:p w14:paraId="1C9B48D7" w14:textId="7C3A4141" w:rsidR="00E576C4" w:rsidRPr="00DA507D" w:rsidRDefault="00E576C4" w:rsidP="00E576C4">
      <w:pPr>
        <w:pStyle w:val="Style"/>
        <w:spacing w:line="413" w:lineRule="exact"/>
        <w:ind w:left="2251" w:right="2616" w:firstLine="264"/>
        <w:jc w:val="center"/>
        <w:textAlignment w:val="baseline"/>
      </w:pPr>
      <w:r>
        <w:rPr>
          <w:rFonts w:ascii="Arial" w:eastAsia="Arial" w:hAnsi="Arial" w:cs="Arial"/>
          <w:sz w:val="22"/>
          <w:szCs w:val="22"/>
        </w:rPr>
        <w:t xml:space="preserve">Sección Régimen Administrativo </w:t>
      </w:r>
    </w:p>
    <w:p w14:paraId="0C462EA2" w14:textId="77777777" w:rsidR="00E576C4" w:rsidRDefault="00E576C4" w:rsidP="00E576C4">
      <w:pPr>
        <w:pStyle w:val="Style"/>
        <w:spacing w:line="250" w:lineRule="exact"/>
        <w:ind w:left="2822"/>
        <w:textAlignment w:val="baseline"/>
      </w:pPr>
      <w:r>
        <w:rPr>
          <w:rFonts w:ascii="Arial" w:eastAsia="Arial" w:hAnsi="Arial" w:cs="Arial"/>
          <w:sz w:val="22"/>
          <w:szCs w:val="22"/>
        </w:rPr>
        <w:t xml:space="preserve">Javier Miqueleiz Garayoa </w:t>
      </w:r>
    </w:p>
    <w:p w14:paraId="17A934F1" w14:textId="77777777" w:rsidR="00E576C4" w:rsidRPr="000D27C7" w:rsidRDefault="00E576C4" w:rsidP="00E576C4">
      <w:pPr>
        <w:pStyle w:val="Style"/>
        <w:spacing w:line="1" w:lineRule="atLeast"/>
        <w:rPr>
          <w:b/>
          <w:bCs/>
          <w:noProof/>
        </w:rPr>
      </w:pPr>
      <w:r w:rsidRPr="000D27C7">
        <w:rPr>
          <w:b/>
          <w:bCs/>
          <w:noProof/>
        </w:rPr>
        <w:lastRenderedPageBreak/>
        <w:t>Servicio Navarro de Salud/Osasunbidea</w:t>
      </w:r>
    </w:p>
    <w:p w14:paraId="5160C8F5" w14:textId="77777777" w:rsidR="00E576C4" w:rsidRDefault="00E576C4" w:rsidP="00E576C4">
      <w:pPr>
        <w:pStyle w:val="Style"/>
        <w:spacing w:line="1" w:lineRule="atLeast"/>
      </w:pPr>
    </w:p>
    <w:p w14:paraId="090A3CD1" w14:textId="7F7E5703" w:rsidR="00E576C4" w:rsidRDefault="00E576C4" w:rsidP="00E576C4">
      <w:pPr>
        <w:pStyle w:val="Style"/>
        <w:spacing w:line="226" w:lineRule="exact"/>
        <w:ind w:left="538" w:right="1296"/>
        <w:textAlignment w:val="baseline"/>
      </w:pPr>
      <w:r>
        <w:rPr>
          <w:rFonts w:ascii="Arial" w:eastAsia="Arial" w:hAnsi="Arial" w:cs="Arial"/>
          <w:sz w:val="20"/>
          <w:szCs w:val="20"/>
        </w:rPr>
        <w:t>En relación a la recomendación propuesta en informes de ejercicios anteri</w:t>
      </w:r>
      <w:r w:rsidR="00805EEB">
        <w:rPr>
          <w:rFonts w:ascii="Arial" w:eastAsia="Arial" w:hAnsi="Arial" w:cs="Arial"/>
          <w:sz w:val="20"/>
          <w:szCs w:val="20"/>
        </w:rPr>
        <w:t>o</w:t>
      </w:r>
      <w:r>
        <w:rPr>
          <w:rFonts w:ascii="Arial" w:eastAsia="Arial" w:hAnsi="Arial" w:cs="Arial"/>
          <w:sz w:val="20"/>
          <w:szCs w:val="20"/>
        </w:rPr>
        <w:t xml:space="preserve">res: </w:t>
      </w:r>
    </w:p>
    <w:p w14:paraId="68CBE149" w14:textId="77777777" w:rsidR="00E576C4" w:rsidRDefault="00E576C4" w:rsidP="00E576C4">
      <w:pPr>
        <w:pStyle w:val="Style"/>
        <w:spacing w:line="442" w:lineRule="exact"/>
        <w:ind w:left="1243"/>
        <w:textAlignment w:val="baseline"/>
      </w:pPr>
      <w:r>
        <w:rPr>
          <w:w w:val="83"/>
          <w:sz w:val="22"/>
          <w:szCs w:val="22"/>
        </w:rPr>
        <w:t xml:space="preserve">... </w:t>
      </w:r>
      <w:r>
        <w:rPr>
          <w:i/>
          <w:iCs/>
          <w:w w:val="83"/>
          <w:sz w:val="22"/>
          <w:szCs w:val="22"/>
        </w:rPr>
        <w:t xml:space="preserve">j) </w:t>
      </w:r>
      <w:r>
        <w:rPr>
          <w:rFonts w:ascii="Arial" w:eastAsia="Arial" w:hAnsi="Arial" w:cs="Arial"/>
          <w:i/>
          <w:iCs/>
          <w:sz w:val="20"/>
          <w:szCs w:val="20"/>
        </w:rPr>
        <w:t xml:space="preserve">Formalizar todos los expedientes de contratación tramitados por emergencia </w:t>
      </w:r>
      <w:r>
        <w:rPr>
          <w:rFonts w:ascii="Arial" w:eastAsia="Arial" w:hAnsi="Arial" w:cs="Arial"/>
          <w:i/>
          <w:iCs/>
          <w:w w:val="86"/>
          <w:sz w:val="21"/>
          <w:szCs w:val="21"/>
        </w:rPr>
        <w:t xml:space="preserve">y </w:t>
      </w:r>
      <w:r>
        <w:rPr>
          <w:rFonts w:ascii="Arial" w:eastAsia="Arial" w:hAnsi="Arial" w:cs="Arial"/>
          <w:i/>
          <w:iCs/>
          <w:sz w:val="20"/>
          <w:szCs w:val="20"/>
        </w:rPr>
        <w:t xml:space="preserve">publicar/os en el Portal de Contratación. </w:t>
      </w:r>
    </w:p>
    <w:p w14:paraId="708E92AC" w14:textId="77777777" w:rsidR="00E576C4" w:rsidRDefault="00E576C4" w:rsidP="00E576C4">
      <w:pPr>
        <w:pStyle w:val="Style"/>
        <w:spacing w:line="437" w:lineRule="exact"/>
        <w:ind w:left="538"/>
        <w:jc w:val="both"/>
        <w:textAlignment w:val="baseline"/>
        <w:rPr>
          <w:sz w:val="30"/>
          <w:szCs w:val="30"/>
        </w:rPr>
      </w:pPr>
    </w:p>
    <w:p w14:paraId="289DB291" w14:textId="77777777" w:rsidR="00E576C4" w:rsidRDefault="00E576C4" w:rsidP="00E576C4">
      <w:pPr>
        <w:pStyle w:val="Style"/>
        <w:spacing w:line="437" w:lineRule="exact"/>
        <w:ind w:left="538"/>
        <w:jc w:val="both"/>
        <w:textAlignment w:val="baseline"/>
      </w:pPr>
      <w:r>
        <w:rPr>
          <w:rFonts w:ascii="Arial" w:eastAsia="Arial" w:hAnsi="Arial" w:cs="Arial"/>
          <w:sz w:val="20"/>
          <w:szCs w:val="20"/>
        </w:rPr>
        <w:t xml:space="preserve">Desde SNS-O manifestamos nuestro firme compromiso de cumplir la misma e informamos que consideramos que la preparación de los expedientes avanza a buen ritmo y esperamos pueda finalizarse en los próximos meses. </w:t>
      </w:r>
    </w:p>
    <w:p w14:paraId="44D835AC" w14:textId="77777777" w:rsidR="00E576C4" w:rsidRDefault="00E576C4" w:rsidP="00E576C4">
      <w:pPr>
        <w:pStyle w:val="Style"/>
        <w:spacing w:line="240" w:lineRule="exact"/>
        <w:ind w:left="5904"/>
        <w:textAlignment w:val="baseline"/>
        <w:rPr>
          <w:rFonts w:ascii="Arial" w:eastAsia="Arial" w:hAnsi="Arial" w:cs="Arial"/>
          <w:sz w:val="20"/>
          <w:szCs w:val="20"/>
        </w:rPr>
      </w:pPr>
    </w:p>
    <w:p w14:paraId="358FEEE3" w14:textId="77777777" w:rsidR="00E576C4" w:rsidRDefault="00E576C4" w:rsidP="00E576C4">
      <w:pPr>
        <w:pStyle w:val="Style"/>
        <w:spacing w:line="240" w:lineRule="exact"/>
        <w:ind w:left="1212" w:firstLine="708"/>
        <w:textAlignment w:val="baseline"/>
      </w:pPr>
      <w:r>
        <w:rPr>
          <w:rFonts w:ascii="Arial" w:eastAsia="Arial" w:hAnsi="Arial" w:cs="Arial"/>
          <w:sz w:val="20"/>
          <w:szCs w:val="20"/>
        </w:rPr>
        <w:t xml:space="preserve">Pamplona, </w:t>
      </w:r>
      <w:r>
        <w:rPr>
          <w:w w:val="105"/>
          <w:sz w:val="22"/>
          <w:szCs w:val="22"/>
        </w:rPr>
        <w:t xml:space="preserve">20 </w:t>
      </w:r>
      <w:r>
        <w:rPr>
          <w:rFonts w:ascii="Arial" w:eastAsia="Arial" w:hAnsi="Arial" w:cs="Arial"/>
          <w:sz w:val="20"/>
          <w:szCs w:val="20"/>
        </w:rPr>
        <w:t xml:space="preserve">de noviembre de </w:t>
      </w:r>
      <w:r>
        <w:rPr>
          <w:w w:val="105"/>
          <w:sz w:val="22"/>
          <w:szCs w:val="22"/>
        </w:rPr>
        <w:t>2024</w:t>
      </w:r>
    </w:p>
    <w:p w14:paraId="40376C07" w14:textId="77777777" w:rsidR="00156226" w:rsidRDefault="00156226" w:rsidP="00156226">
      <w:pPr>
        <w:pStyle w:val="Style"/>
        <w:spacing w:line="226" w:lineRule="exact"/>
        <w:ind w:left="1920" w:right="1310"/>
        <w:textAlignment w:val="baseline"/>
      </w:pPr>
    </w:p>
    <w:p w14:paraId="0122901A" w14:textId="25FEEF84" w:rsidR="00156226" w:rsidRDefault="00E576C4" w:rsidP="00156226">
      <w:pPr>
        <w:pStyle w:val="Style"/>
        <w:spacing w:line="226" w:lineRule="exact"/>
        <w:ind w:left="1920" w:right="1310"/>
        <w:textAlignment w:val="baseline"/>
        <w:rPr>
          <w:rFonts w:ascii="Arial" w:eastAsia="Arial" w:hAnsi="Arial" w:cs="Arial"/>
          <w:sz w:val="20"/>
          <w:szCs w:val="20"/>
        </w:rPr>
      </w:pPr>
      <w:r>
        <w:rPr>
          <w:rFonts w:ascii="Arial" w:eastAsia="Arial" w:hAnsi="Arial" w:cs="Arial"/>
          <w:sz w:val="20"/>
          <w:szCs w:val="20"/>
        </w:rPr>
        <w:t xml:space="preserve">El director de Gestión económica </w:t>
      </w:r>
      <w:r>
        <w:rPr>
          <w:rFonts w:ascii="Arial" w:eastAsia="Arial" w:hAnsi="Arial" w:cs="Arial"/>
          <w:sz w:val="19"/>
          <w:szCs w:val="19"/>
        </w:rPr>
        <w:t xml:space="preserve">y </w:t>
      </w:r>
      <w:r>
        <w:rPr>
          <w:rFonts w:ascii="Arial" w:eastAsia="Arial" w:hAnsi="Arial" w:cs="Arial"/>
          <w:sz w:val="20"/>
          <w:szCs w:val="20"/>
        </w:rPr>
        <w:t>servicios generales de SNS-O</w:t>
      </w:r>
    </w:p>
    <w:p w14:paraId="0A11ADFE" w14:textId="1666CF12" w:rsidR="00E576C4" w:rsidRDefault="00E576C4" w:rsidP="00156226">
      <w:pPr>
        <w:pStyle w:val="Style"/>
        <w:spacing w:line="226" w:lineRule="exact"/>
        <w:ind w:left="1920" w:right="1310"/>
        <w:textAlignment w:val="baseline"/>
      </w:pPr>
      <w:r>
        <w:rPr>
          <w:rFonts w:ascii="Arial" w:eastAsia="Arial" w:hAnsi="Arial" w:cs="Arial"/>
          <w:sz w:val="20"/>
          <w:szCs w:val="20"/>
        </w:rPr>
        <w:t xml:space="preserve">Patxi Esparza Sánchez </w:t>
      </w:r>
    </w:p>
    <w:p w14:paraId="30E725E0" w14:textId="77777777" w:rsidR="00E576C4" w:rsidRDefault="00E576C4" w:rsidP="00653EE1">
      <w:pPr>
        <w:pStyle w:val="atitulo1"/>
        <w:rPr>
          <w:b w:val="0"/>
          <w:bCs/>
        </w:rPr>
      </w:pPr>
    </w:p>
    <w:p w14:paraId="13B4149B" w14:textId="161339DF" w:rsidR="00E576C4" w:rsidRPr="00F9674A" w:rsidRDefault="00F9674A" w:rsidP="00F9674A">
      <w:pPr>
        <w:rPr>
          <w:rFonts w:ascii="Arial" w:hAnsi="Arial"/>
          <w:bCs/>
          <w:color w:val="000000"/>
          <w:kern w:val="28"/>
          <w:sz w:val="25"/>
          <w:szCs w:val="26"/>
        </w:rPr>
      </w:pPr>
      <w:r>
        <w:rPr>
          <w:b/>
          <w:bCs/>
        </w:rPr>
        <w:br w:type="page"/>
      </w:r>
    </w:p>
    <w:p w14:paraId="7E8744F6" w14:textId="77777777" w:rsidR="00E576C4" w:rsidRDefault="00E576C4" w:rsidP="00E576C4">
      <w:pPr>
        <w:pStyle w:val="Style"/>
        <w:spacing w:line="254" w:lineRule="exact"/>
        <w:jc w:val="center"/>
        <w:textAlignment w:val="baseline"/>
        <w:rPr>
          <w:rFonts w:ascii="Arial" w:eastAsia="Arial" w:hAnsi="Arial" w:cs="Arial"/>
          <w:b/>
          <w:sz w:val="21"/>
          <w:szCs w:val="21"/>
          <w:u w:val="single"/>
        </w:rPr>
      </w:pPr>
      <w:r>
        <w:rPr>
          <w:rFonts w:ascii="Arial" w:eastAsia="Arial" w:hAnsi="Arial" w:cs="Arial"/>
          <w:b/>
          <w:sz w:val="21"/>
          <w:szCs w:val="21"/>
          <w:u w:val="single"/>
        </w:rPr>
        <w:lastRenderedPageBreak/>
        <w:t>CPEN.</w:t>
      </w:r>
    </w:p>
    <w:p w14:paraId="266D9C96" w14:textId="77777777" w:rsidR="00E576C4" w:rsidRDefault="00E576C4" w:rsidP="00E576C4">
      <w:pPr>
        <w:pStyle w:val="Style"/>
        <w:spacing w:line="254" w:lineRule="exact"/>
        <w:jc w:val="both"/>
        <w:textAlignment w:val="baseline"/>
        <w:rPr>
          <w:rFonts w:ascii="Arial" w:eastAsia="Arial" w:hAnsi="Arial" w:cs="Arial"/>
          <w:b/>
          <w:sz w:val="21"/>
          <w:szCs w:val="21"/>
          <w:u w:val="single"/>
        </w:rPr>
      </w:pPr>
    </w:p>
    <w:p w14:paraId="561CECD9" w14:textId="77777777" w:rsidR="00E576C4" w:rsidRDefault="00E576C4" w:rsidP="00E576C4">
      <w:pPr>
        <w:pStyle w:val="Style"/>
        <w:spacing w:line="254" w:lineRule="exact"/>
        <w:jc w:val="both"/>
        <w:textAlignment w:val="baseline"/>
      </w:pPr>
      <w:r>
        <w:rPr>
          <w:rFonts w:ascii="Arial" w:eastAsia="Arial" w:hAnsi="Arial" w:cs="Arial"/>
          <w:b/>
          <w:sz w:val="21"/>
          <w:szCs w:val="21"/>
          <w:u w:val="single"/>
        </w:rPr>
        <w:t xml:space="preserve">ALEGACIONES AL INFORME PROVISIONAL DE LA FISCALIZACIÓN DE LAS CUENTAS GENERALES 2023 EMITIDO POR LA CÁMARA DE COMPTOS DE NAVARRA </w:t>
      </w:r>
    </w:p>
    <w:p w14:paraId="2EB7302D" w14:textId="77777777" w:rsidR="00E576C4" w:rsidRDefault="00E576C4" w:rsidP="00E576C4">
      <w:pPr>
        <w:pStyle w:val="Style"/>
        <w:spacing w:line="254" w:lineRule="exact"/>
        <w:jc w:val="both"/>
        <w:textAlignment w:val="baseline"/>
        <w:rPr>
          <w:sz w:val="56"/>
          <w:szCs w:val="56"/>
        </w:rPr>
      </w:pPr>
    </w:p>
    <w:p w14:paraId="44C0050A" w14:textId="77777777" w:rsidR="00E576C4" w:rsidRDefault="00E576C4" w:rsidP="00E576C4">
      <w:pPr>
        <w:pStyle w:val="Style"/>
        <w:spacing w:line="254" w:lineRule="exact"/>
        <w:jc w:val="both"/>
        <w:textAlignment w:val="baseline"/>
      </w:pPr>
      <w:r>
        <w:rPr>
          <w:rFonts w:ascii="Arial" w:eastAsia="Arial" w:hAnsi="Arial" w:cs="Arial"/>
          <w:b/>
          <w:sz w:val="21"/>
          <w:szCs w:val="21"/>
        </w:rPr>
        <w:t xml:space="preserve">D. Francisco Fernández </w:t>
      </w:r>
      <w:proofErr w:type="spellStart"/>
      <w:r>
        <w:rPr>
          <w:rFonts w:ascii="Arial" w:eastAsia="Arial" w:hAnsi="Arial" w:cs="Arial"/>
          <w:b/>
          <w:sz w:val="21"/>
          <w:szCs w:val="21"/>
        </w:rPr>
        <w:t>Nistal</w:t>
      </w:r>
      <w:proofErr w:type="spellEnd"/>
      <w:r>
        <w:rPr>
          <w:rFonts w:ascii="Arial" w:eastAsia="Arial" w:hAnsi="Arial" w:cs="Arial"/>
          <w:b/>
          <w:sz w:val="21"/>
          <w:szCs w:val="21"/>
        </w:rPr>
        <w:t xml:space="preserve">, </w:t>
      </w:r>
      <w:r>
        <w:rPr>
          <w:rFonts w:ascii="Arial" w:eastAsia="Arial" w:hAnsi="Arial" w:cs="Arial"/>
          <w:sz w:val="21"/>
          <w:szCs w:val="21"/>
        </w:rPr>
        <w:t xml:space="preserve">en su calidad de Director General de la mercantil CORPORACIÓN PÚBLICA EMPRESARIAL DE NAVARRA S.L.U. (en adelante CPEN), con NIF B/71018360 </w:t>
      </w:r>
      <w:r>
        <w:rPr>
          <w:rFonts w:ascii="Arial" w:eastAsia="Arial" w:hAnsi="Arial" w:cs="Arial"/>
          <w:sz w:val="20"/>
          <w:szCs w:val="20"/>
        </w:rPr>
        <w:t xml:space="preserve">y </w:t>
      </w:r>
      <w:r>
        <w:rPr>
          <w:rFonts w:ascii="Arial" w:eastAsia="Arial" w:hAnsi="Arial" w:cs="Arial"/>
          <w:sz w:val="21"/>
          <w:szCs w:val="21"/>
        </w:rPr>
        <w:t xml:space="preserve">domicilio a estos efectos en Pamplona, Paseo Sarasate </w:t>
      </w:r>
      <w:proofErr w:type="spellStart"/>
      <w:r>
        <w:rPr>
          <w:rFonts w:ascii="Arial" w:eastAsia="Arial" w:hAnsi="Arial" w:cs="Arial"/>
          <w:sz w:val="21"/>
          <w:szCs w:val="21"/>
        </w:rPr>
        <w:t>Nº</w:t>
      </w:r>
      <w:proofErr w:type="spellEnd"/>
      <w:r>
        <w:rPr>
          <w:rFonts w:ascii="Arial" w:eastAsia="Arial" w:hAnsi="Arial" w:cs="Arial"/>
          <w:sz w:val="21"/>
          <w:szCs w:val="21"/>
        </w:rPr>
        <w:t xml:space="preserve"> 38 - 2° </w:t>
      </w:r>
      <w:proofErr w:type="spellStart"/>
      <w:r>
        <w:rPr>
          <w:rFonts w:ascii="Arial" w:eastAsia="Arial" w:hAnsi="Arial" w:cs="Arial"/>
          <w:sz w:val="21"/>
          <w:szCs w:val="21"/>
        </w:rPr>
        <w:t>Dcha</w:t>
      </w:r>
      <w:proofErr w:type="spellEnd"/>
      <w:r>
        <w:rPr>
          <w:rFonts w:ascii="Arial" w:eastAsia="Arial" w:hAnsi="Arial" w:cs="Arial"/>
          <w:sz w:val="21"/>
          <w:szCs w:val="21"/>
        </w:rPr>
        <w:t xml:space="preserve">, respetuosamente </w:t>
      </w:r>
    </w:p>
    <w:p w14:paraId="158E308B" w14:textId="77777777" w:rsidR="00E576C4" w:rsidRDefault="00E576C4" w:rsidP="00E576C4">
      <w:pPr>
        <w:pStyle w:val="Style"/>
        <w:spacing w:line="620" w:lineRule="atLeast"/>
        <w:rPr>
          <w:sz w:val="31"/>
          <w:szCs w:val="31"/>
        </w:rPr>
      </w:pPr>
    </w:p>
    <w:p w14:paraId="0AE90B28" w14:textId="77777777" w:rsidR="00E576C4" w:rsidRDefault="00E576C4" w:rsidP="00E576C4">
      <w:pPr>
        <w:pStyle w:val="Style"/>
        <w:spacing w:line="230" w:lineRule="exact"/>
        <w:ind w:left="3658" w:right="24"/>
        <w:textAlignment w:val="baseline"/>
        <w:rPr>
          <w:rFonts w:ascii="Arial" w:eastAsia="Arial" w:hAnsi="Arial" w:cs="Arial"/>
          <w:b/>
          <w:sz w:val="21"/>
          <w:szCs w:val="21"/>
        </w:rPr>
      </w:pPr>
      <w:r>
        <w:rPr>
          <w:rFonts w:ascii="Arial" w:eastAsia="Arial" w:hAnsi="Arial" w:cs="Arial"/>
          <w:b/>
          <w:sz w:val="21"/>
          <w:szCs w:val="21"/>
        </w:rPr>
        <w:t xml:space="preserve">EXPONE </w:t>
      </w:r>
    </w:p>
    <w:p w14:paraId="295DBC06" w14:textId="77777777" w:rsidR="00E576C4" w:rsidRPr="0070021D" w:rsidRDefault="00E576C4" w:rsidP="00E576C4">
      <w:pPr>
        <w:pStyle w:val="Style"/>
        <w:spacing w:line="230" w:lineRule="exact"/>
        <w:ind w:left="3658" w:right="24"/>
        <w:textAlignment w:val="baseline"/>
      </w:pPr>
    </w:p>
    <w:p w14:paraId="0C02F864" w14:textId="77777777" w:rsidR="00E576C4" w:rsidRDefault="00E576C4" w:rsidP="00E576C4">
      <w:pPr>
        <w:pStyle w:val="Style"/>
        <w:spacing w:line="254" w:lineRule="exact"/>
        <w:ind w:left="5"/>
        <w:jc w:val="both"/>
        <w:textAlignment w:val="baseline"/>
      </w:pPr>
      <w:r>
        <w:rPr>
          <w:rFonts w:ascii="Arial" w:eastAsia="Arial" w:hAnsi="Arial" w:cs="Arial"/>
          <w:sz w:val="21"/>
          <w:szCs w:val="21"/>
        </w:rPr>
        <w:t xml:space="preserve">1°. Que con fecha 20 de noviembre de 2024 ha sido remitido por parte de la Dirección General de Intervención del Gobierno de Navarra Resolución del presidente de la Cámara de Comptos de Navarra por la que se aprueba el informe provisional de fiscalización sobre "Cuentas Generales de Navarra 2023". </w:t>
      </w:r>
    </w:p>
    <w:p w14:paraId="68FFCF5F" w14:textId="77777777" w:rsidR="00E576C4" w:rsidRPr="0070021D" w:rsidRDefault="00E576C4" w:rsidP="00E576C4">
      <w:pPr>
        <w:pStyle w:val="Style"/>
        <w:spacing w:line="254" w:lineRule="exact"/>
        <w:ind w:left="5"/>
        <w:jc w:val="both"/>
        <w:textAlignment w:val="baseline"/>
      </w:pPr>
    </w:p>
    <w:p w14:paraId="38C34E72" w14:textId="77777777" w:rsidR="00E576C4" w:rsidRDefault="00E576C4" w:rsidP="00E576C4">
      <w:pPr>
        <w:pStyle w:val="Style"/>
        <w:spacing w:line="254" w:lineRule="exact"/>
        <w:ind w:left="5"/>
        <w:jc w:val="both"/>
        <w:textAlignment w:val="baseline"/>
      </w:pPr>
      <w:r>
        <w:rPr>
          <w:rFonts w:ascii="Arial" w:eastAsia="Arial" w:hAnsi="Arial" w:cs="Arial"/>
          <w:sz w:val="21"/>
          <w:szCs w:val="21"/>
        </w:rPr>
        <w:t xml:space="preserve">2°.- Que en el traslado del informe se otorga la posibilidad de formular las alegaciones que se consideren oportunas, finalizando el plazo el mismo día 20 de noviembre de 2024; en concreto se dispone </w:t>
      </w:r>
    </w:p>
    <w:p w14:paraId="37A54A93" w14:textId="77777777" w:rsidR="00E576C4" w:rsidRPr="0070021D" w:rsidRDefault="00E576C4" w:rsidP="00E576C4">
      <w:pPr>
        <w:pStyle w:val="Style"/>
        <w:spacing w:line="254" w:lineRule="exact"/>
        <w:ind w:left="5"/>
        <w:jc w:val="both"/>
        <w:textAlignment w:val="baseline"/>
      </w:pPr>
    </w:p>
    <w:p w14:paraId="5B2AB71A" w14:textId="77777777" w:rsidR="00E576C4" w:rsidRDefault="00E576C4" w:rsidP="00E576C4">
      <w:pPr>
        <w:pStyle w:val="Style"/>
        <w:spacing w:line="250" w:lineRule="exact"/>
        <w:ind w:left="715"/>
        <w:jc w:val="both"/>
        <w:textAlignment w:val="baseline"/>
      </w:pPr>
      <w:r>
        <w:rPr>
          <w:rFonts w:ascii="Arial" w:eastAsia="Arial" w:hAnsi="Arial" w:cs="Arial"/>
          <w:i/>
          <w:iCs/>
          <w:sz w:val="21"/>
          <w:szCs w:val="21"/>
        </w:rPr>
        <w:t xml:space="preserve">Dar traslado de dicho informe provisional al organismo </w:t>
      </w:r>
      <w:proofErr w:type="spellStart"/>
      <w:r>
        <w:rPr>
          <w:rFonts w:ascii="Arial" w:eastAsia="Arial" w:hAnsi="Arial" w:cs="Arial"/>
          <w:i/>
          <w:iCs/>
          <w:sz w:val="21"/>
          <w:szCs w:val="21"/>
        </w:rPr>
        <w:t>fiscalizado</w:t>
      </w:r>
      <w:proofErr w:type="spellEnd"/>
      <w:r>
        <w:rPr>
          <w:rFonts w:ascii="Arial" w:eastAsia="Arial" w:hAnsi="Arial" w:cs="Arial"/>
          <w:i/>
          <w:iCs/>
          <w:sz w:val="21"/>
          <w:szCs w:val="21"/>
        </w:rPr>
        <w:t xml:space="preserve"> para su examen </w:t>
      </w:r>
      <w:r>
        <w:rPr>
          <w:i/>
          <w:iCs/>
          <w:w w:val="88"/>
        </w:rPr>
        <w:t xml:space="preserve">y, </w:t>
      </w:r>
      <w:r>
        <w:rPr>
          <w:rFonts w:ascii="Arial" w:eastAsia="Arial" w:hAnsi="Arial" w:cs="Arial"/>
          <w:i/>
          <w:iCs/>
          <w:sz w:val="21"/>
          <w:szCs w:val="21"/>
        </w:rPr>
        <w:t xml:space="preserve">en su caso, formulación de alegaciones hasta el día 20 de noviembre, con la advertencia de que no serán tomadas en consideración ni incorporadas al Informe aquellas que no se refieran de forma clara </w:t>
      </w:r>
      <w:r>
        <w:rPr>
          <w:i/>
          <w:iCs/>
          <w:sz w:val="23"/>
          <w:szCs w:val="23"/>
        </w:rPr>
        <w:t xml:space="preserve">y </w:t>
      </w:r>
      <w:r>
        <w:rPr>
          <w:rFonts w:ascii="Arial" w:eastAsia="Arial" w:hAnsi="Arial" w:cs="Arial"/>
          <w:i/>
          <w:iCs/>
          <w:sz w:val="21"/>
          <w:szCs w:val="21"/>
        </w:rPr>
        <w:t xml:space="preserve">directa a las conclusiones </w:t>
      </w:r>
      <w:r>
        <w:rPr>
          <w:rFonts w:ascii="Arial" w:eastAsia="Arial" w:hAnsi="Arial" w:cs="Arial"/>
          <w:i/>
          <w:iCs/>
          <w:sz w:val="20"/>
          <w:szCs w:val="20"/>
        </w:rPr>
        <w:t xml:space="preserve">y </w:t>
      </w:r>
      <w:r>
        <w:rPr>
          <w:rFonts w:ascii="Arial" w:eastAsia="Arial" w:hAnsi="Arial" w:cs="Arial"/>
          <w:i/>
          <w:iCs/>
          <w:sz w:val="21"/>
          <w:szCs w:val="21"/>
        </w:rPr>
        <w:t xml:space="preserve">opiniones emitidas en el mismo. </w:t>
      </w:r>
    </w:p>
    <w:p w14:paraId="10BF4826" w14:textId="77777777" w:rsidR="00E576C4" w:rsidRDefault="00E576C4" w:rsidP="00E576C4">
      <w:pPr>
        <w:pStyle w:val="Style"/>
        <w:spacing w:line="620" w:lineRule="atLeast"/>
        <w:rPr>
          <w:sz w:val="31"/>
          <w:szCs w:val="31"/>
        </w:rPr>
      </w:pPr>
    </w:p>
    <w:p w14:paraId="153F9C45" w14:textId="77777777" w:rsidR="00E576C4" w:rsidRDefault="00E576C4" w:rsidP="00E576C4">
      <w:pPr>
        <w:pStyle w:val="Style"/>
        <w:spacing w:line="254" w:lineRule="exact"/>
        <w:ind w:left="5"/>
        <w:jc w:val="both"/>
        <w:textAlignment w:val="baseline"/>
      </w:pPr>
      <w:r>
        <w:rPr>
          <w:rFonts w:ascii="Arial" w:eastAsia="Arial" w:hAnsi="Arial" w:cs="Arial"/>
          <w:sz w:val="21"/>
          <w:szCs w:val="21"/>
        </w:rPr>
        <w:t xml:space="preserve">3°.- Que es voluntad de CPEN, matriz de las sociedades públicas de la Administración de la Comunidad Foral de Navarra, el formular, dentro del plazo establecido al efecto, las siguientes </w:t>
      </w:r>
    </w:p>
    <w:p w14:paraId="445ABAF7" w14:textId="77777777" w:rsidR="00E576C4" w:rsidRDefault="00E576C4" w:rsidP="00E576C4">
      <w:pPr>
        <w:pStyle w:val="Style"/>
        <w:spacing w:line="620" w:lineRule="atLeast"/>
        <w:rPr>
          <w:sz w:val="31"/>
          <w:szCs w:val="31"/>
        </w:rPr>
      </w:pPr>
    </w:p>
    <w:p w14:paraId="67C35C89" w14:textId="77777777" w:rsidR="00E576C4" w:rsidRDefault="00E576C4" w:rsidP="00E576C4">
      <w:pPr>
        <w:pStyle w:val="Style"/>
        <w:spacing w:line="235" w:lineRule="exact"/>
        <w:ind w:left="3446" w:right="24"/>
        <w:textAlignment w:val="baseline"/>
        <w:rPr>
          <w:rFonts w:ascii="Arial" w:eastAsia="Arial" w:hAnsi="Arial" w:cs="Arial"/>
          <w:b/>
          <w:sz w:val="21"/>
          <w:szCs w:val="21"/>
        </w:rPr>
      </w:pPr>
      <w:r>
        <w:rPr>
          <w:rFonts w:ascii="Arial" w:eastAsia="Arial" w:hAnsi="Arial" w:cs="Arial"/>
          <w:b/>
          <w:sz w:val="21"/>
          <w:szCs w:val="21"/>
        </w:rPr>
        <w:t xml:space="preserve">ALEGACIONES </w:t>
      </w:r>
    </w:p>
    <w:p w14:paraId="4CC1E68F" w14:textId="77777777" w:rsidR="00E576C4" w:rsidRPr="0070021D" w:rsidRDefault="00E576C4" w:rsidP="00E576C4">
      <w:pPr>
        <w:pStyle w:val="Style"/>
        <w:spacing w:line="235" w:lineRule="exact"/>
        <w:ind w:left="3446" w:right="24"/>
        <w:textAlignment w:val="baseline"/>
        <w:rPr>
          <w:rFonts w:ascii="Arial" w:eastAsia="Arial" w:hAnsi="Arial" w:cs="Arial"/>
          <w:b/>
          <w:sz w:val="21"/>
          <w:szCs w:val="21"/>
        </w:rPr>
      </w:pPr>
    </w:p>
    <w:p w14:paraId="45B6E047" w14:textId="77777777" w:rsidR="00E576C4" w:rsidRDefault="00E576C4" w:rsidP="00E576C4">
      <w:pPr>
        <w:pStyle w:val="Style"/>
        <w:spacing w:line="254" w:lineRule="exact"/>
        <w:jc w:val="both"/>
        <w:textAlignment w:val="baseline"/>
      </w:pPr>
      <w:r>
        <w:rPr>
          <w:rFonts w:ascii="Arial" w:eastAsia="Arial" w:hAnsi="Arial" w:cs="Arial"/>
          <w:b/>
          <w:sz w:val="21"/>
          <w:szCs w:val="21"/>
          <w:u w:val="single"/>
        </w:rPr>
        <w:t xml:space="preserve">PRIMERA.- Páginas 29 (Apéndice 2. Delimitación del Sector Público Foral de Navarra, apartado 2.1 Sector Público Foral según la Ley Foral 13/2007, de 4 de abril, de la Hacienda Pública de Navarra) y 99 (apartado 5.12 Sociedades Públicas y Fundaciones Públicas) </w:t>
      </w:r>
    </w:p>
    <w:p w14:paraId="13C6E5F4" w14:textId="77777777" w:rsidR="00E576C4" w:rsidRDefault="00E576C4" w:rsidP="00E576C4">
      <w:pPr>
        <w:pStyle w:val="Style"/>
        <w:spacing w:line="620" w:lineRule="atLeast"/>
        <w:rPr>
          <w:sz w:val="31"/>
          <w:szCs w:val="31"/>
        </w:rPr>
      </w:pPr>
    </w:p>
    <w:p w14:paraId="5070732B" w14:textId="77777777" w:rsidR="00E576C4" w:rsidRDefault="00E576C4" w:rsidP="00E576C4">
      <w:pPr>
        <w:pStyle w:val="Style"/>
        <w:spacing w:line="254" w:lineRule="exact"/>
        <w:ind w:left="5" w:right="24"/>
        <w:textAlignment w:val="baseline"/>
      </w:pPr>
      <w:r>
        <w:rPr>
          <w:rFonts w:ascii="Arial" w:eastAsia="Arial" w:hAnsi="Arial" w:cs="Arial"/>
          <w:sz w:val="21"/>
          <w:szCs w:val="21"/>
        </w:rPr>
        <w:t xml:space="preserve">En lo referente a las sociedades públicas se refleja como dato no consolidado el resultado del ejercicio que asciende a la cifra negativa de 8.520 euros. </w:t>
      </w:r>
    </w:p>
    <w:p w14:paraId="04FF14F0" w14:textId="77777777" w:rsidR="00E576C4" w:rsidRDefault="00E576C4" w:rsidP="00E576C4">
      <w:pPr>
        <w:pStyle w:val="Style"/>
        <w:spacing w:before="196" w:line="254" w:lineRule="exact"/>
        <w:ind w:left="5"/>
        <w:jc w:val="both"/>
        <w:textAlignment w:val="baseline"/>
      </w:pPr>
      <w:r>
        <w:rPr>
          <w:rFonts w:ascii="Arial" w:eastAsia="Arial" w:hAnsi="Arial" w:cs="Arial"/>
          <w:sz w:val="21"/>
          <w:szCs w:val="21"/>
        </w:rPr>
        <w:t xml:space="preserve">Dicha cifra, entendemos, ha sido calculada por la Cámara de Comptos de Navarra haciendo un sumatorio de los resultados de las cuentas individuales de cada una de las sociedades públicas. </w:t>
      </w:r>
    </w:p>
    <w:p w14:paraId="48D2E645" w14:textId="77777777" w:rsidR="00E576C4" w:rsidRDefault="00E576C4" w:rsidP="00E576C4">
      <w:pPr>
        <w:pStyle w:val="Style"/>
        <w:spacing w:line="456" w:lineRule="exact"/>
        <w:ind w:left="10"/>
        <w:textAlignment w:val="baseline"/>
      </w:pPr>
      <w:r>
        <w:rPr>
          <w:rFonts w:ascii="Arial" w:eastAsia="Arial" w:hAnsi="Arial" w:cs="Arial"/>
          <w:sz w:val="21"/>
          <w:szCs w:val="21"/>
        </w:rPr>
        <w:t xml:space="preserve">El artículo 42.1 del Código de Comercio establece </w:t>
      </w:r>
    </w:p>
    <w:p w14:paraId="5DD8CFEA" w14:textId="77777777" w:rsidR="00E576C4" w:rsidRDefault="00E576C4" w:rsidP="00E576C4">
      <w:pPr>
        <w:pStyle w:val="Style"/>
        <w:spacing w:line="620" w:lineRule="atLeast"/>
        <w:rPr>
          <w:sz w:val="31"/>
          <w:szCs w:val="31"/>
        </w:rPr>
      </w:pPr>
    </w:p>
    <w:p w14:paraId="61AD1E98" w14:textId="77777777" w:rsidR="00E576C4" w:rsidRDefault="00E576C4" w:rsidP="00E576C4">
      <w:pPr>
        <w:pStyle w:val="Style"/>
        <w:spacing w:line="254" w:lineRule="exact"/>
        <w:ind w:left="706"/>
        <w:jc w:val="both"/>
        <w:textAlignment w:val="baseline"/>
      </w:pPr>
      <w:r>
        <w:rPr>
          <w:rFonts w:ascii="Arial" w:eastAsia="Arial" w:hAnsi="Arial" w:cs="Arial"/>
          <w:i/>
          <w:iCs/>
          <w:sz w:val="21"/>
          <w:szCs w:val="21"/>
        </w:rPr>
        <w:t xml:space="preserve">Toda sociedad dominante de un grupo de sociedades estará obligada </w:t>
      </w:r>
      <w:r>
        <w:rPr>
          <w:rFonts w:ascii="Arial" w:eastAsia="Arial" w:hAnsi="Arial" w:cs="Arial"/>
          <w:sz w:val="21"/>
          <w:szCs w:val="21"/>
        </w:rPr>
        <w:t xml:space="preserve">a </w:t>
      </w:r>
      <w:r>
        <w:rPr>
          <w:rFonts w:ascii="Arial" w:eastAsia="Arial" w:hAnsi="Arial" w:cs="Arial"/>
          <w:i/>
          <w:iCs/>
          <w:sz w:val="21"/>
          <w:szCs w:val="21"/>
        </w:rPr>
        <w:t xml:space="preserve">formular las </w:t>
      </w:r>
      <w:r>
        <w:rPr>
          <w:rFonts w:ascii="Arial" w:eastAsia="Arial" w:hAnsi="Arial" w:cs="Arial"/>
          <w:i/>
          <w:iCs/>
          <w:sz w:val="21"/>
          <w:szCs w:val="21"/>
        </w:rPr>
        <w:lastRenderedPageBreak/>
        <w:t xml:space="preserve">cuentas anuales y el informe de gestión consolidados en la forma prevista en esta sección </w:t>
      </w:r>
    </w:p>
    <w:p w14:paraId="497B9E36" w14:textId="77777777" w:rsidR="00E576C4" w:rsidRDefault="00E576C4" w:rsidP="00E576C4">
      <w:pPr>
        <w:pStyle w:val="Style"/>
        <w:spacing w:before="201" w:line="250" w:lineRule="exact"/>
        <w:ind w:left="710"/>
        <w:jc w:val="both"/>
        <w:textAlignment w:val="baseline"/>
      </w:pPr>
      <w:r>
        <w:rPr>
          <w:rFonts w:ascii="Arial" w:eastAsia="Arial" w:hAnsi="Arial" w:cs="Arial"/>
          <w:i/>
          <w:iCs/>
          <w:sz w:val="21"/>
          <w:szCs w:val="21"/>
        </w:rPr>
        <w:t xml:space="preserve">Existe un grupo cuando una sociedad ostente </w:t>
      </w:r>
      <w:r>
        <w:t xml:space="preserve">o </w:t>
      </w:r>
      <w:r>
        <w:rPr>
          <w:rFonts w:ascii="Arial" w:eastAsia="Arial" w:hAnsi="Arial" w:cs="Arial"/>
          <w:i/>
          <w:iCs/>
          <w:sz w:val="21"/>
          <w:szCs w:val="21"/>
        </w:rPr>
        <w:t xml:space="preserve">pueda ostentar, directa </w:t>
      </w:r>
      <w:r>
        <w:t xml:space="preserve">o </w:t>
      </w:r>
      <w:r>
        <w:rPr>
          <w:rFonts w:ascii="Arial" w:eastAsia="Arial" w:hAnsi="Arial" w:cs="Arial"/>
          <w:i/>
          <w:iCs/>
          <w:sz w:val="21"/>
          <w:szCs w:val="21"/>
        </w:rPr>
        <w:t xml:space="preserve">indirectamente, el control de otra u otras. En particular, se presumirá que existe control cuando una sociedad, que se calificará como dominante, se encuentre en relación con otra sociedad, que se calificará como dependiente, en alguna de las siguientes situaciones: </w:t>
      </w:r>
    </w:p>
    <w:p w14:paraId="26715429" w14:textId="77777777" w:rsidR="00E576C4" w:rsidRDefault="00E576C4" w:rsidP="00E576C4">
      <w:pPr>
        <w:pStyle w:val="Style"/>
        <w:numPr>
          <w:ilvl w:val="0"/>
          <w:numId w:val="47"/>
        </w:numPr>
        <w:spacing w:line="456" w:lineRule="exact"/>
        <w:ind w:left="979" w:hanging="259"/>
        <w:textAlignment w:val="baseline"/>
      </w:pPr>
      <w:r>
        <w:rPr>
          <w:rFonts w:ascii="Arial" w:eastAsia="Arial" w:hAnsi="Arial" w:cs="Arial"/>
          <w:i/>
          <w:iCs/>
          <w:sz w:val="21"/>
          <w:szCs w:val="21"/>
        </w:rPr>
        <w:t xml:space="preserve">Posea la mayoría de los derechos de voto. </w:t>
      </w:r>
    </w:p>
    <w:p w14:paraId="64B67ADD" w14:textId="77777777" w:rsidR="00E576C4" w:rsidRDefault="00E576C4" w:rsidP="00E576C4">
      <w:pPr>
        <w:pStyle w:val="Style"/>
        <w:spacing w:before="186" w:line="259" w:lineRule="exact"/>
        <w:ind w:left="715"/>
        <w:textAlignment w:val="baseline"/>
      </w:pPr>
      <w:r>
        <w:rPr>
          <w:rFonts w:ascii="Arial" w:eastAsia="Arial" w:hAnsi="Arial" w:cs="Arial"/>
          <w:i/>
          <w:iCs/>
          <w:sz w:val="21"/>
          <w:szCs w:val="21"/>
        </w:rPr>
        <w:t xml:space="preserve">b) Tenga la facultad de nombrar </w:t>
      </w:r>
      <w:r>
        <w:t xml:space="preserve">o </w:t>
      </w:r>
      <w:r>
        <w:rPr>
          <w:rFonts w:ascii="Arial" w:eastAsia="Arial" w:hAnsi="Arial" w:cs="Arial"/>
          <w:i/>
          <w:iCs/>
          <w:sz w:val="21"/>
          <w:szCs w:val="21"/>
        </w:rPr>
        <w:t xml:space="preserve">destituir </w:t>
      </w:r>
      <w:r>
        <w:t xml:space="preserve">a </w:t>
      </w:r>
      <w:r>
        <w:rPr>
          <w:rFonts w:ascii="Arial" w:eastAsia="Arial" w:hAnsi="Arial" w:cs="Arial"/>
          <w:i/>
          <w:iCs/>
          <w:sz w:val="21"/>
          <w:szCs w:val="21"/>
        </w:rPr>
        <w:t xml:space="preserve">la mayoría de los miembros del órgano de administración. </w:t>
      </w:r>
    </w:p>
    <w:p w14:paraId="4794658C" w14:textId="77777777" w:rsidR="00E576C4" w:rsidRDefault="00E576C4" w:rsidP="00E576C4">
      <w:pPr>
        <w:pStyle w:val="Style"/>
        <w:spacing w:before="186" w:line="259" w:lineRule="exact"/>
        <w:ind w:left="715"/>
        <w:textAlignment w:val="baseline"/>
      </w:pPr>
      <w:r>
        <w:rPr>
          <w:rFonts w:ascii="Arial" w:eastAsia="Arial" w:hAnsi="Arial" w:cs="Arial"/>
          <w:i/>
          <w:iCs/>
          <w:sz w:val="21"/>
          <w:szCs w:val="21"/>
        </w:rPr>
        <w:t xml:space="preserve">c) Pueda disponer, en virtud de acuerdos celebrados con terceros, de la mayoría de los derechos de voto. </w:t>
      </w:r>
    </w:p>
    <w:p w14:paraId="23088FF7" w14:textId="77777777" w:rsidR="00E576C4" w:rsidRDefault="00E576C4" w:rsidP="00E576C4">
      <w:pPr>
        <w:pStyle w:val="Style"/>
        <w:spacing w:before="201" w:line="250" w:lineRule="exact"/>
        <w:ind w:left="710"/>
        <w:jc w:val="both"/>
        <w:textAlignment w:val="baseline"/>
      </w:pPr>
      <w:r>
        <w:rPr>
          <w:rFonts w:ascii="Arial" w:eastAsia="Arial" w:hAnsi="Arial" w:cs="Arial"/>
          <w:i/>
          <w:iCs/>
          <w:sz w:val="21"/>
          <w:szCs w:val="21"/>
        </w:rPr>
        <w:t xml:space="preserve">d) Haya designado con sus votos </w:t>
      </w:r>
      <w:r>
        <w:rPr>
          <w:rFonts w:ascii="Arial" w:eastAsia="Arial" w:hAnsi="Arial" w:cs="Arial"/>
          <w:sz w:val="21"/>
          <w:szCs w:val="21"/>
        </w:rPr>
        <w:t xml:space="preserve">a </w:t>
      </w:r>
      <w:r>
        <w:rPr>
          <w:rFonts w:ascii="Arial" w:eastAsia="Arial" w:hAnsi="Arial" w:cs="Arial"/>
          <w:i/>
          <w:iCs/>
          <w:sz w:val="21"/>
          <w:szCs w:val="21"/>
        </w:rPr>
        <w:t xml:space="preserve">la mayoría de los miembros del órgano de administración, que desempeñen su cargo en el momento en que deban formularse las cuentas consolidadas y durante los dos ejercicios inmediatamente anteriores. En particular, se presumirá esta circunstancia cuando la mayoría de los miembros del órgano de administración de la sociedad dominada sean miembros del órgano de administración </w:t>
      </w:r>
      <w:r>
        <w:t xml:space="preserve">o </w:t>
      </w:r>
      <w:r>
        <w:rPr>
          <w:rFonts w:ascii="Arial" w:eastAsia="Arial" w:hAnsi="Arial" w:cs="Arial"/>
          <w:i/>
          <w:iCs/>
          <w:sz w:val="21"/>
          <w:szCs w:val="21"/>
        </w:rPr>
        <w:t xml:space="preserve">altos directivos de la sociedad dominante </w:t>
      </w:r>
      <w:r>
        <w:t xml:space="preserve">o </w:t>
      </w:r>
      <w:r>
        <w:rPr>
          <w:rFonts w:ascii="Arial" w:eastAsia="Arial" w:hAnsi="Arial" w:cs="Arial"/>
          <w:i/>
          <w:iCs/>
          <w:sz w:val="21"/>
          <w:szCs w:val="21"/>
        </w:rPr>
        <w:t xml:space="preserve">de otra dominada por ésta. Este supuesto no dará lugar </w:t>
      </w:r>
      <w:r>
        <w:rPr>
          <w:rFonts w:ascii="Arial" w:eastAsia="Arial" w:hAnsi="Arial" w:cs="Arial"/>
          <w:sz w:val="21"/>
          <w:szCs w:val="21"/>
        </w:rPr>
        <w:t xml:space="preserve">a </w:t>
      </w:r>
      <w:r>
        <w:rPr>
          <w:rFonts w:ascii="Arial" w:eastAsia="Arial" w:hAnsi="Arial" w:cs="Arial"/>
          <w:i/>
          <w:iCs/>
          <w:sz w:val="21"/>
          <w:szCs w:val="21"/>
        </w:rPr>
        <w:t xml:space="preserve">la consolidación si la sociedad cuyos administradores han sido nombrados, está vinculada </w:t>
      </w:r>
      <w:r>
        <w:rPr>
          <w:rFonts w:ascii="Arial" w:eastAsia="Arial" w:hAnsi="Arial" w:cs="Arial"/>
          <w:sz w:val="21"/>
          <w:szCs w:val="21"/>
        </w:rPr>
        <w:t xml:space="preserve">a </w:t>
      </w:r>
      <w:r>
        <w:rPr>
          <w:rFonts w:ascii="Arial" w:eastAsia="Arial" w:hAnsi="Arial" w:cs="Arial"/>
          <w:i/>
          <w:iCs/>
          <w:sz w:val="21"/>
          <w:szCs w:val="21"/>
        </w:rPr>
        <w:t xml:space="preserve">otra en alguno de los casos previstos en las dos primeras letras de este apartado. </w:t>
      </w:r>
    </w:p>
    <w:p w14:paraId="65765870" w14:textId="04A2C511" w:rsidR="00E576C4" w:rsidRDefault="00E576C4" w:rsidP="00F9674A">
      <w:pPr>
        <w:pStyle w:val="Style"/>
        <w:spacing w:before="201" w:line="250" w:lineRule="exact"/>
        <w:ind w:left="710"/>
        <w:jc w:val="both"/>
        <w:textAlignment w:val="baseline"/>
      </w:pPr>
      <w:r>
        <w:rPr>
          <w:rFonts w:ascii="Arial" w:eastAsia="Arial" w:hAnsi="Arial" w:cs="Arial"/>
          <w:i/>
          <w:iCs/>
          <w:sz w:val="21"/>
          <w:szCs w:val="21"/>
        </w:rPr>
        <w:t xml:space="preserve">A los efectos de este apartado, </w:t>
      </w:r>
      <w:r>
        <w:rPr>
          <w:rFonts w:ascii="Arial" w:eastAsia="Arial" w:hAnsi="Arial" w:cs="Arial"/>
          <w:sz w:val="21"/>
          <w:szCs w:val="21"/>
        </w:rPr>
        <w:t xml:space="preserve">a </w:t>
      </w:r>
      <w:r>
        <w:rPr>
          <w:rFonts w:ascii="Arial" w:eastAsia="Arial" w:hAnsi="Arial" w:cs="Arial"/>
          <w:i/>
          <w:iCs/>
          <w:sz w:val="21"/>
          <w:szCs w:val="21"/>
        </w:rPr>
        <w:t xml:space="preserve">los derechos de voto de la entidad dominante se añadirán los que posea </w:t>
      </w:r>
      <w:r>
        <w:rPr>
          <w:w w:val="105"/>
        </w:rPr>
        <w:t xml:space="preserve">a </w:t>
      </w:r>
      <w:r>
        <w:rPr>
          <w:rFonts w:ascii="Arial" w:eastAsia="Arial" w:hAnsi="Arial" w:cs="Arial"/>
          <w:i/>
          <w:iCs/>
          <w:sz w:val="21"/>
          <w:szCs w:val="21"/>
        </w:rPr>
        <w:t xml:space="preserve">través de otras sociedades dependientes </w:t>
      </w:r>
      <w:r>
        <w:rPr>
          <w:w w:val="105"/>
        </w:rPr>
        <w:t xml:space="preserve">o </w:t>
      </w:r>
      <w:proofErr w:type="spellStart"/>
      <w:r>
        <w:rPr>
          <w:w w:val="105"/>
        </w:rPr>
        <w:t>a</w:t>
      </w:r>
      <w:r>
        <w:rPr>
          <w:rFonts w:ascii="Arial" w:eastAsia="Arial" w:hAnsi="Arial" w:cs="Arial"/>
          <w:i/>
          <w:iCs/>
          <w:sz w:val="21"/>
          <w:szCs w:val="21"/>
        </w:rPr>
        <w:t>través</w:t>
      </w:r>
      <w:proofErr w:type="spellEnd"/>
      <w:r>
        <w:rPr>
          <w:rFonts w:ascii="Arial" w:eastAsia="Arial" w:hAnsi="Arial" w:cs="Arial"/>
          <w:i/>
          <w:iCs/>
          <w:sz w:val="21"/>
          <w:szCs w:val="21"/>
        </w:rPr>
        <w:t xml:space="preserve"> de personas que actúen en su propio nombre pero por cuenta de la entidad dominante </w:t>
      </w:r>
      <w:r>
        <w:rPr>
          <w:sz w:val="23"/>
          <w:szCs w:val="23"/>
        </w:rPr>
        <w:t xml:space="preserve">o </w:t>
      </w:r>
      <w:r>
        <w:rPr>
          <w:rFonts w:ascii="Arial" w:eastAsia="Arial" w:hAnsi="Arial" w:cs="Arial"/>
          <w:i/>
          <w:iCs/>
          <w:sz w:val="21"/>
          <w:szCs w:val="21"/>
        </w:rPr>
        <w:t xml:space="preserve">de otras dependientes </w:t>
      </w:r>
      <w:r>
        <w:rPr>
          <w:sz w:val="23"/>
          <w:szCs w:val="23"/>
        </w:rPr>
        <w:t xml:space="preserve">o </w:t>
      </w:r>
      <w:r>
        <w:rPr>
          <w:rFonts w:ascii="Arial" w:eastAsia="Arial" w:hAnsi="Arial" w:cs="Arial"/>
          <w:i/>
          <w:iCs/>
          <w:sz w:val="21"/>
          <w:szCs w:val="21"/>
        </w:rPr>
        <w:t xml:space="preserve">aquellos de los que disponga concertadamente con cualquier otra persona. </w:t>
      </w:r>
    </w:p>
    <w:p w14:paraId="082B9BE1" w14:textId="77777777" w:rsidR="00E576C4" w:rsidRDefault="00E576C4" w:rsidP="00E576C4">
      <w:pPr>
        <w:pStyle w:val="Style"/>
        <w:spacing w:line="620" w:lineRule="atLeast"/>
        <w:rPr>
          <w:sz w:val="31"/>
          <w:szCs w:val="31"/>
        </w:rPr>
      </w:pPr>
    </w:p>
    <w:p w14:paraId="0C07BC64" w14:textId="77777777" w:rsidR="00E576C4" w:rsidRDefault="00E576C4" w:rsidP="00E576C4">
      <w:pPr>
        <w:pStyle w:val="Style"/>
        <w:spacing w:line="250" w:lineRule="exact"/>
        <w:ind w:left="5"/>
        <w:jc w:val="both"/>
        <w:textAlignment w:val="baseline"/>
      </w:pPr>
      <w:r>
        <w:rPr>
          <w:rFonts w:ascii="Arial" w:eastAsia="Arial" w:hAnsi="Arial" w:cs="Arial"/>
          <w:sz w:val="21"/>
          <w:szCs w:val="21"/>
        </w:rPr>
        <w:t xml:space="preserve">Corporación Pública Empresarial de Navarra, S.L. y sus sociedades dependientes constituyen un grupo de sociedades al amparo de dicho artículo del código de comercio. </w:t>
      </w:r>
    </w:p>
    <w:p w14:paraId="1FD2FDE7" w14:textId="77777777" w:rsidR="00E576C4" w:rsidRDefault="00E576C4" w:rsidP="00E576C4">
      <w:pPr>
        <w:pStyle w:val="Style"/>
        <w:spacing w:line="660" w:lineRule="atLeast"/>
        <w:rPr>
          <w:sz w:val="33"/>
          <w:szCs w:val="33"/>
        </w:rPr>
      </w:pPr>
    </w:p>
    <w:p w14:paraId="7C635BE2" w14:textId="77777777" w:rsidR="00E576C4" w:rsidRDefault="00E576C4" w:rsidP="00E576C4">
      <w:pPr>
        <w:pStyle w:val="Style"/>
        <w:spacing w:line="226" w:lineRule="exact"/>
        <w:textAlignment w:val="baseline"/>
      </w:pPr>
      <w:r>
        <w:rPr>
          <w:rFonts w:ascii="Arial" w:eastAsia="Arial" w:hAnsi="Arial" w:cs="Arial"/>
          <w:sz w:val="21"/>
          <w:szCs w:val="21"/>
        </w:rPr>
        <w:t xml:space="preserve">Los apartados 2. 3. 4. y 5. del código de comercio establecen </w:t>
      </w:r>
    </w:p>
    <w:p w14:paraId="0AC8EC8F" w14:textId="77777777" w:rsidR="00E576C4" w:rsidRDefault="00E576C4" w:rsidP="00E576C4">
      <w:pPr>
        <w:pStyle w:val="Style"/>
        <w:spacing w:line="620" w:lineRule="atLeast"/>
        <w:rPr>
          <w:sz w:val="31"/>
          <w:szCs w:val="31"/>
        </w:rPr>
      </w:pPr>
    </w:p>
    <w:p w14:paraId="5927DC60" w14:textId="77777777" w:rsidR="00E576C4" w:rsidRDefault="00E576C4" w:rsidP="00E576C4">
      <w:pPr>
        <w:pStyle w:val="Style"/>
        <w:spacing w:line="254" w:lineRule="exact"/>
        <w:ind w:left="710"/>
        <w:jc w:val="both"/>
        <w:textAlignment w:val="baseline"/>
      </w:pPr>
      <w:r>
        <w:rPr>
          <w:rFonts w:ascii="Arial" w:eastAsia="Arial" w:hAnsi="Arial" w:cs="Arial"/>
          <w:w w:val="91"/>
          <w:sz w:val="21"/>
          <w:szCs w:val="21"/>
        </w:rPr>
        <w:t xml:space="preserve">2. </w:t>
      </w:r>
      <w:r>
        <w:rPr>
          <w:rFonts w:ascii="Arial" w:eastAsia="Arial" w:hAnsi="Arial" w:cs="Arial"/>
          <w:i/>
          <w:iCs/>
          <w:sz w:val="21"/>
          <w:szCs w:val="21"/>
        </w:rPr>
        <w:t xml:space="preserve">La obligación de formular las cuentas anuales </w:t>
      </w:r>
      <w:r>
        <w:rPr>
          <w:rFonts w:ascii="Arial" w:eastAsia="Arial" w:hAnsi="Arial" w:cs="Arial"/>
          <w:i/>
          <w:iCs/>
          <w:sz w:val="20"/>
          <w:szCs w:val="20"/>
        </w:rPr>
        <w:t xml:space="preserve">y </w:t>
      </w:r>
      <w:r>
        <w:rPr>
          <w:rFonts w:ascii="Arial" w:eastAsia="Arial" w:hAnsi="Arial" w:cs="Arial"/>
          <w:i/>
          <w:iCs/>
          <w:sz w:val="21"/>
          <w:szCs w:val="21"/>
        </w:rPr>
        <w:t xml:space="preserve">el informe de gestión consolidados no exime </w:t>
      </w:r>
      <w:r>
        <w:rPr>
          <w:rFonts w:ascii="Arial" w:eastAsia="Arial" w:hAnsi="Arial" w:cs="Arial"/>
          <w:sz w:val="21"/>
          <w:szCs w:val="21"/>
        </w:rPr>
        <w:t xml:space="preserve">a </w:t>
      </w:r>
      <w:r>
        <w:rPr>
          <w:rFonts w:ascii="Arial" w:eastAsia="Arial" w:hAnsi="Arial" w:cs="Arial"/>
          <w:i/>
          <w:iCs/>
          <w:sz w:val="21"/>
          <w:szCs w:val="21"/>
        </w:rPr>
        <w:t xml:space="preserve">las sociedades integrantes del grupo de formular sus propias cuentas anuales </w:t>
      </w:r>
      <w:r>
        <w:rPr>
          <w:rFonts w:ascii="Arial" w:eastAsia="Arial" w:hAnsi="Arial" w:cs="Arial"/>
          <w:i/>
          <w:iCs/>
          <w:sz w:val="20"/>
          <w:szCs w:val="20"/>
        </w:rPr>
        <w:t xml:space="preserve">y </w:t>
      </w:r>
      <w:r>
        <w:rPr>
          <w:rFonts w:ascii="Arial" w:eastAsia="Arial" w:hAnsi="Arial" w:cs="Arial"/>
          <w:i/>
          <w:iCs/>
          <w:sz w:val="21"/>
          <w:szCs w:val="21"/>
        </w:rPr>
        <w:t xml:space="preserve">el informe de gestión correspondiente, conforme </w:t>
      </w:r>
      <w:r>
        <w:rPr>
          <w:rFonts w:ascii="Arial" w:eastAsia="Arial" w:hAnsi="Arial" w:cs="Arial"/>
          <w:sz w:val="21"/>
          <w:szCs w:val="21"/>
        </w:rPr>
        <w:t xml:space="preserve">a </w:t>
      </w:r>
      <w:r>
        <w:rPr>
          <w:rFonts w:ascii="Arial" w:eastAsia="Arial" w:hAnsi="Arial" w:cs="Arial"/>
          <w:i/>
          <w:iCs/>
          <w:sz w:val="21"/>
          <w:szCs w:val="21"/>
        </w:rPr>
        <w:t xml:space="preserve">su régimen específico. </w:t>
      </w:r>
    </w:p>
    <w:p w14:paraId="693E3214" w14:textId="77777777" w:rsidR="00E576C4" w:rsidRDefault="00E576C4" w:rsidP="00E576C4">
      <w:pPr>
        <w:pStyle w:val="Style"/>
        <w:spacing w:before="201" w:line="250" w:lineRule="exact"/>
        <w:ind w:left="715"/>
        <w:jc w:val="both"/>
        <w:textAlignment w:val="baseline"/>
      </w:pPr>
      <w:r>
        <w:rPr>
          <w:sz w:val="21"/>
          <w:szCs w:val="21"/>
        </w:rPr>
        <w:t xml:space="preserve">3. </w:t>
      </w:r>
      <w:r>
        <w:rPr>
          <w:rFonts w:ascii="Arial" w:eastAsia="Arial" w:hAnsi="Arial" w:cs="Arial"/>
          <w:i/>
          <w:iCs/>
          <w:sz w:val="21"/>
          <w:szCs w:val="21"/>
        </w:rPr>
        <w:t xml:space="preserve">La sociedad obligada </w:t>
      </w:r>
      <w:r>
        <w:rPr>
          <w:rFonts w:ascii="Arial" w:eastAsia="Arial" w:hAnsi="Arial" w:cs="Arial"/>
          <w:sz w:val="21"/>
          <w:szCs w:val="21"/>
        </w:rPr>
        <w:t xml:space="preserve">a </w:t>
      </w:r>
      <w:r>
        <w:rPr>
          <w:rFonts w:ascii="Arial" w:eastAsia="Arial" w:hAnsi="Arial" w:cs="Arial"/>
          <w:i/>
          <w:iCs/>
          <w:sz w:val="21"/>
          <w:szCs w:val="21"/>
        </w:rPr>
        <w:t xml:space="preserve">formular las cuentas anuales consolidadas deberá incluir en ellas, </w:t>
      </w:r>
      <w:r>
        <w:rPr>
          <w:rFonts w:ascii="Arial" w:eastAsia="Arial" w:hAnsi="Arial" w:cs="Arial"/>
          <w:sz w:val="21"/>
          <w:szCs w:val="21"/>
        </w:rPr>
        <w:t xml:space="preserve">a </w:t>
      </w:r>
      <w:r>
        <w:rPr>
          <w:rFonts w:ascii="Arial" w:eastAsia="Arial" w:hAnsi="Arial" w:cs="Arial"/>
          <w:i/>
          <w:iCs/>
          <w:sz w:val="21"/>
          <w:szCs w:val="21"/>
        </w:rPr>
        <w:t xml:space="preserve">las sociedades integrantes del grupo en los términos establecidos en el apartado 1 de este artículo, así </w:t>
      </w:r>
      <w:r>
        <w:rPr>
          <w:sz w:val="23"/>
          <w:szCs w:val="23"/>
        </w:rPr>
        <w:t xml:space="preserve">como a </w:t>
      </w:r>
      <w:r>
        <w:rPr>
          <w:rFonts w:ascii="Arial" w:eastAsia="Arial" w:hAnsi="Arial" w:cs="Arial"/>
          <w:i/>
          <w:iCs/>
          <w:sz w:val="21"/>
          <w:szCs w:val="21"/>
        </w:rPr>
        <w:t xml:space="preserve">cualquier empresa dominada por éstas, cualquiera que sea su forma jurídica </w:t>
      </w:r>
      <w:r>
        <w:rPr>
          <w:rFonts w:ascii="Arial" w:eastAsia="Arial" w:hAnsi="Arial" w:cs="Arial"/>
          <w:i/>
          <w:iCs/>
          <w:sz w:val="20"/>
          <w:szCs w:val="20"/>
        </w:rPr>
        <w:t xml:space="preserve">y </w:t>
      </w:r>
      <w:r>
        <w:rPr>
          <w:rFonts w:ascii="Arial" w:eastAsia="Arial" w:hAnsi="Arial" w:cs="Arial"/>
          <w:i/>
          <w:iCs/>
          <w:sz w:val="21"/>
          <w:szCs w:val="21"/>
        </w:rPr>
        <w:t xml:space="preserve">con independencia de su domicilio social. </w:t>
      </w:r>
    </w:p>
    <w:p w14:paraId="121415FD" w14:textId="77777777" w:rsidR="00E576C4" w:rsidRDefault="00E576C4" w:rsidP="00E576C4">
      <w:pPr>
        <w:pStyle w:val="Style"/>
        <w:spacing w:before="201" w:line="250" w:lineRule="exact"/>
        <w:ind w:left="715"/>
        <w:jc w:val="both"/>
        <w:textAlignment w:val="baseline"/>
      </w:pPr>
      <w:r>
        <w:rPr>
          <w:rFonts w:ascii="Arial" w:eastAsia="Arial" w:hAnsi="Arial" w:cs="Arial"/>
          <w:i/>
          <w:iCs/>
          <w:sz w:val="21"/>
          <w:szCs w:val="21"/>
        </w:rPr>
        <w:t xml:space="preserve">4. La junta general de la sociedad obligada </w:t>
      </w:r>
      <w:r>
        <w:rPr>
          <w:rFonts w:ascii="Arial" w:eastAsia="Arial" w:hAnsi="Arial" w:cs="Arial"/>
          <w:sz w:val="21"/>
          <w:szCs w:val="21"/>
        </w:rPr>
        <w:t xml:space="preserve">a </w:t>
      </w:r>
      <w:r>
        <w:rPr>
          <w:rFonts w:ascii="Arial" w:eastAsia="Arial" w:hAnsi="Arial" w:cs="Arial"/>
          <w:i/>
          <w:iCs/>
          <w:sz w:val="21"/>
          <w:szCs w:val="21"/>
        </w:rPr>
        <w:t xml:space="preserve">formular las cuentas anuales consolidadas deberá designar </w:t>
      </w:r>
      <w:r>
        <w:rPr>
          <w:rFonts w:ascii="Arial" w:eastAsia="Arial" w:hAnsi="Arial" w:cs="Arial"/>
          <w:sz w:val="21"/>
          <w:szCs w:val="21"/>
        </w:rPr>
        <w:t xml:space="preserve">a </w:t>
      </w:r>
      <w:r>
        <w:rPr>
          <w:rFonts w:ascii="Arial" w:eastAsia="Arial" w:hAnsi="Arial" w:cs="Arial"/>
          <w:i/>
          <w:iCs/>
          <w:sz w:val="21"/>
          <w:szCs w:val="21"/>
        </w:rPr>
        <w:t xml:space="preserve">los auditores de cuentas que habrán de controlar las cuentas anuales </w:t>
      </w:r>
      <w:r>
        <w:rPr>
          <w:rFonts w:ascii="Arial" w:eastAsia="Arial" w:hAnsi="Arial" w:cs="Arial"/>
          <w:i/>
          <w:iCs/>
          <w:sz w:val="20"/>
          <w:szCs w:val="20"/>
        </w:rPr>
        <w:t xml:space="preserve">y </w:t>
      </w:r>
      <w:r>
        <w:rPr>
          <w:rFonts w:ascii="Arial" w:eastAsia="Arial" w:hAnsi="Arial" w:cs="Arial"/>
          <w:i/>
          <w:iCs/>
          <w:sz w:val="21"/>
          <w:szCs w:val="21"/>
        </w:rPr>
        <w:t xml:space="preserve">el informe de gestión del grupo. Los auditores verificarán la concordancia del informe </w:t>
      </w:r>
      <w:r>
        <w:rPr>
          <w:rFonts w:ascii="Arial" w:eastAsia="Arial" w:hAnsi="Arial" w:cs="Arial"/>
          <w:i/>
          <w:iCs/>
          <w:sz w:val="21"/>
          <w:szCs w:val="21"/>
        </w:rPr>
        <w:lastRenderedPageBreak/>
        <w:t xml:space="preserve">de gestión con las cuentas anuales consolidadas. </w:t>
      </w:r>
    </w:p>
    <w:p w14:paraId="279C53E4" w14:textId="77777777" w:rsidR="00E576C4" w:rsidRDefault="00E576C4" w:rsidP="00E576C4">
      <w:pPr>
        <w:pStyle w:val="Style"/>
        <w:spacing w:before="201" w:line="250" w:lineRule="exact"/>
        <w:ind w:left="715"/>
        <w:jc w:val="both"/>
        <w:textAlignment w:val="baseline"/>
      </w:pPr>
      <w:r>
        <w:rPr>
          <w:sz w:val="21"/>
          <w:szCs w:val="21"/>
        </w:rPr>
        <w:t xml:space="preserve">5. </w:t>
      </w:r>
      <w:r>
        <w:rPr>
          <w:rFonts w:ascii="Arial" w:eastAsia="Arial" w:hAnsi="Arial" w:cs="Arial"/>
          <w:i/>
          <w:iCs/>
          <w:sz w:val="21"/>
          <w:szCs w:val="21"/>
        </w:rPr>
        <w:t xml:space="preserve">Las cuentas consolidadas </w:t>
      </w:r>
      <w:r>
        <w:rPr>
          <w:rFonts w:ascii="Arial" w:eastAsia="Arial" w:hAnsi="Arial" w:cs="Arial"/>
          <w:i/>
          <w:iCs/>
          <w:sz w:val="20"/>
          <w:szCs w:val="20"/>
        </w:rPr>
        <w:t xml:space="preserve">y </w:t>
      </w:r>
      <w:r>
        <w:rPr>
          <w:rFonts w:ascii="Arial" w:eastAsia="Arial" w:hAnsi="Arial" w:cs="Arial"/>
          <w:i/>
          <w:iCs/>
          <w:sz w:val="21"/>
          <w:szCs w:val="21"/>
        </w:rPr>
        <w:t xml:space="preserve">el informe de gestión del grupo habrán de someterse </w:t>
      </w:r>
      <w:r>
        <w:rPr>
          <w:rFonts w:ascii="Arial" w:eastAsia="Arial" w:hAnsi="Arial" w:cs="Arial"/>
          <w:sz w:val="21"/>
          <w:szCs w:val="21"/>
        </w:rPr>
        <w:t xml:space="preserve">a </w:t>
      </w:r>
      <w:r>
        <w:rPr>
          <w:rFonts w:ascii="Arial" w:eastAsia="Arial" w:hAnsi="Arial" w:cs="Arial"/>
          <w:i/>
          <w:iCs/>
          <w:sz w:val="21"/>
          <w:szCs w:val="21"/>
        </w:rPr>
        <w:t xml:space="preserve">la aprobación de la junta general de la sociedad obligada </w:t>
      </w:r>
      <w:r>
        <w:rPr>
          <w:rFonts w:ascii="Arial" w:eastAsia="Arial" w:hAnsi="Arial" w:cs="Arial"/>
          <w:sz w:val="21"/>
          <w:szCs w:val="21"/>
        </w:rPr>
        <w:t xml:space="preserve">a </w:t>
      </w:r>
      <w:r>
        <w:rPr>
          <w:rFonts w:ascii="Arial" w:eastAsia="Arial" w:hAnsi="Arial" w:cs="Arial"/>
          <w:i/>
          <w:iCs/>
          <w:sz w:val="21"/>
          <w:szCs w:val="21"/>
        </w:rPr>
        <w:t xml:space="preserve">consolidar simultáneamente con las cuentas anuales de esta sociedad. Los socios de las sociedades pertenecientes al grupo podrán obtener de la sociedad obligada </w:t>
      </w:r>
      <w:r>
        <w:rPr>
          <w:rFonts w:ascii="Arial" w:eastAsia="Arial" w:hAnsi="Arial" w:cs="Arial"/>
          <w:sz w:val="21"/>
          <w:szCs w:val="21"/>
        </w:rPr>
        <w:t xml:space="preserve">a </w:t>
      </w:r>
      <w:r>
        <w:rPr>
          <w:rFonts w:ascii="Arial" w:eastAsia="Arial" w:hAnsi="Arial" w:cs="Arial"/>
          <w:i/>
          <w:iCs/>
          <w:sz w:val="21"/>
          <w:szCs w:val="21"/>
        </w:rPr>
        <w:t xml:space="preserve">formular las cuentas anuales consolidadas los documentos sometidos </w:t>
      </w:r>
      <w:r>
        <w:rPr>
          <w:sz w:val="23"/>
          <w:szCs w:val="23"/>
        </w:rPr>
        <w:t xml:space="preserve">a </w:t>
      </w:r>
      <w:r>
        <w:rPr>
          <w:rFonts w:ascii="Arial" w:eastAsia="Arial" w:hAnsi="Arial" w:cs="Arial"/>
          <w:i/>
          <w:iCs/>
          <w:sz w:val="21"/>
          <w:szCs w:val="21"/>
        </w:rPr>
        <w:t xml:space="preserve">la aprobación de la Junta, así </w:t>
      </w:r>
      <w:r>
        <w:rPr>
          <w:sz w:val="23"/>
          <w:szCs w:val="23"/>
        </w:rPr>
        <w:t xml:space="preserve">como </w:t>
      </w:r>
      <w:r>
        <w:rPr>
          <w:rFonts w:ascii="Arial" w:eastAsia="Arial" w:hAnsi="Arial" w:cs="Arial"/>
          <w:i/>
          <w:iCs/>
          <w:sz w:val="21"/>
          <w:szCs w:val="21"/>
        </w:rPr>
        <w:t xml:space="preserve">el informe de gestión del grupo </w:t>
      </w:r>
      <w:r>
        <w:rPr>
          <w:rFonts w:ascii="Arial" w:eastAsia="Arial" w:hAnsi="Arial" w:cs="Arial"/>
          <w:i/>
          <w:iCs/>
          <w:sz w:val="20"/>
          <w:szCs w:val="20"/>
        </w:rPr>
        <w:t xml:space="preserve">y </w:t>
      </w:r>
      <w:r>
        <w:rPr>
          <w:rFonts w:ascii="Arial" w:eastAsia="Arial" w:hAnsi="Arial" w:cs="Arial"/>
          <w:i/>
          <w:iCs/>
          <w:sz w:val="21"/>
          <w:szCs w:val="21"/>
        </w:rPr>
        <w:t xml:space="preserve">el informe de los auditores. El depósito de las cuentas consolidadas, del informe de gestión del grupo </w:t>
      </w:r>
      <w:r>
        <w:rPr>
          <w:rFonts w:ascii="Arial" w:eastAsia="Arial" w:hAnsi="Arial" w:cs="Arial"/>
          <w:i/>
          <w:iCs/>
          <w:sz w:val="20"/>
          <w:szCs w:val="20"/>
        </w:rPr>
        <w:t xml:space="preserve">y </w:t>
      </w:r>
      <w:r>
        <w:rPr>
          <w:rFonts w:ascii="Arial" w:eastAsia="Arial" w:hAnsi="Arial" w:cs="Arial"/>
          <w:i/>
          <w:iCs/>
          <w:sz w:val="21"/>
          <w:szCs w:val="21"/>
        </w:rPr>
        <w:t xml:space="preserve">del informe de los auditores de cuentas en el Registro Mercantil </w:t>
      </w:r>
      <w:r>
        <w:rPr>
          <w:rFonts w:ascii="Arial" w:eastAsia="Arial" w:hAnsi="Arial" w:cs="Arial"/>
          <w:i/>
          <w:iCs/>
          <w:sz w:val="20"/>
          <w:szCs w:val="20"/>
        </w:rPr>
        <w:t xml:space="preserve">y </w:t>
      </w:r>
      <w:r>
        <w:rPr>
          <w:rFonts w:ascii="Arial" w:eastAsia="Arial" w:hAnsi="Arial" w:cs="Arial"/>
          <w:i/>
          <w:iCs/>
          <w:sz w:val="21"/>
          <w:szCs w:val="21"/>
        </w:rPr>
        <w:t xml:space="preserve">la publicación </w:t>
      </w:r>
      <w:proofErr w:type="gramStart"/>
      <w:r>
        <w:rPr>
          <w:rFonts w:ascii="Arial" w:eastAsia="Arial" w:hAnsi="Arial" w:cs="Arial"/>
          <w:i/>
          <w:iCs/>
          <w:sz w:val="21"/>
          <w:szCs w:val="21"/>
        </w:rPr>
        <w:t>del mismo</w:t>
      </w:r>
      <w:proofErr w:type="gramEnd"/>
      <w:r>
        <w:rPr>
          <w:rFonts w:ascii="Arial" w:eastAsia="Arial" w:hAnsi="Arial" w:cs="Arial"/>
          <w:i/>
          <w:iCs/>
          <w:sz w:val="21"/>
          <w:szCs w:val="21"/>
        </w:rPr>
        <w:t xml:space="preserve"> se efectuarán de conformidad con lo establecido para las cuentas anuales de las sociedades anónimas. </w:t>
      </w:r>
    </w:p>
    <w:p w14:paraId="334B2885" w14:textId="77777777" w:rsidR="00E576C4" w:rsidRDefault="00E576C4" w:rsidP="00E576C4">
      <w:pPr>
        <w:pStyle w:val="Style"/>
        <w:spacing w:line="620" w:lineRule="atLeast"/>
        <w:rPr>
          <w:sz w:val="31"/>
          <w:szCs w:val="31"/>
        </w:rPr>
      </w:pPr>
    </w:p>
    <w:p w14:paraId="655E5639" w14:textId="77777777" w:rsidR="00E576C4" w:rsidRPr="0070021D" w:rsidRDefault="00E576C4" w:rsidP="00E576C4">
      <w:pPr>
        <w:pStyle w:val="Style"/>
        <w:spacing w:line="250" w:lineRule="exact"/>
        <w:ind w:left="5"/>
        <w:jc w:val="both"/>
        <w:textAlignment w:val="baseline"/>
        <w:rPr>
          <w:rFonts w:ascii="Arial" w:eastAsia="Arial" w:hAnsi="Arial" w:cs="Arial"/>
          <w:sz w:val="21"/>
          <w:szCs w:val="21"/>
        </w:rPr>
      </w:pPr>
      <w:r>
        <w:rPr>
          <w:rFonts w:ascii="Arial" w:eastAsia="Arial" w:hAnsi="Arial" w:cs="Arial"/>
          <w:sz w:val="21"/>
          <w:szCs w:val="21"/>
        </w:rPr>
        <w:t xml:space="preserve">Existiendo un grupo de empresas, constituye un error proceder a presentar un sumatorio de los resultados del ejercicio que figuran en las cuentas individuales de cada una de las sociedades públicas que integran el grupo empresarial pues desde el ámbito mercantil, como ha quedado acreditado, la normativa exige que se aprueben unas cuentas consolidadas en la que figura el resultado consolidado de todas las sociedades integrantes del grupo, debiendo reflejar el dato que figura en dicho documento </w:t>
      </w:r>
      <w:r>
        <w:rPr>
          <w:rFonts w:ascii="Arial" w:eastAsia="Arial" w:hAnsi="Arial" w:cs="Arial"/>
          <w:sz w:val="19"/>
          <w:szCs w:val="19"/>
        </w:rPr>
        <w:t xml:space="preserve">y </w:t>
      </w:r>
      <w:r>
        <w:rPr>
          <w:rFonts w:ascii="Arial" w:eastAsia="Arial" w:hAnsi="Arial" w:cs="Arial"/>
          <w:sz w:val="21"/>
          <w:szCs w:val="21"/>
        </w:rPr>
        <w:t xml:space="preserve">no el </w:t>
      </w:r>
      <w:proofErr w:type="spellStart"/>
      <w:r>
        <w:rPr>
          <w:rFonts w:ascii="Arial" w:eastAsia="Arial" w:hAnsi="Arial" w:cs="Arial"/>
          <w:sz w:val="21"/>
          <w:szCs w:val="21"/>
        </w:rPr>
        <w:t>sumatario</w:t>
      </w:r>
      <w:proofErr w:type="spellEnd"/>
      <w:r>
        <w:rPr>
          <w:rFonts w:ascii="Arial" w:eastAsia="Arial" w:hAnsi="Arial" w:cs="Arial"/>
          <w:sz w:val="21"/>
          <w:szCs w:val="21"/>
        </w:rPr>
        <w:t xml:space="preserve"> realizado en el borrador del informe. </w:t>
      </w:r>
    </w:p>
    <w:p w14:paraId="6F1EB5BA" w14:textId="77777777" w:rsidR="00E576C4" w:rsidRDefault="00E576C4" w:rsidP="00E576C4">
      <w:pPr>
        <w:pStyle w:val="Style"/>
        <w:spacing w:before="196" w:line="254" w:lineRule="exact"/>
        <w:ind w:left="5"/>
        <w:jc w:val="both"/>
        <w:textAlignment w:val="baseline"/>
      </w:pPr>
      <w:r>
        <w:rPr>
          <w:rFonts w:ascii="Arial" w:eastAsia="Arial" w:hAnsi="Arial" w:cs="Arial"/>
          <w:sz w:val="21"/>
          <w:szCs w:val="21"/>
        </w:rPr>
        <w:t xml:space="preserve">De conformidad a las cuentas consolidadas, auditadas e inscritas en el Registro Mercantil de Navarra, las cuales están a disposición en la página web del Gobierno de Navarra </w:t>
      </w:r>
      <w:r>
        <w:rPr>
          <w:rFonts w:ascii="Arial" w:eastAsia="Arial" w:hAnsi="Arial" w:cs="Arial"/>
          <w:sz w:val="19"/>
          <w:szCs w:val="19"/>
        </w:rPr>
        <w:t xml:space="preserve">y </w:t>
      </w:r>
      <w:r>
        <w:rPr>
          <w:rFonts w:ascii="Arial" w:eastAsia="Arial" w:hAnsi="Arial" w:cs="Arial"/>
          <w:sz w:val="21"/>
          <w:szCs w:val="21"/>
        </w:rPr>
        <w:t xml:space="preserve">en la de CPEN, el resultado consolidado del ejercicio asciende a la cifra negativa de 5.501.51 O euros. </w:t>
      </w:r>
    </w:p>
    <w:p w14:paraId="082E856D" w14:textId="77777777" w:rsidR="00E576C4" w:rsidRDefault="00E576C4" w:rsidP="00E576C4">
      <w:pPr>
        <w:pStyle w:val="Style"/>
        <w:spacing w:line="620" w:lineRule="atLeast"/>
        <w:rPr>
          <w:sz w:val="31"/>
          <w:szCs w:val="31"/>
        </w:rPr>
      </w:pPr>
    </w:p>
    <w:p w14:paraId="7BC16CF4" w14:textId="77777777" w:rsidR="00E576C4" w:rsidRDefault="00E576C4" w:rsidP="00E576C4">
      <w:pPr>
        <w:pStyle w:val="Style"/>
        <w:spacing w:line="259" w:lineRule="exact"/>
        <w:textAlignment w:val="baseline"/>
      </w:pPr>
      <w:r>
        <w:rPr>
          <w:rFonts w:ascii="Arial" w:eastAsia="Arial" w:hAnsi="Arial" w:cs="Arial"/>
          <w:b/>
          <w:sz w:val="21"/>
          <w:szCs w:val="21"/>
          <w:u w:val="single"/>
        </w:rPr>
        <w:t xml:space="preserve">SEGUNDA.- Página 100 (apartado 5.12 Sociedades Públicas </w:t>
      </w:r>
      <w:r>
        <w:rPr>
          <w:rFonts w:ascii="Arial" w:eastAsia="Arial" w:hAnsi="Arial" w:cs="Arial"/>
          <w:b/>
          <w:sz w:val="20"/>
          <w:szCs w:val="20"/>
          <w:u w:val="single"/>
        </w:rPr>
        <w:t xml:space="preserve">y </w:t>
      </w:r>
      <w:r>
        <w:rPr>
          <w:rFonts w:ascii="Arial" w:eastAsia="Arial" w:hAnsi="Arial" w:cs="Arial"/>
          <w:b/>
          <w:sz w:val="21"/>
          <w:szCs w:val="21"/>
          <w:u w:val="single"/>
        </w:rPr>
        <w:t xml:space="preserve">Fundaciones Públicas) </w:t>
      </w:r>
    </w:p>
    <w:p w14:paraId="467DBBFC" w14:textId="77777777" w:rsidR="00E576C4" w:rsidRDefault="00E576C4" w:rsidP="00E576C4">
      <w:pPr>
        <w:pStyle w:val="Style"/>
        <w:spacing w:line="620" w:lineRule="atLeast"/>
        <w:rPr>
          <w:sz w:val="31"/>
          <w:szCs w:val="31"/>
        </w:rPr>
      </w:pPr>
    </w:p>
    <w:p w14:paraId="60A18963" w14:textId="77777777" w:rsidR="00E576C4" w:rsidRDefault="00E576C4" w:rsidP="00E576C4">
      <w:pPr>
        <w:pStyle w:val="Style"/>
        <w:spacing w:line="226" w:lineRule="exact"/>
        <w:ind w:left="14"/>
        <w:textAlignment w:val="baseline"/>
      </w:pPr>
      <w:r>
        <w:rPr>
          <w:rFonts w:ascii="Arial" w:eastAsia="Arial" w:hAnsi="Arial" w:cs="Arial"/>
          <w:sz w:val="21"/>
          <w:szCs w:val="21"/>
        </w:rPr>
        <w:t xml:space="preserve">El informe provisional se dispone </w:t>
      </w:r>
    </w:p>
    <w:p w14:paraId="302088D0" w14:textId="77777777" w:rsidR="00E576C4" w:rsidRDefault="00E576C4" w:rsidP="00E576C4">
      <w:pPr>
        <w:pStyle w:val="Style"/>
        <w:spacing w:line="620" w:lineRule="atLeast"/>
        <w:rPr>
          <w:sz w:val="31"/>
          <w:szCs w:val="31"/>
        </w:rPr>
      </w:pPr>
    </w:p>
    <w:p w14:paraId="6B2D51FA" w14:textId="77777777" w:rsidR="00E576C4" w:rsidRDefault="00E576C4" w:rsidP="00E576C4">
      <w:pPr>
        <w:pStyle w:val="Style"/>
        <w:spacing w:line="254" w:lineRule="exact"/>
        <w:ind w:left="715"/>
        <w:jc w:val="both"/>
        <w:textAlignment w:val="baseline"/>
      </w:pPr>
      <w:r>
        <w:rPr>
          <w:rFonts w:ascii="Arial" w:eastAsia="Arial" w:hAnsi="Arial" w:cs="Arial"/>
          <w:sz w:val="21"/>
          <w:szCs w:val="21"/>
        </w:rPr>
        <w:t xml:space="preserve">• </w:t>
      </w:r>
      <w:r>
        <w:rPr>
          <w:rFonts w:ascii="Arial" w:eastAsia="Arial" w:hAnsi="Arial" w:cs="Arial"/>
          <w:i/>
          <w:iCs/>
          <w:sz w:val="21"/>
          <w:szCs w:val="21"/>
        </w:rPr>
        <w:t xml:space="preserve">En la sociedad pública </w:t>
      </w:r>
      <w:proofErr w:type="spellStart"/>
      <w:r>
        <w:rPr>
          <w:rFonts w:ascii="Arial" w:eastAsia="Arial" w:hAnsi="Arial" w:cs="Arial"/>
          <w:i/>
          <w:iCs/>
          <w:sz w:val="21"/>
          <w:szCs w:val="21"/>
        </w:rPr>
        <w:t>Bídean</w:t>
      </w:r>
      <w:proofErr w:type="spellEnd"/>
      <w:r>
        <w:rPr>
          <w:rFonts w:ascii="Arial" w:eastAsia="Arial" w:hAnsi="Arial" w:cs="Arial"/>
          <w:i/>
          <w:iCs/>
          <w:sz w:val="21"/>
          <w:szCs w:val="21"/>
        </w:rPr>
        <w:t xml:space="preserve">, cuenta con un gerente, </w:t>
      </w:r>
      <w:r>
        <w:rPr>
          <w:rFonts w:ascii="Arial" w:eastAsia="Arial" w:hAnsi="Arial" w:cs="Arial"/>
          <w:i/>
          <w:iCs/>
          <w:sz w:val="20"/>
          <w:szCs w:val="20"/>
        </w:rPr>
        <w:t xml:space="preserve">y </w:t>
      </w:r>
      <w:r>
        <w:rPr>
          <w:rFonts w:ascii="Arial" w:eastAsia="Arial" w:hAnsi="Arial" w:cs="Arial"/>
          <w:i/>
          <w:iCs/>
          <w:sz w:val="21"/>
          <w:szCs w:val="21"/>
        </w:rPr>
        <w:t xml:space="preserve">se tiene previsto subrogar, tal </w:t>
      </w:r>
      <w:r>
        <w:rPr>
          <w:rFonts w:ascii="Arial" w:eastAsia="Arial" w:hAnsi="Arial" w:cs="Arial"/>
          <w:i/>
          <w:iCs/>
          <w:sz w:val="20"/>
          <w:szCs w:val="20"/>
        </w:rPr>
        <w:t xml:space="preserve">y </w:t>
      </w:r>
      <w:r>
        <w:rPr>
          <w:rFonts w:ascii="Arial" w:eastAsia="Arial" w:hAnsi="Arial" w:cs="Arial"/>
          <w:i/>
          <w:iCs/>
          <w:sz w:val="21"/>
          <w:szCs w:val="21"/>
        </w:rPr>
        <w:t xml:space="preserve">como consta más adelante 392 trabajadores de las empresas que actualmente prestan el servicio mediante un contrato de servicios, lo que incrementará notablemente las cifras de personal. </w:t>
      </w:r>
    </w:p>
    <w:p w14:paraId="44AEC96C" w14:textId="77777777" w:rsidR="00E576C4" w:rsidRDefault="00E576C4" w:rsidP="00E576C4">
      <w:pPr>
        <w:pStyle w:val="Style"/>
        <w:spacing w:line="620" w:lineRule="atLeast"/>
        <w:rPr>
          <w:sz w:val="31"/>
          <w:szCs w:val="31"/>
        </w:rPr>
      </w:pPr>
    </w:p>
    <w:p w14:paraId="007219C4" w14:textId="77777777" w:rsidR="00E576C4" w:rsidRDefault="00E576C4" w:rsidP="00E576C4">
      <w:pPr>
        <w:pStyle w:val="Style"/>
        <w:spacing w:line="250" w:lineRule="exact"/>
        <w:jc w:val="both"/>
        <w:textAlignment w:val="baseline"/>
      </w:pPr>
      <w:r>
        <w:rPr>
          <w:rFonts w:ascii="Arial" w:eastAsia="Arial" w:hAnsi="Arial" w:cs="Arial"/>
          <w:sz w:val="21"/>
          <w:szCs w:val="21"/>
        </w:rPr>
        <w:t xml:space="preserve">A fecha de emisión del informe provisional la sociedad pública Transporte Sanitario de Navarra </w:t>
      </w:r>
      <w:proofErr w:type="spellStart"/>
      <w:r>
        <w:rPr>
          <w:rFonts w:ascii="Arial" w:eastAsia="Arial" w:hAnsi="Arial" w:cs="Arial"/>
          <w:sz w:val="21"/>
          <w:szCs w:val="21"/>
        </w:rPr>
        <w:t>Bidean</w:t>
      </w:r>
      <w:proofErr w:type="spellEnd"/>
      <w:r>
        <w:rPr>
          <w:rFonts w:ascii="Arial" w:eastAsia="Arial" w:hAnsi="Arial" w:cs="Arial"/>
          <w:sz w:val="21"/>
          <w:szCs w:val="21"/>
        </w:rPr>
        <w:t xml:space="preserve">, S.L. cuenta con un director gerente (con contrato de alta dirección) </w:t>
      </w:r>
      <w:r>
        <w:rPr>
          <w:rFonts w:ascii="Arial" w:eastAsia="Arial" w:hAnsi="Arial" w:cs="Arial"/>
          <w:sz w:val="19"/>
          <w:szCs w:val="19"/>
        </w:rPr>
        <w:t xml:space="preserve">y </w:t>
      </w:r>
      <w:r>
        <w:rPr>
          <w:rFonts w:ascii="Arial" w:eastAsia="Arial" w:hAnsi="Arial" w:cs="Arial"/>
          <w:sz w:val="21"/>
          <w:szCs w:val="21"/>
        </w:rPr>
        <w:t xml:space="preserve">cinco personas trabajadoras (con contrato laboral). </w:t>
      </w:r>
    </w:p>
    <w:p w14:paraId="34532C66" w14:textId="77777777" w:rsidR="00E576C4" w:rsidRDefault="00E576C4" w:rsidP="00E576C4">
      <w:pPr>
        <w:pStyle w:val="Style"/>
        <w:spacing w:line="620" w:lineRule="atLeast"/>
        <w:rPr>
          <w:sz w:val="31"/>
          <w:szCs w:val="31"/>
        </w:rPr>
      </w:pPr>
    </w:p>
    <w:p w14:paraId="75DB27BC" w14:textId="77777777" w:rsidR="00E576C4" w:rsidRDefault="00E576C4" w:rsidP="00E576C4">
      <w:pPr>
        <w:pStyle w:val="Style"/>
        <w:spacing w:line="259" w:lineRule="exact"/>
        <w:textAlignment w:val="baseline"/>
      </w:pPr>
      <w:r>
        <w:rPr>
          <w:rFonts w:ascii="Arial" w:eastAsia="Arial" w:hAnsi="Arial" w:cs="Arial"/>
          <w:b/>
          <w:sz w:val="21"/>
          <w:szCs w:val="21"/>
          <w:u w:val="single"/>
        </w:rPr>
        <w:t xml:space="preserve">TERCERA.- Página 101 (apartado 5.12 Sociedades Públicas </w:t>
      </w:r>
      <w:r>
        <w:rPr>
          <w:rFonts w:ascii="Arial" w:eastAsia="Arial" w:hAnsi="Arial" w:cs="Arial"/>
          <w:b/>
          <w:sz w:val="20"/>
          <w:szCs w:val="20"/>
          <w:u w:val="single"/>
        </w:rPr>
        <w:t xml:space="preserve">y </w:t>
      </w:r>
      <w:r>
        <w:rPr>
          <w:rFonts w:ascii="Arial" w:eastAsia="Arial" w:hAnsi="Arial" w:cs="Arial"/>
          <w:b/>
          <w:sz w:val="21"/>
          <w:szCs w:val="21"/>
          <w:u w:val="single"/>
        </w:rPr>
        <w:t xml:space="preserve">Fundaciones Públicas) </w:t>
      </w:r>
    </w:p>
    <w:p w14:paraId="7390451A" w14:textId="77777777" w:rsidR="00E576C4" w:rsidRDefault="00E576C4" w:rsidP="00E576C4">
      <w:pPr>
        <w:pStyle w:val="Style"/>
        <w:spacing w:line="620" w:lineRule="atLeast"/>
        <w:rPr>
          <w:sz w:val="31"/>
          <w:szCs w:val="31"/>
        </w:rPr>
      </w:pPr>
    </w:p>
    <w:p w14:paraId="00B7EAF7" w14:textId="77777777" w:rsidR="00E576C4" w:rsidRDefault="00E576C4" w:rsidP="00E576C4">
      <w:pPr>
        <w:pStyle w:val="Style"/>
        <w:spacing w:line="226" w:lineRule="exact"/>
        <w:ind w:left="14"/>
        <w:textAlignment w:val="baseline"/>
      </w:pPr>
      <w:r>
        <w:rPr>
          <w:rFonts w:ascii="Arial" w:eastAsia="Arial" w:hAnsi="Arial" w:cs="Arial"/>
          <w:sz w:val="21"/>
          <w:szCs w:val="21"/>
        </w:rPr>
        <w:t xml:space="preserve">En el borrador se dispone </w:t>
      </w:r>
    </w:p>
    <w:p w14:paraId="2ABDA43A" w14:textId="77777777" w:rsidR="00E576C4" w:rsidRDefault="00E576C4" w:rsidP="00E576C4">
      <w:pPr>
        <w:pStyle w:val="Style"/>
        <w:spacing w:line="420" w:lineRule="atLeast"/>
        <w:rPr>
          <w:sz w:val="21"/>
          <w:szCs w:val="21"/>
        </w:rPr>
      </w:pPr>
    </w:p>
    <w:p w14:paraId="48521C23" w14:textId="77777777" w:rsidR="00E576C4" w:rsidRDefault="00E576C4" w:rsidP="00E576C4">
      <w:pPr>
        <w:pStyle w:val="Style"/>
        <w:spacing w:line="254" w:lineRule="exact"/>
        <w:ind w:left="715" w:right="34"/>
        <w:textAlignment w:val="baseline"/>
      </w:pPr>
      <w:r>
        <w:rPr>
          <w:rFonts w:ascii="Arial" w:eastAsia="Arial" w:hAnsi="Arial" w:cs="Arial"/>
          <w:sz w:val="21"/>
          <w:szCs w:val="21"/>
        </w:rPr>
        <w:lastRenderedPageBreak/>
        <w:t xml:space="preserve">• </w:t>
      </w:r>
      <w:r>
        <w:rPr>
          <w:rFonts w:ascii="Arial" w:eastAsia="Arial" w:hAnsi="Arial" w:cs="Arial"/>
          <w:i/>
          <w:iCs/>
          <w:sz w:val="21"/>
          <w:szCs w:val="21"/>
        </w:rPr>
        <w:t xml:space="preserve">Las subvenciones recibidas de la ACFN en 2023 suman 40,89 mí/Iones, importe superior al de 2022 en un 116 por ciento. </w:t>
      </w:r>
    </w:p>
    <w:p w14:paraId="110E529B" w14:textId="77777777" w:rsidR="00E576C4" w:rsidRDefault="00E576C4" w:rsidP="00E576C4">
      <w:pPr>
        <w:pStyle w:val="Style"/>
        <w:spacing w:line="1" w:lineRule="atLeast"/>
      </w:pPr>
    </w:p>
    <w:p w14:paraId="6D83C50B" w14:textId="77777777" w:rsidR="00E576C4" w:rsidRDefault="00E576C4" w:rsidP="00E576C4">
      <w:pPr>
        <w:pStyle w:val="Style"/>
        <w:spacing w:line="254" w:lineRule="exact"/>
        <w:ind w:right="24"/>
        <w:jc w:val="both"/>
        <w:textAlignment w:val="baseline"/>
      </w:pPr>
      <w:r>
        <w:rPr>
          <w:rFonts w:ascii="Arial" w:eastAsia="Arial" w:hAnsi="Arial" w:cs="Arial"/>
          <w:sz w:val="21"/>
          <w:szCs w:val="21"/>
        </w:rPr>
        <w:t xml:space="preserve">La terminología correcta, en nuestra </w:t>
      </w:r>
      <w:proofErr w:type="spellStart"/>
      <w:r>
        <w:rPr>
          <w:rFonts w:ascii="Arial" w:eastAsia="Arial" w:hAnsi="Arial" w:cs="Arial"/>
          <w:sz w:val="21"/>
          <w:szCs w:val="21"/>
        </w:rPr>
        <w:t>opiruon</w:t>
      </w:r>
      <w:proofErr w:type="spellEnd"/>
      <w:r>
        <w:rPr>
          <w:rFonts w:ascii="Arial" w:eastAsia="Arial" w:hAnsi="Arial" w:cs="Arial"/>
          <w:sz w:val="21"/>
          <w:szCs w:val="21"/>
        </w:rPr>
        <w:t xml:space="preserve">, sería "transferencias corrientes" o "aportaciones dinerarias", no subvenciones, teniendo en cuenta lo que prevé el artículo 2.2 de la Ley Foral 11/2005, de Subvenciones. </w:t>
      </w:r>
    </w:p>
    <w:p w14:paraId="732B34CC" w14:textId="77777777" w:rsidR="00E576C4" w:rsidRDefault="00E576C4" w:rsidP="00E576C4">
      <w:pPr>
        <w:pStyle w:val="Style"/>
        <w:spacing w:line="620" w:lineRule="atLeast"/>
        <w:rPr>
          <w:sz w:val="31"/>
          <w:szCs w:val="31"/>
        </w:rPr>
      </w:pPr>
    </w:p>
    <w:p w14:paraId="5B957569" w14:textId="77777777" w:rsidR="00E576C4" w:rsidRDefault="00E576C4" w:rsidP="00E576C4">
      <w:pPr>
        <w:pStyle w:val="Style"/>
        <w:spacing w:line="254" w:lineRule="exact"/>
        <w:ind w:left="710" w:right="24"/>
        <w:jc w:val="both"/>
        <w:textAlignment w:val="baseline"/>
      </w:pPr>
      <w:r>
        <w:rPr>
          <w:rFonts w:ascii="Arial" w:eastAsia="Arial" w:hAnsi="Arial" w:cs="Arial"/>
          <w:sz w:val="21"/>
          <w:szCs w:val="21"/>
        </w:rPr>
        <w:t xml:space="preserve">2. No están comprendidas en el ámbito de aplicación de esta ley foral las aportaciones dinerarias a entidades integrantes del sector público cuyos presupuestos se integren en los Presupuestos Generales de Navarra, tanto si se destinan a financiar globalmente su actividad como a la realización de actuaciones concretas a desarrollar en el marco de las funciones que tengan atribuidas, siempre que no resulten de una convocatoria pública </w:t>
      </w:r>
    </w:p>
    <w:p w14:paraId="0FC62E5D" w14:textId="77777777" w:rsidR="00E576C4" w:rsidRDefault="00E576C4" w:rsidP="00E576C4">
      <w:pPr>
        <w:pStyle w:val="Style"/>
        <w:spacing w:line="620" w:lineRule="atLeast"/>
        <w:rPr>
          <w:sz w:val="31"/>
          <w:szCs w:val="31"/>
        </w:rPr>
      </w:pPr>
    </w:p>
    <w:p w14:paraId="40ED6ADF" w14:textId="77777777" w:rsidR="00E576C4" w:rsidRDefault="00E576C4" w:rsidP="00E576C4">
      <w:pPr>
        <w:pStyle w:val="Style"/>
        <w:spacing w:line="254" w:lineRule="exact"/>
        <w:ind w:right="24"/>
        <w:textAlignment w:val="baseline"/>
      </w:pPr>
      <w:r>
        <w:rPr>
          <w:rFonts w:ascii="Arial" w:eastAsia="Arial" w:hAnsi="Arial" w:cs="Arial"/>
          <w:b/>
          <w:sz w:val="21"/>
          <w:szCs w:val="21"/>
          <w:u w:val="single"/>
        </w:rPr>
        <w:t xml:space="preserve">CUARTA.- Página 108 (apartado 5.12 Sociedades Públicas </w:t>
      </w:r>
      <w:r>
        <w:rPr>
          <w:b/>
          <w:sz w:val="22"/>
          <w:szCs w:val="22"/>
          <w:u w:val="single"/>
        </w:rPr>
        <w:t xml:space="preserve">y </w:t>
      </w:r>
      <w:r>
        <w:rPr>
          <w:rFonts w:ascii="Arial" w:eastAsia="Arial" w:hAnsi="Arial" w:cs="Arial"/>
          <w:b/>
          <w:sz w:val="21"/>
          <w:szCs w:val="21"/>
          <w:u w:val="single"/>
        </w:rPr>
        <w:t xml:space="preserve">Fundaciones Públicas) </w:t>
      </w:r>
    </w:p>
    <w:p w14:paraId="6F29B29E" w14:textId="77777777" w:rsidR="00E576C4" w:rsidRDefault="00E576C4" w:rsidP="00E576C4">
      <w:pPr>
        <w:pStyle w:val="Style"/>
        <w:spacing w:line="620" w:lineRule="atLeast"/>
        <w:rPr>
          <w:sz w:val="31"/>
          <w:szCs w:val="31"/>
        </w:rPr>
      </w:pPr>
    </w:p>
    <w:p w14:paraId="2DB64DC9" w14:textId="77777777" w:rsidR="00E576C4" w:rsidRDefault="00E576C4" w:rsidP="00E576C4">
      <w:pPr>
        <w:pStyle w:val="Style"/>
        <w:spacing w:line="226" w:lineRule="exact"/>
        <w:ind w:left="5"/>
        <w:textAlignment w:val="baseline"/>
      </w:pPr>
      <w:r>
        <w:rPr>
          <w:rFonts w:ascii="Arial" w:eastAsia="Arial" w:hAnsi="Arial" w:cs="Arial"/>
          <w:sz w:val="21"/>
          <w:szCs w:val="21"/>
        </w:rPr>
        <w:t xml:space="preserve">En el borrador se dispone </w:t>
      </w:r>
    </w:p>
    <w:p w14:paraId="45D2F18F" w14:textId="77777777" w:rsidR="00E576C4" w:rsidRDefault="00E576C4" w:rsidP="00E576C4">
      <w:pPr>
        <w:pStyle w:val="Style"/>
        <w:spacing w:line="620" w:lineRule="atLeast"/>
        <w:rPr>
          <w:sz w:val="31"/>
          <w:szCs w:val="31"/>
        </w:rPr>
      </w:pPr>
    </w:p>
    <w:p w14:paraId="4889D71C" w14:textId="77777777" w:rsidR="00E576C4" w:rsidRDefault="00E576C4" w:rsidP="00E576C4">
      <w:pPr>
        <w:pStyle w:val="Style"/>
        <w:spacing w:line="254" w:lineRule="exact"/>
        <w:ind w:left="706"/>
        <w:jc w:val="both"/>
        <w:textAlignment w:val="baseline"/>
      </w:pPr>
      <w:r>
        <w:rPr>
          <w:rFonts w:ascii="Arial" w:eastAsia="Arial" w:hAnsi="Arial" w:cs="Arial"/>
          <w:i/>
          <w:iCs/>
          <w:sz w:val="21"/>
          <w:szCs w:val="21"/>
        </w:rPr>
        <w:t xml:space="preserve">"En esta instrucción, se definen los ámbitos de actuación de las citadas sociedades, los cuales, </w:t>
      </w:r>
      <w:r>
        <w:rPr>
          <w:rFonts w:ascii="Arial" w:eastAsia="Arial" w:hAnsi="Arial" w:cs="Arial"/>
          <w:sz w:val="21"/>
          <w:szCs w:val="21"/>
        </w:rPr>
        <w:t xml:space="preserve">a </w:t>
      </w:r>
      <w:r>
        <w:rPr>
          <w:rFonts w:ascii="Arial" w:eastAsia="Arial" w:hAnsi="Arial" w:cs="Arial"/>
          <w:i/>
          <w:iCs/>
          <w:sz w:val="21"/>
          <w:szCs w:val="21"/>
        </w:rPr>
        <w:t xml:space="preserve">nuestro juicio, no hacen sino reafirmarnos en que no hay diferencias esenciales entre ellas, es decir todo lo que está previsto para el IN/, entran en el ámbito de actuación de SODENA. </w:t>
      </w:r>
    </w:p>
    <w:p w14:paraId="6B0E370B" w14:textId="77777777" w:rsidR="00E576C4" w:rsidRDefault="00E576C4" w:rsidP="00E576C4">
      <w:pPr>
        <w:pStyle w:val="Style"/>
        <w:spacing w:line="640" w:lineRule="atLeast"/>
        <w:rPr>
          <w:sz w:val="32"/>
          <w:szCs w:val="32"/>
        </w:rPr>
      </w:pPr>
    </w:p>
    <w:p w14:paraId="1B629417" w14:textId="77777777" w:rsidR="00E576C4" w:rsidRDefault="00E576C4" w:rsidP="00E576C4">
      <w:pPr>
        <w:pStyle w:val="Style"/>
        <w:spacing w:line="259" w:lineRule="exact"/>
        <w:ind w:left="715"/>
        <w:textAlignment w:val="baseline"/>
      </w:pPr>
      <w:r>
        <w:rPr>
          <w:rFonts w:ascii="Arial" w:eastAsia="Arial" w:hAnsi="Arial" w:cs="Arial"/>
          <w:i/>
          <w:iCs/>
          <w:sz w:val="21"/>
          <w:szCs w:val="21"/>
        </w:rPr>
        <w:t xml:space="preserve">Sobre los apoyos financieros que contempla la citada instrucción, se establecen los importes mínimos y máximos de acuerdo al siguiente reparto: </w:t>
      </w:r>
    </w:p>
    <w:p w14:paraId="2FD7E9D5" w14:textId="77777777" w:rsidR="00E576C4" w:rsidRDefault="00E576C4" w:rsidP="00E576C4">
      <w:pPr>
        <w:pStyle w:val="Style"/>
        <w:spacing w:before="191" w:line="254" w:lineRule="exact"/>
        <w:ind w:left="710" w:right="24"/>
        <w:textAlignment w:val="baseline"/>
      </w:pPr>
      <w:r>
        <w:rPr>
          <w:rFonts w:ascii="Arial" w:eastAsia="Arial" w:hAnsi="Arial" w:cs="Arial"/>
          <w:sz w:val="21"/>
          <w:szCs w:val="21"/>
        </w:rPr>
        <w:t xml:space="preserve">- </w:t>
      </w:r>
      <w:r>
        <w:rPr>
          <w:rFonts w:ascii="Arial" w:eastAsia="Arial" w:hAnsi="Arial" w:cs="Arial"/>
          <w:i/>
          <w:iCs/>
          <w:sz w:val="21"/>
          <w:szCs w:val="21"/>
        </w:rPr>
        <w:t xml:space="preserve">"INI: Importe mínimo del apoyo financiero: cinco millones por operación. No intervención en empresas en crisis ni coberturas de riesgos financieros. </w:t>
      </w:r>
    </w:p>
    <w:p w14:paraId="0932620E" w14:textId="77777777" w:rsidR="00E576C4" w:rsidRDefault="00E576C4" w:rsidP="00E576C4">
      <w:pPr>
        <w:pStyle w:val="Style"/>
        <w:spacing w:before="196" w:line="254" w:lineRule="exact"/>
        <w:ind w:left="715"/>
        <w:jc w:val="both"/>
        <w:textAlignment w:val="baseline"/>
      </w:pPr>
      <w:r>
        <w:rPr>
          <w:rFonts w:ascii="Arial" w:eastAsia="Arial" w:hAnsi="Arial" w:cs="Arial"/>
          <w:sz w:val="21"/>
          <w:szCs w:val="21"/>
        </w:rPr>
        <w:t xml:space="preserve">- </w:t>
      </w:r>
      <w:r>
        <w:rPr>
          <w:rFonts w:ascii="Arial" w:eastAsia="Arial" w:hAnsi="Arial" w:cs="Arial"/>
          <w:i/>
          <w:iCs/>
          <w:sz w:val="21"/>
          <w:szCs w:val="21"/>
        </w:rPr>
        <w:t xml:space="preserve">SODENA: Importe máximo del apoyo financiero: Menor de cinco millones por operación, salvo en el caso de empresas en crisis y/o coberturas de riesgos financieros/necesidades de circulante. Dicha limitación no afecta al otorgamiento de avales y fianzas." </w:t>
      </w:r>
    </w:p>
    <w:p w14:paraId="6CE8661C" w14:textId="77777777" w:rsidR="00E576C4" w:rsidRDefault="00E576C4" w:rsidP="00E576C4">
      <w:pPr>
        <w:pStyle w:val="Style"/>
        <w:spacing w:before="196" w:line="254" w:lineRule="exact"/>
        <w:ind w:left="715"/>
        <w:jc w:val="both"/>
        <w:textAlignment w:val="baseline"/>
        <w:rPr>
          <w:rFonts w:ascii="Arial" w:eastAsia="Arial" w:hAnsi="Arial" w:cs="Arial"/>
          <w:i/>
          <w:iCs/>
          <w:sz w:val="21"/>
          <w:szCs w:val="21"/>
        </w:rPr>
      </w:pPr>
      <w:r>
        <w:rPr>
          <w:rFonts w:ascii="Arial" w:eastAsia="Arial" w:hAnsi="Arial" w:cs="Arial"/>
          <w:i/>
          <w:iCs/>
          <w:sz w:val="21"/>
          <w:szCs w:val="21"/>
        </w:rPr>
        <w:t xml:space="preserve">Por tanto, </w:t>
      </w:r>
      <w:r>
        <w:rPr>
          <w:rFonts w:ascii="Arial" w:eastAsia="Arial" w:hAnsi="Arial" w:cs="Arial"/>
          <w:sz w:val="21"/>
          <w:szCs w:val="21"/>
        </w:rPr>
        <w:t xml:space="preserve">a </w:t>
      </w:r>
      <w:r>
        <w:rPr>
          <w:rFonts w:ascii="Arial" w:eastAsia="Arial" w:hAnsi="Arial" w:cs="Arial"/>
          <w:i/>
          <w:iCs/>
          <w:sz w:val="21"/>
          <w:szCs w:val="21"/>
        </w:rPr>
        <w:t xml:space="preserve">juicio de esta Cámara, de todos los argumentos, el factor determinante en la distribución de las competencias entre IN/ y SODENA, sería el importe mínimo y/o máximo de financiación. Al respecto, indicamos lo siguiente: </w:t>
      </w:r>
    </w:p>
    <w:p w14:paraId="2AA234C3" w14:textId="77777777" w:rsidR="00E576C4" w:rsidRDefault="00E576C4" w:rsidP="00E576C4">
      <w:pPr>
        <w:pStyle w:val="Style"/>
        <w:spacing w:before="196" w:line="254" w:lineRule="exact"/>
        <w:ind w:left="715"/>
        <w:jc w:val="both"/>
        <w:textAlignment w:val="baseline"/>
        <w:rPr>
          <w:rFonts w:ascii="Arial" w:eastAsia="Arial" w:hAnsi="Arial" w:cs="Arial"/>
          <w:i/>
          <w:iCs/>
          <w:sz w:val="21"/>
          <w:szCs w:val="21"/>
        </w:rPr>
      </w:pPr>
    </w:p>
    <w:p w14:paraId="2BCEE898" w14:textId="77777777" w:rsidR="00E576C4" w:rsidRDefault="00E576C4" w:rsidP="00E576C4">
      <w:pPr>
        <w:pStyle w:val="Style"/>
        <w:spacing w:line="254" w:lineRule="exact"/>
        <w:ind w:left="710"/>
        <w:jc w:val="both"/>
        <w:textAlignment w:val="baseline"/>
      </w:pPr>
      <w:r>
        <w:rPr>
          <w:rFonts w:ascii="Arial" w:eastAsia="Arial" w:hAnsi="Arial" w:cs="Arial"/>
          <w:sz w:val="20"/>
          <w:szCs w:val="20"/>
        </w:rPr>
        <w:t xml:space="preserve">- </w:t>
      </w:r>
      <w:r>
        <w:rPr>
          <w:rFonts w:ascii="Arial" w:eastAsia="Arial" w:hAnsi="Arial" w:cs="Arial"/>
          <w:i/>
          <w:iCs/>
          <w:sz w:val="20"/>
          <w:szCs w:val="20"/>
        </w:rPr>
        <w:t xml:space="preserve">Sobre los límites financieros, en los últimos diez años, SODENA ha llevado 13 operaciones que superan los cinco millones (un promedio de 1,3 millones por año). </w:t>
      </w:r>
    </w:p>
    <w:p w14:paraId="7D8EEE0B" w14:textId="15FBF9D6" w:rsidR="00E576C4" w:rsidRDefault="00E576C4" w:rsidP="00F9674A">
      <w:pPr>
        <w:pStyle w:val="Style"/>
        <w:spacing w:before="196" w:line="254" w:lineRule="exact"/>
        <w:ind w:left="715"/>
        <w:jc w:val="both"/>
        <w:textAlignment w:val="baseline"/>
      </w:pPr>
      <w:r>
        <w:rPr>
          <w:rFonts w:ascii="Arial" w:eastAsia="Arial" w:hAnsi="Arial" w:cs="Arial"/>
          <w:i/>
          <w:iCs/>
          <w:sz w:val="20"/>
          <w:szCs w:val="20"/>
        </w:rPr>
        <w:t>Sobre los sectores de actuación, cabe destacar que SODENA no tiene limitaciones en cuanto a sectores de apoyo. Dicho de otro modo, los sectores decididos para el IN/ los puede desarrollar SODENA</w:t>
      </w:r>
      <w:r w:rsidR="00805EEB">
        <w:rPr>
          <w:rFonts w:ascii="Arial" w:eastAsia="Arial" w:hAnsi="Arial" w:cs="Arial"/>
          <w:i/>
          <w:iCs/>
          <w:sz w:val="20"/>
          <w:szCs w:val="20"/>
        </w:rPr>
        <w:t>”.</w:t>
      </w:r>
    </w:p>
    <w:p w14:paraId="5F3813C4" w14:textId="77777777" w:rsidR="00F9674A" w:rsidRPr="00F9674A" w:rsidRDefault="00F9674A" w:rsidP="00F9674A">
      <w:pPr>
        <w:pStyle w:val="Style"/>
        <w:spacing w:before="196" w:line="254" w:lineRule="exact"/>
        <w:ind w:left="715"/>
        <w:jc w:val="both"/>
        <w:textAlignment w:val="baseline"/>
      </w:pPr>
    </w:p>
    <w:p w14:paraId="6F4F16E0" w14:textId="77777777" w:rsidR="00E576C4" w:rsidRDefault="00E576C4" w:rsidP="00E576C4">
      <w:pPr>
        <w:pStyle w:val="Style"/>
        <w:spacing w:line="259" w:lineRule="exact"/>
        <w:ind w:right="29"/>
        <w:textAlignment w:val="baseline"/>
      </w:pPr>
      <w:r>
        <w:rPr>
          <w:rFonts w:ascii="Arial" w:eastAsia="Arial" w:hAnsi="Arial" w:cs="Arial"/>
          <w:sz w:val="21"/>
          <w:szCs w:val="21"/>
        </w:rPr>
        <w:t xml:space="preserve">La Cámara de Comptos de Navarra, en su informe de fiscalización de las cuentas generales de Navarra del año 2022 dispuso </w:t>
      </w:r>
    </w:p>
    <w:p w14:paraId="482D8B62" w14:textId="77777777" w:rsidR="00E576C4" w:rsidRDefault="00E576C4" w:rsidP="00E576C4">
      <w:pPr>
        <w:pStyle w:val="Style"/>
        <w:spacing w:line="620" w:lineRule="atLeast"/>
        <w:rPr>
          <w:sz w:val="31"/>
          <w:szCs w:val="31"/>
        </w:rPr>
      </w:pPr>
    </w:p>
    <w:p w14:paraId="1648F9C2" w14:textId="77777777" w:rsidR="00E576C4" w:rsidRDefault="00E576C4" w:rsidP="00E576C4">
      <w:pPr>
        <w:pStyle w:val="Style"/>
        <w:spacing w:line="226" w:lineRule="exact"/>
        <w:ind w:left="720"/>
        <w:textAlignment w:val="baseline"/>
      </w:pPr>
      <w:r>
        <w:rPr>
          <w:rFonts w:ascii="Arial" w:eastAsia="Arial" w:hAnsi="Arial" w:cs="Arial"/>
          <w:i/>
          <w:iCs/>
          <w:sz w:val="20"/>
          <w:szCs w:val="20"/>
        </w:rPr>
        <w:t xml:space="preserve">De nuestra revisión, concluimos lo siguiente: </w:t>
      </w:r>
    </w:p>
    <w:p w14:paraId="08A24213" w14:textId="77777777" w:rsidR="00E576C4" w:rsidRDefault="00E576C4" w:rsidP="00E576C4">
      <w:pPr>
        <w:pStyle w:val="Style"/>
        <w:spacing w:before="210" w:line="254" w:lineRule="exact"/>
        <w:ind w:left="1416"/>
        <w:jc w:val="both"/>
        <w:textAlignment w:val="baseline"/>
      </w:pPr>
      <w:r>
        <w:rPr>
          <w:i/>
          <w:iCs/>
          <w:w w:val="115"/>
          <w:sz w:val="30"/>
          <w:szCs w:val="30"/>
        </w:rPr>
        <w:t xml:space="preserve">– </w:t>
      </w:r>
      <w:r>
        <w:rPr>
          <w:rFonts w:ascii="Arial" w:eastAsia="Arial" w:hAnsi="Arial" w:cs="Arial"/>
          <w:i/>
          <w:iCs/>
          <w:sz w:val="20"/>
          <w:szCs w:val="20"/>
        </w:rPr>
        <w:t xml:space="preserve">Existe similitud en los objetivos del INI y de </w:t>
      </w:r>
      <w:proofErr w:type="spellStart"/>
      <w:r>
        <w:rPr>
          <w:rFonts w:ascii="Arial" w:eastAsia="Arial" w:hAnsi="Arial" w:cs="Arial"/>
          <w:i/>
          <w:iCs/>
          <w:sz w:val="20"/>
          <w:szCs w:val="20"/>
        </w:rPr>
        <w:t>Sodena</w:t>
      </w:r>
      <w:proofErr w:type="spellEnd"/>
      <w:r>
        <w:rPr>
          <w:rFonts w:ascii="Arial" w:eastAsia="Arial" w:hAnsi="Arial" w:cs="Arial"/>
          <w:i/>
          <w:iCs/>
          <w:sz w:val="20"/>
          <w:szCs w:val="20"/>
        </w:rPr>
        <w:t xml:space="preserve">, como sociedades públicas cuya actividad se dirige al desarrollo empresarial de la Comunidad Foral de Navarra. </w:t>
      </w:r>
    </w:p>
    <w:p w14:paraId="53CD8807" w14:textId="77777777" w:rsidR="00E576C4" w:rsidRDefault="00E576C4" w:rsidP="00E576C4">
      <w:pPr>
        <w:pStyle w:val="Style"/>
        <w:spacing w:line="470" w:lineRule="exact"/>
        <w:ind w:left="1430"/>
        <w:textAlignment w:val="baseline"/>
      </w:pPr>
      <w:r>
        <w:rPr>
          <w:i/>
          <w:iCs/>
          <w:w w:val="115"/>
          <w:sz w:val="29"/>
          <w:szCs w:val="29"/>
        </w:rPr>
        <w:t xml:space="preserve">– </w:t>
      </w:r>
      <w:r>
        <w:rPr>
          <w:rFonts w:ascii="Arial" w:eastAsia="Arial" w:hAnsi="Arial" w:cs="Arial"/>
          <w:i/>
          <w:iCs/>
          <w:sz w:val="20"/>
          <w:szCs w:val="20"/>
        </w:rPr>
        <w:t xml:space="preserve">El objeto social del IN/, ya estaba incluido en </w:t>
      </w:r>
      <w:proofErr w:type="spellStart"/>
      <w:r>
        <w:rPr>
          <w:rFonts w:ascii="Arial" w:eastAsia="Arial" w:hAnsi="Arial" w:cs="Arial"/>
          <w:i/>
          <w:iCs/>
          <w:sz w:val="20"/>
          <w:szCs w:val="20"/>
        </w:rPr>
        <w:t>Sodena</w:t>
      </w:r>
      <w:proofErr w:type="spellEnd"/>
      <w:r>
        <w:rPr>
          <w:rFonts w:ascii="Arial" w:eastAsia="Arial" w:hAnsi="Arial" w:cs="Arial"/>
          <w:i/>
          <w:iCs/>
          <w:sz w:val="20"/>
          <w:szCs w:val="20"/>
        </w:rPr>
        <w:t xml:space="preserve">. </w:t>
      </w:r>
    </w:p>
    <w:p w14:paraId="0EE84611" w14:textId="77777777" w:rsidR="00E576C4" w:rsidRDefault="00E576C4" w:rsidP="00E576C4">
      <w:pPr>
        <w:pStyle w:val="Style"/>
        <w:spacing w:before="210" w:line="254" w:lineRule="exact"/>
        <w:ind w:left="1416" w:firstLine="72"/>
        <w:jc w:val="both"/>
        <w:textAlignment w:val="baseline"/>
      </w:pPr>
      <w:r>
        <w:rPr>
          <w:i/>
          <w:iCs/>
          <w:w w:val="115"/>
          <w:sz w:val="30"/>
          <w:szCs w:val="30"/>
        </w:rPr>
        <w:t xml:space="preserve">– </w:t>
      </w:r>
      <w:r>
        <w:rPr>
          <w:rFonts w:ascii="Arial" w:eastAsia="Arial" w:hAnsi="Arial" w:cs="Arial"/>
          <w:i/>
          <w:iCs/>
          <w:sz w:val="20"/>
          <w:szCs w:val="20"/>
        </w:rPr>
        <w:t xml:space="preserve">No consta que se hayan llevado a cabo las actuaciones descritas en el informe de la CPEN, ni la preceptiva autorización por el Gobierno de Navarra de la modificación estatutaria del objeto social de </w:t>
      </w:r>
      <w:proofErr w:type="spellStart"/>
      <w:r>
        <w:rPr>
          <w:rFonts w:ascii="Arial" w:eastAsia="Arial" w:hAnsi="Arial" w:cs="Arial"/>
          <w:i/>
          <w:iCs/>
          <w:sz w:val="20"/>
          <w:szCs w:val="20"/>
        </w:rPr>
        <w:t>Sodena</w:t>
      </w:r>
      <w:proofErr w:type="spellEnd"/>
      <w:r>
        <w:rPr>
          <w:rFonts w:ascii="Arial" w:eastAsia="Arial" w:hAnsi="Arial" w:cs="Arial"/>
          <w:i/>
          <w:iCs/>
          <w:sz w:val="20"/>
          <w:szCs w:val="20"/>
        </w:rPr>
        <w:t xml:space="preserve">. A la fecha de emisión de este informe, por lo tanto, persisten dos sociedades públicas en las que el objeto social de una de ellas ya está previsto en otra sociedad. </w:t>
      </w:r>
    </w:p>
    <w:p w14:paraId="7FD4C5A0" w14:textId="77777777" w:rsidR="00E576C4" w:rsidRDefault="00E576C4" w:rsidP="00E576C4">
      <w:pPr>
        <w:pStyle w:val="Style"/>
        <w:spacing w:line="660" w:lineRule="atLeast"/>
        <w:rPr>
          <w:sz w:val="33"/>
          <w:szCs w:val="33"/>
        </w:rPr>
      </w:pPr>
    </w:p>
    <w:p w14:paraId="20AE87F5" w14:textId="77777777" w:rsidR="00E576C4" w:rsidRDefault="00E576C4" w:rsidP="00E576C4">
      <w:pPr>
        <w:pStyle w:val="Style"/>
        <w:spacing w:line="254" w:lineRule="exact"/>
        <w:ind w:left="710"/>
        <w:jc w:val="both"/>
        <w:textAlignment w:val="baseline"/>
      </w:pPr>
      <w:r>
        <w:rPr>
          <w:rFonts w:ascii="Arial" w:eastAsia="Arial" w:hAnsi="Arial" w:cs="Arial"/>
          <w:i/>
          <w:iCs/>
          <w:sz w:val="20"/>
          <w:szCs w:val="20"/>
        </w:rPr>
        <w:t xml:space="preserve">Al respecto, destacamos que en la exposición de motivos de la Ley Foral 8/2009, de 18 de junio, de creación de la Sociedad Corporación Pública Empresarial de Navarra, establece textualmente lo siguiente: </w:t>
      </w:r>
      <w:r>
        <w:rPr>
          <w:rFonts w:ascii="Arial" w:eastAsia="Arial" w:hAnsi="Arial" w:cs="Arial"/>
          <w:sz w:val="20"/>
          <w:szCs w:val="20"/>
        </w:rPr>
        <w:t>" ..</w:t>
      </w:r>
      <w:r>
        <w:rPr>
          <w:rFonts w:ascii="Arial" w:eastAsia="Arial" w:hAnsi="Arial" w:cs="Arial"/>
          <w:i/>
          <w:iCs/>
          <w:sz w:val="20"/>
          <w:szCs w:val="20"/>
        </w:rPr>
        <w:t xml:space="preserve">. cuyo sentido no es otro que el de crear un escenario y un instrumento unitario y específico de ordenación y control que permita racionalizar, coordinar y optimizar la eficacia y eficiencia de una parte sustancial del patrimonio empresarial público de la Comunidad Foral de Navarra .... ". </w:t>
      </w:r>
    </w:p>
    <w:p w14:paraId="62A28D28" w14:textId="77777777" w:rsidR="00E576C4" w:rsidRDefault="00E576C4" w:rsidP="00E576C4">
      <w:pPr>
        <w:pStyle w:val="Style"/>
        <w:spacing w:before="196" w:line="254" w:lineRule="exact"/>
        <w:ind w:left="715" w:right="24"/>
        <w:jc w:val="both"/>
        <w:textAlignment w:val="baseline"/>
      </w:pPr>
      <w:r>
        <w:rPr>
          <w:rFonts w:ascii="Arial" w:eastAsia="Arial" w:hAnsi="Arial" w:cs="Arial"/>
          <w:i/>
          <w:iCs/>
          <w:sz w:val="20"/>
          <w:szCs w:val="20"/>
        </w:rPr>
        <w:t xml:space="preserve">Por todo lo anterior, recomendamos lo siguiente: Adoptar las correspondientes medidas para evitar la coincidencia </w:t>
      </w:r>
      <w:r>
        <w:rPr>
          <w:sz w:val="23"/>
          <w:szCs w:val="23"/>
        </w:rPr>
        <w:t xml:space="preserve">o </w:t>
      </w:r>
      <w:r>
        <w:rPr>
          <w:rFonts w:ascii="Arial" w:eastAsia="Arial" w:hAnsi="Arial" w:cs="Arial"/>
          <w:i/>
          <w:iCs/>
          <w:sz w:val="20"/>
          <w:szCs w:val="20"/>
        </w:rPr>
        <w:t xml:space="preserve">duplicidad de la actividad existente entre el IN/ y </w:t>
      </w:r>
      <w:proofErr w:type="spellStart"/>
      <w:r>
        <w:rPr>
          <w:rFonts w:ascii="Arial" w:eastAsia="Arial" w:hAnsi="Arial" w:cs="Arial"/>
          <w:i/>
          <w:iCs/>
          <w:sz w:val="20"/>
          <w:szCs w:val="20"/>
        </w:rPr>
        <w:t>Sodena</w:t>
      </w:r>
      <w:proofErr w:type="spellEnd"/>
      <w:r>
        <w:rPr>
          <w:rFonts w:ascii="Arial" w:eastAsia="Arial" w:hAnsi="Arial" w:cs="Arial"/>
          <w:i/>
          <w:iCs/>
          <w:sz w:val="20"/>
          <w:szCs w:val="20"/>
        </w:rPr>
        <w:t xml:space="preserve">. </w:t>
      </w:r>
    </w:p>
    <w:p w14:paraId="110E187E" w14:textId="77777777" w:rsidR="00E576C4" w:rsidRDefault="00E576C4" w:rsidP="00E576C4">
      <w:pPr>
        <w:pStyle w:val="Style"/>
        <w:spacing w:line="620" w:lineRule="atLeast"/>
        <w:rPr>
          <w:sz w:val="31"/>
          <w:szCs w:val="31"/>
        </w:rPr>
      </w:pPr>
    </w:p>
    <w:p w14:paraId="64CE4EE5" w14:textId="77777777" w:rsidR="00E576C4" w:rsidRPr="00723CE1" w:rsidRDefault="00E576C4" w:rsidP="00E576C4">
      <w:pPr>
        <w:pStyle w:val="Style"/>
        <w:spacing w:line="250" w:lineRule="exact"/>
        <w:ind w:right="24"/>
        <w:jc w:val="both"/>
        <w:textAlignment w:val="baseline"/>
        <w:rPr>
          <w:rFonts w:ascii="Arial" w:eastAsia="Arial" w:hAnsi="Arial" w:cs="Arial"/>
          <w:sz w:val="21"/>
          <w:szCs w:val="21"/>
        </w:rPr>
      </w:pPr>
      <w:r>
        <w:rPr>
          <w:rFonts w:ascii="Arial" w:eastAsia="Arial" w:hAnsi="Arial" w:cs="Arial"/>
          <w:sz w:val="21"/>
          <w:szCs w:val="21"/>
        </w:rPr>
        <w:t xml:space="preserve">Siguiendo dicha recomendación, y al amparo de las funciones de CPEN contempladas en la Ley Foral 8/2009 y del artículo 161 de la Ley de Sociedades de Capital, con fecha 26 de enero de 2024, su Consejero Delegado emite una instrucción sobre </w:t>
      </w:r>
      <w:proofErr w:type="gramStart"/>
      <w:r>
        <w:rPr>
          <w:rFonts w:ascii="Arial" w:eastAsia="Arial" w:hAnsi="Arial" w:cs="Arial"/>
          <w:sz w:val="21"/>
          <w:szCs w:val="21"/>
        </w:rPr>
        <w:t>el  alcance</w:t>
      </w:r>
      <w:proofErr w:type="gramEnd"/>
      <w:r>
        <w:rPr>
          <w:rFonts w:ascii="Arial" w:eastAsia="Arial" w:hAnsi="Arial" w:cs="Arial"/>
          <w:sz w:val="21"/>
          <w:szCs w:val="21"/>
        </w:rPr>
        <w:t xml:space="preserve"> de actividades a llevar a cabo por dos sociedades públicas, en relación al otorgamiento de apoyos financieros que figuran en sus respectivos objetos sociales. </w:t>
      </w:r>
    </w:p>
    <w:p w14:paraId="59B59F13" w14:textId="77777777" w:rsidR="00E576C4" w:rsidRDefault="00E576C4" w:rsidP="00E576C4">
      <w:pPr>
        <w:pStyle w:val="Style"/>
        <w:spacing w:before="196" w:line="254" w:lineRule="exact"/>
        <w:jc w:val="both"/>
        <w:textAlignment w:val="baseline"/>
      </w:pPr>
      <w:r>
        <w:rPr>
          <w:rFonts w:ascii="Arial" w:eastAsia="Arial" w:hAnsi="Arial" w:cs="Arial"/>
          <w:sz w:val="21"/>
          <w:szCs w:val="21"/>
        </w:rPr>
        <w:t xml:space="preserve">No es cierto, como se manifiesta en el borrador del informe emitido por la Cámara de Comptos de Navarra que </w:t>
      </w:r>
      <w:r>
        <w:rPr>
          <w:rFonts w:ascii="Arial" w:eastAsia="Arial" w:hAnsi="Arial" w:cs="Arial"/>
          <w:i/>
          <w:iCs/>
          <w:sz w:val="21"/>
          <w:szCs w:val="21"/>
        </w:rPr>
        <w:t xml:space="preserve">"el factor determinante en la distribución de competencias entre </w:t>
      </w:r>
      <w:r>
        <w:rPr>
          <w:rFonts w:ascii="Arial" w:eastAsia="Arial" w:hAnsi="Arial" w:cs="Arial"/>
          <w:i/>
          <w:iCs/>
          <w:sz w:val="20"/>
          <w:szCs w:val="20"/>
        </w:rPr>
        <w:t xml:space="preserve">IN/ </w:t>
      </w:r>
      <w:r>
        <w:rPr>
          <w:rFonts w:ascii="Arial" w:eastAsia="Arial" w:hAnsi="Arial" w:cs="Arial"/>
          <w:i/>
          <w:iCs/>
          <w:sz w:val="21"/>
          <w:szCs w:val="21"/>
        </w:rPr>
        <w:t xml:space="preserve">y </w:t>
      </w:r>
      <w:r>
        <w:rPr>
          <w:rFonts w:ascii="Arial" w:eastAsia="Arial" w:hAnsi="Arial" w:cs="Arial"/>
          <w:i/>
          <w:iCs/>
          <w:sz w:val="20"/>
          <w:szCs w:val="20"/>
        </w:rPr>
        <w:t xml:space="preserve">SODENA, </w:t>
      </w:r>
      <w:r>
        <w:rPr>
          <w:rFonts w:ascii="Arial" w:eastAsia="Arial" w:hAnsi="Arial" w:cs="Arial"/>
          <w:i/>
          <w:iCs/>
          <w:sz w:val="21"/>
          <w:szCs w:val="21"/>
        </w:rPr>
        <w:t xml:space="preserve">sería el importe mínimo y/o máximo de financiación", </w:t>
      </w:r>
      <w:r>
        <w:rPr>
          <w:rFonts w:ascii="Arial" w:eastAsia="Arial" w:hAnsi="Arial" w:cs="Arial"/>
          <w:sz w:val="21"/>
          <w:szCs w:val="21"/>
        </w:rPr>
        <w:t xml:space="preserve">pasando a detallar otras delimitaciones que figuran en la instrucción: </w:t>
      </w:r>
    </w:p>
    <w:p w14:paraId="27A48DB8" w14:textId="77777777" w:rsidR="00E576C4" w:rsidRDefault="00E576C4" w:rsidP="00E576C4">
      <w:pPr>
        <w:pStyle w:val="Style"/>
        <w:spacing w:line="620" w:lineRule="atLeast"/>
        <w:rPr>
          <w:sz w:val="31"/>
          <w:szCs w:val="31"/>
        </w:rPr>
      </w:pPr>
    </w:p>
    <w:p w14:paraId="6EDDA24F" w14:textId="77777777" w:rsidR="00E576C4" w:rsidRDefault="00E576C4" w:rsidP="00E576C4">
      <w:pPr>
        <w:pStyle w:val="Style"/>
        <w:spacing w:line="254" w:lineRule="exact"/>
        <w:ind w:left="720"/>
        <w:textAlignment w:val="baseline"/>
      </w:pPr>
      <w:r>
        <w:rPr>
          <w:rFonts w:ascii="Arial" w:eastAsia="Arial" w:hAnsi="Arial" w:cs="Arial"/>
          <w:sz w:val="21"/>
          <w:szCs w:val="21"/>
        </w:rPr>
        <w:t xml:space="preserve">1°. En relación a los destinatarios del apoyo financiero: </w:t>
      </w:r>
    </w:p>
    <w:p w14:paraId="47A8A211" w14:textId="77777777" w:rsidR="00E576C4" w:rsidRDefault="00E576C4" w:rsidP="00E576C4">
      <w:pPr>
        <w:pStyle w:val="Style"/>
        <w:spacing w:line="620" w:lineRule="atLeast"/>
        <w:rPr>
          <w:sz w:val="31"/>
          <w:szCs w:val="31"/>
        </w:rPr>
      </w:pPr>
    </w:p>
    <w:p w14:paraId="2B5E3946" w14:textId="77777777" w:rsidR="00E576C4" w:rsidRDefault="00E576C4" w:rsidP="00E576C4">
      <w:pPr>
        <w:pStyle w:val="Style"/>
        <w:numPr>
          <w:ilvl w:val="0"/>
          <w:numId w:val="48"/>
        </w:numPr>
        <w:spacing w:line="250" w:lineRule="exact"/>
        <w:jc w:val="both"/>
        <w:textAlignment w:val="baseline"/>
      </w:pPr>
      <w:r>
        <w:rPr>
          <w:rFonts w:ascii="Arial" w:eastAsia="Arial" w:hAnsi="Arial" w:cs="Arial"/>
          <w:sz w:val="21"/>
          <w:szCs w:val="21"/>
        </w:rPr>
        <w:t xml:space="preserve">En el INI solamente cabe otorgar apoyo financiero a personas jurídicas y, en ningún caso, cabe que estén en situación de crisis económica ni que el objeto del apoyo sea para paliar necesidades de coberturas de riesgos financieros. </w:t>
      </w:r>
    </w:p>
    <w:p w14:paraId="58C7F6C3" w14:textId="77777777" w:rsidR="00E576C4" w:rsidRDefault="00E576C4" w:rsidP="00E576C4">
      <w:pPr>
        <w:pStyle w:val="Style"/>
        <w:numPr>
          <w:ilvl w:val="0"/>
          <w:numId w:val="48"/>
        </w:numPr>
        <w:spacing w:before="201" w:line="254" w:lineRule="exact"/>
        <w:textAlignment w:val="baseline"/>
      </w:pPr>
      <w:r>
        <w:rPr>
          <w:rFonts w:ascii="Arial" w:eastAsia="Arial" w:hAnsi="Arial" w:cs="Arial"/>
          <w:sz w:val="21"/>
          <w:szCs w:val="21"/>
        </w:rPr>
        <w:t xml:space="preserve">En SODENA, cabe otorgar apoyo financiero tanto a personas físicas como a </w:t>
      </w:r>
      <w:r>
        <w:rPr>
          <w:rFonts w:ascii="Arial" w:eastAsia="Arial" w:hAnsi="Arial" w:cs="Arial"/>
          <w:sz w:val="21"/>
          <w:szCs w:val="21"/>
        </w:rPr>
        <w:lastRenderedPageBreak/>
        <w:t xml:space="preserve">jurídicas, sin ningún tipo de limitación. </w:t>
      </w:r>
    </w:p>
    <w:p w14:paraId="0A5289DC" w14:textId="77777777" w:rsidR="00E576C4" w:rsidRDefault="00E576C4" w:rsidP="00E576C4">
      <w:pPr>
        <w:pStyle w:val="Style"/>
        <w:spacing w:line="620" w:lineRule="atLeast"/>
        <w:rPr>
          <w:sz w:val="31"/>
          <w:szCs w:val="31"/>
        </w:rPr>
      </w:pPr>
    </w:p>
    <w:p w14:paraId="1B7F696F" w14:textId="77777777" w:rsidR="00E576C4" w:rsidRDefault="00E576C4" w:rsidP="00E576C4">
      <w:pPr>
        <w:pStyle w:val="Style"/>
        <w:spacing w:line="254" w:lineRule="exact"/>
        <w:ind w:left="715"/>
        <w:textAlignment w:val="baseline"/>
      </w:pPr>
      <w:r>
        <w:rPr>
          <w:rFonts w:ascii="Arial" w:eastAsia="Arial" w:hAnsi="Arial" w:cs="Arial"/>
          <w:sz w:val="21"/>
          <w:szCs w:val="21"/>
        </w:rPr>
        <w:t xml:space="preserve">2°. En relación al importe máximo de apoyo financiero: </w:t>
      </w:r>
    </w:p>
    <w:p w14:paraId="01FC76C2" w14:textId="77777777" w:rsidR="00E576C4" w:rsidRDefault="00E576C4" w:rsidP="00E576C4">
      <w:pPr>
        <w:pStyle w:val="Style"/>
        <w:numPr>
          <w:ilvl w:val="0"/>
          <w:numId w:val="48"/>
        </w:numPr>
        <w:spacing w:before="201" w:line="254" w:lineRule="exact"/>
        <w:textAlignment w:val="baseline"/>
      </w:pPr>
      <w:r>
        <w:rPr>
          <w:rFonts w:ascii="Arial" w:eastAsia="Arial" w:hAnsi="Arial" w:cs="Arial"/>
          <w:sz w:val="21"/>
          <w:szCs w:val="21"/>
        </w:rPr>
        <w:t xml:space="preserve">En el INI solamente cabe otorgar apoyo financiero por un importe mínimo de 5.000.000 euros. </w:t>
      </w:r>
    </w:p>
    <w:p w14:paraId="4D64A321" w14:textId="77777777" w:rsidR="00E576C4" w:rsidRDefault="00E576C4" w:rsidP="00E576C4">
      <w:pPr>
        <w:pStyle w:val="Style"/>
        <w:numPr>
          <w:ilvl w:val="0"/>
          <w:numId w:val="48"/>
        </w:numPr>
        <w:spacing w:before="191" w:line="254" w:lineRule="exact"/>
        <w:jc w:val="both"/>
        <w:textAlignment w:val="baseline"/>
      </w:pPr>
      <w:r>
        <w:rPr>
          <w:rFonts w:ascii="Arial" w:eastAsia="Arial" w:hAnsi="Arial" w:cs="Arial"/>
          <w:sz w:val="21"/>
          <w:szCs w:val="21"/>
        </w:rPr>
        <w:t xml:space="preserve">En SODENA solamente cabe otorgar apoyo financiero por un importe máximo de 5.000.000, no existe dicha limitación en el caso de apoyos financieros a empresas en crisis y/o para coberturas de riesgos financieros y necesidad de circulante ni para el otorgamiento de avales y fianzas. </w:t>
      </w:r>
    </w:p>
    <w:p w14:paraId="28D2FABD" w14:textId="77777777" w:rsidR="00E576C4" w:rsidRDefault="00E576C4" w:rsidP="00E576C4">
      <w:pPr>
        <w:pStyle w:val="Style"/>
        <w:spacing w:line="620" w:lineRule="atLeast"/>
        <w:rPr>
          <w:sz w:val="31"/>
          <w:szCs w:val="31"/>
        </w:rPr>
      </w:pPr>
    </w:p>
    <w:p w14:paraId="40E9F5A8" w14:textId="77777777" w:rsidR="00E576C4" w:rsidRDefault="00E576C4" w:rsidP="00E576C4">
      <w:pPr>
        <w:pStyle w:val="Style"/>
        <w:spacing w:line="254" w:lineRule="exact"/>
        <w:ind w:left="720"/>
        <w:textAlignment w:val="baseline"/>
      </w:pPr>
      <w:r>
        <w:rPr>
          <w:rFonts w:ascii="Arial" w:eastAsia="Arial" w:hAnsi="Arial" w:cs="Arial"/>
          <w:sz w:val="21"/>
          <w:szCs w:val="21"/>
        </w:rPr>
        <w:t xml:space="preserve">3°. En relación al porcentaje de participación en el capital social </w:t>
      </w:r>
    </w:p>
    <w:p w14:paraId="6A82156E" w14:textId="77777777" w:rsidR="00E576C4" w:rsidRDefault="00E576C4" w:rsidP="00E576C4">
      <w:pPr>
        <w:pStyle w:val="Style"/>
        <w:spacing w:line="620" w:lineRule="atLeast"/>
        <w:rPr>
          <w:sz w:val="31"/>
          <w:szCs w:val="31"/>
        </w:rPr>
      </w:pPr>
    </w:p>
    <w:p w14:paraId="1B7D1047" w14:textId="77777777" w:rsidR="00E576C4" w:rsidRDefault="00E576C4" w:rsidP="00E576C4">
      <w:pPr>
        <w:pStyle w:val="Style"/>
        <w:numPr>
          <w:ilvl w:val="0"/>
          <w:numId w:val="48"/>
        </w:numPr>
        <w:spacing w:line="250" w:lineRule="exact"/>
        <w:jc w:val="both"/>
        <w:textAlignment w:val="baseline"/>
      </w:pPr>
      <w:r>
        <w:rPr>
          <w:rFonts w:ascii="Arial" w:eastAsia="Arial" w:hAnsi="Arial" w:cs="Arial"/>
          <w:sz w:val="21"/>
          <w:szCs w:val="21"/>
        </w:rPr>
        <w:t xml:space="preserve">En el INI el porcentaje máximo de participación en el capital social es el 45%, debiendo contar con autorización del consejo de administración de CPEN si se quiere superar dicho umbral. </w:t>
      </w:r>
    </w:p>
    <w:p w14:paraId="27E63C2D" w14:textId="77777777" w:rsidR="00E576C4" w:rsidRPr="00723CE1" w:rsidRDefault="00E576C4" w:rsidP="00E576C4">
      <w:pPr>
        <w:pStyle w:val="Style"/>
        <w:numPr>
          <w:ilvl w:val="0"/>
          <w:numId w:val="48"/>
        </w:numPr>
        <w:spacing w:before="191" w:line="254" w:lineRule="exact"/>
        <w:jc w:val="both"/>
        <w:textAlignment w:val="baseline"/>
      </w:pPr>
      <w:r>
        <w:rPr>
          <w:rFonts w:ascii="Arial" w:eastAsia="Arial" w:hAnsi="Arial" w:cs="Arial"/>
          <w:sz w:val="21"/>
          <w:szCs w:val="21"/>
        </w:rPr>
        <w:t xml:space="preserve">En SODENA, al amparo de la Ley Foral 1/1984, de 2 de enero, el porcentaje máximo de participación en el capital social es el 45%, debiendo contar con autorización del Gobierno de Navarra si se quiere superar dicho umbral. </w:t>
      </w:r>
    </w:p>
    <w:p w14:paraId="469F4FA8" w14:textId="77777777" w:rsidR="00E576C4" w:rsidRDefault="00E576C4" w:rsidP="00E576C4">
      <w:pPr>
        <w:pStyle w:val="Style"/>
        <w:spacing w:before="191" w:line="254" w:lineRule="exact"/>
        <w:ind w:left="1430"/>
        <w:jc w:val="both"/>
        <w:textAlignment w:val="baseline"/>
      </w:pPr>
    </w:p>
    <w:p w14:paraId="68BFBA8B" w14:textId="77777777" w:rsidR="00E576C4" w:rsidRDefault="00E576C4" w:rsidP="00E576C4">
      <w:pPr>
        <w:pStyle w:val="Style"/>
        <w:spacing w:line="226" w:lineRule="exact"/>
        <w:ind w:left="715"/>
        <w:textAlignment w:val="baseline"/>
      </w:pPr>
      <w:r>
        <w:rPr>
          <w:rFonts w:ascii="Arial" w:eastAsia="Arial" w:hAnsi="Arial" w:cs="Arial"/>
          <w:sz w:val="21"/>
          <w:szCs w:val="21"/>
        </w:rPr>
        <w:t xml:space="preserve">4°. En relación al plazo de apoyo financiero: </w:t>
      </w:r>
    </w:p>
    <w:p w14:paraId="1E645086" w14:textId="77777777" w:rsidR="00E576C4" w:rsidRDefault="00E576C4" w:rsidP="00E576C4">
      <w:pPr>
        <w:pStyle w:val="Style"/>
        <w:spacing w:line="620" w:lineRule="atLeast"/>
        <w:rPr>
          <w:sz w:val="31"/>
          <w:szCs w:val="31"/>
        </w:rPr>
      </w:pPr>
    </w:p>
    <w:p w14:paraId="0971D8FC" w14:textId="77777777" w:rsidR="00E576C4" w:rsidRDefault="00E576C4" w:rsidP="00E576C4">
      <w:pPr>
        <w:pStyle w:val="Style"/>
        <w:numPr>
          <w:ilvl w:val="0"/>
          <w:numId w:val="48"/>
        </w:numPr>
        <w:spacing w:line="259" w:lineRule="exact"/>
        <w:textAlignment w:val="baseline"/>
      </w:pPr>
      <w:r>
        <w:rPr>
          <w:rFonts w:ascii="Arial" w:eastAsia="Arial" w:hAnsi="Arial" w:cs="Arial"/>
          <w:sz w:val="21"/>
          <w:szCs w:val="21"/>
        </w:rPr>
        <w:t xml:space="preserve">En el INI el plazo máximo es de 1 </w:t>
      </w:r>
      <w:r>
        <w:rPr>
          <w:rFonts w:ascii="Arial" w:eastAsia="Arial" w:hAnsi="Arial" w:cs="Arial"/>
          <w:w w:val="66"/>
          <w:sz w:val="21"/>
          <w:szCs w:val="21"/>
        </w:rPr>
        <w:t xml:space="preserve">O </w:t>
      </w:r>
      <w:r>
        <w:rPr>
          <w:rFonts w:ascii="Arial" w:eastAsia="Arial" w:hAnsi="Arial" w:cs="Arial"/>
          <w:sz w:val="21"/>
          <w:szCs w:val="21"/>
        </w:rPr>
        <w:t xml:space="preserve">años, debiendo contar con autorización del consejo de administración de CPEN si se quiere superar dicho umbral. </w:t>
      </w:r>
    </w:p>
    <w:p w14:paraId="6F9DE6C7" w14:textId="77777777" w:rsidR="00E576C4" w:rsidRDefault="00E576C4" w:rsidP="00E576C4">
      <w:pPr>
        <w:pStyle w:val="Style"/>
        <w:numPr>
          <w:ilvl w:val="0"/>
          <w:numId w:val="48"/>
        </w:numPr>
        <w:spacing w:before="191" w:line="254" w:lineRule="exact"/>
        <w:jc w:val="both"/>
        <w:textAlignment w:val="baseline"/>
      </w:pPr>
      <w:r>
        <w:rPr>
          <w:rFonts w:ascii="Arial" w:eastAsia="Arial" w:hAnsi="Arial" w:cs="Arial"/>
          <w:sz w:val="21"/>
          <w:szCs w:val="21"/>
        </w:rPr>
        <w:t xml:space="preserve">En SODENA, al amparo de la Ley Foral 1/1984, de 2 de enero, el plazo máximo es de 12 años, debiendo contar con autorización del Gobierno de Navarra si se quiere superar dicho umbral. </w:t>
      </w:r>
    </w:p>
    <w:p w14:paraId="17AB5915" w14:textId="77777777" w:rsidR="00E576C4" w:rsidRDefault="00E576C4" w:rsidP="00E576C4">
      <w:pPr>
        <w:pStyle w:val="Style"/>
        <w:spacing w:line="620" w:lineRule="atLeast"/>
        <w:rPr>
          <w:sz w:val="31"/>
          <w:szCs w:val="31"/>
        </w:rPr>
      </w:pPr>
    </w:p>
    <w:p w14:paraId="2385269D" w14:textId="77777777" w:rsidR="00E576C4" w:rsidRDefault="00E576C4" w:rsidP="00E576C4">
      <w:pPr>
        <w:pStyle w:val="Style"/>
        <w:spacing w:line="226" w:lineRule="exact"/>
        <w:ind w:left="715"/>
        <w:textAlignment w:val="baseline"/>
      </w:pPr>
      <w:r>
        <w:rPr>
          <w:rFonts w:ascii="Arial" w:eastAsia="Arial" w:hAnsi="Arial" w:cs="Arial"/>
          <w:sz w:val="21"/>
          <w:szCs w:val="21"/>
        </w:rPr>
        <w:t xml:space="preserve">5°. En relación a los sectores de apoyo: </w:t>
      </w:r>
    </w:p>
    <w:p w14:paraId="4627206A" w14:textId="77777777" w:rsidR="00E576C4" w:rsidRDefault="00E576C4" w:rsidP="00E576C4">
      <w:pPr>
        <w:pStyle w:val="Style"/>
        <w:spacing w:line="620" w:lineRule="atLeast"/>
        <w:rPr>
          <w:sz w:val="31"/>
          <w:szCs w:val="31"/>
        </w:rPr>
      </w:pPr>
    </w:p>
    <w:p w14:paraId="66135201" w14:textId="77777777" w:rsidR="00E576C4" w:rsidRDefault="00E576C4" w:rsidP="00E576C4">
      <w:pPr>
        <w:pStyle w:val="Style"/>
        <w:numPr>
          <w:ilvl w:val="0"/>
          <w:numId w:val="48"/>
        </w:numPr>
        <w:spacing w:line="254" w:lineRule="exact"/>
        <w:jc w:val="both"/>
        <w:textAlignment w:val="baseline"/>
      </w:pPr>
      <w:r>
        <w:rPr>
          <w:rFonts w:ascii="Arial" w:eastAsia="Arial" w:hAnsi="Arial" w:cs="Arial"/>
          <w:sz w:val="21"/>
          <w:szCs w:val="21"/>
        </w:rPr>
        <w:t xml:space="preserve">En el INI se delimitan los sectores de apoyo, basados en Estrategia de Especialización Inteligente (S4) en combinación con los Ecosistemas Industriales definidos por la Comisión Europea. </w:t>
      </w:r>
    </w:p>
    <w:p w14:paraId="0E3DE5DB" w14:textId="77777777" w:rsidR="00E576C4" w:rsidRDefault="00E576C4" w:rsidP="00E576C4">
      <w:pPr>
        <w:pStyle w:val="Style"/>
        <w:numPr>
          <w:ilvl w:val="0"/>
          <w:numId w:val="48"/>
        </w:numPr>
        <w:spacing w:line="456" w:lineRule="exact"/>
        <w:textAlignment w:val="baseline"/>
      </w:pPr>
      <w:r>
        <w:rPr>
          <w:rFonts w:ascii="Arial" w:eastAsia="Arial" w:hAnsi="Arial" w:cs="Arial"/>
          <w:sz w:val="21"/>
          <w:szCs w:val="21"/>
        </w:rPr>
        <w:t xml:space="preserve">En SODENA no existe limitación alguna respecto de los sectores de apoyo. </w:t>
      </w:r>
    </w:p>
    <w:p w14:paraId="77A7AED7" w14:textId="77777777" w:rsidR="00E576C4" w:rsidRDefault="00E576C4" w:rsidP="00E576C4">
      <w:pPr>
        <w:pStyle w:val="Style"/>
        <w:spacing w:line="620" w:lineRule="atLeast"/>
        <w:rPr>
          <w:sz w:val="31"/>
          <w:szCs w:val="31"/>
        </w:rPr>
      </w:pPr>
    </w:p>
    <w:p w14:paraId="76EB555B" w14:textId="77777777" w:rsidR="00E576C4" w:rsidRDefault="00E576C4" w:rsidP="00E576C4">
      <w:pPr>
        <w:pStyle w:val="Style"/>
        <w:spacing w:line="254" w:lineRule="exact"/>
        <w:ind w:left="10"/>
        <w:textAlignment w:val="baseline"/>
      </w:pPr>
      <w:r>
        <w:rPr>
          <w:rFonts w:ascii="Arial" w:eastAsia="Arial" w:hAnsi="Arial" w:cs="Arial"/>
          <w:sz w:val="21"/>
          <w:szCs w:val="21"/>
        </w:rPr>
        <w:t xml:space="preserve">Por tanto, la instrucción no solamente delimita los importes máximos de apoyo financiero tal y como ha quedado acreditado. </w:t>
      </w:r>
    </w:p>
    <w:p w14:paraId="3D366996" w14:textId="77777777" w:rsidR="00E576C4" w:rsidRDefault="00E576C4" w:rsidP="00E576C4">
      <w:pPr>
        <w:pStyle w:val="Style"/>
        <w:spacing w:line="620" w:lineRule="atLeast"/>
        <w:rPr>
          <w:sz w:val="31"/>
          <w:szCs w:val="31"/>
        </w:rPr>
      </w:pPr>
    </w:p>
    <w:p w14:paraId="6B7D7E20" w14:textId="77777777" w:rsidR="00E576C4" w:rsidRDefault="00E576C4" w:rsidP="00E576C4">
      <w:pPr>
        <w:pStyle w:val="Style"/>
        <w:spacing w:line="250" w:lineRule="exact"/>
        <w:jc w:val="both"/>
        <w:textAlignment w:val="baseline"/>
      </w:pPr>
      <w:r>
        <w:rPr>
          <w:rFonts w:ascii="Arial" w:eastAsia="Arial" w:hAnsi="Arial" w:cs="Arial"/>
          <w:sz w:val="21"/>
          <w:szCs w:val="21"/>
        </w:rPr>
        <w:t xml:space="preserve">La finalidad de la instrucción es delimitar, al amparo de la redacción de los objetos sociales que se contemplan en los Estatutos Sociales de ambas sociedades públicas, el ámbito de actuación de cada una de ellas, para evitar las posibles duplicidades y establecer las herramientas de apoyo claras para el tejido empresarial navarro. Todo ello en atención, además, de la recomendación efectuada por la Cámara de Comptos de Navarra, en su informe de fiscalización de las cuentas generales de Navarra del ejercicio 2022. </w:t>
      </w:r>
    </w:p>
    <w:p w14:paraId="485C7B46" w14:textId="77777777" w:rsidR="00E576C4" w:rsidRDefault="00E576C4" w:rsidP="00E576C4">
      <w:pPr>
        <w:pStyle w:val="Style"/>
        <w:spacing w:line="600" w:lineRule="atLeast"/>
        <w:rPr>
          <w:sz w:val="30"/>
          <w:szCs w:val="30"/>
        </w:rPr>
      </w:pPr>
    </w:p>
    <w:p w14:paraId="1EF20AC4" w14:textId="77777777" w:rsidR="00E576C4" w:rsidRDefault="00E576C4" w:rsidP="00E576C4">
      <w:pPr>
        <w:pStyle w:val="Style"/>
        <w:spacing w:line="254" w:lineRule="exact"/>
        <w:textAlignment w:val="baseline"/>
      </w:pPr>
      <w:r>
        <w:rPr>
          <w:rFonts w:ascii="Arial" w:eastAsia="Arial" w:hAnsi="Arial" w:cs="Arial"/>
          <w:b/>
          <w:sz w:val="21"/>
          <w:szCs w:val="21"/>
          <w:u w:val="single"/>
        </w:rPr>
        <w:t xml:space="preserve">QUINTA.- Página 109 (apartado 5.12 Sociedades Públicas </w:t>
      </w:r>
      <w:r>
        <w:rPr>
          <w:b/>
          <w:sz w:val="22"/>
          <w:szCs w:val="22"/>
          <w:u w:val="single"/>
        </w:rPr>
        <w:t xml:space="preserve">y </w:t>
      </w:r>
      <w:r>
        <w:rPr>
          <w:rFonts w:ascii="Arial" w:eastAsia="Arial" w:hAnsi="Arial" w:cs="Arial"/>
          <w:b/>
          <w:sz w:val="21"/>
          <w:szCs w:val="21"/>
          <w:u w:val="single"/>
        </w:rPr>
        <w:t xml:space="preserve">Fundaciones Públicas) </w:t>
      </w:r>
    </w:p>
    <w:p w14:paraId="4693CEFB" w14:textId="77777777" w:rsidR="00E576C4" w:rsidRPr="00723CE1" w:rsidRDefault="00E576C4" w:rsidP="00E576C4">
      <w:pPr>
        <w:pStyle w:val="Style"/>
        <w:spacing w:line="254" w:lineRule="exact"/>
        <w:textAlignment w:val="baseline"/>
      </w:pPr>
    </w:p>
    <w:p w14:paraId="2F783B7E" w14:textId="77777777" w:rsidR="00E576C4" w:rsidRDefault="00E576C4" w:rsidP="00E576C4">
      <w:pPr>
        <w:pStyle w:val="Style"/>
        <w:spacing w:line="254" w:lineRule="exact"/>
        <w:ind w:left="10"/>
        <w:textAlignment w:val="baseline"/>
      </w:pPr>
      <w:r>
        <w:rPr>
          <w:rFonts w:ascii="Arial" w:eastAsia="Arial" w:hAnsi="Arial" w:cs="Arial"/>
          <w:sz w:val="21"/>
          <w:szCs w:val="21"/>
        </w:rPr>
        <w:t xml:space="preserve">En el borrador se dispone </w:t>
      </w:r>
    </w:p>
    <w:p w14:paraId="328F0F1D" w14:textId="77777777" w:rsidR="00E576C4" w:rsidRPr="00723CE1" w:rsidRDefault="00E576C4" w:rsidP="00E576C4">
      <w:pPr>
        <w:pStyle w:val="Style"/>
        <w:spacing w:line="254" w:lineRule="exact"/>
        <w:ind w:left="10"/>
        <w:textAlignment w:val="baseline"/>
      </w:pPr>
    </w:p>
    <w:p w14:paraId="3543AA2C" w14:textId="77777777" w:rsidR="00E576C4" w:rsidRDefault="00E576C4" w:rsidP="00E576C4">
      <w:pPr>
        <w:pStyle w:val="Style"/>
        <w:spacing w:line="250" w:lineRule="exact"/>
        <w:ind w:left="706"/>
        <w:jc w:val="both"/>
        <w:textAlignment w:val="baseline"/>
      </w:pPr>
      <w:r>
        <w:rPr>
          <w:rFonts w:ascii="Arial" w:eastAsia="Arial" w:hAnsi="Arial" w:cs="Arial"/>
          <w:i/>
          <w:iCs/>
          <w:sz w:val="21"/>
          <w:szCs w:val="21"/>
        </w:rPr>
        <w:t xml:space="preserve">"El INI publicó el 27 de marzo de 2024, la licitación del contrato de servicios "Contratación de la asistencia técnica para el diagnóstico, el plan de acción y el seguimiento de evaluación, orientado </w:t>
      </w:r>
      <w:r>
        <w:rPr>
          <w:rFonts w:ascii="Arial" w:eastAsia="Arial" w:hAnsi="Arial" w:cs="Arial"/>
          <w:sz w:val="21"/>
          <w:szCs w:val="21"/>
        </w:rPr>
        <w:t xml:space="preserve">a </w:t>
      </w:r>
      <w:r>
        <w:rPr>
          <w:rFonts w:ascii="Arial" w:eastAsia="Arial" w:hAnsi="Arial" w:cs="Arial"/>
          <w:i/>
          <w:iCs/>
          <w:sz w:val="21"/>
          <w:szCs w:val="21"/>
        </w:rPr>
        <w:t xml:space="preserve">potenciar el crecimiento económico de Navarra", con un valor estimado de </w:t>
      </w:r>
      <w:r>
        <w:rPr>
          <w:rFonts w:ascii="Arial" w:eastAsia="Arial" w:hAnsi="Arial" w:cs="Arial"/>
          <w:sz w:val="20"/>
          <w:szCs w:val="20"/>
        </w:rPr>
        <w:t xml:space="preserve">720.000 </w:t>
      </w:r>
      <w:r>
        <w:rPr>
          <w:rFonts w:ascii="Arial" w:eastAsia="Arial" w:hAnsi="Arial" w:cs="Arial"/>
          <w:i/>
          <w:iCs/>
          <w:sz w:val="21"/>
          <w:szCs w:val="21"/>
        </w:rPr>
        <w:t xml:space="preserve">euros. A diferencia del IN/, los estatutos de SODENA contemplan expresamente en su objeto social la realización de este tipo de estudios estratégicos, en concreto: "Promover y prestar la realización de estudios estratégicos, económicos, tecnológicos, de investigación </w:t>
      </w:r>
      <w:r>
        <w:rPr>
          <w:sz w:val="23"/>
          <w:szCs w:val="23"/>
        </w:rPr>
        <w:t xml:space="preserve">o </w:t>
      </w:r>
      <w:r>
        <w:rPr>
          <w:rFonts w:ascii="Arial" w:eastAsia="Arial" w:hAnsi="Arial" w:cs="Arial"/>
          <w:i/>
          <w:iCs/>
          <w:sz w:val="21"/>
          <w:szCs w:val="21"/>
        </w:rPr>
        <w:t>innovación y de mercado, que sean de interés para la Comunidad Foral de Navarra,</w:t>
      </w:r>
      <w:proofErr w:type="gramStart"/>
      <w:r>
        <w:rPr>
          <w:rFonts w:ascii="Arial" w:eastAsia="Arial" w:hAnsi="Arial" w:cs="Arial"/>
          <w:i/>
          <w:iCs/>
          <w:sz w:val="21"/>
          <w:szCs w:val="21"/>
        </w:rPr>
        <w:t xml:space="preserve"> ….</w:t>
      </w:r>
      <w:proofErr w:type="gramEnd"/>
      <w:r>
        <w:rPr>
          <w:rFonts w:ascii="Arial" w:eastAsia="Arial" w:hAnsi="Arial" w:cs="Arial"/>
          <w:i/>
          <w:iCs/>
          <w:sz w:val="21"/>
          <w:szCs w:val="21"/>
        </w:rPr>
        <w:t xml:space="preserve"> </w:t>
      </w:r>
      <w:r>
        <w:rPr>
          <w:rFonts w:ascii="Arial" w:eastAsia="Arial" w:hAnsi="Arial" w:cs="Arial"/>
          <w:sz w:val="21"/>
          <w:szCs w:val="21"/>
        </w:rPr>
        <w:t xml:space="preserve">" </w:t>
      </w:r>
    </w:p>
    <w:p w14:paraId="7FE41D44" w14:textId="77777777" w:rsidR="00E576C4" w:rsidRDefault="00E576C4" w:rsidP="00E576C4">
      <w:pPr>
        <w:pStyle w:val="Style"/>
        <w:spacing w:line="640" w:lineRule="atLeast"/>
        <w:rPr>
          <w:sz w:val="32"/>
          <w:szCs w:val="32"/>
        </w:rPr>
      </w:pPr>
    </w:p>
    <w:p w14:paraId="6D43BE40" w14:textId="77777777" w:rsidR="00E576C4" w:rsidRDefault="00E576C4" w:rsidP="00E576C4">
      <w:pPr>
        <w:pStyle w:val="Style"/>
        <w:spacing w:line="254" w:lineRule="exact"/>
        <w:ind w:right="29"/>
        <w:textAlignment w:val="baseline"/>
      </w:pPr>
      <w:r>
        <w:rPr>
          <w:rFonts w:ascii="Arial" w:eastAsia="Arial" w:hAnsi="Arial" w:cs="Arial"/>
          <w:sz w:val="20"/>
          <w:szCs w:val="20"/>
        </w:rPr>
        <w:t xml:space="preserve">El artículo 5 de los Estatutos de la Sociedad del INI, relativo al objeto social, determina lo siguiente: </w:t>
      </w:r>
    </w:p>
    <w:p w14:paraId="5AE68387" w14:textId="77777777" w:rsidR="00E576C4" w:rsidRDefault="00E576C4" w:rsidP="00E576C4">
      <w:pPr>
        <w:pStyle w:val="Style"/>
        <w:spacing w:line="451" w:lineRule="exact"/>
        <w:ind w:left="710"/>
        <w:textAlignment w:val="baseline"/>
      </w:pPr>
      <w:r>
        <w:rPr>
          <w:rFonts w:ascii="Arial" w:eastAsia="Arial" w:hAnsi="Arial" w:cs="Arial"/>
          <w:i/>
          <w:iCs/>
          <w:sz w:val="21"/>
          <w:szCs w:val="21"/>
        </w:rPr>
        <w:t xml:space="preserve">"Artículo </w:t>
      </w:r>
      <w:r>
        <w:rPr>
          <w:rFonts w:ascii="Arial" w:eastAsia="Arial" w:hAnsi="Arial" w:cs="Arial"/>
          <w:sz w:val="20"/>
          <w:szCs w:val="20"/>
        </w:rPr>
        <w:t xml:space="preserve">5.- </w:t>
      </w:r>
      <w:r>
        <w:rPr>
          <w:rFonts w:ascii="Arial" w:eastAsia="Arial" w:hAnsi="Arial" w:cs="Arial"/>
          <w:i/>
          <w:iCs/>
          <w:sz w:val="21"/>
          <w:szCs w:val="21"/>
        </w:rPr>
        <w:t xml:space="preserve">Objeto social. </w:t>
      </w:r>
    </w:p>
    <w:p w14:paraId="5850A9A2" w14:textId="77777777" w:rsidR="00E576C4" w:rsidRDefault="00E576C4" w:rsidP="00E576C4">
      <w:pPr>
        <w:pStyle w:val="Style"/>
        <w:spacing w:line="451" w:lineRule="exact"/>
        <w:ind w:left="710"/>
        <w:textAlignment w:val="baseline"/>
      </w:pPr>
      <w:r>
        <w:rPr>
          <w:rFonts w:ascii="Arial" w:eastAsia="Arial" w:hAnsi="Arial" w:cs="Arial"/>
          <w:i/>
          <w:iCs/>
          <w:sz w:val="21"/>
          <w:szCs w:val="21"/>
        </w:rPr>
        <w:t xml:space="preserve">La Sociedad tiene por objeto social: </w:t>
      </w:r>
    </w:p>
    <w:p w14:paraId="298892A8" w14:textId="77777777" w:rsidR="00E576C4" w:rsidRDefault="00E576C4" w:rsidP="00E576C4">
      <w:pPr>
        <w:pStyle w:val="Style"/>
        <w:spacing w:line="620" w:lineRule="atLeast"/>
        <w:rPr>
          <w:sz w:val="31"/>
          <w:szCs w:val="31"/>
        </w:rPr>
      </w:pPr>
    </w:p>
    <w:p w14:paraId="776EF299" w14:textId="77777777" w:rsidR="00E576C4" w:rsidRDefault="00E576C4" w:rsidP="00E576C4">
      <w:pPr>
        <w:pStyle w:val="Style"/>
        <w:spacing w:line="250" w:lineRule="exact"/>
        <w:ind w:left="706"/>
        <w:jc w:val="both"/>
        <w:textAlignment w:val="baseline"/>
      </w:pPr>
      <w:r>
        <w:rPr>
          <w:rFonts w:ascii="Arial" w:eastAsia="Arial" w:hAnsi="Arial" w:cs="Arial"/>
          <w:i/>
          <w:iCs/>
          <w:sz w:val="21"/>
          <w:szCs w:val="21"/>
        </w:rPr>
        <w:t xml:space="preserve">1. Prestar, por cuenta propia, apoyo financiero </w:t>
      </w:r>
      <w:r>
        <w:rPr>
          <w:rFonts w:ascii="Arial" w:eastAsia="Arial" w:hAnsi="Arial" w:cs="Arial"/>
          <w:sz w:val="20"/>
          <w:szCs w:val="20"/>
        </w:rPr>
        <w:t xml:space="preserve">a </w:t>
      </w:r>
      <w:r>
        <w:rPr>
          <w:rFonts w:ascii="Arial" w:eastAsia="Arial" w:hAnsi="Arial" w:cs="Arial"/>
          <w:i/>
          <w:iCs/>
          <w:sz w:val="21"/>
          <w:szCs w:val="21"/>
        </w:rPr>
        <w:t xml:space="preserve">personas jurídicas mediante la concesión de préstamos, participativos </w:t>
      </w:r>
      <w:r>
        <w:t xml:space="preserve">o </w:t>
      </w:r>
      <w:r>
        <w:rPr>
          <w:rFonts w:ascii="Arial" w:eastAsia="Arial" w:hAnsi="Arial" w:cs="Arial"/>
          <w:i/>
          <w:iCs/>
          <w:sz w:val="21"/>
          <w:szCs w:val="21"/>
        </w:rPr>
        <w:t xml:space="preserve">no, créditos, avales y fianzas, así </w:t>
      </w:r>
      <w:r>
        <w:rPr>
          <w:sz w:val="23"/>
          <w:szCs w:val="23"/>
        </w:rPr>
        <w:t xml:space="preserve">como </w:t>
      </w:r>
      <w:r>
        <w:rPr>
          <w:rFonts w:ascii="Arial" w:eastAsia="Arial" w:hAnsi="Arial" w:cs="Arial"/>
          <w:i/>
          <w:iCs/>
          <w:sz w:val="21"/>
          <w:szCs w:val="21"/>
        </w:rPr>
        <w:t xml:space="preserve">mediante la suscripción de títulos de renta fija emitidos por las entidades en las que participe la sociedad. </w:t>
      </w:r>
    </w:p>
    <w:p w14:paraId="765DC0EE" w14:textId="77777777" w:rsidR="00E576C4" w:rsidRDefault="00E576C4" w:rsidP="00E576C4">
      <w:pPr>
        <w:pStyle w:val="Style"/>
        <w:spacing w:before="191" w:line="254" w:lineRule="exact"/>
        <w:ind w:left="710"/>
        <w:jc w:val="both"/>
        <w:textAlignment w:val="baseline"/>
      </w:pPr>
      <w:r>
        <w:rPr>
          <w:rFonts w:ascii="Arial" w:eastAsia="Arial" w:hAnsi="Arial" w:cs="Arial"/>
          <w:i/>
          <w:iCs/>
          <w:sz w:val="21"/>
          <w:szCs w:val="21"/>
        </w:rPr>
        <w:t xml:space="preserve">2. Participar, por cuenta propia, ya sea mediante suscripción, asunción </w:t>
      </w:r>
      <w:r>
        <w:t xml:space="preserve">o </w:t>
      </w:r>
      <w:r>
        <w:rPr>
          <w:rFonts w:ascii="Arial" w:eastAsia="Arial" w:hAnsi="Arial" w:cs="Arial"/>
          <w:i/>
          <w:iCs/>
          <w:sz w:val="21"/>
          <w:szCs w:val="21"/>
        </w:rPr>
        <w:t xml:space="preserve">adquisición de títulos representativos del capital de sociedades, así </w:t>
      </w:r>
      <w:r>
        <w:rPr>
          <w:sz w:val="23"/>
          <w:szCs w:val="23"/>
        </w:rPr>
        <w:t xml:space="preserve">como </w:t>
      </w:r>
      <w:r>
        <w:rPr>
          <w:rFonts w:ascii="Arial" w:eastAsia="Arial" w:hAnsi="Arial" w:cs="Arial"/>
          <w:i/>
          <w:iCs/>
          <w:sz w:val="21"/>
          <w:szCs w:val="21"/>
        </w:rPr>
        <w:t xml:space="preserve">la tenencia y disfrute de dichos títulos, y su posterior transmisión, por cualquier clase de negocio jurídico, </w:t>
      </w:r>
      <w:r>
        <w:rPr>
          <w:rFonts w:ascii="Arial" w:eastAsia="Arial" w:hAnsi="Arial" w:cs="Arial"/>
          <w:sz w:val="20"/>
          <w:szCs w:val="20"/>
        </w:rPr>
        <w:t xml:space="preserve">a </w:t>
      </w:r>
      <w:r>
        <w:rPr>
          <w:rFonts w:ascii="Arial" w:eastAsia="Arial" w:hAnsi="Arial" w:cs="Arial"/>
          <w:i/>
          <w:iCs/>
          <w:sz w:val="21"/>
          <w:szCs w:val="21"/>
        </w:rPr>
        <w:t xml:space="preserve">terceros. </w:t>
      </w:r>
    </w:p>
    <w:p w14:paraId="05BF534A" w14:textId="77777777" w:rsidR="00E576C4" w:rsidRDefault="00E576C4" w:rsidP="00E576C4">
      <w:pPr>
        <w:pStyle w:val="Style"/>
        <w:spacing w:before="191" w:line="254" w:lineRule="exact"/>
        <w:ind w:left="710"/>
        <w:jc w:val="both"/>
        <w:textAlignment w:val="baseline"/>
      </w:pPr>
      <w:r>
        <w:rPr>
          <w:sz w:val="21"/>
          <w:szCs w:val="21"/>
        </w:rPr>
        <w:t xml:space="preserve">3. </w:t>
      </w:r>
      <w:r>
        <w:rPr>
          <w:rFonts w:ascii="Arial" w:eastAsia="Arial" w:hAnsi="Arial" w:cs="Arial"/>
          <w:i/>
          <w:iCs/>
          <w:sz w:val="21"/>
          <w:szCs w:val="21"/>
        </w:rPr>
        <w:t xml:space="preserve">Fomentar proyectos de inversión, promocionando y participando en fondos de cualquier naturaleza, ya sean mobiliarios, de garantía </w:t>
      </w:r>
      <w:r>
        <w:t xml:space="preserve">o </w:t>
      </w:r>
      <w:r>
        <w:rPr>
          <w:rFonts w:ascii="Arial" w:eastAsia="Arial" w:hAnsi="Arial" w:cs="Arial"/>
          <w:i/>
          <w:iCs/>
          <w:sz w:val="21"/>
          <w:szCs w:val="21"/>
        </w:rPr>
        <w:t xml:space="preserve">de capital riesgo, en sociedades de promoción, de capital riesgo, y de entidades gestoras de capital riesgo; así </w:t>
      </w:r>
      <w:r>
        <w:rPr>
          <w:sz w:val="23"/>
          <w:szCs w:val="23"/>
        </w:rPr>
        <w:t xml:space="preserve">como </w:t>
      </w:r>
      <w:r>
        <w:rPr>
          <w:rFonts w:ascii="Arial" w:eastAsia="Arial" w:hAnsi="Arial" w:cs="Arial"/>
          <w:i/>
          <w:iCs/>
          <w:sz w:val="21"/>
          <w:szCs w:val="21"/>
        </w:rPr>
        <w:t xml:space="preserve">colaborando con fondos </w:t>
      </w:r>
      <w:r>
        <w:rPr>
          <w:sz w:val="23"/>
          <w:szCs w:val="23"/>
        </w:rPr>
        <w:t xml:space="preserve">o </w:t>
      </w:r>
      <w:r>
        <w:rPr>
          <w:rFonts w:ascii="Arial" w:eastAsia="Arial" w:hAnsi="Arial" w:cs="Arial"/>
          <w:i/>
          <w:iCs/>
          <w:sz w:val="21"/>
          <w:szCs w:val="21"/>
        </w:rPr>
        <w:t xml:space="preserve">sociedades de capital riesgo, públicas </w:t>
      </w:r>
      <w:r>
        <w:t xml:space="preserve">o </w:t>
      </w:r>
      <w:r>
        <w:rPr>
          <w:rFonts w:ascii="Arial" w:eastAsia="Arial" w:hAnsi="Arial" w:cs="Arial"/>
          <w:i/>
          <w:iCs/>
          <w:sz w:val="21"/>
          <w:szCs w:val="21"/>
        </w:rPr>
        <w:t xml:space="preserve">privadas, que aporten recursos económicos </w:t>
      </w:r>
      <w:r>
        <w:t xml:space="preserve">a </w:t>
      </w:r>
      <w:r>
        <w:rPr>
          <w:rFonts w:ascii="Arial" w:eastAsia="Arial" w:hAnsi="Arial" w:cs="Arial"/>
          <w:i/>
          <w:iCs/>
          <w:sz w:val="21"/>
          <w:szCs w:val="21"/>
        </w:rPr>
        <w:t xml:space="preserve">las empresas. </w:t>
      </w:r>
    </w:p>
    <w:p w14:paraId="17EAF5DB" w14:textId="77777777" w:rsidR="00E576C4" w:rsidRDefault="00E576C4" w:rsidP="00E576C4">
      <w:pPr>
        <w:pStyle w:val="Style"/>
        <w:spacing w:line="620" w:lineRule="atLeast"/>
        <w:rPr>
          <w:sz w:val="31"/>
          <w:szCs w:val="31"/>
        </w:rPr>
      </w:pPr>
    </w:p>
    <w:p w14:paraId="2BE6A056" w14:textId="77777777" w:rsidR="00E576C4" w:rsidRDefault="00E576C4" w:rsidP="00E576C4">
      <w:pPr>
        <w:pStyle w:val="Style"/>
        <w:spacing w:line="259" w:lineRule="exact"/>
        <w:ind w:left="715"/>
        <w:textAlignment w:val="baseline"/>
      </w:pPr>
      <w:r>
        <w:rPr>
          <w:rFonts w:ascii="Arial" w:eastAsia="Arial" w:hAnsi="Arial" w:cs="Arial"/>
          <w:i/>
          <w:iCs/>
          <w:sz w:val="21"/>
          <w:szCs w:val="21"/>
        </w:rPr>
        <w:t xml:space="preserve">El CNAE de su actividad principal es el 64 (Servicios financieros, excepto seguros y </w:t>
      </w:r>
      <w:r>
        <w:rPr>
          <w:rFonts w:ascii="Arial" w:eastAsia="Arial" w:hAnsi="Arial" w:cs="Arial"/>
          <w:i/>
          <w:iCs/>
          <w:sz w:val="21"/>
          <w:szCs w:val="21"/>
        </w:rPr>
        <w:lastRenderedPageBreak/>
        <w:t xml:space="preserve">fondos de pensiones). </w:t>
      </w:r>
    </w:p>
    <w:p w14:paraId="49A1CB8C" w14:textId="77777777" w:rsidR="00E576C4" w:rsidRDefault="00E576C4" w:rsidP="00E576C4">
      <w:pPr>
        <w:pStyle w:val="Style"/>
        <w:spacing w:before="191" w:line="254" w:lineRule="exact"/>
        <w:ind w:left="710"/>
        <w:jc w:val="both"/>
        <w:textAlignment w:val="baseline"/>
      </w:pPr>
      <w:r>
        <w:rPr>
          <w:rFonts w:ascii="Arial" w:eastAsia="Arial" w:hAnsi="Arial" w:cs="Arial"/>
          <w:i/>
          <w:iCs/>
          <w:sz w:val="21"/>
          <w:szCs w:val="21"/>
        </w:rPr>
        <w:t xml:space="preserve">Se excluyen del objeto social aquellas actividades que, mediante legislación específica, son atribuidas con carácter exclusivo </w:t>
      </w:r>
      <w:r>
        <w:t xml:space="preserve">a </w:t>
      </w:r>
      <w:r>
        <w:rPr>
          <w:rFonts w:ascii="Arial" w:eastAsia="Arial" w:hAnsi="Arial" w:cs="Arial"/>
          <w:i/>
          <w:iCs/>
          <w:sz w:val="21"/>
          <w:szCs w:val="21"/>
        </w:rPr>
        <w:t xml:space="preserve">personas </w:t>
      </w:r>
      <w:r>
        <w:t xml:space="preserve">o </w:t>
      </w:r>
      <w:r>
        <w:rPr>
          <w:rFonts w:ascii="Arial" w:eastAsia="Arial" w:hAnsi="Arial" w:cs="Arial"/>
          <w:i/>
          <w:iCs/>
          <w:sz w:val="21"/>
          <w:szCs w:val="21"/>
        </w:rPr>
        <w:t xml:space="preserve">entidades concretas </w:t>
      </w:r>
      <w:r>
        <w:rPr>
          <w:sz w:val="23"/>
          <w:szCs w:val="23"/>
        </w:rPr>
        <w:t xml:space="preserve">o </w:t>
      </w:r>
      <w:r>
        <w:rPr>
          <w:rFonts w:ascii="Arial" w:eastAsia="Arial" w:hAnsi="Arial" w:cs="Arial"/>
          <w:i/>
          <w:iCs/>
          <w:sz w:val="21"/>
          <w:szCs w:val="21"/>
        </w:rPr>
        <w:t xml:space="preserve">que necesiten cumplir requisitos que la sociedad no cumpla. </w:t>
      </w:r>
    </w:p>
    <w:p w14:paraId="5F0A9E90" w14:textId="77777777" w:rsidR="00E576C4" w:rsidRDefault="00E576C4" w:rsidP="00E576C4">
      <w:pPr>
        <w:pStyle w:val="Style"/>
        <w:spacing w:before="191" w:line="254" w:lineRule="exact"/>
        <w:ind w:left="710"/>
        <w:jc w:val="both"/>
        <w:textAlignment w:val="baseline"/>
      </w:pPr>
      <w:r>
        <w:rPr>
          <w:rFonts w:ascii="Arial" w:eastAsia="Arial" w:hAnsi="Arial" w:cs="Arial"/>
          <w:i/>
          <w:iCs/>
          <w:sz w:val="21"/>
          <w:szCs w:val="21"/>
        </w:rPr>
        <w:t xml:space="preserve">Si la ley exigiere para el inicio de algunas operaciones cualquier tipo de cualificación profesional, de licencia </w:t>
      </w:r>
      <w:r>
        <w:rPr>
          <w:sz w:val="23"/>
          <w:szCs w:val="23"/>
        </w:rPr>
        <w:t xml:space="preserve">o </w:t>
      </w:r>
      <w:r>
        <w:rPr>
          <w:rFonts w:ascii="Arial" w:eastAsia="Arial" w:hAnsi="Arial" w:cs="Arial"/>
          <w:i/>
          <w:iCs/>
          <w:sz w:val="21"/>
          <w:szCs w:val="21"/>
        </w:rPr>
        <w:t>de inscripción en Registros especiales, esas operaciones sólo podrán ser realizadas por una persona con la</w:t>
      </w:r>
      <w:r>
        <w:t xml:space="preserve"> </w:t>
      </w:r>
      <w:r>
        <w:rPr>
          <w:rFonts w:ascii="Arial" w:eastAsia="Arial" w:hAnsi="Arial" w:cs="Arial"/>
          <w:i/>
          <w:iCs/>
          <w:sz w:val="21"/>
          <w:szCs w:val="21"/>
        </w:rPr>
        <w:t xml:space="preserve">cualificación profesional requerida, y sólo desde que se cumplan estos requisitos. </w:t>
      </w:r>
    </w:p>
    <w:p w14:paraId="3571D8F3" w14:textId="77777777" w:rsidR="00E576C4" w:rsidRDefault="00E576C4" w:rsidP="00E576C4">
      <w:pPr>
        <w:pStyle w:val="Style"/>
        <w:spacing w:before="196" w:line="250" w:lineRule="exact"/>
        <w:ind w:left="715"/>
        <w:jc w:val="both"/>
        <w:textAlignment w:val="baseline"/>
      </w:pPr>
      <w:r>
        <w:rPr>
          <w:rFonts w:ascii="Arial" w:eastAsia="Arial" w:hAnsi="Arial" w:cs="Arial"/>
          <w:i/>
          <w:iCs/>
          <w:sz w:val="21"/>
          <w:szCs w:val="21"/>
        </w:rPr>
        <w:t xml:space="preserve">Si algunas de las actividades integrantes del objeto social fuesen de algún modo actividades propias de profesionales, por ser actividades que requieren título oficial y están sujetas </w:t>
      </w:r>
      <w:r>
        <w:rPr>
          <w:rFonts w:ascii="Arial" w:eastAsia="Arial" w:hAnsi="Arial" w:cs="Arial"/>
          <w:sz w:val="21"/>
          <w:szCs w:val="21"/>
        </w:rPr>
        <w:t xml:space="preserve">a </w:t>
      </w:r>
      <w:r>
        <w:rPr>
          <w:rFonts w:ascii="Arial" w:eastAsia="Arial" w:hAnsi="Arial" w:cs="Arial"/>
          <w:i/>
          <w:iCs/>
          <w:sz w:val="21"/>
          <w:szCs w:val="21"/>
        </w:rPr>
        <w:t xml:space="preserve">colegiación, se entenderá que, en relación con dichas actividades, la sociedad actuará como una sociedad de mediación </w:t>
      </w:r>
      <w:r>
        <w:t xml:space="preserve">o </w:t>
      </w:r>
      <w:r>
        <w:rPr>
          <w:rFonts w:ascii="Arial" w:eastAsia="Arial" w:hAnsi="Arial" w:cs="Arial"/>
          <w:i/>
          <w:iCs/>
          <w:sz w:val="21"/>
          <w:szCs w:val="21"/>
        </w:rPr>
        <w:t xml:space="preserve">intermediación, sin que le sea aplicable </w:t>
      </w:r>
      <w:r>
        <w:rPr>
          <w:rFonts w:ascii="Arial" w:eastAsia="Arial" w:hAnsi="Arial" w:cs="Arial"/>
          <w:sz w:val="21"/>
          <w:szCs w:val="21"/>
        </w:rPr>
        <w:t xml:space="preserve">a </w:t>
      </w:r>
      <w:r>
        <w:rPr>
          <w:rFonts w:ascii="Arial" w:eastAsia="Arial" w:hAnsi="Arial" w:cs="Arial"/>
          <w:i/>
          <w:iCs/>
          <w:sz w:val="21"/>
          <w:szCs w:val="21"/>
        </w:rPr>
        <w:t xml:space="preserve">la sociedad el régimen de la Ley 212007, de </w:t>
      </w:r>
      <w:r>
        <w:rPr>
          <w:rFonts w:ascii="Arial" w:eastAsia="Arial" w:hAnsi="Arial" w:cs="Arial"/>
          <w:i/>
          <w:iCs/>
          <w:sz w:val="20"/>
          <w:szCs w:val="20"/>
        </w:rPr>
        <w:t xml:space="preserve">15 </w:t>
      </w:r>
      <w:r>
        <w:rPr>
          <w:rFonts w:ascii="Arial" w:eastAsia="Arial" w:hAnsi="Arial" w:cs="Arial"/>
          <w:i/>
          <w:iCs/>
          <w:sz w:val="21"/>
          <w:szCs w:val="21"/>
        </w:rPr>
        <w:t xml:space="preserve">de marzo, de sociedades profesionales. </w:t>
      </w:r>
    </w:p>
    <w:p w14:paraId="6B9CA590" w14:textId="77777777" w:rsidR="00E576C4" w:rsidRDefault="00E576C4" w:rsidP="00E576C4">
      <w:pPr>
        <w:pStyle w:val="Style"/>
        <w:spacing w:before="196" w:line="250" w:lineRule="exact"/>
        <w:ind w:left="715"/>
        <w:jc w:val="both"/>
        <w:textAlignment w:val="baseline"/>
      </w:pPr>
      <w:r>
        <w:rPr>
          <w:rFonts w:ascii="Arial" w:eastAsia="Arial" w:hAnsi="Arial" w:cs="Arial"/>
          <w:i/>
          <w:iCs/>
          <w:sz w:val="21"/>
          <w:szCs w:val="21"/>
        </w:rPr>
        <w:t xml:space="preserve">Las actividades integrantes del objeto social podrán ser desarrolladas por la sociedad total </w:t>
      </w:r>
      <w:r>
        <w:t xml:space="preserve">o </w:t>
      </w:r>
      <w:r>
        <w:rPr>
          <w:rFonts w:ascii="Arial" w:eastAsia="Arial" w:hAnsi="Arial" w:cs="Arial"/>
          <w:i/>
          <w:iCs/>
          <w:sz w:val="21"/>
          <w:szCs w:val="21"/>
        </w:rPr>
        <w:t xml:space="preserve">parcialmente de modo indirecto, mediante la titularidad de participaciones sociales </w:t>
      </w:r>
      <w:r>
        <w:t xml:space="preserve">o </w:t>
      </w:r>
      <w:r>
        <w:rPr>
          <w:rFonts w:ascii="Arial" w:eastAsia="Arial" w:hAnsi="Arial" w:cs="Arial"/>
          <w:i/>
          <w:iCs/>
          <w:sz w:val="21"/>
          <w:szCs w:val="21"/>
        </w:rPr>
        <w:t xml:space="preserve">acciones en sociedades con objeto idéntico </w:t>
      </w:r>
      <w:r>
        <w:t xml:space="preserve">o </w:t>
      </w:r>
      <w:r>
        <w:rPr>
          <w:rFonts w:ascii="Arial" w:eastAsia="Arial" w:hAnsi="Arial" w:cs="Arial"/>
          <w:i/>
          <w:iCs/>
          <w:sz w:val="21"/>
          <w:szCs w:val="21"/>
        </w:rPr>
        <w:t xml:space="preserve">análogo </w:t>
      </w:r>
      <w:r>
        <w:rPr>
          <w:sz w:val="23"/>
          <w:szCs w:val="23"/>
        </w:rPr>
        <w:t xml:space="preserve">o </w:t>
      </w:r>
      <w:r>
        <w:rPr>
          <w:rFonts w:ascii="Arial" w:eastAsia="Arial" w:hAnsi="Arial" w:cs="Arial"/>
          <w:i/>
          <w:iCs/>
          <w:sz w:val="21"/>
          <w:szCs w:val="21"/>
        </w:rPr>
        <w:t xml:space="preserve">en colaboración con terceras partes." </w:t>
      </w:r>
    </w:p>
    <w:p w14:paraId="7388637F" w14:textId="77777777" w:rsidR="00E576C4" w:rsidRDefault="00E576C4" w:rsidP="00E576C4">
      <w:pPr>
        <w:pStyle w:val="Style"/>
        <w:spacing w:line="760" w:lineRule="atLeast"/>
        <w:rPr>
          <w:sz w:val="38"/>
          <w:szCs w:val="38"/>
        </w:rPr>
      </w:pPr>
    </w:p>
    <w:p w14:paraId="525DE56A" w14:textId="77777777" w:rsidR="00E576C4" w:rsidRDefault="00E576C4" w:rsidP="00E576C4">
      <w:pPr>
        <w:pStyle w:val="Style"/>
        <w:spacing w:line="250" w:lineRule="exact"/>
        <w:jc w:val="both"/>
        <w:textAlignment w:val="baseline"/>
      </w:pPr>
      <w:r>
        <w:rPr>
          <w:rFonts w:ascii="Arial" w:eastAsia="Arial" w:hAnsi="Arial" w:cs="Arial"/>
          <w:sz w:val="21"/>
          <w:szCs w:val="21"/>
        </w:rPr>
        <w:t xml:space="preserve">El INI ha publicado una licitación de un contrato de prestación de servicios para la elaboración de un documento que contenga un diagnóstico de la situación de Navarra y un plan de acción Navarra 2030, todo ello a los efectos de que el Consejo de Administración de la Sociedad pueda elaborar y aprobar las Orientaciones Estratégicas, con las que el Comité de Inversiones adopte los acuerdos correspondientes en cumplimiento de sus funciones. </w:t>
      </w:r>
    </w:p>
    <w:p w14:paraId="7736EB19" w14:textId="77777777" w:rsidR="00E576C4" w:rsidRDefault="00E576C4" w:rsidP="00E576C4">
      <w:pPr>
        <w:pStyle w:val="Style"/>
        <w:spacing w:before="191" w:line="254" w:lineRule="exact"/>
        <w:ind w:left="5"/>
        <w:jc w:val="both"/>
        <w:textAlignment w:val="baseline"/>
      </w:pPr>
      <w:r>
        <w:rPr>
          <w:rFonts w:ascii="Arial" w:eastAsia="Arial" w:hAnsi="Arial" w:cs="Arial"/>
          <w:sz w:val="21"/>
          <w:szCs w:val="21"/>
        </w:rPr>
        <w:t xml:space="preserve">El artículo 23 del Real Decreto Legislativo 1/201 </w:t>
      </w:r>
      <w:r>
        <w:rPr>
          <w:rFonts w:ascii="Arial" w:eastAsia="Arial" w:hAnsi="Arial" w:cs="Arial"/>
          <w:w w:val="75"/>
          <w:sz w:val="21"/>
          <w:szCs w:val="21"/>
        </w:rPr>
        <w:t xml:space="preserve">O, </w:t>
      </w:r>
      <w:r>
        <w:rPr>
          <w:rFonts w:ascii="Arial" w:eastAsia="Arial" w:hAnsi="Arial" w:cs="Arial"/>
          <w:sz w:val="21"/>
          <w:szCs w:val="21"/>
        </w:rPr>
        <w:t xml:space="preserve">de 2 de julio, por el que se aprueba el texto refundido de la Ley de Sociedades de Capital, contempla la obligación de que en los estatutos se haga constar el objeto social, determinando las actividades que lo integran. Es decir, constituye la expresión de la actividad o actividades a las que se va a dedicar la sociedad. </w:t>
      </w:r>
    </w:p>
    <w:p w14:paraId="10E604E3" w14:textId="77777777" w:rsidR="00E576C4" w:rsidRDefault="00E576C4" w:rsidP="00E576C4">
      <w:pPr>
        <w:pStyle w:val="Style"/>
        <w:spacing w:before="191" w:line="254" w:lineRule="exact"/>
        <w:ind w:left="5"/>
        <w:jc w:val="both"/>
        <w:textAlignment w:val="baseline"/>
      </w:pPr>
      <w:r>
        <w:rPr>
          <w:rFonts w:ascii="Arial" w:eastAsia="Arial" w:hAnsi="Arial" w:cs="Arial"/>
          <w:sz w:val="21"/>
          <w:szCs w:val="21"/>
        </w:rPr>
        <w:t xml:space="preserve">En este sentido, el ámbito de representación de los administradores nombrados se extenderá a todos los ámbitos comprendidos en el objeto social delimitado en los Estatutos Sociales. Y así se contiene en el artículo 234 de la Ley de Sociedades de Capital </w:t>
      </w:r>
    </w:p>
    <w:p w14:paraId="63563408" w14:textId="77777777" w:rsidR="00E576C4" w:rsidRDefault="00E576C4" w:rsidP="00E576C4">
      <w:pPr>
        <w:pStyle w:val="Style"/>
        <w:spacing w:line="740" w:lineRule="atLeast"/>
        <w:rPr>
          <w:sz w:val="37"/>
          <w:szCs w:val="37"/>
        </w:rPr>
      </w:pPr>
    </w:p>
    <w:p w14:paraId="7D170041" w14:textId="77777777" w:rsidR="00E576C4" w:rsidRDefault="00E576C4" w:rsidP="00E576C4">
      <w:pPr>
        <w:pStyle w:val="Style"/>
        <w:spacing w:line="259" w:lineRule="exact"/>
        <w:ind w:left="725"/>
        <w:textAlignment w:val="baseline"/>
      </w:pPr>
      <w:r>
        <w:rPr>
          <w:rFonts w:ascii="Arial" w:eastAsia="Arial" w:hAnsi="Arial" w:cs="Arial"/>
          <w:i/>
          <w:iCs/>
          <w:sz w:val="21"/>
          <w:szCs w:val="21"/>
        </w:rPr>
        <w:t xml:space="preserve">"Artículo 234. Ámbito del poder de representación. </w:t>
      </w:r>
    </w:p>
    <w:p w14:paraId="7671A649" w14:textId="77777777" w:rsidR="00E576C4" w:rsidRDefault="00E576C4" w:rsidP="00E576C4">
      <w:pPr>
        <w:pStyle w:val="Style"/>
        <w:spacing w:before="201" w:line="254" w:lineRule="exact"/>
        <w:ind w:left="720"/>
        <w:textAlignment w:val="baseline"/>
      </w:pPr>
      <w:r>
        <w:rPr>
          <w:rFonts w:ascii="Arial" w:eastAsia="Arial" w:hAnsi="Arial" w:cs="Arial"/>
          <w:i/>
          <w:iCs/>
          <w:sz w:val="20"/>
          <w:szCs w:val="20"/>
        </w:rPr>
        <w:t xml:space="preserve">1. </w:t>
      </w:r>
      <w:r>
        <w:rPr>
          <w:rFonts w:ascii="Arial" w:eastAsia="Arial" w:hAnsi="Arial" w:cs="Arial"/>
          <w:i/>
          <w:iCs/>
          <w:sz w:val="21"/>
          <w:szCs w:val="21"/>
        </w:rPr>
        <w:t xml:space="preserve">La representación se extenderá </w:t>
      </w:r>
      <w:r>
        <w:rPr>
          <w:rFonts w:ascii="Arial" w:eastAsia="Arial" w:hAnsi="Arial" w:cs="Arial"/>
          <w:sz w:val="21"/>
          <w:szCs w:val="21"/>
        </w:rPr>
        <w:t xml:space="preserve">a </w:t>
      </w:r>
      <w:r>
        <w:rPr>
          <w:rFonts w:ascii="Arial" w:eastAsia="Arial" w:hAnsi="Arial" w:cs="Arial"/>
          <w:i/>
          <w:iCs/>
          <w:sz w:val="21"/>
          <w:szCs w:val="21"/>
        </w:rPr>
        <w:t xml:space="preserve">todos los actos comprendidos en el objeto social delimitado en los estatutos. </w:t>
      </w:r>
    </w:p>
    <w:p w14:paraId="01053549" w14:textId="77777777" w:rsidR="00E576C4" w:rsidRDefault="00E576C4" w:rsidP="00E576C4">
      <w:pPr>
        <w:pStyle w:val="Style"/>
        <w:spacing w:before="196" w:line="250" w:lineRule="exact"/>
        <w:ind w:left="715"/>
        <w:jc w:val="both"/>
        <w:textAlignment w:val="baseline"/>
      </w:pPr>
      <w:r>
        <w:rPr>
          <w:rFonts w:ascii="Arial" w:eastAsia="Arial" w:hAnsi="Arial" w:cs="Arial"/>
          <w:i/>
          <w:iCs/>
          <w:sz w:val="21"/>
          <w:szCs w:val="21"/>
        </w:rPr>
        <w:t xml:space="preserve">Cualquier limitación de las facultades representativas de los administradores, aunque se halle inscrita en el Registro Mercantil, será ineficaz frente </w:t>
      </w:r>
      <w:r>
        <w:rPr>
          <w:rFonts w:ascii="Arial" w:eastAsia="Arial" w:hAnsi="Arial" w:cs="Arial"/>
          <w:sz w:val="21"/>
          <w:szCs w:val="21"/>
        </w:rPr>
        <w:t xml:space="preserve">a </w:t>
      </w:r>
      <w:r>
        <w:rPr>
          <w:rFonts w:ascii="Arial" w:eastAsia="Arial" w:hAnsi="Arial" w:cs="Arial"/>
          <w:i/>
          <w:iCs/>
          <w:sz w:val="21"/>
          <w:szCs w:val="21"/>
        </w:rPr>
        <w:t xml:space="preserve">terceros. </w:t>
      </w:r>
    </w:p>
    <w:p w14:paraId="3FD9E140" w14:textId="77777777" w:rsidR="00E576C4" w:rsidRDefault="00E576C4" w:rsidP="00E576C4">
      <w:pPr>
        <w:pStyle w:val="Style"/>
        <w:spacing w:line="1" w:lineRule="atLeast"/>
        <w:ind w:left="2789"/>
      </w:pPr>
    </w:p>
    <w:p w14:paraId="24A322C7" w14:textId="77777777" w:rsidR="00E576C4" w:rsidRDefault="00E576C4" w:rsidP="00E576C4">
      <w:pPr>
        <w:pStyle w:val="Style"/>
        <w:spacing w:line="254" w:lineRule="exact"/>
        <w:ind w:left="715"/>
        <w:jc w:val="both"/>
        <w:textAlignment w:val="baseline"/>
      </w:pPr>
      <w:r>
        <w:rPr>
          <w:rFonts w:ascii="Arial" w:eastAsia="Arial" w:hAnsi="Arial" w:cs="Arial"/>
          <w:w w:val="91"/>
          <w:sz w:val="21"/>
          <w:szCs w:val="21"/>
        </w:rPr>
        <w:t xml:space="preserve">2. </w:t>
      </w:r>
      <w:r>
        <w:rPr>
          <w:rFonts w:ascii="Arial" w:eastAsia="Arial" w:hAnsi="Arial" w:cs="Arial"/>
          <w:i/>
          <w:iCs/>
          <w:sz w:val="21"/>
          <w:szCs w:val="21"/>
        </w:rPr>
        <w:t xml:space="preserve">La sociedad quedará obligada frente a terceros que hayan obrado de buena fe y sin culpa grave, </w:t>
      </w:r>
      <w:proofErr w:type="spellStart"/>
      <w:r>
        <w:rPr>
          <w:rFonts w:ascii="Arial" w:eastAsia="Arial" w:hAnsi="Arial" w:cs="Arial"/>
          <w:i/>
          <w:iCs/>
          <w:sz w:val="21"/>
          <w:szCs w:val="21"/>
        </w:rPr>
        <w:t>aún</w:t>
      </w:r>
      <w:proofErr w:type="spellEnd"/>
      <w:r>
        <w:rPr>
          <w:rFonts w:ascii="Arial" w:eastAsia="Arial" w:hAnsi="Arial" w:cs="Arial"/>
          <w:i/>
          <w:iCs/>
          <w:sz w:val="21"/>
          <w:szCs w:val="21"/>
        </w:rPr>
        <w:t xml:space="preserve"> cuando se desprenda de los estatutos inscritos en el Registro Mercantil que el acto no está comprendido en el objeto social" </w:t>
      </w:r>
    </w:p>
    <w:p w14:paraId="2179F906" w14:textId="77777777" w:rsidR="00E576C4" w:rsidRDefault="00E576C4" w:rsidP="00E576C4">
      <w:pPr>
        <w:pStyle w:val="Style"/>
        <w:spacing w:line="1320" w:lineRule="atLeast"/>
        <w:rPr>
          <w:sz w:val="66"/>
          <w:szCs w:val="66"/>
        </w:rPr>
      </w:pPr>
    </w:p>
    <w:p w14:paraId="5F530EA7" w14:textId="77777777" w:rsidR="00E576C4" w:rsidRDefault="00E576C4" w:rsidP="00E576C4">
      <w:pPr>
        <w:pStyle w:val="Style"/>
        <w:spacing w:line="250" w:lineRule="exact"/>
        <w:ind w:right="34"/>
        <w:jc w:val="both"/>
        <w:textAlignment w:val="baseline"/>
      </w:pPr>
      <w:r>
        <w:rPr>
          <w:rFonts w:ascii="Arial" w:eastAsia="Arial" w:hAnsi="Arial" w:cs="Arial"/>
          <w:sz w:val="21"/>
          <w:szCs w:val="21"/>
        </w:rPr>
        <w:t xml:space="preserve">La pretensión del INI con la licitación es disponer de un diagnóstico de la situación de Navarra y un plan de acción Navarra 2030, todo ello a los efectos, como se ha mencionado anteriormente, de que su Consejo de Administración pueda elaborar y aprobar las Orientaciones Estratégicas, con las que el Comité de Inversiones adopte los acuerdos correspondientes en cumplimiento de sus funciones. </w:t>
      </w:r>
    </w:p>
    <w:p w14:paraId="106614B5" w14:textId="77777777" w:rsidR="00E576C4" w:rsidRDefault="00E576C4" w:rsidP="00E576C4">
      <w:pPr>
        <w:pStyle w:val="Style"/>
        <w:spacing w:line="620" w:lineRule="atLeast"/>
        <w:rPr>
          <w:sz w:val="31"/>
          <w:szCs w:val="31"/>
        </w:rPr>
      </w:pPr>
    </w:p>
    <w:p w14:paraId="373516C8" w14:textId="77777777" w:rsidR="00E576C4" w:rsidRDefault="00E576C4" w:rsidP="00E576C4">
      <w:pPr>
        <w:pStyle w:val="Style"/>
        <w:spacing w:line="250" w:lineRule="exact"/>
        <w:ind w:left="5" w:right="29"/>
        <w:jc w:val="both"/>
        <w:textAlignment w:val="baseline"/>
      </w:pPr>
      <w:r>
        <w:rPr>
          <w:rFonts w:ascii="Arial" w:eastAsia="Arial" w:hAnsi="Arial" w:cs="Arial"/>
          <w:sz w:val="21"/>
          <w:szCs w:val="21"/>
        </w:rPr>
        <w:t xml:space="preserve">El artículo 29.6 de los Estatutos Sociales obliga al Consejo de Administración a elaborar y aprobar, con carácter anual, las Orientaciones Estratégicas, que constituirán el marco general en virtud del cual el Comité de Inversiones acordará las decisiones de inversión. </w:t>
      </w:r>
    </w:p>
    <w:p w14:paraId="0AB7C4E3" w14:textId="77777777" w:rsidR="00E576C4" w:rsidRDefault="00E576C4" w:rsidP="00E576C4">
      <w:pPr>
        <w:pStyle w:val="Style"/>
        <w:spacing w:line="660" w:lineRule="atLeast"/>
        <w:rPr>
          <w:sz w:val="33"/>
          <w:szCs w:val="33"/>
        </w:rPr>
      </w:pPr>
    </w:p>
    <w:p w14:paraId="4708DDDB" w14:textId="77777777" w:rsidR="00E576C4" w:rsidRDefault="00E576C4" w:rsidP="00E576C4">
      <w:pPr>
        <w:pStyle w:val="Style"/>
        <w:spacing w:line="226" w:lineRule="exact"/>
        <w:ind w:right="29"/>
        <w:textAlignment w:val="baseline"/>
      </w:pPr>
      <w:r>
        <w:rPr>
          <w:rFonts w:ascii="Arial" w:eastAsia="Arial" w:hAnsi="Arial" w:cs="Arial"/>
          <w:sz w:val="21"/>
          <w:szCs w:val="21"/>
        </w:rPr>
        <w:t xml:space="preserve">Se transcribe de forma literal el citado artículo 29.6 de los Estatutos Sociales </w:t>
      </w:r>
    </w:p>
    <w:p w14:paraId="3A33E689" w14:textId="77777777" w:rsidR="00E576C4" w:rsidRDefault="00E576C4" w:rsidP="00E576C4">
      <w:pPr>
        <w:pStyle w:val="Style"/>
        <w:spacing w:line="780" w:lineRule="atLeast"/>
        <w:rPr>
          <w:sz w:val="39"/>
          <w:szCs w:val="39"/>
        </w:rPr>
      </w:pPr>
    </w:p>
    <w:p w14:paraId="741FF6A6" w14:textId="77777777" w:rsidR="00E576C4" w:rsidRDefault="00E576C4" w:rsidP="00E576C4">
      <w:pPr>
        <w:pStyle w:val="Style"/>
        <w:spacing w:line="254" w:lineRule="exact"/>
        <w:ind w:left="715" w:right="29"/>
        <w:jc w:val="both"/>
        <w:textAlignment w:val="baseline"/>
      </w:pPr>
      <w:r>
        <w:rPr>
          <w:rFonts w:ascii="Arial" w:eastAsia="Arial" w:hAnsi="Arial" w:cs="Arial"/>
          <w:i/>
          <w:iCs/>
          <w:sz w:val="21"/>
          <w:szCs w:val="21"/>
        </w:rPr>
        <w:t xml:space="preserve">"6. El Comité de Inversiones acordará las decisiones de inversión de los recursos financieros con independencia y profesionalidad, con estricto cumplimiento del marco general fijado en las Orientaciones Estratégicas fijadas con carácter anual por el Consejo de Administración. Con esa finalidad, reportará periódicamente al Consejo respecto de las operaciones acordadas." </w:t>
      </w:r>
    </w:p>
    <w:p w14:paraId="09463931" w14:textId="77777777" w:rsidR="00E576C4" w:rsidRDefault="00E576C4" w:rsidP="00E576C4">
      <w:pPr>
        <w:pStyle w:val="Style"/>
        <w:spacing w:line="740" w:lineRule="atLeast"/>
        <w:rPr>
          <w:sz w:val="37"/>
          <w:szCs w:val="37"/>
        </w:rPr>
      </w:pPr>
    </w:p>
    <w:p w14:paraId="660CBC14" w14:textId="77777777" w:rsidR="00E576C4" w:rsidRDefault="00E576C4" w:rsidP="00E576C4">
      <w:pPr>
        <w:pStyle w:val="Style"/>
        <w:spacing w:line="250" w:lineRule="exact"/>
        <w:ind w:right="29"/>
        <w:jc w:val="both"/>
        <w:textAlignment w:val="baseline"/>
      </w:pPr>
      <w:r>
        <w:rPr>
          <w:rFonts w:ascii="Arial" w:eastAsia="Arial" w:hAnsi="Arial" w:cs="Arial"/>
          <w:sz w:val="21"/>
          <w:szCs w:val="21"/>
        </w:rPr>
        <w:t xml:space="preserve">La elaboración de todo tipo de estudios, análisis o documentos que sirvan de base para que se pueda llevar a cabo la ejecución de las actividades que figuran en el objeto social es una actividad necesaria y complementaria para el ejercicio de las actividades sociales por parte de cualquier compañía. Y es que, a mayor abundamiento, en este caso, la elaboración de dichos estudios, análisis o documentos constituyen una actividad que permite al Consejo de Administración poder elaborar el documento de Orientaciones Estratégicas exigido por los Estatutos Sociales. </w:t>
      </w:r>
    </w:p>
    <w:p w14:paraId="11983CB6" w14:textId="77777777" w:rsidR="00E576C4" w:rsidRDefault="00E576C4" w:rsidP="00E576C4">
      <w:pPr>
        <w:pStyle w:val="Style"/>
        <w:spacing w:line="620" w:lineRule="atLeast"/>
        <w:rPr>
          <w:sz w:val="31"/>
          <w:szCs w:val="31"/>
        </w:rPr>
      </w:pPr>
    </w:p>
    <w:p w14:paraId="185DC5BF" w14:textId="77777777" w:rsidR="00E576C4" w:rsidRDefault="00E576C4" w:rsidP="00E576C4">
      <w:pPr>
        <w:pStyle w:val="Style"/>
        <w:spacing w:line="250" w:lineRule="exact"/>
        <w:ind w:left="5" w:right="34"/>
        <w:jc w:val="both"/>
        <w:textAlignment w:val="baseline"/>
      </w:pPr>
      <w:r>
        <w:rPr>
          <w:rFonts w:ascii="Arial" w:eastAsia="Arial" w:hAnsi="Arial" w:cs="Arial"/>
          <w:sz w:val="21"/>
          <w:szCs w:val="21"/>
        </w:rPr>
        <w:t>Y así lo ha entendido tanto los Tribunales de Justicia como la Dirección General del Registro y Notariado (actualmente denominada Dirección General de Seguridad</w:t>
      </w:r>
      <w:r>
        <w:t xml:space="preserve"> </w:t>
      </w:r>
      <w:r>
        <w:rPr>
          <w:rFonts w:ascii="Arial" w:eastAsia="Arial" w:hAnsi="Arial" w:cs="Arial"/>
          <w:sz w:val="21"/>
          <w:szCs w:val="21"/>
        </w:rPr>
        <w:t xml:space="preserve">Jurídica y Fe Pública), que solamente considera fuera del ámbito de representación de los administradores (según la redacción del artículo 234 de la Ley de Sociedades de Capital) los actos directamente contradictorios con el objeto social, y no los complementarios, ni los llamados neutros. </w:t>
      </w:r>
    </w:p>
    <w:p w14:paraId="6077E9A1" w14:textId="77777777" w:rsidR="00E576C4" w:rsidRDefault="00E576C4" w:rsidP="00E576C4">
      <w:pPr>
        <w:pStyle w:val="Style"/>
        <w:spacing w:line="620" w:lineRule="atLeast"/>
        <w:rPr>
          <w:sz w:val="31"/>
          <w:szCs w:val="31"/>
        </w:rPr>
      </w:pPr>
    </w:p>
    <w:p w14:paraId="734ABCFF" w14:textId="77777777" w:rsidR="00E576C4" w:rsidRDefault="00E576C4" w:rsidP="00E576C4">
      <w:pPr>
        <w:pStyle w:val="Style"/>
        <w:spacing w:line="254" w:lineRule="exact"/>
        <w:ind w:right="29"/>
        <w:textAlignment w:val="baseline"/>
      </w:pPr>
      <w:r>
        <w:rPr>
          <w:rFonts w:ascii="Arial" w:eastAsia="Arial" w:hAnsi="Arial" w:cs="Arial"/>
          <w:sz w:val="21"/>
          <w:szCs w:val="21"/>
        </w:rPr>
        <w:t xml:space="preserve">En concreto, cabe citar la sentencia del Tribunal Supremo de 29 de julio de 201 O, que dispone: </w:t>
      </w:r>
    </w:p>
    <w:p w14:paraId="154177FA" w14:textId="77777777" w:rsidR="00E576C4" w:rsidRDefault="00E576C4" w:rsidP="00E576C4">
      <w:pPr>
        <w:pStyle w:val="Style"/>
        <w:spacing w:line="680" w:lineRule="atLeast"/>
        <w:rPr>
          <w:sz w:val="34"/>
          <w:szCs w:val="34"/>
        </w:rPr>
      </w:pPr>
    </w:p>
    <w:p w14:paraId="0BA476AF" w14:textId="77777777" w:rsidR="00E576C4" w:rsidRDefault="00E576C4" w:rsidP="00E576C4">
      <w:pPr>
        <w:pStyle w:val="Style"/>
        <w:spacing w:line="250" w:lineRule="exact"/>
        <w:ind w:left="701"/>
        <w:jc w:val="both"/>
        <w:textAlignment w:val="baseline"/>
      </w:pPr>
      <w:r>
        <w:rPr>
          <w:rFonts w:ascii="Arial" w:eastAsia="Arial" w:hAnsi="Arial" w:cs="Arial"/>
          <w:i/>
          <w:iCs/>
          <w:sz w:val="21"/>
          <w:szCs w:val="21"/>
        </w:rPr>
        <w:lastRenderedPageBreak/>
        <w:t xml:space="preserve">"ante la necesidad de proteger la confianza en la apariencia y con ello la seguridad del tráfico, especialmente cuando la personalidad se utiliza </w:t>
      </w:r>
      <w:r>
        <w:rPr>
          <w:sz w:val="23"/>
          <w:szCs w:val="23"/>
        </w:rPr>
        <w:t xml:space="preserve">como </w:t>
      </w:r>
      <w:r>
        <w:rPr>
          <w:rFonts w:ascii="Arial" w:eastAsia="Arial" w:hAnsi="Arial" w:cs="Arial"/>
          <w:i/>
          <w:iCs/>
          <w:sz w:val="21"/>
          <w:szCs w:val="21"/>
        </w:rPr>
        <w:t xml:space="preserve">vehículo para organizar una empresa que actúa en el mercado, nuestro sistema parte de la plena capacidad jurídica y de obrar de las sociedades mercantiles que, en consecuencia, sin </w:t>
      </w:r>
      <w:r>
        <w:rPr>
          <w:rFonts w:ascii="Arial" w:eastAsia="Arial" w:hAnsi="Arial" w:cs="Arial"/>
          <w:i/>
          <w:iCs/>
          <w:sz w:val="20"/>
          <w:szCs w:val="20"/>
        </w:rPr>
        <w:t xml:space="preserve">perjuicio </w:t>
      </w:r>
      <w:r>
        <w:rPr>
          <w:rFonts w:ascii="Arial" w:eastAsia="Arial" w:hAnsi="Arial" w:cs="Arial"/>
          <w:i/>
          <w:iCs/>
          <w:sz w:val="21"/>
          <w:szCs w:val="21"/>
        </w:rPr>
        <w:t xml:space="preserve">de las eventuales responsabilidades en las que puedan incurrir sus gestores, pueden desplegar lícitamente tanto actividades «estatutarias» (dentro del objeto social), </w:t>
      </w:r>
      <w:r>
        <w:rPr>
          <w:sz w:val="23"/>
          <w:szCs w:val="23"/>
        </w:rPr>
        <w:t xml:space="preserve">como </w:t>
      </w:r>
      <w:r>
        <w:rPr>
          <w:rFonts w:ascii="Arial" w:eastAsia="Arial" w:hAnsi="Arial" w:cs="Arial"/>
          <w:i/>
          <w:iCs/>
          <w:sz w:val="21"/>
          <w:szCs w:val="21"/>
        </w:rPr>
        <w:t xml:space="preserve">«neutras» (que no suponen el desarrollo inmediato del objeto fijado en los estatutos) y «extraestatutarios», incluso cuando son claramente extravagantes y ajenas al objeto social. Esta capacidad en modo alguno queda mermada por las previsiones contenidas en el artículo 129 de la Ley de Sociedades Anónimas de 1989 -hoy 234 de la Ley de Sociedades de Capital-, que atribuye </w:t>
      </w:r>
      <w:r>
        <w:rPr>
          <w:rFonts w:ascii="Arial" w:eastAsia="Arial" w:hAnsi="Arial" w:cs="Arial"/>
          <w:sz w:val="21"/>
          <w:szCs w:val="21"/>
        </w:rPr>
        <w:t xml:space="preserve">a </w:t>
      </w:r>
      <w:r>
        <w:rPr>
          <w:rFonts w:ascii="Arial" w:eastAsia="Arial" w:hAnsi="Arial" w:cs="Arial"/>
          <w:i/>
          <w:iCs/>
          <w:sz w:val="21"/>
          <w:szCs w:val="21"/>
        </w:rPr>
        <w:t xml:space="preserve">los administradores societarios el poder inderogable de vincular </w:t>
      </w:r>
      <w:r>
        <w:rPr>
          <w:rFonts w:ascii="Arial" w:eastAsia="Arial" w:hAnsi="Arial" w:cs="Arial"/>
          <w:sz w:val="21"/>
          <w:szCs w:val="21"/>
        </w:rPr>
        <w:t xml:space="preserve">a </w:t>
      </w:r>
      <w:r>
        <w:rPr>
          <w:rFonts w:ascii="Arial" w:eastAsia="Arial" w:hAnsi="Arial" w:cs="Arial"/>
          <w:i/>
          <w:iCs/>
          <w:sz w:val="21"/>
          <w:szCs w:val="21"/>
        </w:rPr>
        <w:t xml:space="preserve">la sociedad con terceros, con independencia de que su actuación se desarrolle dentro de la actividad fijada </w:t>
      </w:r>
      <w:r>
        <w:rPr>
          <w:sz w:val="23"/>
          <w:szCs w:val="23"/>
        </w:rPr>
        <w:t xml:space="preserve">como </w:t>
      </w:r>
      <w:r>
        <w:rPr>
          <w:rFonts w:ascii="Arial" w:eastAsia="Arial" w:hAnsi="Arial" w:cs="Arial"/>
          <w:i/>
          <w:iCs/>
          <w:sz w:val="21"/>
          <w:szCs w:val="21"/>
        </w:rPr>
        <w:t xml:space="preserve">objeto estatutario inscrito en el Registro Mercantil </w:t>
      </w:r>
      <w:r>
        <w:rPr>
          <w:sz w:val="23"/>
          <w:szCs w:val="23"/>
        </w:rPr>
        <w:t xml:space="preserve">o </w:t>
      </w:r>
      <w:r>
        <w:rPr>
          <w:rFonts w:ascii="Arial" w:eastAsia="Arial" w:hAnsi="Arial" w:cs="Arial"/>
          <w:i/>
          <w:iCs/>
          <w:sz w:val="21"/>
          <w:szCs w:val="21"/>
        </w:rPr>
        <w:t xml:space="preserve">fuera de ella, sin perjuicio de que la transgresión del objeto estatutario pueda ser oponible frente </w:t>
      </w:r>
      <w:r>
        <w:rPr>
          <w:rFonts w:ascii="Arial" w:eastAsia="Arial" w:hAnsi="Arial" w:cs="Arial"/>
          <w:sz w:val="21"/>
          <w:szCs w:val="21"/>
        </w:rPr>
        <w:t xml:space="preserve">a </w:t>
      </w:r>
      <w:r>
        <w:rPr>
          <w:rFonts w:ascii="Arial" w:eastAsia="Arial" w:hAnsi="Arial" w:cs="Arial"/>
          <w:i/>
          <w:iCs/>
          <w:sz w:val="21"/>
          <w:szCs w:val="21"/>
        </w:rPr>
        <w:t xml:space="preserve">quienes no hayan obrado de buena fe y sin culpa grave. Lo expuesto no es obstáculo </w:t>
      </w:r>
      <w:r>
        <w:rPr>
          <w:rFonts w:ascii="Arial" w:eastAsia="Arial" w:hAnsi="Arial" w:cs="Arial"/>
          <w:sz w:val="21"/>
          <w:szCs w:val="21"/>
        </w:rPr>
        <w:t xml:space="preserve">a </w:t>
      </w:r>
      <w:r>
        <w:rPr>
          <w:rFonts w:ascii="Arial" w:eastAsia="Arial" w:hAnsi="Arial" w:cs="Arial"/>
          <w:i/>
          <w:iCs/>
          <w:sz w:val="21"/>
          <w:szCs w:val="21"/>
        </w:rPr>
        <w:t xml:space="preserve">la reserva de objeto social por la cual el Legislador exige que nada más las sociedades que reúnen determinados requisitos puedan tener </w:t>
      </w:r>
      <w:r>
        <w:rPr>
          <w:sz w:val="23"/>
          <w:szCs w:val="23"/>
        </w:rPr>
        <w:t xml:space="preserve">como </w:t>
      </w:r>
      <w:r>
        <w:rPr>
          <w:rFonts w:ascii="Arial" w:eastAsia="Arial" w:hAnsi="Arial" w:cs="Arial"/>
          <w:i/>
          <w:iCs/>
          <w:sz w:val="21"/>
          <w:szCs w:val="21"/>
        </w:rPr>
        <w:t xml:space="preserve">objeto estatutario el desarrollo de determinadas actividades, pudiendo hallarse entre ellas que tengan un "objeto social exclusivo", y </w:t>
      </w:r>
      <w:r>
        <w:rPr>
          <w:rFonts w:ascii="Arial" w:eastAsia="Arial" w:hAnsi="Arial" w:cs="Arial"/>
          <w:sz w:val="21"/>
          <w:szCs w:val="21"/>
        </w:rPr>
        <w:t xml:space="preserve">a </w:t>
      </w:r>
      <w:r>
        <w:rPr>
          <w:rFonts w:ascii="Arial" w:eastAsia="Arial" w:hAnsi="Arial" w:cs="Arial"/>
          <w:i/>
          <w:iCs/>
          <w:sz w:val="21"/>
          <w:szCs w:val="21"/>
        </w:rPr>
        <w:t xml:space="preserve">la reserva de actividad por la que ciertas actividades nada más pueden desplegarse regularmente por compañías que cumplan ciertas características y </w:t>
      </w:r>
      <w:r>
        <w:rPr>
          <w:rFonts w:ascii="Arial" w:eastAsia="Arial" w:hAnsi="Arial" w:cs="Arial"/>
          <w:sz w:val="21"/>
          <w:szCs w:val="21"/>
        </w:rPr>
        <w:t xml:space="preserve">a </w:t>
      </w:r>
      <w:r>
        <w:rPr>
          <w:rFonts w:ascii="Arial" w:eastAsia="Arial" w:hAnsi="Arial" w:cs="Arial"/>
          <w:i/>
          <w:iCs/>
          <w:sz w:val="21"/>
          <w:szCs w:val="21"/>
        </w:rPr>
        <w:t xml:space="preserve">que en ocasiones combine ambos criterios para dar lugar </w:t>
      </w:r>
      <w:r>
        <w:rPr>
          <w:rFonts w:ascii="Arial" w:eastAsia="Arial" w:hAnsi="Arial" w:cs="Arial"/>
          <w:sz w:val="21"/>
          <w:szCs w:val="21"/>
        </w:rPr>
        <w:t xml:space="preserve">a </w:t>
      </w:r>
      <w:r>
        <w:rPr>
          <w:rFonts w:ascii="Arial" w:eastAsia="Arial" w:hAnsi="Arial" w:cs="Arial"/>
          <w:i/>
          <w:iCs/>
          <w:sz w:val="21"/>
          <w:szCs w:val="21"/>
        </w:rPr>
        <w:t xml:space="preserve">sociedades con objeto social único y </w:t>
      </w:r>
      <w:r>
        <w:rPr>
          <w:rFonts w:ascii="Arial" w:eastAsia="Arial" w:hAnsi="Arial" w:cs="Arial"/>
          <w:sz w:val="21"/>
          <w:szCs w:val="21"/>
        </w:rPr>
        <w:t xml:space="preserve">a </w:t>
      </w:r>
      <w:r>
        <w:rPr>
          <w:rFonts w:ascii="Arial" w:eastAsia="Arial" w:hAnsi="Arial" w:cs="Arial"/>
          <w:i/>
          <w:iCs/>
          <w:sz w:val="21"/>
          <w:szCs w:val="21"/>
        </w:rPr>
        <w:t xml:space="preserve">actividades legalmente reservadas". </w:t>
      </w:r>
    </w:p>
    <w:p w14:paraId="3F69C847" w14:textId="77777777" w:rsidR="00E576C4" w:rsidRDefault="00E576C4" w:rsidP="00E576C4">
      <w:pPr>
        <w:pStyle w:val="Style"/>
        <w:spacing w:line="740" w:lineRule="atLeast"/>
        <w:rPr>
          <w:sz w:val="37"/>
          <w:szCs w:val="37"/>
        </w:rPr>
      </w:pPr>
    </w:p>
    <w:p w14:paraId="5835282E" w14:textId="77777777" w:rsidR="00E576C4" w:rsidRDefault="00E576C4" w:rsidP="00E576C4">
      <w:pPr>
        <w:pStyle w:val="Style"/>
        <w:spacing w:line="250" w:lineRule="exact"/>
        <w:ind w:right="24"/>
        <w:jc w:val="both"/>
        <w:textAlignment w:val="baseline"/>
        <w:rPr>
          <w:rFonts w:ascii="Arial" w:eastAsia="Arial" w:hAnsi="Arial" w:cs="Arial"/>
          <w:sz w:val="21"/>
          <w:szCs w:val="21"/>
        </w:rPr>
      </w:pPr>
      <w:r>
        <w:rPr>
          <w:rFonts w:ascii="Arial" w:eastAsia="Arial" w:hAnsi="Arial" w:cs="Arial"/>
          <w:sz w:val="21"/>
          <w:szCs w:val="21"/>
        </w:rPr>
        <w:t xml:space="preserve">Por todo lo anteriormente expuesto, la realización de todo tipo de estudios, análisis y cualquier documentación por parte del Consejo de Administración del Instituto Navarro de Inversiones, S.L., para dar cumplimiento a las actividades que integran el objeto social, es ajustada a derecho. </w:t>
      </w:r>
    </w:p>
    <w:p w14:paraId="0A534521" w14:textId="77777777" w:rsidR="00E576C4" w:rsidRDefault="00E576C4" w:rsidP="00E576C4">
      <w:pPr>
        <w:pStyle w:val="Style"/>
        <w:spacing w:line="250" w:lineRule="exact"/>
        <w:ind w:right="24"/>
        <w:jc w:val="both"/>
        <w:textAlignment w:val="baseline"/>
        <w:rPr>
          <w:rFonts w:ascii="Arial" w:eastAsia="Arial" w:hAnsi="Arial" w:cs="Arial"/>
          <w:sz w:val="21"/>
          <w:szCs w:val="21"/>
        </w:rPr>
      </w:pPr>
    </w:p>
    <w:p w14:paraId="378FC35A" w14:textId="77777777" w:rsidR="00E576C4" w:rsidRDefault="00E576C4" w:rsidP="00E576C4">
      <w:pPr>
        <w:pStyle w:val="Style"/>
        <w:spacing w:line="259" w:lineRule="exact"/>
        <w:ind w:right="62"/>
        <w:textAlignment w:val="baseline"/>
      </w:pPr>
      <w:r>
        <w:rPr>
          <w:rFonts w:ascii="Arial" w:eastAsia="Arial" w:hAnsi="Arial" w:cs="Arial"/>
          <w:b/>
          <w:sz w:val="21"/>
          <w:szCs w:val="21"/>
          <w:u w:val="single"/>
        </w:rPr>
        <w:t xml:space="preserve">SEXTA.- Página 111 (apartado 5.12 Sociedades Públicas </w:t>
      </w:r>
      <w:r>
        <w:rPr>
          <w:rFonts w:ascii="Arial" w:eastAsia="Arial" w:hAnsi="Arial" w:cs="Arial"/>
          <w:b/>
          <w:sz w:val="20"/>
          <w:szCs w:val="20"/>
          <w:u w:val="single"/>
        </w:rPr>
        <w:t xml:space="preserve">y </w:t>
      </w:r>
      <w:r>
        <w:rPr>
          <w:rFonts w:ascii="Arial" w:eastAsia="Arial" w:hAnsi="Arial" w:cs="Arial"/>
          <w:b/>
          <w:sz w:val="21"/>
          <w:szCs w:val="21"/>
          <w:u w:val="single"/>
        </w:rPr>
        <w:t xml:space="preserve">Fundaciones Públicas) </w:t>
      </w:r>
    </w:p>
    <w:p w14:paraId="21462EA9" w14:textId="77777777" w:rsidR="00E576C4" w:rsidRDefault="00E576C4" w:rsidP="00E576C4">
      <w:pPr>
        <w:pStyle w:val="Style"/>
        <w:spacing w:line="620" w:lineRule="atLeast"/>
        <w:rPr>
          <w:sz w:val="31"/>
          <w:szCs w:val="31"/>
        </w:rPr>
      </w:pPr>
    </w:p>
    <w:p w14:paraId="1C78D081" w14:textId="77777777" w:rsidR="00E576C4" w:rsidRDefault="00E576C4" w:rsidP="00E576C4">
      <w:pPr>
        <w:pStyle w:val="Style"/>
        <w:spacing w:line="230" w:lineRule="exact"/>
        <w:ind w:left="5" w:right="53"/>
        <w:textAlignment w:val="baseline"/>
      </w:pPr>
      <w:r>
        <w:rPr>
          <w:rFonts w:ascii="Arial" w:eastAsia="Arial" w:hAnsi="Arial" w:cs="Arial"/>
          <w:sz w:val="21"/>
          <w:szCs w:val="21"/>
        </w:rPr>
        <w:t xml:space="preserve">En el borrador del informe se dispone: </w:t>
      </w:r>
    </w:p>
    <w:p w14:paraId="61E3A6CC" w14:textId="77777777" w:rsidR="00E576C4" w:rsidRDefault="00E576C4" w:rsidP="00E576C4">
      <w:pPr>
        <w:pStyle w:val="Style"/>
        <w:spacing w:before="330" w:line="250" w:lineRule="exact"/>
        <w:ind w:left="706" w:right="53"/>
        <w:jc w:val="both"/>
        <w:textAlignment w:val="baseline"/>
      </w:pPr>
      <w:r>
        <w:rPr>
          <w:rFonts w:ascii="Arial" w:eastAsia="Arial" w:hAnsi="Arial" w:cs="Arial"/>
          <w:i/>
          <w:iCs/>
          <w:sz w:val="21"/>
          <w:szCs w:val="21"/>
        </w:rPr>
        <w:t xml:space="preserve">En las cuentas anuales del ejercicio 2023 de </w:t>
      </w:r>
      <w:proofErr w:type="spellStart"/>
      <w:r>
        <w:rPr>
          <w:rFonts w:ascii="Arial" w:eastAsia="Arial" w:hAnsi="Arial" w:cs="Arial"/>
          <w:i/>
          <w:iCs/>
          <w:sz w:val="21"/>
          <w:szCs w:val="21"/>
        </w:rPr>
        <w:t>Sodena</w:t>
      </w:r>
      <w:proofErr w:type="spellEnd"/>
      <w:r>
        <w:rPr>
          <w:rFonts w:ascii="Arial" w:eastAsia="Arial" w:hAnsi="Arial" w:cs="Arial"/>
          <w:i/>
          <w:iCs/>
          <w:sz w:val="21"/>
          <w:szCs w:val="21"/>
        </w:rPr>
        <w:t xml:space="preserve"> siguen figurando los citados créditos sin que se haya contabilizado su corrección valorativa, por lo que consideramos que el neto patrimonial que figura en las citadas </w:t>
      </w:r>
      <w:proofErr w:type="gramStart"/>
      <w:r>
        <w:rPr>
          <w:rFonts w:ascii="Arial" w:eastAsia="Arial" w:hAnsi="Arial" w:cs="Arial"/>
          <w:i/>
          <w:iCs/>
          <w:sz w:val="21"/>
          <w:szCs w:val="21"/>
        </w:rPr>
        <w:t>cuentas,</w:t>
      </w:r>
      <w:proofErr w:type="gramEnd"/>
      <w:r>
        <w:rPr>
          <w:rFonts w:ascii="Arial" w:eastAsia="Arial" w:hAnsi="Arial" w:cs="Arial"/>
          <w:i/>
          <w:iCs/>
          <w:sz w:val="21"/>
          <w:szCs w:val="21"/>
        </w:rPr>
        <w:t xml:space="preserve"> estaría infravalorado, </w:t>
      </w:r>
      <w:r>
        <w:rPr>
          <w:rFonts w:ascii="Arial" w:eastAsia="Arial" w:hAnsi="Arial" w:cs="Arial"/>
          <w:sz w:val="21"/>
          <w:szCs w:val="21"/>
        </w:rPr>
        <w:t xml:space="preserve">como </w:t>
      </w:r>
      <w:r>
        <w:rPr>
          <w:rFonts w:ascii="Arial" w:eastAsia="Arial" w:hAnsi="Arial" w:cs="Arial"/>
          <w:i/>
          <w:iCs/>
          <w:sz w:val="21"/>
          <w:szCs w:val="21"/>
        </w:rPr>
        <w:t xml:space="preserve">mínimo en 22,51 millones. </w:t>
      </w:r>
    </w:p>
    <w:p w14:paraId="7582DA51" w14:textId="77777777" w:rsidR="00E576C4" w:rsidRDefault="00E576C4" w:rsidP="00E576C4">
      <w:pPr>
        <w:pStyle w:val="Style"/>
        <w:spacing w:line="640" w:lineRule="atLeast"/>
        <w:rPr>
          <w:sz w:val="32"/>
          <w:szCs w:val="32"/>
        </w:rPr>
      </w:pPr>
    </w:p>
    <w:p w14:paraId="37FE3915" w14:textId="77777777" w:rsidR="00E576C4" w:rsidRDefault="00E576C4" w:rsidP="00E576C4">
      <w:pPr>
        <w:pStyle w:val="Style"/>
        <w:spacing w:line="254" w:lineRule="exact"/>
        <w:ind w:left="5" w:right="38"/>
        <w:jc w:val="both"/>
        <w:textAlignment w:val="baseline"/>
      </w:pPr>
      <w:r>
        <w:rPr>
          <w:rFonts w:ascii="Arial" w:eastAsia="Arial" w:hAnsi="Arial" w:cs="Arial"/>
          <w:sz w:val="21"/>
          <w:szCs w:val="21"/>
        </w:rPr>
        <w:t xml:space="preserve">En relación a dicha afirmación, de la que discrepamos totalmente, nos remitimos a las alegaciones presentadas conjuntamente entre CPEN </w:t>
      </w:r>
      <w:r>
        <w:rPr>
          <w:rFonts w:ascii="Arial" w:eastAsia="Arial" w:hAnsi="Arial" w:cs="Arial"/>
          <w:sz w:val="20"/>
          <w:szCs w:val="20"/>
        </w:rPr>
        <w:t xml:space="preserve">y </w:t>
      </w:r>
      <w:r>
        <w:rPr>
          <w:rFonts w:ascii="Arial" w:eastAsia="Arial" w:hAnsi="Arial" w:cs="Arial"/>
          <w:sz w:val="21"/>
          <w:szCs w:val="21"/>
        </w:rPr>
        <w:t xml:space="preserve">SODENA, frente al informe provisional de las aportaciones financieras de SODENA a PARQUENASA (2001 - 2023) emitido por la Cámara de Comptos de Navarra en noviembre de 2023. </w:t>
      </w:r>
    </w:p>
    <w:p w14:paraId="2EE0A496" w14:textId="77777777" w:rsidR="00E576C4" w:rsidRDefault="00E576C4" w:rsidP="00E576C4">
      <w:pPr>
        <w:pStyle w:val="Style"/>
        <w:spacing w:line="620" w:lineRule="atLeast"/>
        <w:rPr>
          <w:sz w:val="31"/>
          <w:szCs w:val="31"/>
        </w:rPr>
      </w:pPr>
    </w:p>
    <w:p w14:paraId="34B72646" w14:textId="18C2DFCD" w:rsidR="00E576C4" w:rsidRDefault="00E576C4" w:rsidP="00F9674A">
      <w:pPr>
        <w:pStyle w:val="Style"/>
        <w:spacing w:line="230" w:lineRule="exact"/>
        <w:ind w:left="710" w:right="4234"/>
        <w:textAlignment w:val="baseline"/>
      </w:pPr>
      <w:r>
        <w:rPr>
          <w:rFonts w:ascii="Arial" w:eastAsia="Arial" w:hAnsi="Arial" w:cs="Arial"/>
          <w:sz w:val="21"/>
          <w:szCs w:val="21"/>
        </w:rPr>
        <w:t xml:space="preserve">Pamplona, 20 de noviembre de 2024 </w:t>
      </w:r>
    </w:p>
    <w:p w14:paraId="1BE86335" w14:textId="77777777" w:rsidR="00F9674A" w:rsidRDefault="00E576C4" w:rsidP="00E576C4">
      <w:pPr>
        <w:pStyle w:val="Style"/>
        <w:spacing w:line="230" w:lineRule="exact"/>
        <w:ind w:left="710" w:right="4234"/>
        <w:textAlignment w:val="baseline"/>
        <w:rPr>
          <w:rFonts w:ascii="Arial" w:eastAsia="Arial" w:hAnsi="Arial" w:cs="Arial"/>
          <w:sz w:val="21"/>
          <w:szCs w:val="21"/>
        </w:rPr>
      </w:pPr>
      <w:r>
        <w:rPr>
          <w:rFonts w:ascii="Arial" w:eastAsia="Arial" w:hAnsi="Arial" w:cs="Arial"/>
          <w:sz w:val="21"/>
          <w:szCs w:val="21"/>
        </w:rPr>
        <w:t xml:space="preserve">Fdo.: Francisco Fernández </w:t>
      </w:r>
      <w:proofErr w:type="spellStart"/>
      <w:r>
        <w:rPr>
          <w:rFonts w:ascii="Arial" w:eastAsia="Arial" w:hAnsi="Arial" w:cs="Arial"/>
          <w:sz w:val="21"/>
          <w:szCs w:val="21"/>
        </w:rPr>
        <w:t>Nistal</w:t>
      </w:r>
      <w:proofErr w:type="spellEnd"/>
    </w:p>
    <w:p w14:paraId="71441708" w14:textId="338BF951" w:rsidR="00E576C4" w:rsidRDefault="00E576C4" w:rsidP="00E576C4">
      <w:pPr>
        <w:pStyle w:val="Style"/>
        <w:spacing w:line="230" w:lineRule="exact"/>
        <w:ind w:left="710" w:right="4234"/>
        <w:textAlignment w:val="baseline"/>
      </w:pPr>
      <w:r>
        <w:rPr>
          <w:rFonts w:ascii="Arial" w:eastAsia="Arial" w:hAnsi="Arial" w:cs="Arial"/>
          <w:sz w:val="21"/>
          <w:szCs w:val="21"/>
        </w:rPr>
        <w:t>Dir</w:t>
      </w:r>
      <w:r w:rsidR="00F9674A">
        <w:rPr>
          <w:rFonts w:ascii="Arial" w:eastAsia="Arial" w:hAnsi="Arial" w:cs="Arial"/>
          <w:sz w:val="21"/>
          <w:szCs w:val="21"/>
        </w:rPr>
        <w:t>ec</w:t>
      </w:r>
      <w:r>
        <w:rPr>
          <w:rFonts w:ascii="Arial" w:eastAsia="Arial" w:hAnsi="Arial" w:cs="Arial"/>
          <w:sz w:val="21"/>
          <w:szCs w:val="21"/>
        </w:rPr>
        <w:t xml:space="preserve">tor General </w:t>
      </w:r>
    </w:p>
    <w:p w14:paraId="687C4984" w14:textId="77777777" w:rsidR="00653EE1" w:rsidRDefault="00653EE1" w:rsidP="00653EE1">
      <w:pPr>
        <w:pStyle w:val="atitulo1"/>
      </w:pPr>
      <w:bookmarkStart w:id="181" w:name="_Toc129330333"/>
      <w:bookmarkStart w:id="182" w:name="_Toc130198159"/>
      <w:bookmarkStart w:id="183" w:name="_Toc146195638"/>
      <w:bookmarkStart w:id="184" w:name="_Toc149803657"/>
      <w:bookmarkStart w:id="185" w:name="_Toc151365882"/>
      <w:bookmarkStart w:id="186" w:name="_Toc182464294"/>
      <w:r w:rsidRPr="000D06D2">
        <w:lastRenderedPageBreak/>
        <w:t>Contestación de la Cámara de Comptos a las alegaciones presentadas al Informe Provisional</w:t>
      </w:r>
      <w:bookmarkEnd w:id="181"/>
      <w:bookmarkEnd w:id="182"/>
      <w:bookmarkEnd w:id="183"/>
      <w:bookmarkEnd w:id="184"/>
      <w:bookmarkEnd w:id="185"/>
      <w:bookmarkEnd w:id="186"/>
    </w:p>
    <w:p w14:paraId="031D3E53" w14:textId="77777777" w:rsidR="002C091C" w:rsidRPr="009F43DB" w:rsidRDefault="002C091C" w:rsidP="00AC0341">
      <w:pPr>
        <w:pStyle w:val="texto"/>
        <w:spacing w:after="120"/>
        <w:jc w:val="both"/>
        <w:rPr>
          <w:sz w:val="25"/>
          <w:szCs w:val="25"/>
        </w:rPr>
      </w:pPr>
      <w:r w:rsidRPr="009F43DB">
        <w:rPr>
          <w:sz w:val="25"/>
          <w:szCs w:val="25"/>
        </w:rPr>
        <w:t xml:space="preserve">De conformidad con lo previsto en el artículo 11 de la Ley Foral 19/1984, de 20 de diciembre, de la Cámara de Comptos de Navarra, los resultados de este trabajo se pusieron de manifiesto al consejero del Departamento de Economía y Hacienda, con el fin de que formulara alegaciones. </w:t>
      </w:r>
    </w:p>
    <w:p w14:paraId="13ECA2D0" w14:textId="77777777" w:rsidR="002C091C" w:rsidRDefault="002C091C" w:rsidP="00AC0341">
      <w:pPr>
        <w:pStyle w:val="texto"/>
        <w:jc w:val="both"/>
        <w:rPr>
          <w:sz w:val="25"/>
          <w:szCs w:val="25"/>
        </w:rPr>
      </w:pPr>
      <w:r w:rsidRPr="009F43DB">
        <w:rPr>
          <w:sz w:val="25"/>
          <w:szCs w:val="25"/>
        </w:rPr>
        <w:t>Ha</w:t>
      </w:r>
      <w:r>
        <w:rPr>
          <w:sz w:val="25"/>
          <w:szCs w:val="25"/>
        </w:rPr>
        <w:t>n</w:t>
      </w:r>
      <w:r w:rsidRPr="009F43DB">
        <w:rPr>
          <w:sz w:val="25"/>
          <w:szCs w:val="25"/>
        </w:rPr>
        <w:t xml:space="preserve"> presentado alegaciones, en el plazo fijado por la Cámara de Comptos, </w:t>
      </w:r>
      <w:r w:rsidRPr="006970FF">
        <w:rPr>
          <w:sz w:val="25"/>
          <w:szCs w:val="25"/>
        </w:rPr>
        <w:t xml:space="preserve">la </w:t>
      </w:r>
      <w:r>
        <w:rPr>
          <w:sz w:val="25"/>
          <w:szCs w:val="25"/>
        </w:rPr>
        <w:t>Secretaría General Técnica del Departamento de Economía y Hacienda</w:t>
      </w:r>
      <w:r w:rsidRPr="003A4309">
        <w:rPr>
          <w:sz w:val="25"/>
          <w:szCs w:val="25"/>
        </w:rPr>
        <w:t>, el Servicio Navarro de Salud-</w:t>
      </w:r>
      <w:proofErr w:type="spellStart"/>
      <w:r w:rsidRPr="003A4309">
        <w:rPr>
          <w:sz w:val="25"/>
          <w:szCs w:val="25"/>
        </w:rPr>
        <w:t>Osansubidea</w:t>
      </w:r>
      <w:proofErr w:type="spellEnd"/>
      <w:r w:rsidRPr="003A4309">
        <w:rPr>
          <w:sz w:val="25"/>
          <w:szCs w:val="25"/>
        </w:rPr>
        <w:t xml:space="preserve"> del Departamento de Salud, y </w:t>
      </w:r>
      <w:r w:rsidRPr="006970FF">
        <w:rPr>
          <w:sz w:val="25"/>
          <w:szCs w:val="25"/>
        </w:rPr>
        <w:t xml:space="preserve">la Corporación Pública </w:t>
      </w:r>
      <w:r>
        <w:rPr>
          <w:sz w:val="25"/>
          <w:szCs w:val="25"/>
        </w:rPr>
        <w:t>Empresarial de Navarra S.L.U. (en adelante CPEN). Estas alegaciones se incorporan al informe provisional, que se eleva a definitivo. No obstante, una vez atendidas algunas de ellas, tal y como se indica en el cuerpo del informe, esta Cámara quiere señalar los siguientes aspectos:</w:t>
      </w:r>
    </w:p>
    <w:p w14:paraId="782EC2EE" w14:textId="77777777" w:rsidR="002C091C" w:rsidRPr="006970FF" w:rsidRDefault="002C091C" w:rsidP="00AC0341">
      <w:pPr>
        <w:pStyle w:val="Default"/>
        <w:jc w:val="both"/>
        <w:rPr>
          <w:color w:val="auto"/>
          <w:spacing w:val="6"/>
          <w:sz w:val="25"/>
          <w:szCs w:val="25"/>
          <w:lang w:val="es-ES_tradnl"/>
        </w:rPr>
      </w:pPr>
    </w:p>
    <w:p w14:paraId="34F90C3D" w14:textId="77777777" w:rsidR="002C091C" w:rsidRDefault="002C091C" w:rsidP="00AC0341">
      <w:pPr>
        <w:pStyle w:val="texto"/>
        <w:numPr>
          <w:ilvl w:val="0"/>
          <w:numId w:val="20"/>
        </w:numPr>
        <w:tabs>
          <w:tab w:val="num" w:pos="300"/>
          <w:tab w:val="left" w:pos="480"/>
          <w:tab w:val="num" w:pos="600"/>
        </w:tabs>
        <w:spacing w:before="120" w:after="120"/>
        <w:ind w:left="0" w:firstLine="289"/>
        <w:jc w:val="both"/>
        <w:rPr>
          <w:sz w:val="25"/>
          <w:szCs w:val="25"/>
        </w:rPr>
      </w:pPr>
      <w:r>
        <w:rPr>
          <w:sz w:val="25"/>
          <w:szCs w:val="25"/>
        </w:rPr>
        <w:t xml:space="preserve">Respecto a las alegaciones presentadas por la Secretaría General Técnica del Departamento de Economía y Hacienda: </w:t>
      </w:r>
    </w:p>
    <w:p w14:paraId="515749AA" w14:textId="77777777" w:rsidR="002C091C" w:rsidRDefault="002C091C" w:rsidP="00AC0341">
      <w:pPr>
        <w:pStyle w:val="texto"/>
        <w:spacing w:after="120"/>
        <w:jc w:val="both"/>
        <w:rPr>
          <w:sz w:val="25"/>
          <w:szCs w:val="25"/>
        </w:rPr>
      </w:pPr>
      <w:r>
        <w:rPr>
          <w:sz w:val="25"/>
          <w:szCs w:val="25"/>
        </w:rPr>
        <w:t>-</w:t>
      </w:r>
      <w:r w:rsidRPr="002553A7">
        <w:rPr>
          <w:sz w:val="25"/>
          <w:szCs w:val="25"/>
        </w:rPr>
        <w:t>En relación con la alegación</w:t>
      </w:r>
      <w:r>
        <w:rPr>
          <w:sz w:val="25"/>
          <w:szCs w:val="25"/>
        </w:rPr>
        <w:t xml:space="preserve"> efectuada con carácter general</w:t>
      </w:r>
      <w:r w:rsidRPr="002553A7">
        <w:rPr>
          <w:sz w:val="25"/>
          <w:szCs w:val="25"/>
        </w:rPr>
        <w:t xml:space="preserve">, </w:t>
      </w:r>
      <w:r>
        <w:rPr>
          <w:sz w:val="25"/>
          <w:szCs w:val="25"/>
        </w:rPr>
        <w:t xml:space="preserve">en primer lugar, señalamos </w:t>
      </w:r>
      <w:r w:rsidRPr="002553A7">
        <w:rPr>
          <w:sz w:val="25"/>
          <w:szCs w:val="25"/>
        </w:rPr>
        <w:t xml:space="preserve">que </w:t>
      </w:r>
      <w:r>
        <w:rPr>
          <w:sz w:val="25"/>
          <w:szCs w:val="25"/>
        </w:rPr>
        <w:t xml:space="preserve">el artículo 9 de la Ley Foral 19/1984, de 20 de diciembre, de la Cámara de Comptos de Navarra, en su artículo 9, nos atribuye, entre otras, la competencia de la fiscalización del control de legalidad de la Administración de la Comunidad Foral de Navarra, y tiene por objeto analizar la adecuación de la actividad financiera de los entes auditados al ordenamiento jurídico vigente. Esta función se ejerce lógicamente sin perjuicio de otras instancias jurídicas y jurisdiccionales. </w:t>
      </w:r>
    </w:p>
    <w:p w14:paraId="1CB1DFDE" w14:textId="77777777" w:rsidR="002C091C" w:rsidRDefault="002C091C" w:rsidP="00AC0341">
      <w:pPr>
        <w:pStyle w:val="texto"/>
        <w:spacing w:after="120"/>
        <w:jc w:val="both"/>
        <w:rPr>
          <w:sz w:val="25"/>
          <w:szCs w:val="25"/>
        </w:rPr>
      </w:pPr>
      <w:r>
        <w:rPr>
          <w:sz w:val="25"/>
          <w:szCs w:val="25"/>
        </w:rPr>
        <w:t xml:space="preserve">Sobre la ejecución de esta competencia, indicamos que tal y como consta en el párrafo </w:t>
      </w:r>
      <w:r w:rsidRPr="002A3436">
        <w:rPr>
          <w:i/>
          <w:sz w:val="25"/>
          <w:szCs w:val="25"/>
        </w:rPr>
        <w:t>IV. Fundamento de nuestra opinión</w:t>
      </w:r>
      <w:r>
        <w:rPr>
          <w:sz w:val="25"/>
          <w:szCs w:val="25"/>
        </w:rPr>
        <w:t xml:space="preserve">, realizamos nuestra fiscalización de conformidad con la ISSI-ES </w:t>
      </w:r>
      <w:r w:rsidRPr="002A3436">
        <w:rPr>
          <w:sz w:val="25"/>
          <w:szCs w:val="25"/>
        </w:rPr>
        <w:t xml:space="preserve">400 referidas a las fiscalizaciones de cumplimiento de legalidad, así como con las Guías Prácticas de Fiscalización de los órganos de control externo. </w:t>
      </w:r>
    </w:p>
    <w:p w14:paraId="6EE60AB5" w14:textId="77777777" w:rsidR="002C091C" w:rsidRDefault="002C091C" w:rsidP="00AC0341">
      <w:pPr>
        <w:pStyle w:val="texto"/>
        <w:spacing w:after="120"/>
        <w:jc w:val="both"/>
        <w:rPr>
          <w:sz w:val="25"/>
          <w:szCs w:val="25"/>
        </w:rPr>
      </w:pPr>
      <w:r w:rsidRPr="002A3436">
        <w:rPr>
          <w:sz w:val="25"/>
          <w:szCs w:val="25"/>
        </w:rPr>
        <w:t xml:space="preserve">Nuestras responsabilidades de acuerdo con dichas normas se describen más adelante en </w:t>
      </w:r>
      <w:r>
        <w:rPr>
          <w:sz w:val="25"/>
          <w:szCs w:val="25"/>
        </w:rPr>
        <w:t xml:space="preserve">el párrafo </w:t>
      </w:r>
      <w:r w:rsidRPr="002A3436">
        <w:rPr>
          <w:i/>
          <w:sz w:val="25"/>
          <w:szCs w:val="25"/>
        </w:rPr>
        <w:t>IX. Responsabilidades de la Cámara de Comptos</w:t>
      </w:r>
      <w:r>
        <w:rPr>
          <w:sz w:val="25"/>
          <w:szCs w:val="25"/>
        </w:rPr>
        <w:t xml:space="preserve">, </w:t>
      </w:r>
      <w:r w:rsidRPr="002A3436">
        <w:rPr>
          <w:sz w:val="25"/>
          <w:szCs w:val="25"/>
        </w:rPr>
        <w:t xml:space="preserve">en relación con la fiscalización de las Cuentas Generales y de cumplimiento de legalidad de nuestro informe. </w:t>
      </w:r>
      <w:r>
        <w:rPr>
          <w:sz w:val="25"/>
          <w:szCs w:val="25"/>
        </w:rPr>
        <w:t xml:space="preserve"> </w:t>
      </w:r>
      <w:r w:rsidRPr="002A3436">
        <w:rPr>
          <w:sz w:val="25"/>
          <w:szCs w:val="25"/>
        </w:rPr>
        <w:t xml:space="preserve">Consecuentemente, tal y como reflejamos en el citado párrafo, nuestras conclusiones están basadas en evidencias suficientes, </w:t>
      </w:r>
      <w:r>
        <w:rPr>
          <w:sz w:val="25"/>
          <w:szCs w:val="25"/>
        </w:rPr>
        <w:t xml:space="preserve">como </w:t>
      </w:r>
      <w:r w:rsidRPr="002A3436">
        <w:rPr>
          <w:sz w:val="25"/>
          <w:szCs w:val="25"/>
        </w:rPr>
        <w:t>nos exige</w:t>
      </w:r>
      <w:r>
        <w:rPr>
          <w:sz w:val="25"/>
          <w:szCs w:val="25"/>
        </w:rPr>
        <w:t>n</w:t>
      </w:r>
      <w:r w:rsidRPr="002A3436">
        <w:rPr>
          <w:sz w:val="25"/>
          <w:szCs w:val="25"/>
        </w:rPr>
        <w:t xml:space="preserve"> los principios y normas de auditoria aplicables al sector público. </w:t>
      </w:r>
    </w:p>
    <w:p w14:paraId="0A35B167" w14:textId="77777777" w:rsidR="002C091C" w:rsidRDefault="002C091C" w:rsidP="00AC0341">
      <w:pPr>
        <w:pStyle w:val="texto"/>
        <w:spacing w:after="120"/>
        <w:jc w:val="both"/>
        <w:rPr>
          <w:sz w:val="25"/>
          <w:szCs w:val="25"/>
        </w:rPr>
      </w:pPr>
      <w:r>
        <w:rPr>
          <w:sz w:val="25"/>
          <w:szCs w:val="25"/>
        </w:rPr>
        <w:t xml:space="preserve">Asimismo, nuestra fiscalización tiene entre otras finalidades, la realización de recomendaciones que redundan en una mejora de la actividad de la Administración de la Comunidad Foral de Navarra. </w:t>
      </w:r>
    </w:p>
    <w:p w14:paraId="48E36268" w14:textId="77777777" w:rsidR="002C091C" w:rsidRPr="00FA4E3B" w:rsidRDefault="002C091C" w:rsidP="00AC0341">
      <w:pPr>
        <w:pStyle w:val="texto"/>
        <w:jc w:val="both"/>
        <w:rPr>
          <w:sz w:val="25"/>
          <w:szCs w:val="25"/>
        </w:rPr>
      </w:pPr>
      <w:r>
        <w:rPr>
          <w:sz w:val="25"/>
          <w:szCs w:val="25"/>
        </w:rPr>
        <w:t>-</w:t>
      </w:r>
      <w:r w:rsidRPr="00FA4E3B">
        <w:rPr>
          <w:sz w:val="25"/>
          <w:szCs w:val="25"/>
        </w:rPr>
        <w:t xml:space="preserve">En relación con la </w:t>
      </w:r>
      <w:r>
        <w:rPr>
          <w:sz w:val="25"/>
          <w:szCs w:val="25"/>
        </w:rPr>
        <w:t xml:space="preserve">primera alegación, que se refiere a la </w:t>
      </w:r>
      <w:r w:rsidRPr="00FA4E3B">
        <w:rPr>
          <w:sz w:val="25"/>
          <w:szCs w:val="25"/>
        </w:rPr>
        <w:t xml:space="preserve">distinta ponderación de los criterios objetivos de adjudicación, </w:t>
      </w:r>
      <w:r>
        <w:rPr>
          <w:sz w:val="25"/>
          <w:szCs w:val="25"/>
        </w:rPr>
        <w:t xml:space="preserve">se atiende y se incorpora en la primera de las recomendaciones, del apartado de contratación pública. </w:t>
      </w:r>
    </w:p>
    <w:p w14:paraId="56430D24" w14:textId="77777777" w:rsidR="002C091C" w:rsidRPr="00FA4E3B" w:rsidRDefault="002C091C" w:rsidP="00AC0341">
      <w:pPr>
        <w:pStyle w:val="texto"/>
        <w:spacing w:after="120"/>
        <w:jc w:val="both"/>
        <w:rPr>
          <w:sz w:val="25"/>
          <w:szCs w:val="25"/>
        </w:rPr>
      </w:pPr>
      <w:r>
        <w:rPr>
          <w:sz w:val="25"/>
          <w:szCs w:val="25"/>
        </w:rPr>
        <w:lastRenderedPageBreak/>
        <w:t>-</w:t>
      </w:r>
      <w:r w:rsidRPr="00FA4E3B">
        <w:rPr>
          <w:sz w:val="25"/>
          <w:szCs w:val="25"/>
        </w:rPr>
        <w:t>En relación con la</w:t>
      </w:r>
      <w:r>
        <w:rPr>
          <w:sz w:val="25"/>
          <w:szCs w:val="25"/>
        </w:rPr>
        <w:t xml:space="preserve"> segunda alegación, sobre la sentencia del Tribunal Supremo, y el nuevo escenario que abre respecto a las fórmulas de valoración económica, se atiende y se incorpora, como hecho posterior en el informe definitivo, así como en la cuarta recomendación, del citado apartado. </w:t>
      </w:r>
    </w:p>
    <w:p w14:paraId="655C045A" w14:textId="77777777" w:rsidR="002C091C" w:rsidRDefault="002C091C" w:rsidP="00AC0341">
      <w:pPr>
        <w:pStyle w:val="texto"/>
        <w:spacing w:after="120"/>
        <w:jc w:val="both"/>
        <w:rPr>
          <w:sz w:val="25"/>
          <w:szCs w:val="25"/>
        </w:rPr>
      </w:pPr>
      <w:r>
        <w:rPr>
          <w:sz w:val="25"/>
          <w:szCs w:val="25"/>
        </w:rPr>
        <w:t xml:space="preserve"> -En relación a la tercera alegación, nuestra recomendación va en la línea de sugerir una mejora en la gestión de este tipo de expedientes, sin entender que exista ningún tipo de incumplimiento legal.</w:t>
      </w:r>
    </w:p>
    <w:p w14:paraId="161FEE94" w14:textId="77777777" w:rsidR="002C091C" w:rsidRPr="00EE46E6" w:rsidRDefault="002C091C" w:rsidP="00AC0341">
      <w:pPr>
        <w:pStyle w:val="texto"/>
        <w:spacing w:after="120"/>
        <w:jc w:val="both"/>
        <w:rPr>
          <w:sz w:val="25"/>
          <w:szCs w:val="25"/>
        </w:rPr>
      </w:pPr>
      <w:r w:rsidRPr="00EE46E6">
        <w:rPr>
          <w:sz w:val="25"/>
          <w:szCs w:val="25"/>
        </w:rPr>
        <w:t>-En relación con la cuarta alegación, sobre el manejo del sobre nº 2 (que afecta al contrato de adjudicación de la obra “Duplicación del Túnel de Belate, que desarrollamos en el Apéndice 6 del informe) esta Cámara no cuestiona las garantías que ofrece la herramienta de licitación electrónica para la contratación pública en la Administración de la Comunidad Foral de Navarra. No obstante, nos reafirmamos en que debe evitarse este tipo de situaciones.</w:t>
      </w:r>
    </w:p>
    <w:p w14:paraId="62105D3C" w14:textId="77777777" w:rsidR="002C091C" w:rsidRDefault="002C091C" w:rsidP="00AC0341">
      <w:pPr>
        <w:pStyle w:val="texto"/>
        <w:spacing w:after="120"/>
        <w:jc w:val="both"/>
        <w:rPr>
          <w:sz w:val="25"/>
          <w:szCs w:val="25"/>
        </w:rPr>
      </w:pPr>
      <w:r>
        <w:rPr>
          <w:sz w:val="25"/>
          <w:szCs w:val="25"/>
        </w:rPr>
        <w:t>-</w:t>
      </w:r>
      <w:r w:rsidRPr="002553A7">
        <w:rPr>
          <w:sz w:val="25"/>
          <w:szCs w:val="25"/>
        </w:rPr>
        <w:t xml:space="preserve">En relación con la </w:t>
      </w:r>
      <w:r>
        <w:rPr>
          <w:sz w:val="25"/>
          <w:szCs w:val="25"/>
        </w:rPr>
        <w:t xml:space="preserve">quinta alegación, sobre la errata detectada del ejercicio presupuestario en la página 120 del informe, corregimos el error y lo reflejamos adecuadamente en el informe definitivo. </w:t>
      </w:r>
    </w:p>
    <w:p w14:paraId="28D5ACDA" w14:textId="77777777" w:rsidR="002C091C" w:rsidRDefault="002C091C" w:rsidP="00AC0341">
      <w:pPr>
        <w:pStyle w:val="texto"/>
        <w:spacing w:after="120"/>
        <w:jc w:val="both"/>
        <w:rPr>
          <w:sz w:val="25"/>
          <w:szCs w:val="25"/>
        </w:rPr>
      </w:pPr>
      <w:r>
        <w:rPr>
          <w:sz w:val="25"/>
          <w:szCs w:val="25"/>
        </w:rPr>
        <w:t>-</w:t>
      </w:r>
      <w:r w:rsidRPr="002553A7">
        <w:rPr>
          <w:sz w:val="25"/>
          <w:szCs w:val="25"/>
        </w:rPr>
        <w:t xml:space="preserve">En relación con la </w:t>
      </w:r>
      <w:r>
        <w:rPr>
          <w:sz w:val="25"/>
          <w:szCs w:val="25"/>
        </w:rPr>
        <w:t xml:space="preserve">sexta alegación, sobre el desconocimiento del método de cálculo de los días de retraso en la adjudicación, indicamos que se ha calculado de conformidad con lo establecido en el artículo 100 de la Ley Foral 2/2018, de 13 de abril, de Contratos Públicos. </w:t>
      </w:r>
    </w:p>
    <w:p w14:paraId="2854E9CF" w14:textId="77777777" w:rsidR="002C091C" w:rsidRDefault="002C091C" w:rsidP="00AC0341">
      <w:pPr>
        <w:pStyle w:val="texto"/>
        <w:spacing w:after="120"/>
        <w:jc w:val="both"/>
        <w:rPr>
          <w:sz w:val="25"/>
          <w:szCs w:val="25"/>
        </w:rPr>
      </w:pPr>
      <w:r>
        <w:rPr>
          <w:sz w:val="25"/>
          <w:szCs w:val="25"/>
        </w:rPr>
        <w:t xml:space="preserve">Este artículo establece, que el órgano </w:t>
      </w:r>
      <w:r w:rsidRPr="00F22092">
        <w:rPr>
          <w:sz w:val="25"/>
          <w:szCs w:val="25"/>
        </w:rPr>
        <w:t xml:space="preserve">de contratación adjudicará el contrato en el plazo máximo de un mes desde el acto de apertura de la oferta económica, salvo que en los pliegos se haya establecido otro plazo. Los pliegos no establecieron un plazo distinto al exigido por el citado artículo. </w:t>
      </w:r>
    </w:p>
    <w:p w14:paraId="5C9A7008" w14:textId="77777777" w:rsidR="002C091C" w:rsidRDefault="002C091C" w:rsidP="00AC0341">
      <w:pPr>
        <w:pStyle w:val="texto"/>
        <w:jc w:val="both"/>
        <w:rPr>
          <w:sz w:val="25"/>
          <w:szCs w:val="25"/>
        </w:rPr>
      </w:pPr>
      <w:r w:rsidRPr="00F22092">
        <w:rPr>
          <w:sz w:val="25"/>
          <w:szCs w:val="25"/>
        </w:rPr>
        <w:t xml:space="preserve">Teniendo en cuenta que el acto de apertura de la oferta económica, según consta en acta fue el 6 de septiembre de 2023, y el contrato se adjudicó el 26 de diciembre de 2023, el plazo transcurrido ha sido de 111 días, lo que supone una demora de 80 días, tal y como hemos reflejado en el informe. </w:t>
      </w:r>
    </w:p>
    <w:p w14:paraId="2BC8C7D6" w14:textId="77777777" w:rsidR="002C091C" w:rsidRDefault="002C091C" w:rsidP="00AC0341">
      <w:pPr>
        <w:pStyle w:val="texto"/>
        <w:numPr>
          <w:ilvl w:val="0"/>
          <w:numId w:val="20"/>
        </w:numPr>
        <w:tabs>
          <w:tab w:val="num" w:pos="300"/>
          <w:tab w:val="left" w:pos="480"/>
          <w:tab w:val="num" w:pos="600"/>
        </w:tabs>
        <w:spacing w:before="120" w:after="120"/>
        <w:ind w:left="0" w:firstLine="289"/>
        <w:jc w:val="both"/>
        <w:rPr>
          <w:sz w:val="25"/>
          <w:szCs w:val="25"/>
        </w:rPr>
      </w:pPr>
      <w:r>
        <w:rPr>
          <w:sz w:val="25"/>
          <w:szCs w:val="25"/>
        </w:rPr>
        <w:t xml:space="preserve">Respecto a las alegaciones presentadas por la CPEN:  </w:t>
      </w:r>
    </w:p>
    <w:p w14:paraId="50A729EB" w14:textId="77777777" w:rsidR="002C091C" w:rsidRDefault="002C091C" w:rsidP="00AC0341">
      <w:pPr>
        <w:pStyle w:val="texto"/>
        <w:spacing w:after="120"/>
        <w:jc w:val="both"/>
        <w:rPr>
          <w:sz w:val="25"/>
          <w:szCs w:val="25"/>
        </w:rPr>
      </w:pPr>
      <w:r>
        <w:rPr>
          <w:sz w:val="25"/>
          <w:szCs w:val="25"/>
        </w:rPr>
        <w:t>-</w:t>
      </w:r>
      <w:r w:rsidRPr="002553A7">
        <w:rPr>
          <w:sz w:val="25"/>
          <w:szCs w:val="25"/>
        </w:rPr>
        <w:t xml:space="preserve">En relación con la </w:t>
      </w:r>
      <w:r>
        <w:rPr>
          <w:sz w:val="25"/>
          <w:szCs w:val="25"/>
        </w:rPr>
        <w:t xml:space="preserve">primera </w:t>
      </w:r>
      <w:r w:rsidRPr="002553A7">
        <w:rPr>
          <w:sz w:val="25"/>
          <w:szCs w:val="25"/>
        </w:rPr>
        <w:t>alegación</w:t>
      </w:r>
      <w:r>
        <w:rPr>
          <w:sz w:val="25"/>
          <w:szCs w:val="25"/>
        </w:rPr>
        <w:t>, la explicación de la diferencia entre el resultado consolidado del grupo empresarial según la normativa mercantil y los datos expuestos en nuestro informe, están debidamente explicados en la página 99 del mismo.</w:t>
      </w:r>
    </w:p>
    <w:p w14:paraId="37FFF9A8" w14:textId="77777777" w:rsidR="002C091C" w:rsidRDefault="002C091C" w:rsidP="00AC0341">
      <w:pPr>
        <w:pStyle w:val="texto"/>
        <w:spacing w:after="120"/>
        <w:jc w:val="both"/>
        <w:rPr>
          <w:sz w:val="25"/>
          <w:szCs w:val="25"/>
        </w:rPr>
      </w:pPr>
      <w:r>
        <w:rPr>
          <w:sz w:val="25"/>
          <w:szCs w:val="25"/>
        </w:rPr>
        <w:t>-</w:t>
      </w:r>
      <w:r w:rsidRPr="002553A7">
        <w:rPr>
          <w:sz w:val="25"/>
          <w:szCs w:val="25"/>
        </w:rPr>
        <w:t xml:space="preserve">En relación con la </w:t>
      </w:r>
      <w:r>
        <w:rPr>
          <w:sz w:val="25"/>
          <w:szCs w:val="25"/>
        </w:rPr>
        <w:t xml:space="preserve">segunda </w:t>
      </w:r>
      <w:r w:rsidRPr="002553A7">
        <w:rPr>
          <w:sz w:val="25"/>
          <w:szCs w:val="25"/>
        </w:rPr>
        <w:t>alegación</w:t>
      </w:r>
      <w:r>
        <w:rPr>
          <w:sz w:val="25"/>
          <w:szCs w:val="25"/>
        </w:rPr>
        <w:t xml:space="preserve">, referente al personal de la sociedad pública </w:t>
      </w:r>
      <w:proofErr w:type="spellStart"/>
      <w:r>
        <w:rPr>
          <w:sz w:val="25"/>
          <w:szCs w:val="25"/>
        </w:rPr>
        <w:t>Bidean</w:t>
      </w:r>
      <w:proofErr w:type="spellEnd"/>
      <w:r>
        <w:rPr>
          <w:sz w:val="25"/>
          <w:szCs w:val="25"/>
        </w:rPr>
        <w:t xml:space="preserve">, el dato del informe es correcto, dado que, a 31 de diciembre de 2023 en la citada sociedad, únicamente contaba con un gerente, según consta en sus cuentas anuales. </w:t>
      </w:r>
    </w:p>
    <w:p w14:paraId="72198156" w14:textId="77777777" w:rsidR="002C091C" w:rsidRPr="00EE46E6" w:rsidRDefault="002C091C" w:rsidP="00AC0341">
      <w:pPr>
        <w:pStyle w:val="texto"/>
        <w:jc w:val="both"/>
        <w:rPr>
          <w:sz w:val="25"/>
          <w:szCs w:val="25"/>
        </w:rPr>
      </w:pPr>
      <w:r>
        <w:rPr>
          <w:sz w:val="25"/>
          <w:szCs w:val="25"/>
        </w:rPr>
        <w:t>-</w:t>
      </w:r>
      <w:r w:rsidRPr="002553A7">
        <w:rPr>
          <w:sz w:val="25"/>
          <w:szCs w:val="25"/>
        </w:rPr>
        <w:t xml:space="preserve">En relación con la </w:t>
      </w:r>
      <w:r>
        <w:rPr>
          <w:sz w:val="25"/>
          <w:szCs w:val="25"/>
        </w:rPr>
        <w:t xml:space="preserve">tercera </w:t>
      </w:r>
      <w:r w:rsidRPr="002553A7">
        <w:rPr>
          <w:sz w:val="25"/>
          <w:szCs w:val="25"/>
        </w:rPr>
        <w:t>alegación</w:t>
      </w:r>
      <w:r>
        <w:rPr>
          <w:sz w:val="25"/>
          <w:szCs w:val="25"/>
        </w:rPr>
        <w:t xml:space="preserve">, sin perjuicio de ser correcta la referencia que se hace a la Ley Foral 11/2005, de 9 de noviembre, de Subvenciones, el término que se ha usado es el correspondiente al reflejado en las cuentas anuales, </w:t>
      </w:r>
      <w:r w:rsidRPr="00EE46E6">
        <w:rPr>
          <w:sz w:val="25"/>
          <w:szCs w:val="25"/>
        </w:rPr>
        <w:t xml:space="preserve">que no es otro que el de subvención, según el Plan General de Contabilidad. </w:t>
      </w:r>
    </w:p>
    <w:p w14:paraId="5783C23E" w14:textId="77777777" w:rsidR="002C091C" w:rsidRDefault="002C091C" w:rsidP="00AC0341">
      <w:pPr>
        <w:pStyle w:val="texto"/>
        <w:spacing w:after="120"/>
        <w:jc w:val="both"/>
        <w:rPr>
          <w:sz w:val="25"/>
          <w:szCs w:val="25"/>
        </w:rPr>
      </w:pPr>
      <w:r>
        <w:rPr>
          <w:sz w:val="25"/>
          <w:szCs w:val="25"/>
        </w:rPr>
        <w:lastRenderedPageBreak/>
        <w:t>-</w:t>
      </w:r>
      <w:r w:rsidRPr="002553A7">
        <w:rPr>
          <w:sz w:val="25"/>
          <w:szCs w:val="25"/>
        </w:rPr>
        <w:t xml:space="preserve">En relación con la </w:t>
      </w:r>
      <w:r>
        <w:rPr>
          <w:sz w:val="25"/>
          <w:szCs w:val="25"/>
        </w:rPr>
        <w:t xml:space="preserve">cuarta y quinta alegación, referida a las sociedades públicas INI y </w:t>
      </w:r>
      <w:proofErr w:type="spellStart"/>
      <w:r>
        <w:rPr>
          <w:sz w:val="25"/>
          <w:szCs w:val="25"/>
        </w:rPr>
        <w:t>Sodena</w:t>
      </w:r>
      <w:proofErr w:type="spellEnd"/>
      <w:r>
        <w:rPr>
          <w:sz w:val="25"/>
          <w:szCs w:val="25"/>
        </w:rPr>
        <w:t>, esta Cámara se reafirma sobre la duplicidad existente en el objeto social de las dos sociedades públicas; situación que se debiera evitar.</w:t>
      </w:r>
    </w:p>
    <w:p w14:paraId="031B9160" w14:textId="3EA91D9E" w:rsidR="008317BB" w:rsidRDefault="002C091C" w:rsidP="004D3028">
      <w:pPr>
        <w:pStyle w:val="texto"/>
        <w:jc w:val="both"/>
        <w:rPr>
          <w:sz w:val="25"/>
          <w:szCs w:val="25"/>
        </w:rPr>
      </w:pPr>
      <w:r w:rsidRPr="00EE46E6">
        <w:rPr>
          <w:sz w:val="25"/>
          <w:szCs w:val="25"/>
        </w:rPr>
        <w:t xml:space="preserve">-En relación con la sexta alegación referida a los créditos concedidos a </w:t>
      </w:r>
      <w:proofErr w:type="spellStart"/>
      <w:r w:rsidRPr="00EE46E6">
        <w:rPr>
          <w:sz w:val="25"/>
          <w:szCs w:val="25"/>
        </w:rPr>
        <w:t>Parquenasa</w:t>
      </w:r>
      <w:proofErr w:type="spellEnd"/>
      <w:r w:rsidRPr="00EE46E6">
        <w:rPr>
          <w:sz w:val="25"/>
          <w:szCs w:val="25"/>
        </w:rPr>
        <w:t xml:space="preserve">, nos reiteramos, tal y como pusimos de manifiesto en el informe que señala la CPEN, que tales créditos, a juicio de esta Cámara, debieran ser deteriorados. En el citado contexto, insistimos que la valoración contable de los citados créditos en las cuentas anuales de </w:t>
      </w:r>
      <w:proofErr w:type="spellStart"/>
      <w:r w:rsidRPr="00EE46E6">
        <w:rPr>
          <w:sz w:val="25"/>
          <w:szCs w:val="25"/>
        </w:rPr>
        <w:t>Sodena</w:t>
      </w:r>
      <w:proofErr w:type="spellEnd"/>
      <w:r w:rsidRPr="00EE46E6">
        <w:rPr>
          <w:sz w:val="25"/>
          <w:szCs w:val="25"/>
        </w:rPr>
        <w:t>, se basan en un marco contable inadecuado.</w:t>
      </w:r>
      <w:bookmarkEnd w:id="178"/>
    </w:p>
    <w:p w14:paraId="65482FF6" w14:textId="77777777" w:rsidR="000615A4" w:rsidRDefault="000615A4" w:rsidP="004D3028">
      <w:pPr>
        <w:pStyle w:val="texto"/>
        <w:jc w:val="both"/>
        <w:rPr>
          <w:sz w:val="25"/>
          <w:szCs w:val="25"/>
        </w:rPr>
      </w:pPr>
    </w:p>
    <w:p w14:paraId="7BCBFBD5" w14:textId="77777777" w:rsidR="000615A4" w:rsidRDefault="000615A4" w:rsidP="000615A4">
      <w:pPr>
        <w:tabs>
          <w:tab w:val="center" w:pos="2835"/>
          <w:tab w:val="center" w:pos="3969"/>
          <w:tab w:val="center" w:pos="5103"/>
          <w:tab w:val="center" w:pos="6237"/>
          <w:tab w:val="center" w:pos="7371"/>
        </w:tabs>
        <w:ind w:firstLine="284"/>
        <w:jc w:val="both"/>
        <w:rPr>
          <w:spacing w:val="6"/>
          <w:sz w:val="26"/>
          <w:szCs w:val="26"/>
        </w:rPr>
      </w:pPr>
      <w:r>
        <w:rPr>
          <w:spacing w:val="6"/>
          <w:sz w:val="26"/>
          <w:szCs w:val="26"/>
        </w:rPr>
        <w:t>Pamplona, 25 de noviembre de 2024</w:t>
      </w:r>
    </w:p>
    <w:p w14:paraId="5B890DD8" w14:textId="38EC8063" w:rsidR="000615A4" w:rsidRPr="00493AE6" w:rsidRDefault="000615A4" w:rsidP="003B03B9">
      <w:pPr>
        <w:tabs>
          <w:tab w:val="center" w:pos="2835"/>
          <w:tab w:val="center" w:pos="3969"/>
          <w:tab w:val="center" w:pos="5103"/>
          <w:tab w:val="center" w:pos="6237"/>
          <w:tab w:val="center" w:pos="7371"/>
        </w:tabs>
        <w:ind w:left="2835" w:hanging="2551"/>
        <w:jc w:val="both"/>
        <w:rPr>
          <w:spacing w:val="6"/>
          <w:sz w:val="26"/>
          <w:szCs w:val="26"/>
        </w:rPr>
      </w:pPr>
      <w:r>
        <w:rPr>
          <w:spacing w:val="6"/>
          <w:sz w:val="26"/>
          <w:szCs w:val="26"/>
        </w:rPr>
        <w:t xml:space="preserve">El presidente </w:t>
      </w:r>
      <w:r w:rsidR="00C5122B">
        <w:rPr>
          <w:spacing w:val="6"/>
          <w:sz w:val="26"/>
          <w:szCs w:val="26"/>
        </w:rPr>
        <w:t>d</w:t>
      </w:r>
      <w:r>
        <w:rPr>
          <w:spacing w:val="6"/>
          <w:sz w:val="26"/>
          <w:szCs w:val="26"/>
        </w:rPr>
        <w:t xml:space="preserve">e la Cámara de Comptos: </w:t>
      </w:r>
      <w:r w:rsidRPr="00E570F4">
        <w:rPr>
          <w:i/>
          <w:spacing w:val="6"/>
          <w:sz w:val="22"/>
          <w:szCs w:val="22"/>
        </w:rPr>
        <w:t>Ignacio Cabeza del Salvador</w:t>
      </w:r>
    </w:p>
    <w:p w14:paraId="44654319" w14:textId="77777777" w:rsidR="000615A4" w:rsidRPr="004D3028" w:rsidRDefault="000615A4" w:rsidP="004D3028">
      <w:pPr>
        <w:pStyle w:val="texto"/>
        <w:jc w:val="both"/>
        <w:rPr>
          <w:sz w:val="25"/>
          <w:szCs w:val="25"/>
        </w:rPr>
      </w:pPr>
    </w:p>
    <w:sectPr w:rsidR="000615A4" w:rsidRPr="004D3028" w:rsidSect="00D113A2">
      <w:footerReference w:type="default" r:id="rId22"/>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75A16" w14:textId="77777777" w:rsidR="002C091C" w:rsidRDefault="002C091C">
      <w:r>
        <w:separator/>
      </w:r>
    </w:p>
    <w:p w14:paraId="5BA7CDCA" w14:textId="77777777" w:rsidR="002C091C" w:rsidRDefault="002C091C"/>
    <w:p w14:paraId="4F8EA961" w14:textId="77777777" w:rsidR="002C091C" w:rsidRDefault="002C091C"/>
    <w:p w14:paraId="2F04D6C4" w14:textId="77777777" w:rsidR="002C091C" w:rsidRDefault="002C091C"/>
  </w:endnote>
  <w:endnote w:type="continuationSeparator" w:id="0">
    <w:p w14:paraId="61217B25" w14:textId="77777777" w:rsidR="002C091C" w:rsidRDefault="002C091C">
      <w:r>
        <w:continuationSeparator/>
      </w:r>
    </w:p>
    <w:p w14:paraId="5C7E2BBB" w14:textId="77777777" w:rsidR="002C091C" w:rsidRDefault="002C091C"/>
    <w:p w14:paraId="6F609759" w14:textId="77777777" w:rsidR="002C091C" w:rsidRDefault="002C091C"/>
    <w:p w14:paraId="679B192E" w14:textId="77777777" w:rsidR="002C091C" w:rsidRDefault="002C0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illSans">
    <w:altName w:val="Calibri"/>
    <w:panose1 w:val="00000000000000000000"/>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rajan">
    <w:altName w:val="Cambria"/>
    <w:panose1 w:val="00000000000000000000"/>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D1408" w14:textId="77777777" w:rsidR="002C091C" w:rsidRDefault="002C091C"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7F62AFB" w14:textId="77777777" w:rsidR="002C091C" w:rsidRDefault="002C091C" w:rsidP="005965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77CF2" w14:textId="77777777" w:rsidR="002C091C" w:rsidRPr="00F03814" w:rsidRDefault="002C091C" w:rsidP="00C13453">
    <w:pPr>
      <w:pStyle w:val="Piedepgina"/>
      <w:tabs>
        <w:tab w:val="clear" w:pos="4252"/>
        <w:tab w:val="right" w:pos="8880"/>
      </w:tabs>
      <w:ind w:right="360"/>
      <w:rPr>
        <w:rFonts w:ascii="GillSans" w:hAnsi="GillSans"/>
      </w:rPr>
    </w:pPr>
    <w:r>
      <w:rPr>
        <w:rFonts w:ascii="GillSans" w:hAnsi="GillSans"/>
        <w:noProof/>
      </w:rPr>
      <w:drawing>
        <wp:inline distT="0" distB="0" distL="0" distR="0" wp14:anchorId="7B0FF247" wp14:editId="2DCE824F">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00412124" w14:textId="77777777" w:rsidR="002C091C" w:rsidRPr="00F74E38" w:rsidRDefault="002C091C" w:rsidP="00F03814">
    <w:pPr>
      <w:pStyle w:val="Piedepgina"/>
      <w:tabs>
        <w:tab w:val="clear" w:pos="4252"/>
        <w:tab w:val="clear" w:pos="8504"/>
        <w:tab w:val="center" w:pos="4560"/>
      </w:tabs>
      <w:ind w:right="360"/>
      <w:rPr>
        <w:rStyle w:val="Nmerodepgi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B3400" w14:textId="77777777" w:rsidR="002C091C" w:rsidRDefault="002C091C" w:rsidP="0059650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85387" w14:textId="77777777" w:rsidR="002C091C" w:rsidRPr="00F03814" w:rsidRDefault="002C091C"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rPr>
        <w:rFonts w:ascii="Trajan" w:hAnsi="Trajan"/>
        <w:sz w:val="24"/>
        <w:szCs w:val="24"/>
      </w:rPr>
    </w:pPr>
    <w:r>
      <w:rPr>
        <w:rFonts w:ascii="GillSans" w:hAnsi="GillSans"/>
        <w:noProof/>
      </w:rPr>
      <w:drawing>
        <wp:inline distT="0" distB="0" distL="0" distR="0" wp14:anchorId="0317C3D8" wp14:editId="41C0E785">
          <wp:extent cx="213100" cy="371475"/>
          <wp:effectExtent l="0" t="0" r="0" b="0"/>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FF184D">
      <w:rPr>
        <w:rStyle w:val="Nmerodepgina"/>
        <w:noProof/>
        <w:szCs w:val="24"/>
      </w:rPr>
      <w:t>19</w:t>
    </w:r>
    <w:r w:rsidRPr="001D4F09">
      <w:rPr>
        <w:rStyle w:val="Nmerodepgina"/>
        <w:szCs w:val="24"/>
      </w:rPr>
      <w:fldChar w:fldCharType="end"/>
    </w:r>
    <w:r w:rsidRPr="001D4F09">
      <w:rPr>
        <w:rStyle w:val="Nmerodepgina"/>
        <w:szCs w:val="24"/>
      </w:rPr>
      <w:t xml:space="preserve"> -</w:t>
    </w:r>
  </w:p>
  <w:p w14:paraId="48B930F1" w14:textId="77777777" w:rsidR="002C091C" w:rsidRDefault="002C09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00748" w14:textId="77777777" w:rsidR="002C091C" w:rsidRPr="00F03814" w:rsidRDefault="002C091C"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rPr>
        <w:rFonts w:ascii="Trajan" w:hAnsi="Trajan"/>
        <w:sz w:val="24"/>
        <w:szCs w:val="24"/>
      </w:rPr>
    </w:pPr>
    <w:r>
      <w:rPr>
        <w:rFonts w:ascii="GillSans" w:hAnsi="GillSans"/>
        <w:noProof/>
      </w:rPr>
      <w:drawing>
        <wp:inline distT="0" distB="0" distL="0" distR="0" wp14:anchorId="207EC00C" wp14:editId="399A57F6">
          <wp:extent cx="213100" cy="371475"/>
          <wp:effectExtent l="0" t="0" r="0" b="0"/>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Pr>
        <w:rFonts w:ascii="GillSans" w:hAnsi="GillSans"/>
      </w:rPr>
      <w:tab/>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FF184D">
      <w:rPr>
        <w:rStyle w:val="Nmerodepgina"/>
        <w:noProof/>
        <w:szCs w:val="24"/>
      </w:rPr>
      <w:t>130</w:t>
    </w:r>
    <w:r w:rsidRPr="001D4F09">
      <w:rPr>
        <w:rStyle w:val="Nmerodepgina"/>
        <w:szCs w:val="24"/>
      </w:rPr>
      <w:fldChar w:fldCharType="end"/>
    </w:r>
    <w:r w:rsidRPr="001D4F09">
      <w:rPr>
        <w:rStyle w:val="Nmerodepgina"/>
        <w:szCs w:val="24"/>
      </w:rPr>
      <w:t xml:space="preserve"> -</w:t>
    </w:r>
  </w:p>
  <w:p w14:paraId="0A54396A" w14:textId="77777777" w:rsidR="002C091C" w:rsidRPr="00C13453" w:rsidRDefault="002C091C" w:rsidP="00D2472C">
    <w:pPr>
      <w:pStyle w:val="BorradorProvisional"/>
      <w:ind w:left="0"/>
      <w:jc w:val="center"/>
    </w:pPr>
  </w:p>
  <w:p w14:paraId="5C2B4C55" w14:textId="77777777" w:rsidR="002C091C" w:rsidRDefault="002C09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5EAC4" w14:textId="77777777" w:rsidR="002C091C" w:rsidRPr="00C13453" w:rsidRDefault="002C091C" w:rsidP="00C51777">
    <w:pPr>
      <w:pStyle w:val="Piedepgina"/>
      <w:tabs>
        <w:tab w:val="clear" w:pos="2835"/>
        <w:tab w:val="clear" w:pos="3969"/>
        <w:tab w:val="clear" w:pos="4252"/>
        <w:tab w:val="clear" w:pos="5103"/>
        <w:tab w:val="clear" w:pos="6237"/>
        <w:tab w:val="clear" w:pos="7371"/>
        <w:tab w:val="clear" w:pos="8504"/>
        <w:tab w:val="center" w:pos="4440"/>
      </w:tabs>
      <w:spacing w:after="0"/>
      <w:ind w:right="29"/>
    </w:pPr>
    <w:r>
      <w:rPr>
        <w:rFonts w:ascii="GillSans" w:hAnsi="GillSans"/>
        <w:noProof/>
      </w:rPr>
      <w:drawing>
        <wp:inline distT="0" distB="0" distL="0" distR="0" wp14:anchorId="712D5CC5" wp14:editId="744CDAB0">
          <wp:extent cx="213100" cy="371475"/>
          <wp:effectExtent l="0" t="0" r="0" b="0"/>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p>
  <w:p w14:paraId="4EAC362C" w14:textId="77777777" w:rsidR="002C091C" w:rsidRPr="00C13453" w:rsidRDefault="002C091C" w:rsidP="00D2472C">
    <w:pPr>
      <w:pStyle w:val="BorradorProvisional"/>
      <w:ind w:left="0"/>
      <w:jc w:val="center"/>
    </w:pPr>
  </w:p>
  <w:p w14:paraId="3FA70F13" w14:textId="77777777" w:rsidR="002C091C" w:rsidRDefault="002C09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82CFA" w14:textId="77777777" w:rsidR="002C091C" w:rsidRDefault="002C091C">
      <w:r>
        <w:separator/>
      </w:r>
    </w:p>
  </w:footnote>
  <w:footnote w:type="continuationSeparator" w:id="0">
    <w:p w14:paraId="2CF1D3E1" w14:textId="77777777" w:rsidR="002C091C" w:rsidRDefault="002C091C">
      <w:r>
        <w:continuationSeparator/>
      </w:r>
    </w:p>
  </w:footnote>
  <w:footnote w:type="continuationNotice" w:id="1">
    <w:p w14:paraId="21C3D3C3" w14:textId="77777777" w:rsidR="002C091C" w:rsidRDefault="002C091C"/>
  </w:footnote>
  <w:footnote w:id="2">
    <w:p w14:paraId="436E8C25" w14:textId="77777777" w:rsidR="002C091C" w:rsidRPr="004B023A" w:rsidRDefault="002C091C">
      <w:pPr>
        <w:pStyle w:val="Textonotapie"/>
        <w:rPr>
          <w:sz w:val="20"/>
          <w:szCs w:val="20"/>
          <w:lang w:val="es-ES_tradnl"/>
        </w:rPr>
      </w:pPr>
      <w:r>
        <w:rPr>
          <w:rStyle w:val="Refdenotaalpie"/>
        </w:rPr>
        <w:footnoteRef/>
      </w:r>
      <w:r>
        <w:t xml:space="preserve"> </w:t>
      </w:r>
      <w:r w:rsidRPr="004B023A">
        <w:rPr>
          <w:sz w:val="20"/>
          <w:szCs w:val="20"/>
          <w:lang w:val="es-ES_tradnl"/>
        </w:rPr>
        <w:t xml:space="preserve">Se entiende como subvenciones menores, las que están excluidas de fiscalización previa por cuantía. </w:t>
      </w:r>
    </w:p>
  </w:footnote>
  <w:footnote w:id="3">
    <w:p w14:paraId="03034B2D" w14:textId="77777777" w:rsidR="002C091C" w:rsidRPr="004B023A" w:rsidRDefault="002C091C" w:rsidP="004C19AC">
      <w:pPr>
        <w:pStyle w:val="Textonotapie"/>
        <w:rPr>
          <w:sz w:val="20"/>
          <w:szCs w:val="20"/>
          <w:lang w:val="es-ES_tradnl"/>
        </w:rPr>
      </w:pPr>
      <w:r w:rsidRPr="004B023A">
        <w:rPr>
          <w:rStyle w:val="Refdenotaalpie"/>
          <w:sz w:val="20"/>
          <w:szCs w:val="20"/>
        </w:rPr>
        <w:footnoteRef/>
      </w:r>
      <w:r w:rsidRPr="004B023A">
        <w:rPr>
          <w:sz w:val="20"/>
          <w:szCs w:val="20"/>
        </w:rPr>
        <w:t xml:space="preserve"> </w:t>
      </w:r>
      <w:r w:rsidRPr="004B023A">
        <w:rPr>
          <w:sz w:val="20"/>
          <w:szCs w:val="20"/>
          <w:lang w:val="es-ES_tradnl"/>
        </w:rPr>
        <w:t>Proyecto de ley foral de presupuestos generales de Navarra</w:t>
      </w:r>
      <w:r>
        <w:rPr>
          <w:sz w:val="20"/>
          <w:szCs w:val="20"/>
          <w:lang w:val="es-ES_tradnl"/>
        </w:rPr>
        <w:t>.</w:t>
      </w:r>
    </w:p>
  </w:footnote>
  <w:footnote w:id="4">
    <w:p w14:paraId="3067A7C2" w14:textId="77777777" w:rsidR="002C091C" w:rsidRPr="004B023A" w:rsidRDefault="002C091C" w:rsidP="004C19AC">
      <w:pPr>
        <w:pStyle w:val="Textonotapie"/>
        <w:rPr>
          <w:sz w:val="20"/>
          <w:szCs w:val="20"/>
          <w:lang w:val="es-ES_tradnl"/>
        </w:rPr>
      </w:pPr>
      <w:r w:rsidRPr="004B023A">
        <w:rPr>
          <w:rStyle w:val="Refdenotaalpie"/>
          <w:sz w:val="20"/>
          <w:szCs w:val="20"/>
        </w:rPr>
        <w:footnoteRef/>
      </w:r>
      <w:r w:rsidRPr="004B023A">
        <w:rPr>
          <w:sz w:val="20"/>
          <w:szCs w:val="20"/>
        </w:rPr>
        <w:t xml:space="preserve"> </w:t>
      </w:r>
      <w:r w:rsidRPr="004B023A">
        <w:rPr>
          <w:sz w:val="20"/>
          <w:szCs w:val="20"/>
          <w:lang w:val="es-ES_tradnl"/>
        </w:rPr>
        <w:t>Ley Foral de Presupuestos Generales de Navarra</w:t>
      </w:r>
      <w:r>
        <w:rPr>
          <w:sz w:val="20"/>
          <w:szCs w:val="20"/>
          <w:lang w:val="es-ES_tradnl"/>
        </w:rPr>
        <w:t>.</w:t>
      </w:r>
    </w:p>
  </w:footnote>
  <w:footnote w:id="5">
    <w:p w14:paraId="139B8FFA" w14:textId="77777777" w:rsidR="002C091C" w:rsidRPr="004B023A" w:rsidRDefault="002C091C">
      <w:pPr>
        <w:pStyle w:val="Textonotapie"/>
        <w:rPr>
          <w:sz w:val="20"/>
          <w:szCs w:val="20"/>
          <w:lang w:val="es-ES_tradnl"/>
        </w:rPr>
      </w:pPr>
      <w:r w:rsidRPr="004B023A">
        <w:rPr>
          <w:rStyle w:val="Refdenotaalpie"/>
          <w:sz w:val="20"/>
          <w:szCs w:val="20"/>
        </w:rPr>
        <w:footnoteRef/>
      </w:r>
      <w:r w:rsidRPr="004B023A">
        <w:rPr>
          <w:sz w:val="20"/>
          <w:szCs w:val="20"/>
        </w:rPr>
        <w:t xml:space="preserve"> </w:t>
      </w:r>
      <w:r w:rsidRPr="004B023A">
        <w:rPr>
          <w:sz w:val="20"/>
          <w:szCs w:val="20"/>
          <w:lang w:val="es-ES_tradnl"/>
        </w:rPr>
        <w:t>Grupos parlamentarios</w:t>
      </w:r>
      <w:r>
        <w:rPr>
          <w:sz w:val="20"/>
          <w:szCs w:val="20"/>
          <w:lang w:val="es-ES_tradnl"/>
        </w:rPr>
        <w:t>.</w:t>
      </w:r>
    </w:p>
  </w:footnote>
  <w:footnote w:id="6">
    <w:p w14:paraId="51EF33C6" w14:textId="77777777" w:rsidR="002C091C" w:rsidRPr="00FF6969" w:rsidRDefault="002C091C" w:rsidP="00E50CDE">
      <w:pPr>
        <w:spacing w:before="240" w:after="240"/>
        <w:jc w:val="both"/>
        <w:rPr>
          <w:iCs/>
          <w:spacing w:val="10"/>
          <w:kern w:val="28"/>
          <w:sz w:val="20"/>
          <w:szCs w:val="20"/>
        </w:rPr>
      </w:pPr>
      <w:r w:rsidRPr="00FF6969">
        <w:rPr>
          <w:rStyle w:val="Refdenotaalpie"/>
          <w:sz w:val="20"/>
          <w:szCs w:val="20"/>
        </w:rPr>
        <w:footnoteRef/>
      </w:r>
      <w:r w:rsidRPr="00FF6969">
        <w:rPr>
          <w:sz w:val="20"/>
          <w:szCs w:val="20"/>
        </w:rPr>
        <w:t xml:space="preserve"> </w:t>
      </w:r>
      <w:r w:rsidRPr="00FF6969">
        <w:rPr>
          <w:iCs/>
          <w:spacing w:val="10"/>
          <w:kern w:val="28"/>
          <w:sz w:val="20"/>
          <w:szCs w:val="20"/>
        </w:rPr>
        <w:t>Artículo 31 de la Ley Orgánica 2/2012, de 27 de abril, de Estabilidad Presupuestaria y Sostenibilidad Financiera.</w:t>
      </w:r>
    </w:p>
    <w:p w14:paraId="60A2177B" w14:textId="77777777" w:rsidR="002C091C" w:rsidRPr="00FF6969" w:rsidRDefault="002C091C">
      <w:pPr>
        <w:pStyle w:val="Textonotapie"/>
        <w:rPr>
          <w:sz w:val="20"/>
          <w:szCs w:val="20"/>
          <w:lang w:val="es-ES_tradnl"/>
        </w:rPr>
      </w:pPr>
    </w:p>
  </w:footnote>
  <w:footnote w:id="7">
    <w:p w14:paraId="456BC0BF" w14:textId="77777777" w:rsidR="002C091C" w:rsidRPr="00DA3C39" w:rsidRDefault="002C091C" w:rsidP="00614DC4">
      <w:pPr>
        <w:pStyle w:val="texto"/>
        <w:spacing w:after="120"/>
        <w:ind w:firstLine="0"/>
        <w:rPr>
          <w:sz w:val="20"/>
          <w:szCs w:val="20"/>
        </w:rPr>
      </w:pPr>
      <w:r w:rsidRPr="00D62199">
        <w:rPr>
          <w:rStyle w:val="Refdenotaalpie"/>
          <w:sz w:val="20"/>
          <w:szCs w:val="20"/>
        </w:rPr>
        <w:footnoteRef/>
      </w:r>
      <w:r w:rsidRPr="00D62199">
        <w:rPr>
          <w:sz w:val="20"/>
          <w:szCs w:val="20"/>
        </w:rPr>
        <w:t xml:space="preserve"> </w:t>
      </w:r>
      <w:r w:rsidRPr="00DA3C39">
        <w:rPr>
          <w:sz w:val="20"/>
          <w:szCs w:val="20"/>
        </w:rPr>
        <w:t xml:space="preserve">Nuestro informe se acompaña de un resumen de la memoria sobre las Cuentas Generales de Navarra correspondiente al ejercicio de 2023 elaborado por el Departamento de Economía y Hacienda del Gobierno de Navarra. El texto completo de la misma puede consultarse en: </w:t>
      </w:r>
    </w:p>
    <w:p w14:paraId="51CE2AEA" w14:textId="77777777" w:rsidR="002C091C" w:rsidRPr="00DA3C39" w:rsidRDefault="002C091C" w:rsidP="00614DC4">
      <w:pPr>
        <w:pStyle w:val="Textonotapie"/>
        <w:rPr>
          <w:b/>
          <w:spacing w:val="6"/>
          <w:sz w:val="20"/>
          <w:szCs w:val="20"/>
        </w:rPr>
      </w:pPr>
      <w:hyperlink r:id="rId1" w:history="1">
        <w:r w:rsidRPr="00DA3C39">
          <w:rPr>
            <w:rStyle w:val="Hipervnculo"/>
            <w:b/>
            <w:spacing w:val="6"/>
            <w:sz w:val="20"/>
            <w:szCs w:val="20"/>
          </w:rPr>
          <w:t>https://www.navarra.es/es/gobierno-de-navarra/cuentas-generales</w:t>
        </w:r>
      </w:hyperlink>
    </w:p>
    <w:p w14:paraId="6D513071" w14:textId="77777777" w:rsidR="002C091C" w:rsidRPr="00D62199" w:rsidRDefault="002C091C" w:rsidP="00614DC4">
      <w:pPr>
        <w:pStyle w:val="Textonotapie"/>
        <w:rPr>
          <w:b/>
          <w:spacing w:val="6"/>
          <w:sz w:val="20"/>
          <w:szCs w:val="20"/>
        </w:rPr>
      </w:pPr>
    </w:p>
    <w:p w14:paraId="5EBC4C4B" w14:textId="77777777" w:rsidR="002C091C" w:rsidRDefault="002C091C" w:rsidP="00614DC4">
      <w:pPr>
        <w:pStyle w:val="Textonotapie"/>
      </w:pPr>
    </w:p>
  </w:footnote>
  <w:footnote w:id="8">
    <w:p w14:paraId="78C7D327" w14:textId="77777777" w:rsidR="002C091C" w:rsidRPr="009604B1" w:rsidRDefault="002C091C" w:rsidP="0001734E">
      <w:pPr>
        <w:pStyle w:val="texto"/>
        <w:tabs>
          <w:tab w:val="clear" w:pos="2835"/>
          <w:tab w:val="clear" w:pos="3969"/>
          <w:tab w:val="left" w:pos="480"/>
          <w:tab w:val="num" w:pos="600"/>
          <w:tab w:val="num" w:pos="720"/>
          <w:tab w:val="num" w:pos="1320"/>
          <w:tab w:val="num" w:pos="2062"/>
          <w:tab w:val="num" w:pos="4472"/>
        </w:tabs>
        <w:spacing w:after="120"/>
        <w:ind w:firstLine="0"/>
        <w:jc w:val="both"/>
        <w:rPr>
          <w:spacing w:val="0"/>
          <w:sz w:val="20"/>
          <w:szCs w:val="20"/>
        </w:rPr>
      </w:pPr>
      <w:r w:rsidRPr="009604B1">
        <w:rPr>
          <w:rStyle w:val="Refdenotaalpie"/>
          <w:sz w:val="20"/>
          <w:szCs w:val="20"/>
        </w:rPr>
        <w:footnoteRef/>
      </w:r>
      <w:r w:rsidRPr="009604B1">
        <w:rPr>
          <w:sz w:val="20"/>
          <w:szCs w:val="20"/>
        </w:rPr>
        <w:t xml:space="preserve"> </w:t>
      </w:r>
      <w:r w:rsidRPr="009604B1">
        <w:rPr>
          <w:spacing w:val="0"/>
          <w:sz w:val="20"/>
          <w:szCs w:val="20"/>
        </w:rPr>
        <w:t>El Instituto Navarro de Administración Pública (INAP) tuvo actividad hasta el mes de noviembre, tal y como regula el Decreto Foral 253/2023, de 15 de noviembre, que aprueba la extinción de dicho organismo autónomo, y pasó integrarse dentro de la Administración de la Comunidad Foral de Navarra</w:t>
      </w:r>
      <w:r>
        <w:rPr>
          <w:spacing w:val="0"/>
          <w:sz w:val="20"/>
          <w:szCs w:val="20"/>
        </w:rPr>
        <w:t>.</w:t>
      </w:r>
    </w:p>
    <w:p w14:paraId="24FC6D51" w14:textId="77777777" w:rsidR="002C091C" w:rsidRDefault="002C091C">
      <w:pPr>
        <w:pStyle w:val="Textonotapie"/>
      </w:pPr>
    </w:p>
  </w:footnote>
  <w:footnote w:id="9">
    <w:p w14:paraId="02FA7081" w14:textId="77777777" w:rsidR="002C091C" w:rsidRPr="009604B1" w:rsidRDefault="002C091C">
      <w:pPr>
        <w:pStyle w:val="Textonotapie"/>
        <w:rPr>
          <w:color w:val="FF0000"/>
          <w:sz w:val="20"/>
          <w:szCs w:val="20"/>
          <w:lang w:val="es-ES_tradnl"/>
        </w:rPr>
      </w:pPr>
      <w:r w:rsidRPr="009604B1">
        <w:rPr>
          <w:rStyle w:val="Refdenotaalpie"/>
          <w:sz w:val="20"/>
          <w:szCs w:val="20"/>
        </w:rPr>
        <w:footnoteRef/>
      </w:r>
      <w:r w:rsidRPr="009604B1">
        <w:rPr>
          <w:sz w:val="20"/>
          <w:szCs w:val="20"/>
        </w:rPr>
        <w:t xml:space="preserve"> </w:t>
      </w:r>
      <w:r w:rsidRPr="00A35015">
        <w:rPr>
          <w:sz w:val="20"/>
          <w:szCs w:val="20"/>
          <w:lang w:val="es-ES_tradnl"/>
        </w:rPr>
        <w:t>Información elaborada por la Cámara de Comptos con la documentación incluida en el Proyecto de Ley Foral de Cuentas Generales aprobado el 26 de junio de 2024</w:t>
      </w:r>
      <w:r>
        <w:rPr>
          <w:sz w:val="20"/>
          <w:szCs w:val="20"/>
          <w:lang w:val="es-ES_tradnl"/>
        </w:rPr>
        <w:t xml:space="preserve">. De seis fundaciones, únicamente constan las cuentas anuales, y, por lo tanto, los datos de cinco de ellas. </w:t>
      </w:r>
    </w:p>
  </w:footnote>
  <w:footnote w:id="10">
    <w:p w14:paraId="5CBAC18E" w14:textId="77777777" w:rsidR="002C091C" w:rsidRPr="00164B57" w:rsidRDefault="002C091C">
      <w:pPr>
        <w:pStyle w:val="Textonotapie"/>
        <w:rPr>
          <w:lang w:val="es-ES_tradnl"/>
        </w:rPr>
      </w:pPr>
      <w:r>
        <w:rPr>
          <w:rStyle w:val="Refdenotaalpie"/>
        </w:rPr>
        <w:footnoteRef/>
      </w:r>
      <w:r>
        <w:t xml:space="preserve"> </w:t>
      </w:r>
      <w:r w:rsidRPr="00164B57">
        <w:rPr>
          <w:sz w:val="20"/>
          <w:szCs w:val="20"/>
        </w:rPr>
        <w:t>Nueva sociedad incluida en el subsector A</w:t>
      </w:r>
      <w:r w:rsidRPr="00164B57">
        <w:rPr>
          <w:sz w:val="20"/>
          <w:szCs w:val="20"/>
          <w:lang w:val="es-ES_tradnl"/>
        </w:rPr>
        <w:t>dministración Regional según informe de la IGAE de diciembre de 2023</w:t>
      </w:r>
      <w:r>
        <w:rPr>
          <w:sz w:val="20"/>
          <w:szCs w:val="20"/>
          <w:lang w:val="es-ES_tradnl"/>
        </w:rPr>
        <w:t>.</w:t>
      </w:r>
      <w:r>
        <w:rPr>
          <w:lang w:val="es-ES_tradnl"/>
        </w:rPr>
        <w:t xml:space="preserve"> </w:t>
      </w:r>
    </w:p>
  </w:footnote>
  <w:footnote w:id="11">
    <w:p w14:paraId="03A04360" w14:textId="77777777" w:rsidR="002C091C" w:rsidRPr="00D83A5A" w:rsidRDefault="002C091C" w:rsidP="00D83A5A">
      <w:pPr>
        <w:pStyle w:val="Textonotapie"/>
        <w:jc w:val="both"/>
        <w:rPr>
          <w:lang w:val="es-ES_tradnl"/>
        </w:rPr>
      </w:pPr>
      <w:r>
        <w:rPr>
          <w:rStyle w:val="Refdenotaalpie"/>
        </w:rPr>
        <w:footnoteRef/>
      </w:r>
      <w:r>
        <w:t xml:space="preserve"> </w:t>
      </w:r>
      <w:r w:rsidRPr="00D83A5A">
        <w:rPr>
          <w:sz w:val="20"/>
          <w:szCs w:val="20"/>
        </w:rPr>
        <w:t xml:space="preserve">Sociedad </w:t>
      </w:r>
      <w:r>
        <w:rPr>
          <w:sz w:val="20"/>
          <w:szCs w:val="20"/>
        </w:rPr>
        <w:t xml:space="preserve">que si bien no se considera en </w:t>
      </w:r>
      <w:r w:rsidRPr="00D83A5A">
        <w:rPr>
          <w:sz w:val="20"/>
          <w:szCs w:val="20"/>
        </w:rPr>
        <w:t>las Cuentas Generales</w:t>
      </w:r>
      <w:r>
        <w:rPr>
          <w:sz w:val="20"/>
          <w:szCs w:val="20"/>
        </w:rPr>
        <w:t xml:space="preserve"> como sociedad pública, debe tenerse en cuenta que </w:t>
      </w:r>
      <w:r w:rsidRPr="00D83A5A">
        <w:rPr>
          <w:sz w:val="20"/>
          <w:szCs w:val="20"/>
        </w:rPr>
        <w:t>en aplicación de los criterios recogidos en el Reglamento (UE) 549/2013, del Parlamento y del Consejo, de 21 de mayo de 2013, deben incluirse en el Sector Administraciones Públicas</w:t>
      </w:r>
      <w:r>
        <w:rPr>
          <w:sz w:val="20"/>
          <w:szCs w:val="20"/>
        </w:rPr>
        <w:t xml:space="preserve"> de la ACFN</w:t>
      </w:r>
      <w:r w:rsidRPr="00D83A5A">
        <w:rPr>
          <w:sz w:val="20"/>
          <w:szCs w:val="20"/>
        </w:rPr>
        <w:t>, según informe de sectorización de la IGAE de 15 de diciembre de 2022</w:t>
      </w:r>
    </w:p>
  </w:footnote>
  <w:footnote w:id="12">
    <w:p w14:paraId="36457BBD" w14:textId="77777777" w:rsidR="002C091C" w:rsidRPr="00050929" w:rsidRDefault="002C091C">
      <w:pPr>
        <w:pStyle w:val="Textonotapie"/>
        <w:rPr>
          <w:lang w:val="es-ES_tradnl"/>
        </w:rPr>
      </w:pPr>
      <w:r>
        <w:rPr>
          <w:rStyle w:val="Refdenotaalpie"/>
        </w:rPr>
        <w:footnoteRef/>
      </w:r>
      <w:r>
        <w:t xml:space="preserve"> </w:t>
      </w:r>
      <w:r w:rsidRPr="00050929">
        <w:rPr>
          <w:sz w:val="20"/>
          <w:szCs w:val="20"/>
        </w:rPr>
        <w:t>El artículo 45.3 de la LFC, se modificó por la Disposición Final Segunda de la Ley Foral 35/2022, de 28 de diciembre, de Presupuestos Generales de Navarra para el año 2023.</w:t>
      </w:r>
      <w:r>
        <w:rPr>
          <w:lang w:val="es-ES_tradnl"/>
        </w:rPr>
        <w:t xml:space="preserve"> </w:t>
      </w:r>
    </w:p>
  </w:footnote>
  <w:footnote w:id="13">
    <w:p w14:paraId="22A8CE8A" w14:textId="77777777" w:rsidR="002C091C" w:rsidRPr="009604B1" w:rsidRDefault="002C091C" w:rsidP="00BD458C">
      <w:pPr>
        <w:pStyle w:val="Textonotapie"/>
        <w:jc w:val="both"/>
        <w:rPr>
          <w:sz w:val="20"/>
          <w:szCs w:val="20"/>
        </w:rPr>
      </w:pPr>
      <w:r w:rsidRPr="009604B1">
        <w:rPr>
          <w:rStyle w:val="Refdenotaalpie"/>
          <w:sz w:val="20"/>
          <w:szCs w:val="20"/>
        </w:rPr>
        <w:footnoteRef/>
      </w:r>
      <w:r w:rsidRPr="009604B1">
        <w:rPr>
          <w:sz w:val="20"/>
          <w:szCs w:val="20"/>
        </w:rPr>
        <w:t xml:space="preserve"> Del gasto señalado, en 2023, 10,78 millones son prestaciones contabilizadas en el capítulo 6 del presupuesto y 93.429 euros en el capítulo 4 del presupuesto. El resto por importe de 112,29 millones corresponde al capítulo 2 del presupuesto.</w:t>
      </w:r>
    </w:p>
  </w:footnote>
  <w:footnote w:id="14">
    <w:p w14:paraId="4108458C" w14:textId="77777777" w:rsidR="002C091C" w:rsidRPr="00702E3B" w:rsidRDefault="002C091C">
      <w:pPr>
        <w:pStyle w:val="Textonotapie"/>
        <w:rPr>
          <w:lang w:val="es-ES_tradnl"/>
        </w:rPr>
      </w:pPr>
      <w:r>
        <w:rPr>
          <w:rStyle w:val="Refdenotaalpie"/>
        </w:rPr>
        <w:footnoteRef/>
      </w:r>
      <w:r>
        <w:t xml:space="preserve"> </w:t>
      </w:r>
      <w:r w:rsidRPr="009604B1">
        <w:rPr>
          <w:sz w:val="20"/>
          <w:szCs w:val="20"/>
        </w:rPr>
        <w:t>Primer ejercicio en el que se incluyó esta información en los informes anuales de las Cuentas Generales de Navarra</w:t>
      </w:r>
      <w:r>
        <w:rPr>
          <w:sz w:val="20"/>
          <w:szCs w:val="20"/>
        </w:rPr>
        <w:t>.</w:t>
      </w:r>
    </w:p>
  </w:footnote>
  <w:footnote w:id="15">
    <w:p w14:paraId="7560D549" w14:textId="77777777" w:rsidR="002C091C" w:rsidRPr="00A872CE" w:rsidRDefault="002C091C">
      <w:pPr>
        <w:pStyle w:val="Textonotapie"/>
        <w:rPr>
          <w:sz w:val="20"/>
          <w:szCs w:val="20"/>
          <w:lang w:val="es-ES_tradnl"/>
        </w:rPr>
      </w:pPr>
      <w:r w:rsidRPr="00A872CE">
        <w:rPr>
          <w:rStyle w:val="Refdenotaalpie"/>
          <w:sz w:val="20"/>
          <w:szCs w:val="20"/>
        </w:rPr>
        <w:footnoteRef/>
      </w:r>
      <w:r w:rsidRPr="00A872CE">
        <w:rPr>
          <w:sz w:val="20"/>
          <w:szCs w:val="20"/>
        </w:rPr>
        <w:t xml:space="preserve"> </w:t>
      </w:r>
      <w:r w:rsidRPr="00A872CE">
        <w:rPr>
          <w:sz w:val="20"/>
          <w:szCs w:val="20"/>
          <w:lang w:val="es-ES_tradnl"/>
        </w:rPr>
        <w:t>En 2020 representaban el cero por ciento y en 2023 el 1,97 por ciento.</w:t>
      </w:r>
    </w:p>
  </w:footnote>
  <w:footnote w:id="16">
    <w:p w14:paraId="1EE35206" w14:textId="77777777" w:rsidR="002C091C" w:rsidRPr="00A872CE" w:rsidRDefault="002C091C">
      <w:pPr>
        <w:pStyle w:val="Textonotapie"/>
        <w:rPr>
          <w:sz w:val="20"/>
          <w:szCs w:val="20"/>
          <w:lang w:val="es-ES_tradnl"/>
        </w:rPr>
      </w:pPr>
      <w:r>
        <w:rPr>
          <w:rStyle w:val="Refdenotaalpie"/>
        </w:rPr>
        <w:footnoteRef/>
      </w:r>
      <w:r>
        <w:t xml:space="preserve"> </w:t>
      </w:r>
      <w:r w:rsidRPr="00A872CE">
        <w:rPr>
          <w:sz w:val="20"/>
          <w:szCs w:val="20"/>
          <w:lang w:val="es-ES_tradnl"/>
        </w:rPr>
        <w:t xml:space="preserve">Principalmente a nivel de dirección general, servicio y OOAA. </w:t>
      </w:r>
    </w:p>
  </w:footnote>
  <w:footnote w:id="17">
    <w:p w14:paraId="11CE7771" w14:textId="77777777" w:rsidR="002C091C" w:rsidRPr="00A872CE" w:rsidRDefault="002C091C" w:rsidP="00FE31F2">
      <w:pPr>
        <w:pStyle w:val="Textonotapie"/>
        <w:rPr>
          <w:sz w:val="20"/>
          <w:szCs w:val="20"/>
          <w:lang w:val="es-ES_tradnl"/>
        </w:rPr>
      </w:pPr>
      <w:r w:rsidRPr="00A872CE">
        <w:rPr>
          <w:rStyle w:val="Refdenotaalpie"/>
          <w:sz w:val="20"/>
          <w:szCs w:val="20"/>
        </w:rPr>
        <w:footnoteRef/>
      </w:r>
      <w:r w:rsidRPr="00A872CE">
        <w:rPr>
          <w:sz w:val="20"/>
          <w:szCs w:val="20"/>
        </w:rPr>
        <w:t xml:space="preserve"> </w:t>
      </w:r>
      <w:r w:rsidRPr="00A872CE">
        <w:rPr>
          <w:sz w:val="20"/>
          <w:szCs w:val="20"/>
          <w:lang w:val="es-ES_tradnl"/>
        </w:rPr>
        <w:t>Objetivos/Acciones/Indicadores</w:t>
      </w:r>
      <w:r>
        <w:rPr>
          <w:sz w:val="20"/>
          <w:szCs w:val="20"/>
          <w:lang w:val="es-ES_tradnl"/>
        </w:rPr>
        <w:t>.</w:t>
      </w:r>
    </w:p>
  </w:footnote>
  <w:footnote w:id="18">
    <w:p w14:paraId="38C8D390" w14:textId="77777777" w:rsidR="002C091C" w:rsidRPr="00C40B89" w:rsidRDefault="002C091C" w:rsidP="00437F42">
      <w:pPr>
        <w:pStyle w:val="Textonotapie"/>
        <w:rPr>
          <w:sz w:val="20"/>
          <w:szCs w:val="20"/>
        </w:rPr>
      </w:pPr>
      <w:r w:rsidRPr="00C40B89">
        <w:rPr>
          <w:rStyle w:val="Refdenotaalpie"/>
          <w:sz w:val="20"/>
          <w:szCs w:val="20"/>
        </w:rPr>
        <w:footnoteRef/>
      </w:r>
      <w:r w:rsidRPr="00C40B89">
        <w:rPr>
          <w:sz w:val="20"/>
          <w:szCs w:val="20"/>
        </w:rPr>
        <w:t xml:space="preserve"> Inicialmente la subida aprobada fue del 2,5 por ciento, a la que se sumaron otros dos incrementos: uno del 0,5 por ciento para compensar los efectos de la inflación en octubre de 2023, y otro 0,5 por ciento adicional por la subida del PIB que se regularizó en marzo de 2024. </w:t>
      </w:r>
    </w:p>
  </w:footnote>
  <w:footnote w:id="19">
    <w:p w14:paraId="0B6906EB" w14:textId="77777777" w:rsidR="002C091C" w:rsidRPr="00FF6969" w:rsidRDefault="002C091C">
      <w:pPr>
        <w:pStyle w:val="Textonotapie"/>
        <w:rPr>
          <w:sz w:val="20"/>
          <w:szCs w:val="20"/>
          <w:lang w:val="es-ES_tradnl"/>
        </w:rPr>
      </w:pPr>
      <w:r w:rsidRPr="00FF6969">
        <w:rPr>
          <w:rStyle w:val="Refdenotaalpie"/>
          <w:sz w:val="20"/>
          <w:szCs w:val="20"/>
        </w:rPr>
        <w:footnoteRef/>
      </w:r>
      <w:r w:rsidRPr="00FF6969">
        <w:rPr>
          <w:sz w:val="20"/>
          <w:szCs w:val="20"/>
        </w:rPr>
        <w:t xml:space="preserve"> Ley Foral 11/2023, de 29 de marzo, por la que se modifica la Ley Foral 11/1992, de 20 de octubre, reguladora del régimen específico del personal adscrito al Servicio Navarro de Salud-Osasunbidea (BON nº 78 de 18 de abril de 2023).</w:t>
      </w:r>
    </w:p>
  </w:footnote>
  <w:footnote w:id="20">
    <w:p w14:paraId="573B2369" w14:textId="77777777" w:rsidR="002C091C" w:rsidRPr="006675F3" w:rsidRDefault="002C091C" w:rsidP="00614DC4">
      <w:pPr>
        <w:pStyle w:val="Textonotapie"/>
        <w:rPr>
          <w:sz w:val="20"/>
          <w:szCs w:val="20"/>
        </w:rPr>
      </w:pPr>
      <w:r w:rsidRPr="006675F3">
        <w:rPr>
          <w:rStyle w:val="Refdenotaalpie"/>
          <w:sz w:val="20"/>
          <w:szCs w:val="20"/>
        </w:rPr>
        <w:footnoteRef/>
      </w:r>
      <w:r w:rsidRPr="006675F3">
        <w:rPr>
          <w:sz w:val="20"/>
          <w:szCs w:val="20"/>
        </w:rPr>
        <w:t xml:space="preserve"> Esta temporalidad incluye la derivada de necesidades permanentes y coyunturales.</w:t>
      </w:r>
    </w:p>
  </w:footnote>
  <w:footnote w:id="21">
    <w:p w14:paraId="12CA5C46" w14:textId="77777777" w:rsidR="002C091C" w:rsidRPr="00FF6969" w:rsidRDefault="002C091C" w:rsidP="004C1C21">
      <w:pPr>
        <w:pStyle w:val="Textonotapie"/>
        <w:jc w:val="both"/>
        <w:rPr>
          <w:sz w:val="20"/>
          <w:szCs w:val="20"/>
        </w:rPr>
      </w:pPr>
      <w:r w:rsidRPr="00FF6969">
        <w:rPr>
          <w:rStyle w:val="Refdenotaalpie"/>
          <w:sz w:val="20"/>
          <w:szCs w:val="20"/>
        </w:rPr>
        <w:footnoteRef/>
      </w:r>
      <w:r w:rsidRPr="00FF6969">
        <w:rPr>
          <w:sz w:val="20"/>
          <w:szCs w:val="20"/>
        </w:rPr>
        <w:t xml:space="preserve"> Los principales conceptos revisados son: sueldo base, nivel, destino, riesgo, turnicidad, puesto de trabajo, puesto directivo, directivo docente, específico docente, específico SNS-O, exclusividad, incompatibilidad, prolongación jornada y especial riesgo. Asimismo, se han analizado el grado, antigüedad y varios conceptos asociados al salario base.</w:t>
      </w:r>
    </w:p>
  </w:footnote>
  <w:footnote w:id="22">
    <w:p w14:paraId="784296D5" w14:textId="77777777" w:rsidR="002C091C" w:rsidRPr="00FF6969" w:rsidRDefault="002C091C">
      <w:pPr>
        <w:pStyle w:val="Textonotapie"/>
        <w:rPr>
          <w:sz w:val="20"/>
          <w:szCs w:val="20"/>
          <w:lang w:val="es-ES_tradnl"/>
        </w:rPr>
      </w:pPr>
      <w:r w:rsidRPr="00FF6969">
        <w:rPr>
          <w:rStyle w:val="Refdenotaalpie"/>
          <w:sz w:val="20"/>
          <w:szCs w:val="20"/>
        </w:rPr>
        <w:footnoteRef/>
      </w:r>
      <w:r w:rsidRPr="00FF6969">
        <w:rPr>
          <w:sz w:val="20"/>
          <w:szCs w:val="20"/>
        </w:rPr>
        <w:t xml:space="preserve"> 1.592 horas más 198 horas de vacaciones y asuntos propios.</w:t>
      </w:r>
    </w:p>
  </w:footnote>
  <w:footnote w:id="23">
    <w:p w14:paraId="2DA16C6E" w14:textId="77777777" w:rsidR="002C091C" w:rsidRPr="00FF6969" w:rsidRDefault="002C091C">
      <w:pPr>
        <w:pStyle w:val="Textonotapie"/>
        <w:rPr>
          <w:sz w:val="20"/>
          <w:szCs w:val="20"/>
          <w:lang w:val="es-ES_tradnl"/>
        </w:rPr>
      </w:pPr>
      <w:r w:rsidRPr="00FF6969">
        <w:rPr>
          <w:rStyle w:val="Refdenotaalpie"/>
          <w:sz w:val="20"/>
          <w:szCs w:val="20"/>
        </w:rPr>
        <w:footnoteRef/>
      </w:r>
      <w:r w:rsidRPr="00FF6969">
        <w:rPr>
          <w:sz w:val="20"/>
          <w:szCs w:val="20"/>
        </w:rPr>
        <w:t xml:space="preserve"> Maternidad/paternidad, otras ausencias, permiso no retribuido, motivos familiares, libranza por guardia/pruebas físicas, licencia por matrimonio, permiso reparto empleo, permiso sindical.</w:t>
      </w:r>
    </w:p>
  </w:footnote>
  <w:footnote w:id="24">
    <w:p w14:paraId="24C985F7" w14:textId="77777777" w:rsidR="002C091C" w:rsidRPr="00FF6969" w:rsidRDefault="002C091C">
      <w:pPr>
        <w:pStyle w:val="Textonotapie"/>
        <w:rPr>
          <w:sz w:val="20"/>
          <w:szCs w:val="20"/>
          <w:lang w:val="es-ES_tradnl"/>
        </w:rPr>
      </w:pPr>
      <w:r w:rsidRPr="00FF6969">
        <w:rPr>
          <w:rStyle w:val="Refdenotaalpie"/>
          <w:sz w:val="20"/>
          <w:szCs w:val="20"/>
        </w:rPr>
        <w:footnoteRef/>
      </w:r>
      <w:r w:rsidRPr="00FF6969">
        <w:rPr>
          <w:sz w:val="20"/>
          <w:szCs w:val="20"/>
        </w:rPr>
        <w:t xml:space="preserve"> </w:t>
      </w:r>
      <w:r w:rsidRPr="00FF6969">
        <w:rPr>
          <w:sz w:val="20"/>
          <w:szCs w:val="20"/>
          <w:lang w:val="es-ES_tradnl"/>
        </w:rPr>
        <w:t>Párrafo modificado por la alegación segunda de la Secretaría General Técnica del Departamento de Economía y Hacienda</w:t>
      </w:r>
    </w:p>
  </w:footnote>
  <w:footnote w:id="25">
    <w:p w14:paraId="62250B94" w14:textId="77777777" w:rsidR="002C091C" w:rsidRPr="002C091C" w:rsidRDefault="002C091C">
      <w:pPr>
        <w:pStyle w:val="Textonotapie"/>
        <w:rPr>
          <w:sz w:val="20"/>
          <w:szCs w:val="20"/>
          <w:lang w:val="es-ES_tradnl"/>
        </w:rPr>
      </w:pPr>
      <w:r w:rsidRPr="005E2D29">
        <w:rPr>
          <w:rStyle w:val="Refdenotaalpie"/>
        </w:rPr>
        <w:footnoteRef/>
      </w:r>
      <w:r w:rsidRPr="005E2D29">
        <w:t xml:space="preserve"> </w:t>
      </w:r>
      <w:r w:rsidRPr="002C091C">
        <w:rPr>
          <w:sz w:val="20"/>
          <w:szCs w:val="20"/>
          <w:lang w:val="es-ES_tradnl"/>
        </w:rPr>
        <w:t>Párrafo modificado por la alegación primera de la Secretaría General del Departamento de Economía y Hacienda</w:t>
      </w:r>
    </w:p>
  </w:footnote>
  <w:footnote w:id="26">
    <w:p w14:paraId="423A051B" w14:textId="77777777" w:rsidR="002C091C" w:rsidRPr="002C091C" w:rsidRDefault="002C091C" w:rsidP="00C57E20">
      <w:pPr>
        <w:pStyle w:val="Textonotapie"/>
        <w:rPr>
          <w:sz w:val="20"/>
          <w:szCs w:val="20"/>
          <w:lang w:val="es-ES_tradnl"/>
        </w:rPr>
      </w:pPr>
      <w:r w:rsidRPr="002C091C">
        <w:rPr>
          <w:rStyle w:val="Refdenotaalpie"/>
          <w:sz w:val="20"/>
          <w:szCs w:val="20"/>
        </w:rPr>
        <w:footnoteRef/>
      </w:r>
      <w:r w:rsidRPr="002C091C">
        <w:rPr>
          <w:sz w:val="20"/>
          <w:szCs w:val="20"/>
        </w:rPr>
        <w:t xml:space="preserve"> </w:t>
      </w:r>
      <w:r w:rsidRPr="002C091C">
        <w:rPr>
          <w:sz w:val="20"/>
          <w:szCs w:val="20"/>
          <w:lang w:val="es-ES_tradnl"/>
        </w:rPr>
        <w:t xml:space="preserve">Tipo general del 21% y reducidos al 10% y 4%, o incluso el 0% si son operaciones exentas. </w:t>
      </w:r>
    </w:p>
  </w:footnote>
  <w:footnote w:id="27">
    <w:p w14:paraId="46E2BC91" w14:textId="77777777" w:rsidR="002C091C" w:rsidRPr="002C091C" w:rsidRDefault="002C091C" w:rsidP="00C57E20">
      <w:pPr>
        <w:pStyle w:val="Textonotapie"/>
        <w:rPr>
          <w:sz w:val="20"/>
          <w:szCs w:val="20"/>
          <w:lang w:val="es-ES_tradnl"/>
        </w:rPr>
      </w:pPr>
      <w:r w:rsidRPr="002C091C">
        <w:rPr>
          <w:rStyle w:val="Refdenotaalpie"/>
          <w:sz w:val="20"/>
          <w:szCs w:val="20"/>
        </w:rPr>
        <w:footnoteRef/>
      </w:r>
      <w:r w:rsidRPr="002C091C">
        <w:rPr>
          <w:sz w:val="20"/>
          <w:szCs w:val="20"/>
        </w:rPr>
        <w:t xml:space="preserve"> </w:t>
      </w:r>
      <w:r w:rsidRPr="002C091C">
        <w:rPr>
          <w:sz w:val="20"/>
          <w:szCs w:val="20"/>
          <w:lang w:val="es-ES_tradnl"/>
        </w:rPr>
        <w:t>En contratos de suministros y servicios: valor estimado inferior a 15.000 euros (IVA excluido) y en contratos de obra: valor estimado inferior a 40.000 euros (IVA excluido).</w:t>
      </w:r>
    </w:p>
  </w:footnote>
  <w:footnote w:id="28">
    <w:p w14:paraId="0368E5C4" w14:textId="77777777" w:rsidR="002C091C" w:rsidRPr="002C091C" w:rsidRDefault="002C091C" w:rsidP="00C57E20">
      <w:pPr>
        <w:pStyle w:val="Textonotapie"/>
        <w:rPr>
          <w:sz w:val="20"/>
          <w:szCs w:val="20"/>
          <w:lang w:val="es-ES_tradnl"/>
        </w:rPr>
      </w:pPr>
      <w:r w:rsidRPr="002C091C">
        <w:rPr>
          <w:rStyle w:val="Refdenotaalpie"/>
          <w:sz w:val="20"/>
          <w:szCs w:val="20"/>
        </w:rPr>
        <w:footnoteRef/>
      </w:r>
      <w:r w:rsidRPr="002C091C">
        <w:rPr>
          <w:sz w:val="20"/>
          <w:szCs w:val="20"/>
        </w:rPr>
        <w:t xml:space="preserve"> </w:t>
      </w:r>
      <w:r w:rsidRPr="002C091C">
        <w:rPr>
          <w:rFonts w:eastAsia="Calibri"/>
          <w:sz w:val="20"/>
          <w:szCs w:val="20"/>
        </w:rPr>
        <w:t>El Departamento de Universidad, Innovación y Transformación, indica que, por las características de las prestaciones, no existen empresas de carácter social que puedan realizar los trabajos, ya que, son cuestiones que requieren acuerdos con fabricantes de productos o que tengan un alto conocimiento técnico especializado.</w:t>
      </w:r>
    </w:p>
  </w:footnote>
  <w:footnote w:id="29">
    <w:p w14:paraId="6A433092" w14:textId="77777777" w:rsidR="002C091C" w:rsidRPr="002C091C" w:rsidRDefault="002C091C" w:rsidP="00C57E20">
      <w:pPr>
        <w:pStyle w:val="Textonotapie"/>
        <w:rPr>
          <w:rFonts w:eastAsia="Calibri"/>
          <w:sz w:val="20"/>
          <w:szCs w:val="20"/>
        </w:rPr>
      </w:pPr>
      <w:r w:rsidRPr="002C091C">
        <w:rPr>
          <w:rStyle w:val="Refdenotaalpie"/>
          <w:sz w:val="20"/>
          <w:szCs w:val="20"/>
        </w:rPr>
        <w:footnoteRef/>
      </w:r>
      <w:r w:rsidRPr="002C091C">
        <w:rPr>
          <w:sz w:val="20"/>
          <w:szCs w:val="20"/>
        </w:rPr>
        <w:t xml:space="preserve"> </w:t>
      </w:r>
      <w:r w:rsidRPr="002C091C">
        <w:rPr>
          <w:rFonts w:eastAsia="Calibri"/>
          <w:sz w:val="20"/>
          <w:szCs w:val="20"/>
        </w:rPr>
        <w:t xml:space="preserve">Subcontratación con CEE, compromiso de oferta de empleo a personas con discapacidad y prácticas laborales para personas con discapacidad o en situación de exclusión social. </w:t>
      </w:r>
    </w:p>
  </w:footnote>
  <w:footnote w:id="30">
    <w:p w14:paraId="2EAB3CDD" w14:textId="77777777" w:rsidR="002C091C" w:rsidRPr="00B02371" w:rsidRDefault="002C091C">
      <w:pPr>
        <w:pStyle w:val="Textonotapie"/>
        <w:rPr>
          <w:sz w:val="20"/>
          <w:szCs w:val="20"/>
          <w:lang w:val="es-ES_tradnl"/>
        </w:rPr>
      </w:pPr>
      <w:r w:rsidRPr="00B02371">
        <w:rPr>
          <w:rStyle w:val="Refdenotaalpie"/>
          <w:sz w:val="20"/>
          <w:szCs w:val="20"/>
        </w:rPr>
        <w:footnoteRef/>
      </w:r>
      <w:r w:rsidRPr="00B02371">
        <w:rPr>
          <w:sz w:val="20"/>
          <w:szCs w:val="20"/>
        </w:rPr>
        <w:t xml:space="preserve"> </w:t>
      </w:r>
      <w:r w:rsidRPr="00B02371">
        <w:rPr>
          <w:sz w:val="20"/>
          <w:szCs w:val="20"/>
          <w:lang w:val="es-ES_tradnl"/>
        </w:rPr>
        <w:t xml:space="preserve">Se ha elegido, la línea de ayudas de mayor importe. </w:t>
      </w:r>
    </w:p>
  </w:footnote>
  <w:footnote w:id="31">
    <w:p w14:paraId="7A4AAC5E" w14:textId="77777777" w:rsidR="002C091C" w:rsidRPr="00B02371" w:rsidRDefault="002C091C" w:rsidP="006A2E61">
      <w:pPr>
        <w:pStyle w:val="Textonotapie"/>
        <w:rPr>
          <w:sz w:val="20"/>
          <w:szCs w:val="20"/>
          <w:lang w:val="es-ES_tradnl"/>
        </w:rPr>
      </w:pPr>
      <w:r w:rsidRPr="00B02371">
        <w:rPr>
          <w:rStyle w:val="Refdenotaalpie"/>
          <w:sz w:val="20"/>
          <w:szCs w:val="20"/>
        </w:rPr>
        <w:footnoteRef/>
      </w:r>
      <w:r w:rsidRPr="00B02371">
        <w:rPr>
          <w:sz w:val="20"/>
          <w:szCs w:val="20"/>
        </w:rPr>
        <w:t xml:space="preserve"> </w:t>
      </w:r>
      <w:r w:rsidRPr="00B02371">
        <w:rPr>
          <w:sz w:val="20"/>
          <w:szCs w:val="20"/>
          <w:lang w:val="es-ES_tradnl"/>
        </w:rPr>
        <w:t>Definición del régimen de concesión de las subvenciones: concurrencia competitiva o concesión directa</w:t>
      </w:r>
      <w:r>
        <w:rPr>
          <w:sz w:val="20"/>
          <w:szCs w:val="20"/>
          <w:lang w:val="es-ES_tradnl"/>
        </w:rPr>
        <w:t>.</w:t>
      </w:r>
    </w:p>
  </w:footnote>
  <w:footnote w:id="32">
    <w:p w14:paraId="1DC39A4C" w14:textId="77777777" w:rsidR="002C091C" w:rsidRPr="00B02371" w:rsidRDefault="002C091C">
      <w:pPr>
        <w:pStyle w:val="Textonotapie"/>
        <w:rPr>
          <w:sz w:val="20"/>
          <w:szCs w:val="20"/>
          <w:lang w:val="es-ES_tradnl"/>
        </w:rPr>
      </w:pPr>
      <w:r w:rsidRPr="00B02371">
        <w:rPr>
          <w:rStyle w:val="Refdenotaalpie"/>
          <w:sz w:val="20"/>
          <w:szCs w:val="20"/>
        </w:rPr>
        <w:footnoteRef/>
      </w:r>
      <w:r w:rsidRPr="00B02371">
        <w:rPr>
          <w:sz w:val="20"/>
          <w:szCs w:val="20"/>
        </w:rPr>
        <w:t xml:space="preserve"> </w:t>
      </w:r>
      <w:r w:rsidRPr="00B02371">
        <w:rPr>
          <w:sz w:val="20"/>
          <w:szCs w:val="20"/>
          <w:lang w:val="es-ES_tradnl"/>
        </w:rPr>
        <w:t>Contribución a los objetivos estratégicos</w:t>
      </w:r>
      <w:r>
        <w:rPr>
          <w:sz w:val="20"/>
          <w:szCs w:val="20"/>
          <w:lang w:val="es-ES_tradnl"/>
        </w:rPr>
        <w:t>.</w:t>
      </w:r>
    </w:p>
  </w:footnote>
  <w:footnote w:id="33">
    <w:p w14:paraId="74030ABB" w14:textId="77777777" w:rsidR="002C091C" w:rsidRPr="00A963CA" w:rsidRDefault="002C091C" w:rsidP="003767F2">
      <w:pPr>
        <w:pStyle w:val="Textonotapie"/>
        <w:jc w:val="both"/>
        <w:rPr>
          <w:sz w:val="20"/>
          <w:szCs w:val="20"/>
          <w:lang w:val="es-ES_tradnl"/>
        </w:rPr>
      </w:pPr>
      <w:r w:rsidRPr="00A963CA">
        <w:rPr>
          <w:rStyle w:val="Refdenotaalpie"/>
          <w:sz w:val="20"/>
          <w:szCs w:val="20"/>
        </w:rPr>
        <w:footnoteRef/>
      </w:r>
      <w:r w:rsidRPr="00A963CA">
        <w:rPr>
          <w:sz w:val="20"/>
          <w:szCs w:val="20"/>
        </w:rPr>
        <w:t xml:space="preserve"> Variación en el número de declaraciones de personas físicas en IRPF, en las bases impositivas, en el censo de personas jurídicas que tributan en el IS, efectos de la tributación por cifra relativa en IS, y el IVA, etc.)</w:t>
      </w:r>
      <w:r>
        <w:rPr>
          <w:sz w:val="20"/>
          <w:szCs w:val="20"/>
        </w:rPr>
        <w:t>.</w:t>
      </w:r>
    </w:p>
    <w:p w14:paraId="33BF9FD2" w14:textId="77777777" w:rsidR="002C091C" w:rsidRPr="003767F2" w:rsidRDefault="002C091C">
      <w:pPr>
        <w:pStyle w:val="Textonotapie"/>
        <w:rPr>
          <w:lang w:val="es-ES_tradnl"/>
        </w:rPr>
      </w:pPr>
    </w:p>
  </w:footnote>
  <w:footnote w:id="34">
    <w:p w14:paraId="596306BE" w14:textId="77777777" w:rsidR="002C091C" w:rsidRPr="00A963CA" w:rsidRDefault="002C091C" w:rsidP="00E1425B">
      <w:pPr>
        <w:pStyle w:val="texto"/>
        <w:ind w:firstLine="0"/>
        <w:jc w:val="both"/>
        <w:rPr>
          <w:sz w:val="20"/>
          <w:szCs w:val="20"/>
        </w:rPr>
      </w:pPr>
      <w:r w:rsidRPr="00A963CA">
        <w:rPr>
          <w:rStyle w:val="Refdenotaalpie"/>
          <w:sz w:val="20"/>
          <w:szCs w:val="20"/>
        </w:rPr>
        <w:footnoteRef/>
      </w:r>
      <w:r w:rsidRPr="00A963CA">
        <w:rPr>
          <w:sz w:val="20"/>
          <w:szCs w:val="20"/>
        </w:rPr>
        <w:t xml:space="preserve"> </w:t>
      </w:r>
      <w:r w:rsidRPr="00A963CA">
        <w:rPr>
          <w:bCs/>
          <w:color w:val="333333"/>
          <w:spacing w:val="0"/>
          <w:sz w:val="20"/>
          <w:szCs w:val="20"/>
          <w:shd w:val="clear" w:color="auto" w:fill="FFFFFF"/>
        </w:rPr>
        <w:t>La facilidad de depósito permite a las entidades financieras realizar depósitos a un día en los bancos centrales nacionales, siendo estos remunerados al tipo de interés establecido por el BCE, (tipo de la facilidad de depósito)</w:t>
      </w:r>
      <w:r>
        <w:rPr>
          <w:bCs/>
          <w:color w:val="333333"/>
          <w:spacing w:val="0"/>
          <w:sz w:val="20"/>
          <w:szCs w:val="20"/>
          <w:shd w:val="clear" w:color="auto" w:fill="FFFFFF"/>
        </w:rPr>
        <w:t>.</w:t>
      </w:r>
    </w:p>
    <w:p w14:paraId="47067D7E" w14:textId="77777777" w:rsidR="002C091C" w:rsidRPr="00C30EA6" w:rsidRDefault="002C091C">
      <w:pPr>
        <w:pStyle w:val="Textonotapie"/>
        <w:rPr>
          <w:lang w:val="es-ES_tradnl"/>
        </w:rPr>
      </w:pPr>
    </w:p>
  </w:footnote>
  <w:footnote w:id="35">
    <w:p w14:paraId="5F0915C6" w14:textId="77777777" w:rsidR="002C091C" w:rsidRPr="00A963CA" w:rsidRDefault="002C091C">
      <w:pPr>
        <w:pStyle w:val="Textonotapie"/>
        <w:rPr>
          <w:sz w:val="20"/>
          <w:szCs w:val="20"/>
          <w:lang w:val="es-ES_tradnl"/>
        </w:rPr>
      </w:pPr>
      <w:r w:rsidRPr="00A963CA">
        <w:rPr>
          <w:rStyle w:val="Refdenotaalpie"/>
          <w:sz w:val="20"/>
          <w:szCs w:val="20"/>
        </w:rPr>
        <w:footnoteRef/>
      </w:r>
      <w:r w:rsidRPr="00A963CA">
        <w:rPr>
          <w:sz w:val="20"/>
          <w:szCs w:val="20"/>
        </w:rPr>
        <w:t xml:space="preserve"> </w:t>
      </w:r>
      <w:r w:rsidRPr="00A963CA">
        <w:rPr>
          <w:sz w:val="20"/>
          <w:szCs w:val="20"/>
          <w:lang w:val="es-ES_tradnl"/>
        </w:rPr>
        <w:t>De las 18 entidades financieras, no hemos recibido contestación de cuatro entidades</w:t>
      </w:r>
      <w:r>
        <w:rPr>
          <w:sz w:val="20"/>
          <w:szCs w:val="20"/>
          <w:lang w:val="es-ES_tradnl"/>
        </w:rPr>
        <w:t>.</w:t>
      </w:r>
    </w:p>
  </w:footnote>
  <w:footnote w:id="36">
    <w:p w14:paraId="7A95464F" w14:textId="77777777" w:rsidR="002C091C" w:rsidRPr="007705AC" w:rsidRDefault="002C091C" w:rsidP="003B66E5">
      <w:pPr>
        <w:pStyle w:val="Textonotapie"/>
        <w:rPr>
          <w:sz w:val="20"/>
          <w:szCs w:val="20"/>
          <w:lang w:val="es-ES_tradnl"/>
        </w:rPr>
      </w:pPr>
      <w:r>
        <w:rPr>
          <w:rStyle w:val="Refdenotaalpie"/>
        </w:rPr>
        <w:footnoteRef/>
      </w:r>
      <w:r>
        <w:t xml:space="preserve"> </w:t>
      </w:r>
      <w:r w:rsidRPr="007705AC">
        <w:rPr>
          <w:sz w:val="20"/>
          <w:szCs w:val="20"/>
        </w:rPr>
        <w:t>A este importe habría que añadirle 9,16 millones de un pr</w:t>
      </w:r>
      <w:r>
        <w:rPr>
          <w:sz w:val="20"/>
          <w:szCs w:val="20"/>
        </w:rPr>
        <w:t>éstamo con la Seguridad Social.</w:t>
      </w:r>
    </w:p>
    <w:p w14:paraId="4BB74ECB" w14:textId="77777777" w:rsidR="002C091C" w:rsidRPr="007705AC" w:rsidRDefault="002C091C">
      <w:pPr>
        <w:pStyle w:val="Textonotapie"/>
        <w:rPr>
          <w:sz w:val="20"/>
          <w:szCs w:val="20"/>
          <w:lang w:val="es-ES_tradnl"/>
        </w:rPr>
      </w:pPr>
    </w:p>
  </w:footnote>
  <w:footnote w:id="37">
    <w:p w14:paraId="52569298" w14:textId="77777777" w:rsidR="002C091C" w:rsidRPr="00A963CA" w:rsidRDefault="002C091C">
      <w:pPr>
        <w:pStyle w:val="Textonotapie"/>
        <w:rPr>
          <w:sz w:val="20"/>
          <w:szCs w:val="20"/>
          <w:lang w:val="es-ES_tradnl"/>
        </w:rPr>
      </w:pPr>
      <w:r w:rsidRPr="00A963CA">
        <w:rPr>
          <w:rStyle w:val="Refdenotaalpie"/>
          <w:sz w:val="20"/>
          <w:szCs w:val="20"/>
        </w:rPr>
        <w:footnoteRef/>
      </w:r>
      <w:r w:rsidRPr="00A963CA">
        <w:rPr>
          <w:sz w:val="20"/>
          <w:szCs w:val="20"/>
        </w:rPr>
        <w:t xml:space="preserve"> </w:t>
      </w:r>
      <w:r w:rsidRPr="00A963CA">
        <w:rPr>
          <w:sz w:val="20"/>
          <w:szCs w:val="20"/>
          <w:lang w:val="es-ES_tradnl"/>
        </w:rPr>
        <w:t>La sociedad Tracasa se desagrega en Tracasa Instrumental S.L. y Tracasa.</w:t>
      </w:r>
    </w:p>
  </w:footnote>
  <w:footnote w:id="38">
    <w:p w14:paraId="5E42AAAE" w14:textId="77777777" w:rsidR="002C091C" w:rsidRPr="004B7E7D" w:rsidRDefault="002C091C">
      <w:pPr>
        <w:pStyle w:val="Textonotapie"/>
        <w:rPr>
          <w:lang w:val="es-ES_tradnl"/>
        </w:rPr>
      </w:pPr>
      <w:r w:rsidRPr="00A963CA">
        <w:rPr>
          <w:rStyle w:val="Refdenotaalpie"/>
          <w:sz w:val="20"/>
          <w:szCs w:val="20"/>
        </w:rPr>
        <w:footnoteRef/>
      </w:r>
      <w:r w:rsidRPr="00A963CA">
        <w:rPr>
          <w:sz w:val="20"/>
          <w:szCs w:val="20"/>
        </w:rPr>
        <w:t xml:space="preserve"> </w:t>
      </w:r>
      <w:r w:rsidRPr="00A963CA">
        <w:rPr>
          <w:sz w:val="20"/>
          <w:szCs w:val="20"/>
          <w:lang w:val="es-ES_tradnl"/>
        </w:rPr>
        <w:t>La sociedad Natural Climate Systems S.A. se extinguió. En todo caso, no constaba personal computable.</w:t>
      </w:r>
      <w:r>
        <w:rPr>
          <w:lang w:val="es-ES_tradnl"/>
        </w:rPr>
        <w:t xml:space="preserve"> </w:t>
      </w:r>
    </w:p>
  </w:footnote>
  <w:footnote w:id="39">
    <w:p w14:paraId="3E9AD0C5" w14:textId="77777777" w:rsidR="002C091C" w:rsidRPr="002C091C" w:rsidRDefault="002C091C">
      <w:pPr>
        <w:pStyle w:val="Textonotapie"/>
        <w:rPr>
          <w:sz w:val="20"/>
          <w:szCs w:val="20"/>
          <w:lang w:val="es-ES_tradnl"/>
        </w:rPr>
      </w:pPr>
      <w:r w:rsidRPr="002C091C">
        <w:rPr>
          <w:rStyle w:val="Refdenotaalpie"/>
          <w:sz w:val="20"/>
          <w:szCs w:val="20"/>
        </w:rPr>
        <w:footnoteRef/>
      </w:r>
      <w:r w:rsidRPr="002C091C">
        <w:rPr>
          <w:sz w:val="20"/>
          <w:szCs w:val="20"/>
        </w:rPr>
        <w:t xml:space="preserve"> </w:t>
      </w:r>
      <w:r w:rsidRPr="002C091C">
        <w:rPr>
          <w:sz w:val="20"/>
          <w:szCs w:val="20"/>
          <w:lang w:val="es-ES_tradnl"/>
        </w:rPr>
        <w:t xml:space="preserve">Condiciones de cumplimiento de ratios por los préstamos que concede el BEI. </w:t>
      </w:r>
    </w:p>
  </w:footnote>
  <w:footnote w:id="40">
    <w:p w14:paraId="5447DD32" w14:textId="77777777" w:rsidR="002C091C" w:rsidRPr="00A5487E" w:rsidRDefault="002C091C" w:rsidP="003E397E">
      <w:pPr>
        <w:pStyle w:val="texto"/>
        <w:tabs>
          <w:tab w:val="left" w:pos="480"/>
          <w:tab w:val="num" w:pos="600"/>
        </w:tabs>
        <w:spacing w:before="120"/>
        <w:ind w:firstLine="0"/>
        <w:jc w:val="both"/>
        <w:rPr>
          <w:lang w:val="es-ES_tradnl"/>
        </w:rPr>
      </w:pPr>
      <w:r w:rsidRPr="007705AC">
        <w:rPr>
          <w:rStyle w:val="Refdenotaalpie"/>
          <w:sz w:val="20"/>
          <w:szCs w:val="20"/>
        </w:rPr>
        <w:footnoteRef/>
      </w:r>
      <w:r w:rsidRPr="007705AC">
        <w:rPr>
          <w:sz w:val="20"/>
          <w:szCs w:val="20"/>
        </w:rPr>
        <w:t xml:space="preserve"> </w:t>
      </w:r>
      <w:r w:rsidRPr="007705AC">
        <w:rPr>
          <w:rFonts w:eastAsia="Calibri"/>
          <w:sz w:val="20"/>
          <w:szCs w:val="20"/>
          <w:shd w:val="clear" w:color="auto" w:fill="FFFFFF"/>
          <w:lang w:val="es-ES_tradnl" w:eastAsia="en-US"/>
        </w:rPr>
        <w:t>En las demarcaciones sanitarias de Pamplona, Estella, Tafalla, Alsasua y Bidasoa Baztan, (Ambulancias Baztan-Bidasoa) la vigencia del contrato terminó, sin posibilidad de prórroga, el 31 de diciembre de 2016. El contrato de las demarcaciones sanitarias de Sangüesa y Tudela (Servicios Sociosanitarios Generales S.L.) se rescindió por razones de interés público el 5 de septiembre de 2017</w:t>
      </w:r>
      <w:r>
        <w:rPr>
          <w:rFonts w:eastAsia="Calibri"/>
          <w:sz w:val="20"/>
          <w:szCs w:val="20"/>
          <w:shd w:val="clear" w:color="auto" w:fill="FFFFFF"/>
          <w:lang w:val="es-ES_tradnl" w:eastAsia="en-US"/>
        </w:rPr>
        <w:t>.</w:t>
      </w:r>
    </w:p>
  </w:footnote>
  <w:footnote w:id="41">
    <w:p w14:paraId="63FDB9E1" w14:textId="77777777" w:rsidR="002C091C" w:rsidRPr="007705AC" w:rsidRDefault="002C091C">
      <w:pPr>
        <w:pStyle w:val="Textonotapie"/>
        <w:rPr>
          <w:sz w:val="20"/>
          <w:szCs w:val="20"/>
          <w:lang w:val="es-ES_tradnl"/>
        </w:rPr>
      </w:pPr>
      <w:r w:rsidRPr="007705AC">
        <w:rPr>
          <w:rStyle w:val="Refdenotaalpie"/>
          <w:sz w:val="20"/>
          <w:szCs w:val="20"/>
        </w:rPr>
        <w:footnoteRef/>
      </w:r>
      <w:r w:rsidRPr="007705AC">
        <w:rPr>
          <w:sz w:val="20"/>
          <w:szCs w:val="20"/>
        </w:rPr>
        <w:t xml:space="preserve"> </w:t>
      </w:r>
      <w:r w:rsidRPr="007705AC">
        <w:rPr>
          <w:sz w:val="20"/>
          <w:szCs w:val="20"/>
          <w:lang w:val="es-ES_tradnl"/>
        </w:rPr>
        <w:t>Informe sobre Debilidades, Amenazas, Fortalezas y Oportunidades</w:t>
      </w:r>
      <w:r>
        <w:rPr>
          <w:sz w:val="20"/>
          <w:szCs w:val="20"/>
          <w:lang w:val="es-ES_tradnl"/>
        </w:rPr>
        <w:t>.</w:t>
      </w:r>
    </w:p>
  </w:footnote>
  <w:footnote w:id="42">
    <w:p w14:paraId="17D0CA1A" w14:textId="77777777" w:rsidR="002C091C" w:rsidRPr="00D43038" w:rsidRDefault="002C091C" w:rsidP="005204E6">
      <w:pPr>
        <w:pStyle w:val="texto"/>
        <w:ind w:firstLine="0"/>
        <w:jc w:val="both"/>
        <w:rPr>
          <w:sz w:val="20"/>
          <w:szCs w:val="20"/>
          <w:lang w:val="es-ES_tradnl"/>
        </w:rPr>
      </w:pPr>
      <w:r w:rsidRPr="00D43038">
        <w:rPr>
          <w:rStyle w:val="Refdenotaalpie"/>
          <w:sz w:val="20"/>
          <w:szCs w:val="20"/>
        </w:rPr>
        <w:footnoteRef/>
      </w:r>
      <w:r w:rsidRPr="00D43038">
        <w:rPr>
          <w:sz w:val="20"/>
          <w:szCs w:val="20"/>
        </w:rPr>
        <w:t xml:space="preserve"> Sector aeroespacial - Agroalimentación - Movilidad, transporte y automoción - Textil - Mecatrónica - Biofarmacia - Tecnologías sanitarias - Energías renovables - Diseño, ingeniería y maquinaria avanzada - Sector Construcción en Navarra - Sector agro-alimentación en Navarra - Sector digital-TIC en Navarra - Sector Electrónica en Navarra - Sector industrias intensivas en energía en Navarra.</w:t>
      </w:r>
    </w:p>
  </w:footnote>
  <w:footnote w:id="43">
    <w:p w14:paraId="3FE6075C" w14:textId="77777777" w:rsidR="002C091C" w:rsidRPr="00FF6969" w:rsidRDefault="002C091C" w:rsidP="00D43038">
      <w:pPr>
        <w:pStyle w:val="Textonotapie"/>
        <w:spacing w:line="240" w:lineRule="exact"/>
        <w:rPr>
          <w:rStyle w:val="Refdenotaalpie"/>
        </w:rPr>
      </w:pPr>
      <w:r w:rsidRPr="00FF6969">
        <w:rPr>
          <w:rStyle w:val="Refdenotaalpie"/>
        </w:rPr>
        <w:footnoteRef/>
      </w:r>
      <w:r w:rsidRPr="00FF6969">
        <w:rPr>
          <w:rStyle w:val="Refdenotaalpie"/>
        </w:rPr>
        <w:t xml:space="preserve"> Los resultados que se muestran son los reflejados en los informes de auditoría que actualmente se encuentran en revisión por parte de la Dirección General de Intervención.</w:t>
      </w:r>
    </w:p>
  </w:footnote>
  <w:footnote w:id="44">
    <w:p w14:paraId="76B52BEF" w14:textId="77777777" w:rsidR="002C091C" w:rsidRPr="00141260" w:rsidRDefault="002C091C">
      <w:pPr>
        <w:pStyle w:val="Textonotapie"/>
        <w:rPr>
          <w:lang w:val="es-ES_tradnl"/>
        </w:rPr>
      </w:pPr>
      <w:r w:rsidRPr="00530961">
        <w:rPr>
          <w:rStyle w:val="Refdenotaalpie"/>
          <w:sz w:val="20"/>
          <w:szCs w:val="20"/>
        </w:rPr>
        <w:footnoteRef/>
      </w:r>
      <w:r w:rsidRPr="00530961">
        <w:rPr>
          <w:sz w:val="20"/>
          <w:szCs w:val="20"/>
        </w:rPr>
        <w:t xml:space="preserve"> </w:t>
      </w:r>
      <w:r w:rsidRPr="00530961">
        <w:rPr>
          <w:sz w:val="20"/>
          <w:szCs w:val="20"/>
          <w:lang w:val="es-ES_tradnl"/>
        </w:rPr>
        <w:t>No constan los informes de auditoría de las cuentas anuales de las fundaciones Conservación del Patrimonio Histórico de Navarra, CENER e IDISNA</w:t>
      </w:r>
      <w:r>
        <w:rPr>
          <w:lang w:val="es-ES_tradnl"/>
        </w:rPr>
        <w:t xml:space="preserve">. </w:t>
      </w:r>
    </w:p>
  </w:footnote>
  <w:footnote w:id="45">
    <w:p w14:paraId="1F637606" w14:textId="77777777" w:rsidR="002C091C" w:rsidRPr="00D43038" w:rsidRDefault="002C091C">
      <w:pPr>
        <w:pStyle w:val="Textonotapie"/>
        <w:rPr>
          <w:sz w:val="20"/>
          <w:szCs w:val="20"/>
          <w:lang w:val="es-ES_tradnl"/>
        </w:rPr>
      </w:pPr>
      <w:r w:rsidRPr="00D43038">
        <w:rPr>
          <w:rStyle w:val="Refdenotaalpie"/>
          <w:sz w:val="20"/>
          <w:szCs w:val="20"/>
        </w:rPr>
        <w:footnoteRef/>
      </w:r>
      <w:r w:rsidRPr="00D43038">
        <w:rPr>
          <w:sz w:val="20"/>
          <w:szCs w:val="20"/>
        </w:rPr>
        <w:t xml:space="preserve"> </w:t>
      </w:r>
      <w:r w:rsidRPr="00D43038">
        <w:rPr>
          <w:sz w:val="20"/>
          <w:szCs w:val="20"/>
          <w:lang w:val="es-ES_tradnl"/>
        </w:rPr>
        <w:t>Se incorpora la Fundación Miguel Indurain</w:t>
      </w:r>
      <w:r>
        <w:rPr>
          <w:sz w:val="20"/>
          <w:szCs w:val="20"/>
          <w:lang w:val="es-ES_tradnl"/>
        </w:rPr>
        <w:t>.</w:t>
      </w:r>
    </w:p>
  </w:footnote>
  <w:footnote w:id="46">
    <w:p w14:paraId="45B383F2" w14:textId="77777777" w:rsidR="002C091C" w:rsidRPr="00D43038" w:rsidRDefault="002C091C">
      <w:pPr>
        <w:pStyle w:val="Textonotapie"/>
        <w:rPr>
          <w:sz w:val="20"/>
          <w:szCs w:val="20"/>
          <w:lang w:val="es-ES_tradnl"/>
        </w:rPr>
      </w:pPr>
      <w:r w:rsidRPr="00D43038">
        <w:rPr>
          <w:rStyle w:val="Refdenotaalpie"/>
          <w:sz w:val="20"/>
          <w:szCs w:val="20"/>
        </w:rPr>
        <w:footnoteRef/>
      </w:r>
      <w:r w:rsidRPr="00D43038">
        <w:rPr>
          <w:sz w:val="20"/>
          <w:szCs w:val="20"/>
        </w:rPr>
        <w:t xml:space="preserve"> </w:t>
      </w:r>
      <w:r w:rsidRPr="00D43038">
        <w:rPr>
          <w:sz w:val="20"/>
          <w:szCs w:val="20"/>
          <w:lang w:val="es-ES_tradnl"/>
        </w:rPr>
        <w:t>Se crea la Fundación Gizain</w:t>
      </w:r>
      <w:r>
        <w:rPr>
          <w:sz w:val="20"/>
          <w:szCs w:val="20"/>
          <w:lang w:val="es-ES_tradnl"/>
        </w:rPr>
        <w:t>.</w:t>
      </w:r>
    </w:p>
  </w:footnote>
  <w:footnote w:id="47">
    <w:p w14:paraId="12D9A47F" w14:textId="77777777" w:rsidR="002C091C" w:rsidRPr="000710BC" w:rsidRDefault="002C091C">
      <w:pPr>
        <w:pStyle w:val="Textonotapie"/>
        <w:rPr>
          <w:lang w:val="es-ES_tradnl"/>
        </w:rPr>
      </w:pPr>
      <w:r w:rsidRPr="00D43038">
        <w:rPr>
          <w:rStyle w:val="Refdenotaalpie"/>
          <w:sz w:val="20"/>
          <w:szCs w:val="20"/>
        </w:rPr>
        <w:footnoteRef/>
      </w:r>
      <w:r w:rsidRPr="00D43038">
        <w:rPr>
          <w:sz w:val="20"/>
          <w:szCs w:val="20"/>
        </w:rPr>
        <w:t xml:space="preserve"> </w:t>
      </w:r>
      <w:r w:rsidRPr="00D43038">
        <w:rPr>
          <w:sz w:val="20"/>
          <w:szCs w:val="20"/>
          <w:lang w:val="es-ES_tradnl"/>
        </w:rPr>
        <w:t>Se incorporan las fundaciones CENER e IDISNA</w:t>
      </w:r>
      <w:r>
        <w:rPr>
          <w:sz w:val="20"/>
          <w:szCs w:val="20"/>
          <w:lang w:val="es-ES_tradnl"/>
        </w:rPr>
        <w:t>.</w:t>
      </w:r>
    </w:p>
  </w:footnote>
  <w:footnote w:id="48">
    <w:p w14:paraId="42885DD9" w14:textId="77777777" w:rsidR="002C091C" w:rsidRPr="00D43038" w:rsidRDefault="002C091C" w:rsidP="00614DC4">
      <w:pPr>
        <w:pStyle w:val="Textonotapie"/>
        <w:rPr>
          <w:sz w:val="20"/>
          <w:szCs w:val="20"/>
        </w:rPr>
      </w:pPr>
      <w:r w:rsidRPr="00D43038">
        <w:rPr>
          <w:rStyle w:val="Refdenotaalpie"/>
          <w:sz w:val="20"/>
          <w:szCs w:val="20"/>
        </w:rPr>
        <w:footnoteRef/>
      </w:r>
      <w:r w:rsidRPr="00D43038">
        <w:rPr>
          <w:sz w:val="20"/>
          <w:szCs w:val="20"/>
        </w:rPr>
        <w:t xml:space="preserve"> </w:t>
      </w:r>
      <w:r w:rsidRPr="00D43038">
        <w:rPr>
          <w:sz w:val="20"/>
          <w:szCs w:val="20"/>
          <w:lang w:val="es-ES_tradnl"/>
        </w:rPr>
        <w:t>Los resultados que se muestran son los reflejados en los informes de auditoría que actualmente se encuentran en revisión por parte de la Dirección General de Intervención</w:t>
      </w:r>
      <w:r w:rsidRPr="00D43038">
        <w:rPr>
          <w:color w:val="FF0000"/>
          <w:sz w:val="20"/>
          <w:szCs w:val="20"/>
        </w:rPr>
        <w:t>.</w:t>
      </w:r>
    </w:p>
  </w:footnote>
  <w:footnote w:id="49">
    <w:p w14:paraId="04853324" w14:textId="77777777" w:rsidR="002C091C" w:rsidRPr="00027224" w:rsidRDefault="002C091C">
      <w:pPr>
        <w:pStyle w:val="Textonotapie"/>
        <w:rPr>
          <w:lang w:val="es-ES_tradnl"/>
        </w:rPr>
      </w:pPr>
      <w:r w:rsidRPr="00D43038">
        <w:rPr>
          <w:rStyle w:val="Refdenotaalpie"/>
          <w:sz w:val="20"/>
          <w:szCs w:val="20"/>
        </w:rPr>
        <w:footnoteRef/>
      </w:r>
      <w:r w:rsidRPr="00D43038">
        <w:rPr>
          <w:sz w:val="20"/>
          <w:szCs w:val="20"/>
          <w:lang w:val="es-ES_tradnl"/>
        </w:rPr>
        <w:t xml:space="preserve"> </w:t>
      </w:r>
      <w:hyperlink r:id="rId2" w:history="1">
        <w:r w:rsidRPr="00D43038">
          <w:rPr>
            <w:sz w:val="20"/>
            <w:szCs w:val="20"/>
            <w:lang w:val="es-ES_tradnl"/>
          </w:rPr>
          <w:t>https://gobiernoabierto.navarra.es/es/transparencia/auditorias-cuentas-anuales-procedimientos-acordados-sobre-cumplimiento-legalidad</w:t>
        </w:r>
      </w:hyperlink>
      <w:r>
        <w:rPr>
          <w:sz w:val="20"/>
          <w:szCs w:val="20"/>
          <w:lang w:val="es-ES_tradnl"/>
        </w:rPr>
        <w:t>.</w:t>
      </w:r>
    </w:p>
  </w:footnote>
  <w:footnote w:id="50">
    <w:p w14:paraId="05078F60" w14:textId="77777777" w:rsidR="002C091C" w:rsidRDefault="002C091C" w:rsidP="00041B7F">
      <w:pPr>
        <w:pStyle w:val="Textonotapie"/>
        <w:jc w:val="both"/>
        <w:rPr>
          <w:sz w:val="20"/>
          <w:szCs w:val="20"/>
          <w:lang w:val="es-ES_tradnl"/>
        </w:rPr>
      </w:pPr>
      <w:r>
        <w:rPr>
          <w:rStyle w:val="Refdenotaalpie"/>
          <w:rFonts w:eastAsiaTheme="majorEastAsia"/>
          <w:sz w:val="20"/>
          <w:szCs w:val="20"/>
        </w:rPr>
        <w:footnoteRef/>
      </w:r>
      <w:r>
        <w:rPr>
          <w:sz w:val="20"/>
          <w:szCs w:val="20"/>
        </w:rPr>
        <w:t xml:space="preserve"> T</w:t>
      </w:r>
      <w:r>
        <w:rPr>
          <w:sz w:val="20"/>
          <w:szCs w:val="20"/>
          <w:lang w:val="es-ES_tradnl"/>
        </w:rPr>
        <w:t>res directores de servicio del departamento, uno de los cuales es el director del Servicio de Nuevas Infraestructuras, unidad gestora del contrato, y dos Jefes de Sección dependientes de este servicio.</w:t>
      </w:r>
    </w:p>
  </w:footnote>
  <w:footnote w:id="51">
    <w:p w14:paraId="0E13F832" w14:textId="77777777" w:rsidR="002C091C" w:rsidRPr="00CC2770" w:rsidRDefault="002C091C" w:rsidP="00041B7F">
      <w:pPr>
        <w:pStyle w:val="Textonotapie"/>
        <w:rPr>
          <w:lang w:val="es-ES_tradnl"/>
        </w:rPr>
      </w:pPr>
      <w:r>
        <w:rPr>
          <w:rStyle w:val="Refdenotaalpie"/>
        </w:rPr>
        <w:footnoteRef/>
      </w:r>
      <w:r>
        <w:t xml:space="preserve"> </w:t>
      </w:r>
      <w:r w:rsidRPr="00CC2770">
        <w:rPr>
          <w:sz w:val="20"/>
          <w:szCs w:val="20"/>
          <w:lang w:val="es-ES_tradnl"/>
        </w:rPr>
        <w:t>Director del Servicio de Nuevas Infraestructuras</w:t>
      </w:r>
      <w:r>
        <w:rPr>
          <w:sz w:val="20"/>
          <w:szCs w:val="20"/>
          <w:lang w:val="es-ES_tradnl"/>
        </w:rPr>
        <w:t>.</w:t>
      </w:r>
    </w:p>
  </w:footnote>
  <w:footnote w:id="52">
    <w:p w14:paraId="2F2550FC" w14:textId="77777777" w:rsidR="002C091C" w:rsidRDefault="002C091C" w:rsidP="00041B7F">
      <w:pPr>
        <w:pStyle w:val="Textonotapie"/>
        <w:jc w:val="both"/>
        <w:rPr>
          <w:sz w:val="20"/>
          <w:szCs w:val="20"/>
          <w:lang w:val="es-ES_tradnl"/>
        </w:rPr>
      </w:pPr>
      <w:r>
        <w:rPr>
          <w:rStyle w:val="Refdenotaalpie"/>
          <w:rFonts w:eastAsiaTheme="majorEastAsia"/>
          <w:sz w:val="20"/>
          <w:szCs w:val="20"/>
        </w:rPr>
        <w:footnoteRef/>
      </w:r>
      <w:r>
        <w:rPr>
          <w:sz w:val="20"/>
          <w:szCs w:val="20"/>
        </w:rPr>
        <w:t xml:space="preserve"> </w:t>
      </w:r>
      <w:r>
        <w:rPr>
          <w:sz w:val="20"/>
          <w:szCs w:val="20"/>
          <w:lang w:val="es-ES_tradnl"/>
        </w:rPr>
        <w:t>Resolución de fecha 26/01/2023 de la Presidenta de la Junta de Contratación por la que se designan vocales representantes para su integración en la Mesa que ha de actuar en el procedimiento de licitación del contrato de las obras de construcción de Belate, dado que el valor estimado del contrato, supera los 10 millones, de conformidad con el artículo 50 de la LFC</w:t>
      </w:r>
      <w:r w:rsidRPr="000842CC">
        <w:rPr>
          <w:color w:val="FF0000"/>
          <w:sz w:val="20"/>
          <w:szCs w:val="20"/>
          <w:lang w:val="es-ES_tradnl"/>
        </w:rPr>
        <w:t>.</w:t>
      </w:r>
      <w:r>
        <w:rPr>
          <w:color w:val="FF0000"/>
          <w:sz w:val="20"/>
          <w:szCs w:val="20"/>
          <w:lang w:val="es-ES_tradnl"/>
        </w:rPr>
        <w:t xml:space="preserve"> </w:t>
      </w:r>
      <w:r w:rsidRPr="00897107">
        <w:rPr>
          <w:sz w:val="20"/>
          <w:szCs w:val="20"/>
          <w:lang w:val="es-ES_tradnl"/>
        </w:rPr>
        <w:t xml:space="preserve">Según consta en acta de la Mesa de 31 de agosto de 2023, se produce la renuncia de la titular inicialmente designada y su sustitución por el suplente asignado. </w:t>
      </w:r>
    </w:p>
  </w:footnote>
  <w:footnote w:id="53">
    <w:p w14:paraId="45A09D93" w14:textId="77777777" w:rsidR="002C091C" w:rsidRPr="00DB18E1" w:rsidRDefault="002C091C" w:rsidP="00041B7F">
      <w:pPr>
        <w:pStyle w:val="Textonotapie"/>
        <w:rPr>
          <w:sz w:val="20"/>
          <w:szCs w:val="20"/>
          <w:lang w:val="es-ES_tradnl"/>
        </w:rPr>
      </w:pPr>
      <w:r w:rsidRPr="00DB18E1">
        <w:rPr>
          <w:rStyle w:val="Refdenotaalpie"/>
          <w:sz w:val="20"/>
          <w:szCs w:val="20"/>
        </w:rPr>
        <w:footnoteRef/>
      </w:r>
      <w:r w:rsidRPr="00DB18E1">
        <w:rPr>
          <w:sz w:val="20"/>
          <w:szCs w:val="20"/>
        </w:rPr>
        <w:t xml:space="preserve"> </w:t>
      </w:r>
      <w:r w:rsidRPr="00DB18E1">
        <w:rPr>
          <w:sz w:val="20"/>
          <w:szCs w:val="20"/>
          <w:lang w:val="es-ES_tradnl"/>
        </w:rPr>
        <w:t>Se corresponden con tres documentos individualizados y adjuntos al acta de la Mesa.</w:t>
      </w:r>
    </w:p>
  </w:footnote>
  <w:footnote w:id="54">
    <w:p w14:paraId="3DC9FBED" w14:textId="77777777" w:rsidR="002C091C" w:rsidRPr="00FF6969" w:rsidRDefault="002C091C" w:rsidP="00041B7F">
      <w:pPr>
        <w:pStyle w:val="Textonotapie"/>
        <w:rPr>
          <w:sz w:val="20"/>
          <w:szCs w:val="20"/>
          <w:lang w:val="es-ES_tradnl"/>
        </w:rPr>
      </w:pPr>
      <w:r w:rsidRPr="00FF6969">
        <w:rPr>
          <w:rStyle w:val="Refdenotaalpie"/>
          <w:rFonts w:eastAsiaTheme="majorEastAsia"/>
          <w:sz w:val="20"/>
          <w:szCs w:val="20"/>
        </w:rPr>
        <w:footnoteRef/>
      </w:r>
      <w:r w:rsidRPr="00FF6969">
        <w:rPr>
          <w:sz w:val="20"/>
          <w:szCs w:val="20"/>
        </w:rPr>
        <w:t xml:space="preserve"> ….</w:t>
      </w:r>
      <w:r w:rsidRPr="00FF6969">
        <w:rPr>
          <w:i/>
          <w:sz w:val="20"/>
          <w:szCs w:val="20"/>
        </w:rPr>
        <w:t>importe de ejecución igual o superior a 65.000.000 euros….</w:t>
      </w:r>
    </w:p>
  </w:footnote>
  <w:footnote w:id="55">
    <w:p w14:paraId="08D27FAE" w14:textId="77777777" w:rsidR="002C091C" w:rsidRPr="00FF6969" w:rsidRDefault="002C091C">
      <w:pPr>
        <w:pStyle w:val="Textonotapie"/>
        <w:rPr>
          <w:sz w:val="20"/>
          <w:szCs w:val="20"/>
          <w:lang w:val="es-ES_tradnl"/>
        </w:rPr>
      </w:pPr>
      <w:r w:rsidRPr="00FF6969">
        <w:rPr>
          <w:rStyle w:val="Refdenotaalpie"/>
          <w:sz w:val="20"/>
          <w:szCs w:val="20"/>
        </w:rPr>
        <w:footnoteRef/>
      </w:r>
      <w:r w:rsidRPr="00FF6969">
        <w:rPr>
          <w:sz w:val="20"/>
          <w:szCs w:val="20"/>
        </w:rPr>
        <w:t xml:space="preserve"> </w:t>
      </w:r>
      <w:r w:rsidRPr="00FF6969">
        <w:rPr>
          <w:sz w:val="20"/>
          <w:szCs w:val="20"/>
          <w:lang w:val="es-ES_tradnl"/>
        </w:rPr>
        <w:t>Dato modificado por la alegación quinta de la Secretaría General Técnica del Departamento de Economía y Hacienda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8E7B7" w14:textId="77777777" w:rsidR="002C091C" w:rsidRPr="0059650E" w:rsidRDefault="002C091C" w:rsidP="00A019A5">
    <w:pPr>
      <w:pStyle w:val="Encabezado"/>
      <w:pBdr>
        <w:bottom w:val="single" w:sz="4" w:space="1" w:color="auto"/>
      </w:pBdr>
      <w:spacing w:after="40"/>
      <w:jc w:val="left"/>
    </w:pPr>
    <w:r>
      <w:rPr>
        <w:b/>
        <w:noProof/>
      </w:rPr>
      <w:drawing>
        <wp:inline distT="0" distB="0" distL="0" distR="0" wp14:anchorId="66BB40B1" wp14:editId="38ADB545">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informe de fiscalizacion de las cuentas generales de navarra ejercicio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F40FD" w14:textId="77777777" w:rsidR="002C091C" w:rsidRDefault="002C091C" w:rsidP="006A2D41">
    <w:pPr>
      <w:pStyle w:val="Encabezado"/>
      <w:jc w:val="left"/>
    </w:pPr>
    <w:r>
      <w:rPr>
        <w:noProof/>
      </w:rPr>
      <w:drawing>
        <wp:inline distT="0" distB="0" distL="0" distR="0" wp14:anchorId="6669D58E" wp14:editId="0532A605">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BC143" w14:textId="77777777" w:rsidR="002C091C" w:rsidRDefault="002C091C"/>
  <w:p w14:paraId="054201EF" w14:textId="77777777" w:rsidR="002C091C" w:rsidRDefault="002C091C"/>
  <w:p w14:paraId="5050D217" w14:textId="77777777" w:rsidR="002C091C" w:rsidRDefault="002C09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CA246DF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2" w15:restartNumberingAfterBreak="0">
    <w:nsid w:val="06616CEE"/>
    <w:multiLevelType w:val="hybridMultilevel"/>
    <w:tmpl w:val="446657EA"/>
    <w:lvl w:ilvl="0" w:tplc="08B20FCC">
      <w:start w:val="3"/>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074E7685"/>
    <w:multiLevelType w:val="hybridMultilevel"/>
    <w:tmpl w:val="B0E0086A"/>
    <w:lvl w:ilvl="0" w:tplc="6B16C3A2">
      <w:start w:val="1"/>
      <w:numFmt w:val="lowerLetter"/>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4" w15:restartNumberingAfterBreak="0">
    <w:nsid w:val="08E5660A"/>
    <w:multiLevelType w:val="hybridMultilevel"/>
    <w:tmpl w:val="2C20511A"/>
    <w:lvl w:ilvl="0" w:tplc="19D2ECBA">
      <w:start w:val="1"/>
      <w:numFmt w:val="lowerLetter"/>
      <w:lvlText w:val="%1)"/>
      <w:lvlJc w:val="left"/>
      <w:pPr>
        <w:ind w:left="649" w:hanging="360"/>
      </w:pPr>
      <w:rPr>
        <w:rFonts w:hint="default"/>
      </w:rPr>
    </w:lvl>
    <w:lvl w:ilvl="1" w:tplc="0C0A0019" w:tentative="1">
      <w:start w:val="1"/>
      <w:numFmt w:val="lowerLetter"/>
      <w:lvlText w:val="%2."/>
      <w:lvlJc w:val="left"/>
      <w:pPr>
        <w:ind w:left="1369" w:hanging="360"/>
      </w:pPr>
    </w:lvl>
    <w:lvl w:ilvl="2" w:tplc="0C0A001B" w:tentative="1">
      <w:start w:val="1"/>
      <w:numFmt w:val="lowerRoman"/>
      <w:lvlText w:val="%3."/>
      <w:lvlJc w:val="right"/>
      <w:pPr>
        <w:ind w:left="2089" w:hanging="180"/>
      </w:pPr>
    </w:lvl>
    <w:lvl w:ilvl="3" w:tplc="0C0A000F" w:tentative="1">
      <w:start w:val="1"/>
      <w:numFmt w:val="decimal"/>
      <w:lvlText w:val="%4."/>
      <w:lvlJc w:val="left"/>
      <w:pPr>
        <w:ind w:left="2809" w:hanging="360"/>
      </w:pPr>
    </w:lvl>
    <w:lvl w:ilvl="4" w:tplc="0C0A0019" w:tentative="1">
      <w:start w:val="1"/>
      <w:numFmt w:val="lowerLetter"/>
      <w:lvlText w:val="%5."/>
      <w:lvlJc w:val="left"/>
      <w:pPr>
        <w:ind w:left="3529" w:hanging="360"/>
      </w:pPr>
    </w:lvl>
    <w:lvl w:ilvl="5" w:tplc="0C0A001B" w:tentative="1">
      <w:start w:val="1"/>
      <w:numFmt w:val="lowerRoman"/>
      <w:lvlText w:val="%6."/>
      <w:lvlJc w:val="right"/>
      <w:pPr>
        <w:ind w:left="4249" w:hanging="180"/>
      </w:pPr>
    </w:lvl>
    <w:lvl w:ilvl="6" w:tplc="0C0A000F" w:tentative="1">
      <w:start w:val="1"/>
      <w:numFmt w:val="decimal"/>
      <w:lvlText w:val="%7."/>
      <w:lvlJc w:val="left"/>
      <w:pPr>
        <w:ind w:left="4969" w:hanging="360"/>
      </w:pPr>
    </w:lvl>
    <w:lvl w:ilvl="7" w:tplc="0C0A0019" w:tentative="1">
      <w:start w:val="1"/>
      <w:numFmt w:val="lowerLetter"/>
      <w:lvlText w:val="%8."/>
      <w:lvlJc w:val="left"/>
      <w:pPr>
        <w:ind w:left="5689" w:hanging="360"/>
      </w:pPr>
    </w:lvl>
    <w:lvl w:ilvl="8" w:tplc="0C0A001B" w:tentative="1">
      <w:start w:val="1"/>
      <w:numFmt w:val="lowerRoman"/>
      <w:lvlText w:val="%9."/>
      <w:lvlJc w:val="right"/>
      <w:pPr>
        <w:ind w:left="6409" w:hanging="180"/>
      </w:pPr>
    </w:lvl>
  </w:abstractNum>
  <w:abstractNum w:abstractNumId="5" w15:restartNumberingAfterBreak="0">
    <w:nsid w:val="09A10AE2"/>
    <w:multiLevelType w:val="singleLevel"/>
    <w:tmpl w:val="414E9AD0"/>
    <w:lvl w:ilvl="0">
      <w:start w:val="2"/>
      <w:numFmt w:val="decimal"/>
      <w:lvlText w:val="%1."/>
      <w:legacy w:legacy="1" w:legacySpace="0" w:legacyIndent="0"/>
      <w:lvlJc w:val="left"/>
      <w:rPr>
        <w:rFonts w:ascii="Arial" w:hAnsi="Arial" w:cs="Arial" w:hint="default"/>
        <w:sz w:val="23"/>
        <w:szCs w:val="23"/>
      </w:rPr>
    </w:lvl>
  </w:abstractNum>
  <w:abstractNum w:abstractNumId="6" w15:restartNumberingAfterBreak="0">
    <w:nsid w:val="0E4A4FE5"/>
    <w:multiLevelType w:val="hybridMultilevel"/>
    <w:tmpl w:val="615C8B22"/>
    <w:lvl w:ilvl="0" w:tplc="18F4B51C">
      <w:numFmt w:val="bullet"/>
      <w:lvlText w:val="-"/>
      <w:lvlJc w:val="left"/>
      <w:pPr>
        <w:ind w:left="1430" w:hanging="360"/>
      </w:pPr>
      <w:rPr>
        <w:rFonts w:ascii="Arial" w:eastAsia="Arial" w:hAnsi="Arial" w:cs="Arial" w:hint="default"/>
        <w:sz w:val="21"/>
      </w:rPr>
    </w:lvl>
    <w:lvl w:ilvl="1" w:tplc="0C0A0003" w:tentative="1">
      <w:start w:val="1"/>
      <w:numFmt w:val="bullet"/>
      <w:lvlText w:val="o"/>
      <w:lvlJc w:val="left"/>
      <w:pPr>
        <w:ind w:left="2150" w:hanging="360"/>
      </w:pPr>
      <w:rPr>
        <w:rFonts w:ascii="Courier New" w:hAnsi="Courier New" w:cs="Courier New" w:hint="default"/>
      </w:rPr>
    </w:lvl>
    <w:lvl w:ilvl="2" w:tplc="0C0A0005" w:tentative="1">
      <w:start w:val="1"/>
      <w:numFmt w:val="bullet"/>
      <w:lvlText w:val=""/>
      <w:lvlJc w:val="left"/>
      <w:pPr>
        <w:ind w:left="2870" w:hanging="360"/>
      </w:pPr>
      <w:rPr>
        <w:rFonts w:ascii="Wingdings" w:hAnsi="Wingdings" w:hint="default"/>
      </w:rPr>
    </w:lvl>
    <w:lvl w:ilvl="3" w:tplc="0C0A0001" w:tentative="1">
      <w:start w:val="1"/>
      <w:numFmt w:val="bullet"/>
      <w:lvlText w:val=""/>
      <w:lvlJc w:val="left"/>
      <w:pPr>
        <w:ind w:left="3590" w:hanging="360"/>
      </w:pPr>
      <w:rPr>
        <w:rFonts w:ascii="Symbol" w:hAnsi="Symbol" w:hint="default"/>
      </w:rPr>
    </w:lvl>
    <w:lvl w:ilvl="4" w:tplc="0C0A0003" w:tentative="1">
      <w:start w:val="1"/>
      <w:numFmt w:val="bullet"/>
      <w:lvlText w:val="o"/>
      <w:lvlJc w:val="left"/>
      <w:pPr>
        <w:ind w:left="4310" w:hanging="360"/>
      </w:pPr>
      <w:rPr>
        <w:rFonts w:ascii="Courier New" w:hAnsi="Courier New" w:cs="Courier New" w:hint="default"/>
      </w:rPr>
    </w:lvl>
    <w:lvl w:ilvl="5" w:tplc="0C0A0005" w:tentative="1">
      <w:start w:val="1"/>
      <w:numFmt w:val="bullet"/>
      <w:lvlText w:val=""/>
      <w:lvlJc w:val="left"/>
      <w:pPr>
        <w:ind w:left="5030" w:hanging="360"/>
      </w:pPr>
      <w:rPr>
        <w:rFonts w:ascii="Wingdings" w:hAnsi="Wingdings" w:hint="default"/>
      </w:rPr>
    </w:lvl>
    <w:lvl w:ilvl="6" w:tplc="0C0A0001" w:tentative="1">
      <w:start w:val="1"/>
      <w:numFmt w:val="bullet"/>
      <w:lvlText w:val=""/>
      <w:lvlJc w:val="left"/>
      <w:pPr>
        <w:ind w:left="5750" w:hanging="360"/>
      </w:pPr>
      <w:rPr>
        <w:rFonts w:ascii="Symbol" w:hAnsi="Symbol" w:hint="default"/>
      </w:rPr>
    </w:lvl>
    <w:lvl w:ilvl="7" w:tplc="0C0A0003" w:tentative="1">
      <w:start w:val="1"/>
      <w:numFmt w:val="bullet"/>
      <w:lvlText w:val="o"/>
      <w:lvlJc w:val="left"/>
      <w:pPr>
        <w:ind w:left="6470" w:hanging="360"/>
      </w:pPr>
      <w:rPr>
        <w:rFonts w:ascii="Courier New" w:hAnsi="Courier New" w:cs="Courier New" w:hint="default"/>
      </w:rPr>
    </w:lvl>
    <w:lvl w:ilvl="8" w:tplc="0C0A0005" w:tentative="1">
      <w:start w:val="1"/>
      <w:numFmt w:val="bullet"/>
      <w:lvlText w:val=""/>
      <w:lvlJc w:val="left"/>
      <w:pPr>
        <w:ind w:left="7190" w:hanging="360"/>
      </w:pPr>
      <w:rPr>
        <w:rFonts w:ascii="Wingdings" w:hAnsi="Wingdings" w:hint="default"/>
      </w:rPr>
    </w:lvl>
  </w:abstractNum>
  <w:abstractNum w:abstractNumId="7" w15:restartNumberingAfterBreak="0">
    <w:nsid w:val="0FA25C7B"/>
    <w:multiLevelType w:val="hybridMultilevel"/>
    <w:tmpl w:val="57188A56"/>
    <w:lvl w:ilvl="0" w:tplc="A1F6009E">
      <w:start w:val="1"/>
      <w:numFmt w:val="bullet"/>
      <w:pStyle w:val="Listaconvietas"/>
      <w:lvlText w:val=""/>
      <w:lvlJc w:val="left"/>
      <w:pPr>
        <w:tabs>
          <w:tab w:val="num" w:pos="567"/>
        </w:tabs>
        <w:ind w:left="567" w:hanging="567"/>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2990D4DC">
      <w:start w:val="1"/>
      <w:numFmt w:val="bullet"/>
      <w:lvlText w:val=""/>
      <w:lvlJc w:val="left"/>
      <w:pPr>
        <w:tabs>
          <w:tab w:val="num" w:pos="2880"/>
        </w:tabs>
        <w:ind w:left="2880" w:hanging="360"/>
      </w:pPr>
      <w:rPr>
        <w:rFonts w:ascii="Symbol" w:hAnsi="Symbol" w:hint="default"/>
        <w:color w:val="auto"/>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9" w15:restartNumberingAfterBreak="0">
    <w:nsid w:val="19045AC3"/>
    <w:multiLevelType w:val="hybridMultilevel"/>
    <w:tmpl w:val="AECC67C4"/>
    <w:lvl w:ilvl="0" w:tplc="681C7AC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15:restartNumberingAfterBreak="0">
    <w:nsid w:val="1F147A8B"/>
    <w:multiLevelType w:val="hybridMultilevel"/>
    <w:tmpl w:val="D2E2E6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B46794"/>
    <w:multiLevelType w:val="singleLevel"/>
    <w:tmpl w:val="D07CE4A6"/>
    <w:lvl w:ilvl="0">
      <w:start w:val="1"/>
      <w:numFmt w:val="decimal"/>
      <w:lvlText w:val="%1."/>
      <w:legacy w:legacy="1" w:legacySpace="0" w:legacyIndent="0"/>
      <w:lvlJc w:val="left"/>
      <w:rPr>
        <w:rFonts w:ascii="Arial" w:hAnsi="Arial" w:cs="Arial" w:hint="default"/>
        <w:sz w:val="23"/>
        <w:szCs w:val="23"/>
      </w:rPr>
    </w:lvl>
  </w:abstractNum>
  <w:abstractNum w:abstractNumId="12" w15:restartNumberingAfterBreak="0">
    <w:nsid w:val="2168475D"/>
    <w:multiLevelType w:val="hybridMultilevel"/>
    <w:tmpl w:val="18F01908"/>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3" w15:restartNumberingAfterBreak="0">
    <w:nsid w:val="27B505E6"/>
    <w:multiLevelType w:val="hybridMultilevel"/>
    <w:tmpl w:val="E79CD4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15:restartNumberingAfterBreak="0">
    <w:nsid w:val="27EC40C2"/>
    <w:multiLevelType w:val="hybridMultilevel"/>
    <w:tmpl w:val="031CB926"/>
    <w:lvl w:ilvl="0" w:tplc="08B20FCC">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511BAE"/>
    <w:multiLevelType w:val="singleLevel"/>
    <w:tmpl w:val="48E03C78"/>
    <w:lvl w:ilvl="0">
      <w:start w:val="3"/>
      <w:numFmt w:val="decimal"/>
      <w:lvlText w:val="%1."/>
      <w:legacy w:legacy="1" w:legacySpace="0" w:legacyIndent="0"/>
      <w:lvlJc w:val="left"/>
      <w:rPr>
        <w:rFonts w:ascii="Arial" w:hAnsi="Arial" w:cs="Arial" w:hint="default"/>
        <w:sz w:val="23"/>
        <w:szCs w:val="23"/>
      </w:rPr>
    </w:lvl>
  </w:abstractNum>
  <w:abstractNum w:abstractNumId="16" w15:restartNumberingAfterBreak="0">
    <w:nsid w:val="395076BF"/>
    <w:multiLevelType w:val="multilevel"/>
    <w:tmpl w:val="6126804A"/>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lowerLetter"/>
      <w:lvlText w:val="%3)"/>
      <w:lvlJc w:val="left"/>
      <w:pPr>
        <w:ind w:left="2508" w:hanging="360"/>
      </w:pPr>
      <w:rPr>
        <w:rFonts w:hint="default"/>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15:restartNumberingAfterBreak="0">
    <w:nsid w:val="3B3072BA"/>
    <w:multiLevelType w:val="hybridMultilevel"/>
    <w:tmpl w:val="80B2AB00"/>
    <w:lvl w:ilvl="0" w:tplc="24F6726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3C6D5EEE"/>
    <w:multiLevelType w:val="hybridMultilevel"/>
    <w:tmpl w:val="856AAB0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9" w15:restartNumberingAfterBreak="0">
    <w:nsid w:val="3D48269E"/>
    <w:multiLevelType w:val="hybridMultilevel"/>
    <w:tmpl w:val="D068CA56"/>
    <w:lvl w:ilvl="0" w:tplc="016C0436">
      <w:start w:val="1"/>
      <w:numFmt w:val="decimal"/>
      <w:lvlText w:val="(%1)"/>
      <w:lvlJc w:val="left"/>
      <w:pPr>
        <w:ind w:left="1288" w:hanging="360"/>
      </w:pPr>
    </w:lvl>
    <w:lvl w:ilvl="1" w:tplc="0C0A0019">
      <w:start w:val="1"/>
      <w:numFmt w:val="lowerLetter"/>
      <w:lvlText w:val="%2."/>
      <w:lvlJc w:val="left"/>
      <w:pPr>
        <w:ind w:left="2008" w:hanging="360"/>
      </w:pPr>
    </w:lvl>
    <w:lvl w:ilvl="2" w:tplc="0C0A001B">
      <w:start w:val="1"/>
      <w:numFmt w:val="lowerRoman"/>
      <w:lvlText w:val="%3."/>
      <w:lvlJc w:val="right"/>
      <w:pPr>
        <w:ind w:left="2728" w:hanging="180"/>
      </w:pPr>
    </w:lvl>
    <w:lvl w:ilvl="3" w:tplc="0C0A000F">
      <w:start w:val="1"/>
      <w:numFmt w:val="decimal"/>
      <w:lvlText w:val="%4."/>
      <w:lvlJc w:val="left"/>
      <w:pPr>
        <w:ind w:left="3448" w:hanging="360"/>
      </w:pPr>
    </w:lvl>
    <w:lvl w:ilvl="4" w:tplc="0C0A0019">
      <w:start w:val="1"/>
      <w:numFmt w:val="lowerLetter"/>
      <w:lvlText w:val="%5."/>
      <w:lvlJc w:val="left"/>
      <w:pPr>
        <w:ind w:left="4168" w:hanging="360"/>
      </w:pPr>
    </w:lvl>
    <w:lvl w:ilvl="5" w:tplc="0C0A001B">
      <w:start w:val="1"/>
      <w:numFmt w:val="lowerRoman"/>
      <w:lvlText w:val="%6."/>
      <w:lvlJc w:val="right"/>
      <w:pPr>
        <w:ind w:left="4888" w:hanging="180"/>
      </w:pPr>
    </w:lvl>
    <w:lvl w:ilvl="6" w:tplc="0C0A000F">
      <w:start w:val="1"/>
      <w:numFmt w:val="decimal"/>
      <w:lvlText w:val="%7."/>
      <w:lvlJc w:val="left"/>
      <w:pPr>
        <w:ind w:left="5608" w:hanging="360"/>
      </w:pPr>
    </w:lvl>
    <w:lvl w:ilvl="7" w:tplc="0C0A0019">
      <w:start w:val="1"/>
      <w:numFmt w:val="lowerLetter"/>
      <w:lvlText w:val="%8."/>
      <w:lvlJc w:val="left"/>
      <w:pPr>
        <w:ind w:left="6328" w:hanging="360"/>
      </w:pPr>
    </w:lvl>
    <w:lvl w:ilvl="8" w:tplc="0C0A001B">
      <w:start w:val="1"/>
      <w:numFmt w:val="lowerRoman"/>
      <w:lvlText w:val="%9."/>
      <w:lvlJc w:val="right"/>
      <w:pPr>
        <w:ind w:left="7048" w:hanging="180"/>
      </w:pPr>
    </w:lvl>
  </w:abstractNum>
  <w:abstractNum w:abstractNumId="20" w15:restartNumberingAfterBreak="0">
    <w:nsid w:val="3DE41627"/>
    <w:multiLevelType w:val="multilevel"/>
    <w:tmpl w:val="FCF63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44064D"/>
    <w:multiLevelType w:val="hybridMultilevel"/>
    <w:tmpl w:val="C820ED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15:restartNumberingAfterBreak="0">
    <w:nsid w:val="3EB5784D"/>
    <w:multiLevelType w:val="multilevel"/>
    <w:tmpl w:val="CFC43900"/>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42A60D88"/>
    <w:multiLevelType w:val="singleLevel"/>
    <w:tmpl w:val="B8508C8E"/>
    <w:lvl w:ilvl="0">
      <w:start w:val="1"/>
      <w:numFmt w:val="lowerLetter"/>
      <w:lvlText w:val="%1)"/>
      <w:legacy w:legacy="1" w:legacySpace="0" w:legacyIndent="0"/>
      <w:lvlJc w:val="left"/>
      <w:rPr>
        <w:rFonts w:ascii="Arial" w:hAnsi="Arial" w:cs="Arial" w:hint="default"/>
        <w:i/>
        <w:iCs/>
        <w:sz w:val="21"/>
        <w:szCs w:val="21"/>
      </w:rPr>
    </w:lvl>
  </w:abstractNum>
  <w:abstractNum w:abstractNumId="24" w15:restartNumberingAfterBreak="0">
    <w:nsid w:val="456322E8"/>
    <w:multiLevelType w:val="hybridMultilevel"/>
    <w:tmpl w:val="B4327F1E"/>
    <w:lvl w:ilvl="0" w:tplc="4C861122">
      <w:start w:val="2"/>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C4E006D"/>
    <w:multiLevelType w:val="hybridMultilevel"/>
    <w:tmpl w:val="2D602E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EEC7338"/>
    <w:multiLevelType w:val="hybridMultilevel"/>
    <w:tmpl w:val="0B38E8DE"/>
    <w:lvl w:ilvl="0" w:tplc="BAC0F5D0">
      <w:start w:val="2"/>
      <w:numFmt w:val="bullet"/>
      <w:lvlText w:val="-"/>
      <w:lvlJc w:val="left"/>
      <w:pPr>
        <w:ind w:left="1080" w:hanging="360"/>
      </w:pPr>
      <w:rPr>
        <w:rFonts w:ascii="Times New Roman" w:eastAsiaTheme="minorHAnsi" w:hAnsi="Times New Roman" w:cs="Times New Roman"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534006CB"/>
    <w:multiLevelType w:val="hybridMultilevel"/>
    <w:tmpl w:val="1E54CC86"/>
    <w:lvl w:ilvl="0" w:tplc="33BAF13C">
      <w:start w:val="1"/>
      <w:numFmt w:val="lowerLetter"/>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28" w15:restartNumberingAfterBreak="0">
    <w:nsid w:val="569024D6"/>
    <w:multiLevelType w:val="singleLevel"/>
    <w:tmpl w:val="DF846BB6"/>
    <w:lvl w:ilvl="0">
      <w:start w:val="4"/>
      <w:numFmt w:val="decimal"/>
      <w:lvlText w:val="%1."/>
      <w:legacy w:legacy="1" w:legacySpace="0" w:legacyIndent="0"/>
      <w:lvlJc w:val="left"/>
      <w:rPr>
        <w:rFonts w:ascii="Arial" w:hAnsi="Arial" w:cs="Arial" w:hint="default"/>
        <w:sz w:val="23"/>
        <w:szCs w:val="23"/>
      </w:rPr>
    </w:lvl>
  </w:abstractNum>
  <w:abstractNum w:abstractNumId="29" w15:restartNumberingAfterBreak="0">
    <w:nsid w:val="56D62725"/>
    <w:multiLevelType w:val="hybridMultilevel"/>
    <w:tmpl w:val="C56EA9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8E352E3"/>
    <w:multiLevelType w:val="hybridMultilevel"/>
    <w:tmpl w:val="1466F24C"/>
    <w:lvl w:ilvl="0" w:tplc="08B20FCC">
      <w:start w:val="3"/>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58ED4B60"/>
    <w:multiLevelType w:val="hybridMultilevel"/>
    <w:tmpl w:val="3AEE4C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311164"/>
    <w:multiLevelType w:val="hybridMultilevel"/>
    <w:tmpl w:val="A3E2BA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C492045"/>
    <w:multiLevelType w:val="hybridMultilevel"/>
    <w:tmpl w:val="7E10C6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D4F5B4B"/>
    <w:multiLevelType w:val="hybridMultilevel"/>
    <w:tmpl w:val="AD6469CC"/>
    <w:lvl w:ilvl="0" w:tplc="0FA48C1A">
      <w:numFmt w:val="bullet"/>
      <w:lvlText w:val="-"/>
      <w:lvlJc w:val="left"/>
      <w:pPr>
        <w:ind w:left="720" w:hanging="360"/>
      </w:pPr>
      <w:rPr>
        <w:rFonts w:ascii="Century Gothic" w:eastAsiaTheme="minorHAnsi" w:hAnsi="Century Gothic" w:cstheme="minorBidi" w:hint="default"/>
      </w:rPr>
    </w:lvl>
    <w:lvl w:ilvl="1" w:tplc="0FA48C1A">
      <w:numFmt w:val="bullet"/>
      <w:lvlText w:val="-"/>
      <w:lvlJc w:val="left"/>
      <w:pPr>
        <w:ind w:left="1440" w:hanging="360"/>
      </w:pPr>
      <w:rPr>
        <w:rFonts w:ascii="Century Gothic" w:eastAsiaTheme="minorHAnsi" w:hAnsi="Century Gothic" w:cstheme="minorBidi"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5" w15:restartNumberingAfterBreak="0">
    <w:nsid w:val="60A314F0"/>
    <w:multiLevelType w:val="hybridMultilevel"/>
    <w:tmpl w:val="E2D4A592"/>
    <w:lvl w:ilvl="0" w:tplc="0C0A0001">
      <w:start w:val="1"/>
      <w:numFmt w:val="bullet"/>
      <w:lvlText w:val=""/>
      <w:lvlJc w:val="left"/>
      <w:pPr>
        <w:ind w:left="1009" w:hanging="360"/>
      </w:pPr>
      <w:rPr>
        <w:rFonts w:ascii="Symbol" w:hAnsi="Symbol" w:hint="default"/>
      </w:rPr>
    </w:lvl>
    <w:lvl w:ilvl="1" w:tplc="0C0A0003" w:tentative="1">
      <w:start w:val="1"/>
      <w:numFmt w:val="bullet"/>
      <w:lvlText w:val="o"/>
      <w:lvlJc w:val="left"/>
      <w:pPr>
        <w:ind w:left="172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3169" w:hanging="360"/>
      </w:pPr>
      <w:rPr>
        <w:rFonts w:ascii="Symbol" w:hAnsi="Symbol" w:hint="default"/>
      </w:rPr>
    </w:lvl>
    <w:lvl w:ilvl="4" w:tplc="0C0A0003" w:tentative="1">
      <w:start w:val="1"/>
      <w:numFmt w:val="bullet"/>
      <w:lvlText w:val="o"/>
      <w:lvlJc w:val="left"/>
      <w:pPr>
        <w:ind w:left="3889" w:hanging="360"/>
      </w:pPr>
      <w:rPr>
        <w:rFonts w:ascii="Courier New" w:hAnsi="Courier New" w:cs="Courier New" w:hint="default"/>
      </w:rPr>
    </w:lvl>
    <w:lvl w:ilvl="5" w:tplc="0C0A0005" w:tentative="1">
      <w:start w:val="1"/>
      <w:numFmt w:val="bullet"/>
      <w:lvlText w:val=""/>
      <w:lvlJc w:val="left"/>
      <w:pPr>
        <w:ind w:left="4609" w:hanging="360"/>
      </w:pPr>
      <w:rPr>
        <w:rFonts w:ascii="Wingdings" w:hAnsi="Wingdings" w:hint="default"/>
      </w:rPr>
    </w:lvl>
    <w:lvl w:ilvl="6" w:tplc="0C0A0001" w:tentative="1">
      <w:start w:val="1"/>
      <w:numFmt w:val="bullet"/>
      <w:lvlText w:val=""/>
      <w:lvlJc w:val="left"/>
      <w:pPr>
        <w:ind w:left="5329" w:hanging="360"/>
      </w:pPr>
      <w:rPr>
        <w:rFonts w:ascii="Symbol" w:hAnsi="Symbol" w:hint="default"/>
      </w:rPr>
    </w:lvl>
    <w:lvl w:ilvl="7" w:tplc="0C0A0003" w:tentative="1">
      <w:start w:val="1"/>
      <w:numFmt w:val="bullet"/>
      <w:lvlText w:val="o"/>
      <w:lvlJc w:val="left"/>
      <w:pPr>
        <w:ind w:left="6049" w:hanging="360"/>
      </w:pPr>
      <w:rPr>
        <w:rFonts w:ascii="Courier New" w:hAnsi="Courier New" w:cs="Courier New" w:hint="default"/>
      </w:rPr>
    </w:lvl>
    <w:lvl w:ilvl="8" w:tplc="0C0A0005" w:tentative="1">
      <w:start w:val="1"/>
      <w:numFmt w:val="bullet"/>
      <w:lvlText w:val=""/>
      <w:lvlJc w:val="left"/>
      <w:pPr>
        <w:ind w:left="6769" w:hanging="360"/>
      </w:pPr>
      <w:rPr>
        <w:rFonts w:ascii="Wingdings" w:hAnsi="Wingdings" w:hint="default"/>
      </w:rPr>
    </w:lvl>
  </w:abstractNum>
  <w:abstractNum w:abstractNumId="36" w15:restartNumberingAfterBreak="0">
    <w:nsid w:val="644B5128"/>
    <w:multiLevelType w:val="singleLevel"/>
    <w:tmpl w:val="08B20FCC"/>
    <w:lvl w:ilvl="0">
      <w:start w:val="3"/>
      <w:numFmt w:val="bullet"/>
      <w:lvlText w:val="-"/>
      <w:lvlJc w:val="left"/>
      <w:pPr>
        <w:ind w:left="928" w:hanging="360"/>
      </w:pPr>
      <w:rPr>
        <w:rFonts w:ascii="Times New Roman" w:eastAsia="Times New Roman" w:hAnsi="Times New Roman" w:cs="Times New Roman" w:hint="default"/>
      </w:rPr>
    </w:lvl>
  </w:abstractNum>
  <w:abstractNum w:abstractNumId="37" w15:restartNumberingAfterBreak="0">
    <w:nsid w:val="6C8C013F"/>
    <w:multiLevelType w:val="hybridMultilevel"/>
    <w:tmpl w:val="957C4BFC"/>
    <w:lvl w:ilvl="0" w:tplc="0C0A0001">
      <w:start w:val="1"/>
      <w:numFmt w:val="bullet"/>
      <w:lvlText w:val=""/>
      <w:lvlJc w:val="left"/>
      <w:pPr>
        <w:ind w:left="720" w:hanging="360"/>
      </w:pPr>
      <w:rPr>
        <w:rFonts w:ascii="Symbol" w:hAnsi="Symbol" w:hint="default"/>
      </w:rPr>
    </w:lvl>
    <w:lvl w:ilvl="1" w:tplc="574C95AA">
      <w:start w:val="1"/>
      <w:numFmt w:val="bullet"/>
      <w:lvlText w:val="o"/>
      <w:lvlJc w:val="left"/>
      <w:pPr>
        <w:ind w:left="1440" w:hanging="360"/>
      </w:pPr>
      <w:rPr>
        <w:rFonts w:ascii="Courier New" w:hAnsi="Courier New" w:cs="Courier New" w:hint="default"/>
        <w:color w:val="auto"/>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8" w15:restartNumberingAfterBreak="0">
    <w:nsid w:val="72E219B9"/>
    <w:multiLevelType w:val="hybridMultilevel"/>
    <w:tmpl w:val="2BAA5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4D25ADE"/>
    <w:multiLevelType w:val="hybridMultilevel"/>
    <w:tmpl w:val="7EBC758E"/>
    <w:lvl w:ilvl="0" w:tplc="0C0A0001">
      <w:start w:val="1"/>
      <w:numFmt w:val="bullet"/>
      <w:lvlText w:val=""/>
      <w:lvlJc w:val="left"/>
      <w:pPr>
        <w:ind w:left="9148" w:hanging="360"/>
      </w:pPr>
      <w:rPr>
        <w:rFonts w:ascii="Symbol" w:hAnsi="Symbol" w:hint="default"/>
      </w:rPr>
    </w:lvl>
    <w:lvl w:ilvl="1" w:tplc="0C0A0003" w:tentative="1">
      <w:start w:val="1"/>
      <w:numFmt w:val="bullet"/>
      <w:lvlText w:val="o"/>
      <w:lvlJc w:val="left"/>
      <w:pPr>
        <w:ind w:left="172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3169" w:hanging="360"/>
      </w:pPr>
      <w:rPr>
        <w:rFonts w:ascii="Symbol" w:hAnsi="Symbol" w:hint="default"/>
      </w:rPr>
    </w:lvl>
    <w:lvl w:ilvl="4" w:tplc="0C0A0003" w:tentative="1">
      <w:start w:val="1"/>
      <w:numFmt w:val="bullet"/>
      <w:lvlText w:val="o"/>
      <w:lvlJc w:val="left"/>
      <w:pPr>
        <w:ind w:left="3889" w:hanging="360"/>
      </w:pPr>
      <w:rPr>
        <w:rFonts w:ascii="Courier New" w:hAnsi="Courier New" w:cs="Courier New" w:hint="default"/>
      </w:rPr>
    </w:lvl>
    <w:lvl w:ilvl="5" w:tplc="0C0A0005" w:tentative="1">
      <w:start w:val="1"/>
      <w:numFmt w:val="bullet"/>
      <w:lvlText w:val=""/>
      <w:lvlJc w:val="left"/>
      <w:pPr>
        <w:ind w:left="4609" w:hanging="360"/>
      </w:pPr>
      <w:rPr>
        <w:rFonts w:ascii="Wingdings" w:hAnsi="Wingdings" w:hint="default"/>
      </w:rPr>
    </w:lvl>
    <w:lvl w:ilvl="6" w:tplc="0C0A0001" w:tentative="1">
      <w:start w:val="1"/>
      <w:numFmt w:val="bullet"/>
      <w:lvlText w:val=""/>
      <w:lvlJc w:val="left"/>
      <w:pPr>
        <w:ind w:left="5329" w:hanging="360"/>
      </w:pPr>
      <w:rPr>
        <w:rFonts w:ascii="Symbol" w:hAnsi="Symbol" w:hint="default"/>
      </w:rPr>
    </w:lvl>
    <w:lvl w:ilvl="7" w:tplc="0C0A0003" w:tentative="1">
      <w:start w:val="1"/>
      <w:numFmt w:val="bullet"/>
      <w:lvlText w:val="o"/>
      <w:lvlJc w:val="left"/>
      <w:pPr>
        <w:ind w:left="6049" w:hanging="360"/>
      </w:pPr>
      <w:rPr>
        <w:rFonts w:ascii="Courier New" w:hAnsi="Courier New" w:cs="Courier New" w:hint="default"/>
      </w:rPr>
    </w:lvl>
    <w:lvl w:ilvl="8" w:tplc="0C0A0005" w:tentative="1">
      <w:start w:val="1"/>
      <w:numFmt w:val="bullet"/>
      <w:lvlText w:val=""/>
      <w:lvlJc w:val="left"/>
      <w:pPr>
        <w:ind w:left="6769" w:hanging="360"/>
      </w:pPr>
      <w:rPr>
        <w:rFonts w:ascii="Wingdings" w:hAnsi="Wingdings" w:hint="default"/>
      </w:rPr>
    </w:lvl>
  </w:abstractNum>
  <w:abstractNum w:abstractNumId="40" w15:restartNumberingAfterBreak="0">
    <w:nsid w:val="75731545"/>
    <w:multiLevelType w:val="singleLevel"/>
    <w:tmpl w:val="4DFE98A4"/>
    <w:lvl w:ilvl="0">
      <w:start w:val="5"/>
      <w:numFmt w:val="decimal"/>
      <w:lvlText w:val="%1."/>
      <w:legacy w:legacy="1" w:legacySpace="0" w:legacyIndent="0"/>
      <w:lvlJc w:val="left"/>
      <w:rPr>
        <w:rFonts w:ascii="Arial" w:hAnsi="Arial" w:cs="Arial" w:hint="default"/>
        <w:sz w:val="22"/>
        <w:szCs w:val="22"/>
      </w:rPr>
    </w:lvl>
  </w:abstractNum>
  <w:abstractNum w:abstractNumId="41" w15:restartNumberingAfterBreak="0">
    <w:nsid w:val="7AAF6BBB"/>
    <w:multiLevelType w:val="hybridMultilevel"/>
    <w:tmpl w:val="D89443BE"/>
    <w:lvl w:ilvl="0" w:tplc="21F890C2">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7B177D01"/>
    <w:multiLevelType w:val="hybridMultilevel"/>
    <w:tmpl w:val="A4C824F4"/>
    <w:lvl w:ilvl="0" w:tplc="72F0E32C">
      <w:numFmt w:val="bullet"/>
      <w:lvlText w:val="-"/>
      <w:lvlJc w:val="left"/>
      <w:pPr>
        <w:ind w:left="1004" w:hanging="360"/>
      </w:pPr>
      <w:rPr>
        <w:rFonts w:ascii="Times New Roman" w:hAnsi="Times New Roman" w:cs="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3" w15:restartNumberingAfterBreak="0">
    <w:nsid w:val="7E4C09E9"/>
    <w:multiLevelType w:val="hybridMultilevel"/>
    <w:tmpl w:val="BCA6E1BA"/>
    <w:lvl w:ilvl="0" w:tplc="BAC0F5D0">
      <w:start w:val="2"/>
      <w:numFmt w:val="bullet"/>
      <w:lvlText w:val="-"/>
      <w:lvlJc w:val="left"/>
      <w:pPr>
        <w:ind w:left="1212" w:hanging="360"/>
      </w:pPr>
      <w:rPr>
        <w:rFonts w:ascii="Times New Roman" w:eastAsiaTheme="minorHAnsi" w:hAnsi="Times New Roman" w:cs="Times New Roman"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4" w15:restartNumberingAfterBreak="0">
    <w:nsid w:val="7FD84849"/>
    <w:multiLevelType w:val="hybridMultilevel"/>
    <w:tmpl w:val="FBB4B72A"/>
    <w:lvl w:ilvl="0" w:tplc="76FAC148">
      <w:start w:val="1"/>
      <w:numFmt w:val="lowerLetter"/>
      <w:lvlText w:val="%1)"/>
      <w:lvlJc w:val="left"/>
      <w:pPr>
        <w:ind w:left="502" w:hanging="360"/>
      </w:pPr>
      <w:rPr>
        <w:rFonts w:cs="Times New Roman"/>
        <w:i w:val="0"/>
      </w:rPr>
    </w:lvl>
    <w:lvl w:ilvl="1" w:tplc="0C0A0019">
      <w:start w:val="1"/>
      <w:numFmt w:val="lowerLetter"/>
      <w:lvlText w:val="%2."/>
      <w:lvlJc w:val="left"/>
      <w:pPr>
        <w:ind w:left="1222" w:hanging="360"/>
      </w:pPr>
    </w:lvl>
    <w:lvl w:ilvl="2" w:tplc="0C0A001B">
      <w:start w:val="1"/>
      <w:numFmt w:val="lowerRoman"/>
      <w:lvlText w:val="%3."/>
      <w:lvlJc w:val="right"/>
      <w:pPr>
        <w:ind w:left="1942" w:hanging="180"/>
      </w:pPr>
    </w:lvl>
    <w:lvl w:ilvl="3" w:tplc="0C0A000F">
      <w:start w:val="1"/>
      <w:numFmt w:val="decimal"/>
      <w:lvlText w:val="%4."/>
      <w:lvlJc w:val="left"/>
      <w:pPr>
        <w:ind w:left="2662" w:hanging="360"/>
      </w:pPr>
    </w:lvl>
    <w:lvl w:ilvl="4" w:tplc="0C0A0019">
      <w:start w:val="1"/>
      <w:numFmt w:val="lowerLetter"/>
      <w:lvlText w:val="%5."/>
      <w:lvlJc w:val="left"/>
      <w:pPr>
        <w:ind w:left="3382" w:hanging="360"/>
      </w:pPr>
    </w:lvl>
    <w:lvl w:ilvl="5" w:tplc="0C0A001B">
      <w:start w:val="1"/>
      <w:numFmt w:val="lowerRoman"/>
      <w:lvlText w:val="%6."/>
      <w:lvlJc w:val="right"/>
      <w:pPr>
        <w:ind w:left="4102" w:hanging="180"/>
      </w:pPr>
    </w:lvl>
    <w:lvl w:ilvl="6" w:tplc="0C0A000F">
      <w:start w:val="1"/>
      <w:numFmt w:val="decimal"/>
      <w:lvlText w:val="%7."/>
      <w:lvlJc w:val="left"/>
      <w:pPr>
        <w:ind w:left="4822" w:hanging="360"/>
      </w:pPr>
    </w:lvl>
    <w:lvl w:ilvl="7" w:tplc="0C0A0019">
      <w:start w:val="1"/>
      <w:numFmt w:val="lowerLetter"/>
      <w:lvlText w:val="%8."/>
      <w:lvlJc w:val="left"/>
      <w:pPr>
        <w:ind w:left="5542" w:hanging="360"/>
      </w:pPr>
    </w:lvl>
    <w:lvl w:ilvl="8" w:tplc="0C0A001B">
      <w:start w:val="1"/>
      <w:numFmt w:val="lowerRoman"/>
      <w:lvlText w:val="%9."/>
      <w:lvlJc w:val="right"/>
      <w:pPr>
        <w:ind w:left="6262" w:hanging="180"/>
      </w:pPr>
    </w:lvl>
  </w:abstractNum>
  <w:num w:numId="1" w16cid:durableId="1258126978">
    <w:abstractNumId w:val="8"/>
  </w:num>
  <w:num w:numId="2" w16cid:durableId="2119062093">
    <w:abstractNumId w:val="7"/>
  </w:num>
  <w:num w:numId="3" w16cid:durableId="2014065746">
    <w:abstractNumId w:val="36"/>
  </w:num>
  <w:num w:numId="4" w16cid:durableId="6268583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4398357">
    <w:abstractNumId w:val="3"/>
  </w:num>
  <w:num w:numId="6" w16cid:durableId="2046322531">
    <w:abstractNumId w:val="1"/>
  </w:num>
  <w:num w:numId="7" w16cid:durableId="17336978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5005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3551596">
    <w:abstractNumId w:val="9"/>
  </w:num>
  <w:num w:numId="10" w16cid:durableId="462384261">
    <w:abstractNumId w:val="0"/>
  </w:num>
  <w:num w:numId="11" w16cid:durableId="202597486">
    <w:abstractNumId w:val="12"/>
  </w:num>
  <w:num w:numId="12" w16cid:durableId="2098208473">
    <w:abstractNumId w:val="39"/>
  </w:num>
  <w:num w:numId="13" w16cid:durableId="1305624573">
    <w:abstractNumId w:val="1"/>
  </w:num>
  <w:num w:numId="14" w16cid:durableId="1403672927">
    <w:abstractNumId w:val="34"/>
  </w:num>
  <w:num w:numId="15" w16cid:durableId="1644235708">
    <w:abstractNumId w:val="41"/>
  </w:num>
  <w:num w:numId="16" w16cid:durableId="1830751926">
    <w:abstractNumId w:val="24"/>
  </w:num>
  <w:num w:numId="17" w16cid:durableId="1552307692">
    <w:abstractNumId w:val="33"/>
  </w:num>
  <w:num w:numId="18" w16cid:durableId="1809056726">
    <w:abstractNumId w:val="25"/>
  </w:num>
  <w:num w:numId="19" w16cid:durableId="632515714">
    <w:abstractNumId w:val="26"/>
  </w:num>
  <w:num w:numId="20" w16cid:durableId="295643143">
    <w:abstractNumId w:val="35"/>
  </w:num>
  <w:num w:numId="21" w16cid:durableId="170294445">
    <w:abstractNumId w:val="43"/>
  </w:num>
  <w:num w:numId="22" w16cid:durableId="659964737">
    <w:abstractNumId w:val="37"/>
  </w:num>
  <w:num w:numId="23" w16cid:durableId="413742643">
    <w:abstractNumId w:val="20"/>
  </w:num>
  <w:num w:numId="24" w16cid:durableId="629745667">
    <w:abstractNumId w:val="16"/>
  </w:num>
  <w:num w:numId="25" w16cid:durableId="943997950">
    <w:abstractNumId w:val="32"/>
  </w:num>
  <w:num w:numId="26" w16cid:durableId="895318021">
    <w:abstractNumId w:val="22"/>
  </w:num>
  <w:num w:numId="27" w16cid:durableId="1623993612">
    <w:abstractNumId w:val="10"/>
  </w:num>
  <w:num w:numId="28" w16cid:durableId="1049501990">
    <w:abstractNumId w:val="17"/>
  </w:num>
  <w:num w:numId="29" w16cid:durableId="2028174068">
    <w:abstractNumId w:val="13"/>
  </w:num>
  <w:num w:numId="30" w16cid:durableId="762845369">
    <w:abstractNumId w:val="2"/>
  </w:num>
  <w:num w:numId="31" w16cid:durableId="634484400">
    <w:abstractNumId w:val="38"/>
  </w:num>
  <w:num w:numId="32" w16cid:durableId="1600941508">
    <w:abstractNumId w:val="29"/>
  </w:num>
  <w:num w:numId="33" w16cid:durableId="482046672">
    <w:abstractNumId w:val="3"/>
  </w:num>
  <w:num w:numId="34" w16cid:durableId="31880891">
    <w:abstractNumId w:val="21"/>
  </w:num>
  <w:num w:numId="35" w16cid:durableId="1934436131">
    <w:abstractNumId w:val="4"/>
  </w:num>
  <w:num w:numId="36" w16cid:durableId="270092022">
    <w:abstractNumId w:val="31"/>
  </w:num>
  <w:num w:numId="37" w16cid:durableId="2015375193">
    <w:abstractNumId w:val="30"/>
  </w:num>
  <w:num w:numId="38" w16cid:durableId="2224969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40066507">
    <w:abstractNumId w:val="14"/>
  </w:num>
  <w:num w:numId="40" w16cid:durableId="697120437">
    <w:abstractNumId w:val="42"/>
  </w:num>
  <w:num w:numId="41" w16cid:durableId="1739472910">
    <w:abstractNumId w:val="18"/>
  </w:num>
  <w:num w:numId="42" w16cid:durableId="144977448">
    <w:abstractNumId w:val="11"/>
  </w:num>
  <w:num w:numId="43" w16cid:durableId="1300721007">
    <w:abstractNumId w:val="5"/>
  </w:num>
  <w:num w:numId="44" w16cid:durableId="338394328">
    <w:abstractNumId w:val="15"/>
  </w:num>
  <w:num w:numId="45" w16cid:durableId="1053623439">
    <w:abstractNumId w:val="28"/>
  </w:num>
  <w:num w:numId="46" w16cid:durableId="1007363368">
    <w:abstractNumId w:val="40"/>
  </w:num>
  <w:num w:numId="47" w16cid:durableId="651984200">
    <w:abstractNumId w:val="23"/>
  </w:num>
  <w:num w:numId="48" w16cid:durableId="1124422888">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9011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DC4"/>
    <w:rsid w:val="000019D8"/>
    <w:rsid w:val="00002E06"/>
    <w:rsid w:val="00006736"/>
    <w:rsid w:val="00006A97"/>
    <w:rsid w:val="00007AB8"/>
    <w:rsid w:val="0001123B"/>
    <w:rsid w:val="00011E96"/>
    <w:rsid w:val="00012A7F"/>
    <w:rsid w:val="0001633C"/>
    <w:rsid w:val="0001734E"/>
    <w:rsid w:val="00017703"/>
    <w:rsid w:val="00017A3A"/>
    <w:rsid w:val="00024014"/>
    <w:rsid w:val="00025244"/>
    <w:rsid w:val="00027224"/>
    <w:rsid w:val="00027EC2"/>
    <w:rsid w:val="0003157C"/>
    <w:rsid w:val="0003329D"/>
    <w:rsid w:val="000353D0"/>
    <w:rsid w:val="00036316"/>
    <w:rsid w:val="00036E42"/>
    <w:rsid w:val="00040475"/>
    <w:rsid w:val="00041A83"/>
    <w:rsid w:val="00041B7F"/>
    <w:rsid w:val="00042BC8"/>
    <w:rsid w:val="0004373B"/>
    <w:rsid w:val="00043811"/>
    <w:rsid w:val="000443D8"/>
    <w:rsid w:val="00044423"/>
    <w:rsid w:val="000448FA"/>
    <w:rsid w:val="00046CA7"/>
    <w:rsid w:val="00047F55"/>
    <w:rsid w:val="00050929"/>
    <w:rsid w:val="000511C1"/>
    <w:rsid w:val="000523AF"/>
    <w:rsid w:val="00052E0E"/>
    <w:rsid w:val="00053346"/>
    <w:rsid w:val="00053A42"/>
    <w:rsid w:val="00054F4F"/>
    <w:rsid w:val="0005517D"/>
    <w:rsid w:val="000554DA"/>
    <w:rsid w:val="00055848"/>
    <w:rsid w:val="00060DBC"/>
    <w:rsid w:val="0006133D"/>
    <w:rsid w:val="000615A4"/>
    <w:rsid w:val="000616EB"/>
    <w:rsid w:val="00063585"/>
    <w:rsid w:val="000644D0"/>
    <w:rsid w:val="0006638D"/>
    <w:rsid w:val="00070BED"/>
    <w:rsid w:val="000710BC"/>
    <w:rsid w:val="00071CD0"/>
    <w:rsid w:val="00074F4E"/>
    <w:rsid w:val="000754FD"/>
    <w:rsid w:val="00075677"/>
    <w:rsid w:val="00075692"/>
    <w:rsid w:val="0007577B"/>
    <w:rsid w:val="00076EDD"/>
    <w:rsid w:val="0008045C"/>
    <w:rsid w:val="00081778"/>
    <w:rsid w:val="00083165"/>
    <w:rsid w:val="00084E45"/>
    <w:rsid w:val="00087B8D"/>
    <w:rsid w:val="0009196B"/>
    <w:rsid w:val="000926B1"/>
    <w:rsid w:val="00092EB2"/>
    <w:rsid w:val="00093D67"/>
    <w:rsid w:val="00093E60"/>
    <w:rsid w:val="00095245"/>
    <w:rsid w:val="000970EA"/>
    <w:rsid w:val="000A0DC8"/>
    <w:rsid w:val="000A18B7"/>
    <w:rsid w:val="000A2C1E"/>
    <w:rsid w:val="000A35FD"/>
    <w:rsid w:val="000A4697"/>
    <w:rsid w:val="000A562A"/>
    <w:rsid w:val="000A56FD"/>
    <w:rsid w:val="000A611A"/>
    <w:rsid w:val="000B00E2"/>
    <w:rsid w:val="000B2728"/>
    <w:rsid w:val="000B2994"/>
    <w:rsid w:val="000B3943"/>
    <w:rsid w:val="000B4477"/>
    <w:rsid w:val="000B6A68"/>
    <w:rsid w:val="000B7DCE"/>
    <w:rsid w:val="000C0148"/>
    <w:rsid w:val="000C0704"/>
    <w:rsid w:val="000C099C"/>
    <w:rsid w:val="000C2B07"/>
    <w:rsid w:val="000C35AC"/>
    <w:rsid w:val="000C39CC"/>
    <w:rsid w:val="000C438B"/>
    <w:rsid w:val="000C4B13"/>
    <w:rsid w:val="000C4F65"/>
    <w:rsid w:val="000C5B5F"/>
    <w:rsid w:val="000C7566"/>
    <w:rsid w:val="000D109B"/>
    <w:rsid w:val="000D188E"/>
    <w:rsid w:val="000D369D"/>
    <w:rsid w:val="000D5335"/>
    <w:rsid w:val="000D740C"/>
    <w:rsid w:val="000D7CCD"/>
    <w:rsid w:val="000E121F"/>
    <w:rsid w:val="000E169C"/>
    <w:rsid w:val="000E42A3"/>
    <w:rsid w:val="000E48B6"/>
    <w:rsid w:val="000E67F1"/>
    <w:rsid w:val="000E7972"/>
    <w:rsid w:val="000E7B86"/>
    <w:rsid w:val="000F03D3"/>
    <w:rsid w:val="000F0FBB"/>
    <w:rsid w:val="000F2B66"/>
    <w:rsid w:val="000F3D83"/>
    <w:rsid w:val="000F6549"/>
    <w:rsid w:val="000F65E3"/>
    <w:rsid w:val="000F75B2"/>
    <w:rsid w:val="000F7DE3"/>
    <w:rsid w:val="0010006F"/>
    <w:rsid w:val="00100F12"/>
    <w:rsid w:val="00103195"/>
    <w:rsid w:val="00103589"/>
    <w:rsid w:val="001045C9"/>
    <w:rsid w:val="00107B69"/>
    <w:rsid w:val="00107CC1"/>
    <w:rsid w:val="001106E4"/>
    <w:rsid w:val="001107B8"/>
    <w:rsid w:val="00111A92"/>
    <w:rsid w:val="00111F82"/>
    <w:rsid w:val="001145C3"/>
    <w:rsid w:val="001161D2"/>
    <w:rsid w:val="00120F0D"/>
    <w:rsid w:val="00121372"/>
    <w:rsid w:val="0012270A"/>
    <w:rsid w:val="00123A2B"/>
    <w:rsid w:val="00131A5E"/>
    <w:rsid w:val="00131DF1"/>
    <w:rsid w:val="00132647"/>
    <w:rsid w:val="00132C38"/>
    <w:rsid w:val="00133984"/>
    <w:rsid w:val="0013570B"/>
    <w:rsid w:val="00135B13"/>
    <w:rsid w:val="001365C4"/>
    <w:rsid w:val="00140076"/>
    <w:rsid w:val="00141260"/>
    <w:rsid w:val="0014147D"/>
    <w:rsid w:val="00141B96"/>
    <w:rsid w:val="00141D29"/>
    <w:rsid w:val="0014506A"/>
    <w:rsid w:val="00145398"/>
    <w:rsid w:val="001455FA"/>
    <w:rsid w:val="0014728F"/>
    <w:rsid w:val="001521A2"/>
    <w:rsid w:val="00152358"/>
    <w:rsid w:val="00152A8C"/>
    <w:rsid w:val="00153391"/>
    <w:rsid w:val="0015379D"/>
    <w:rsid w:val="00154861"/>
    <w:rsid w:val="00155BFF"/>
    <w:rsid w:val="00156226"/>
    <w:rsid w:val="00160F66"/>
    <w:rsid w:val="00162CE5"/>
    <w:rsid w:val="001633AF"/>
    <w:rsid w:val="001633BF"/>
    <w:rsid w:val="00164B07"/>
    <w:rsid w:val="00164B4E"/>
    <w:rsid w:val="00164B57"/>
    <w:rsid w:val="00165295"/>
    <w:rsid w:val="00166A6C"/>
    <w:rsid w:val="00167AD4"/>
    <w:rsid w:val="0017053D"/>
    <w:rsid w:val="001728D0"/>
    <w:rsid w:val="00173EDD"/>
    <w:rsid w:val="0017402B"/>
    <w:rsid w:val="0017543E"/>
    <w:rsid w:val="00175E07"/>
    <w:rsid w:val="00176326"/>
    <w:rsid w:val="00177AFB"/>
    <w:rsid w:val="00181D37"/>
    <w:rsid w:val="001828B4"/>
    <w:rsid w:val="00182B19"/>
    <w:rsid w:val="00183267"/>
    <w:rsid w:val="001835B7"/>
    <w:rsid w:val="0018426B"/>
    <w:rsid w:val="00185A37"/>
    <w:rsid w:val="00187ED9"/>
    <w:rsid w:val="0019087B"/>
    <w:rsid w:val="00191BF0"/>
    <w:rsid w:val="0019308E"/>
    <w:rsid w:val="00194309"/>
    <w:rsid w:val="001952B0"/>
    <w:rsid w:val="0019660E"/>
    <w:rsid w:val="001971EB"/>
    <w:rsid w:val="001A1FCB"/>
    <w:rsid w:val="001A22EB"/>
    <w:rsid w:val="001A2CDE"/>
    <w:rsid w:val="001A379E"/>
    <w:rsid w:val="001A3D04"/>
    <w:rsid w:val="001A5AAB"/>
    <w:rsid w:val="001A7021"/>
    <w:rsid w:val="001B1F5B"/>
    <w:rsid w:val="001B2C16"/>
    <w:rsid w:val="001B39E2"/>
    <w:rsid w:val="001B69FC"/>
    <w:rsid w:val="001C026F"/>
    <w:rsid w:val="001C1D51"/>
    <w:rsid w:val="001C2B26"/>
    <w:rsid w:val="001C3A32"/>
    <w:rsid w:val="001C3B92"/>
    <w:rsid w:val="001C3C8B"/>
    <w:rsid w:val="001C4E6D"/>
    <w:rsid w:val="001C5656"/>
    <w:rsid w:val="001C71FC"/>
    <w:rsid w:val="001C7FA9"/>
    <w:rsid w:val="001D0E70"/>
    <w:rsid w:val="001D4F09"/>
    <w:rsid w:val="001D5535"/>
    <w:rsid w:val="001D5CA1"/>
    <w:rsid w:val="001D76D5"/>
    <w:rsid w:val="001D7C96"/>
    <w:rsid w:val="001E2655"/>
    <w:rsid w:val="001E2880"/>
    <w:rsid w:val="001E343F"/>
    <w:rsid w:val="001E3BF7"/>
    <w:rsid w:val="001E74DD"/>
    <w:rsid w:val="001E7E3E"/>
    <w:rsid w:val="001E7F78"/>
    <w:rsid w:val="001F1482"/>
    <w:rsid w:val="001F20D7"/>
    <w:rsid w:val="001F6045"/>
    <w:rsid w:val="001F66E1"/>
    <w:rsid w:val="001F6B50"/>
    <w:rsid w:val="001F7744"/>
    <w:rsid w:val="002014EB"/>
    <w:rsid w:val="00201912"/>
    <w:rsid w:val="0020286C"/>
    <w:rsid w:val="00202B1A"/>
    <w:rsid w:val="00204979"/>
    <w:rsid w:val="00205265"/>
    <w:rsid w:val="00211D69"/>
    <w:rsid w:val="0021329D"/>
    <w:rsid w:val="0021567D"/>
    <w:rsid w:val="002158C8"/>
    <w:rsid w:val="0021696D"/>
    <w:rsid w:val="002179DB"/>
    <w:rsid w:val="002252F6"/>
    <w:rsid w:val="00227805"/>
    <w:rsid w:val="00227E1D"/>
    <w:rsid w:val="00227E48"/>
    <w:rsid w:val="00230577"/>
    <w:rsid w:val="00231201"/>
    <w:rsid w:val="0023159D"/>
    <w:rsid w:val="0023209D"/>
    <w:rsid w:val="00232430"/>
    <w:rsid w:val="00233194"/>
    <w:rsid w:val="002333F8"/>
    <w:rsid w:val="00233D79"/>
    <w:rsid w:val="00234477"/>
    <w:rsid w:val="00237657"/>
    <w:rsid w:val="002410BC"/>
    <w:rsid w:val="00241BA4"/>
    <w:rsid w:val="002425FD"/>
    <w:rsid w:val="00242A18"/>
    <w:rsid w:val="00242BA7"/>
    <w:rsid w:val="002437B5"/>
    <w:rsid w:val="00244EF1"/>
    <w:rsid w:val="00246F21"/>
    <w:rsid w:val="002476CD"/>
    <w:rsid w:val="002504A0"/>
    <w:rsid w:val="002536BC"/>
    <w:rsid w:val="00253E78"/>
    <w:rsid w:val="00253F91"/>
    <w:rsid w:val="002542B7"/>
    <w:rsid w:val="002559B3"/>
    <w:rsid w:val="00256794"/>
    <w:rsid w:val="00257BA5"/>
    <w:rsid w:val="00261190"/>
    <w:rsid w:val="00261A88"/>
    <w:rsid w:val="00262C3C"/>
    <w:rsid w:val="002630A8"/>
    <w:rsid w:val="0026367A"/>
    <w:rsid w:val="002649D2"/>
    <w:rsid w:val="00264C88"/>
    <w:rsid w:val="0026532C"/>
    <w:rsid w:val="0026575D"/>
    <w:rsid w:val="00266744"/>
    <w:rsid w:val="0026733B"/>
    <w:rsid w:val="002705B0"/>
    <w:rsid w:val="002717A6"/>
    <w:rsid w:val="00272015"/>
    <w:rsid w:val="0027365F"/>
    <w:rsid w:val="00273C10"/>
    <w:rsid w:val="00273FAC"/>
    <w:rsid w:val="00274B4C"/>
    <w:rsid w:val="00276264"/>
    <w:rsid w:val="00281DCA"/>
    <w:rsid w:val="002866F3"/>
    <w:rsid w:val="00286F49"/>
    <w:rsid w:val="0029030A"/>
    <w:rsid w:val="0029215B"/>
    <w:rsid w:val="00294AB4"/>
    <w:rsid w:val="002956B5"/>
    <w:rsid w:val="00296E9F"/>
    <w:rsid w:val="00297B04"/>
    <w:rsid w:val="002A056C"/>
    <w:rsid w:val="002A155D"/>
    <w:rsid w:val="002A22CC"/>
    <w:rsid w:val="002A66A5"/>
    <w:rsid w:val="002A6EBB"/>
    <w:rsid w:val="002B1E5B"/>
    <w:rsid w:val="002B1EFA"/>
    <w:rsid w:val="002B21E9"/>
    <w:rsid w:val="002B2B87"/>
    <w:rsid w:val="002B3938"/>
    <w:rsid w:val="002B45E0"/>
    <w:rsid w:val="002B4E0F"/>
    <w:rsid w:val="002B4FF0"/>
    <w:rsid w:val="002B5754"/>
    <w:rsid w:val="002B7D1F"/>
    <w:rsid w:val="002C091C"/>
    <w:rsid w:val="002C1274"/>
    <w:rsid w:val="002C33F0"/>
    <w:rsid w:val="002C38B6"/>
    <w:rsid w:val="002C7026"/>
    <w:rsid w:val="002C7E08"/>
    <w:rsid w:val="002D089F"/>
    <w:rsid w:val="002D15F8"/>
    <w:rsid w:val="002D27FA"/>
    <w:rsid w:val="002D4347"/>
    <w:rsid w:val="002D4662"/>
    <w:rsid w:val="002D5635"/>
    <w:rsid w:val="002D57F2"/>
    <w:rsid w:val="002D65E8"/>
    <w:rsid w:val="002D69C2"/>
    <w:rsid w:val="002D7D32"/>
    <w:rsid w:val="002E02E5"/>
    <w:rsid w:val="002E0478"/>
    <w:rsid w:val="002E04E0"/>
    <w:rsid w:val="002E0791"/>
    <w:rsid w:val="002E1B92"/>
    <w:rsid w:val="002E25FB"/>
    <w:rsid w:val="002E2A72"/>
    <w:rsid w:val="002E4D32"/>
    <w:rsid w:val="002E6560"/>
    <w:rsid w:val="002E7B81"/>
    <w:rsid w:val="002F0920"/>
    <w:rsid w:val="002F09FB"/>
    <w:rsid w:val="002F0FE3"/>
    <w:rsid w:val="002F1914"/>
    <w:rsid w:val="002F1AF0"/>
    <w:rsid w:val="002F2530"/>
    <w:rsid w:val="002F272A"/>
    <w:rsid w:val="002F2BB3"/>
    <w:rsid w:val="002F2D8E"/>
    <w:rsid w:val="002F3225"/>
    <w:rsid w:val="002F3B63"/>
    <w:rsid w:val="002F452C"/>
    <w:rsid w:val="002F4783"/>
    <w:rsid w:val="002F4A7F"/>
    <w:rsid w:val="002F53B4"/>
    <w:rsid w:val="002F76D6"/>
    <w:rsid w:val="002F783F"/>
    <w:rsid w:val="002F7C8C"/>
    <w:rsid w:val="00300A45"/>
    <w:rsid w:val="00301326"/>
    <w:rsid w:val="003033F5"/>
    <w:rsid w:val="00303506"/>
    <w:rsid w:val="0030408C"/>
    <w:rsid w:val="00305B81"/>
    <w:rsid w:val="00305F73"/>
    <w:rsid w:val="00306EA3"/>
    <w:rsid w:val="00307057"/>
    <w:rsid w:val="0030794D"/>
    <w:rsid w:val="00310736"/>
    <w:rsid w:val="00312819"/>
    <w:rsid w:val="00312E9C"/>
    <w:rsid w:val="00313875"/>
    <w:rsid w:val="003140F1"/>
    <w:rsid w:val="003141F4"/>
    <w:rsid w:val="00314743"/>
    <w:rsid w:val="003203BF"/>
    <w:rsid w:val="00320B34"/>
    <w:rsid w:val="00321369"/>
    <w:rsid w:val="00323965"/>
    <w:rsid w:val="00326CC0"/>
    <w:rsid w:val="00327402"/>
    <w:rsid w:val="00327793"/>
    <w:rsid w:val="003301E9"/>
    <w:rsid w:val="00330787"/>
    <w:rsid w:val="0033719A"/>
    <w:rsid w:val="00337493"/>
    <w:rsid w:val="0034127E"/>
    <w:rsid w:val="0034285F"/>
    <w:rsid w:val="0034376E"/>
    <w:rsid w:val="00344B37"/>
    <w:rsid w:val="003464A4"/>
    <w:rsid w:val="0035013A"/>
    <w:rsid w:val="00350A77"/>
    <w:rsid w:val="00351684"/>
    <w:rsid w:val="00352146"/>
    <w:rsid w:val="0035420C"/>
    <w:rsid w:val="00354458"/>
    <w:rsid w:val="00355073"/>
    <w:rsid w:val="0036112E"/>
    <w:rsid w:val="0036258B"/>
    <w:rsid w:val="00362CF4"/>
    <w:rsid w:val="00363653"/>
    <w:rsid w:val="00364860"/>
    <w:rsid w:val="0036509D"/>
    <w:rsid w:val="0036588C"/>
    <w:rsid w:val="003661F5"/>
    <w:rsid w:val="00370A2D"/>
    <w:rsid w:val="0037228C"/>
    <w:rsid w:val="003738FD"/>
    <w:rsid w:val="003740FB"/>
    <w:rsid w:val="003753B5"/>
    <w:rsid w:val="00375E4D"/>
    <w:rsid w:val="003767F2"/>
    <w:rsid w:val="003810BE"/>
    <w:rsid w:val="00384FD8"/>
    <w:rsid w:val="00386F6C"/>
    <w:rsid w:val="00387709"/>
    <w:rsid w:val="00387794"/>
    <w:rsid w:val="00390C89"/>
    <w:rsid w:val="00390D67"/>
    <w:rsid w:val="00394613"/>
    <w:rsid w:val="00396B45"/>
    <w:rsid w:val="00397162"/>
    <w:rsid w:val="003A0764"/>
    <w:rsid w:val="003A1A2F"/>
    <w:rsid w:val="003A2B84"/>
    <w:rsid w:val="003A335E"/>
    <w:rsid w:val="003A3B89"/>
    <w:rsid w:val="003A3DD2"/>
    <w:rsid w:val="003A3ED9"/>
    <w:rsid w:val="003A4E9E"/>
    <w:rsid w:val="003B03B9"/>
    <w:rsid w:val="003B0CBC"/>
    <w:rsid w:val="003B1397"/>
    <w:rsid w:val="003B3573"/>
    <w:rsid w:val="003B3A90"/>
    <w:rsid w:val="003B4290"/>
    <w:rsid w:val="003B448C"/>
    <w:rsid w:val="003B4548"/>
    <w:rsid w:val="003B4B7F"/>
    <w:rsid w:val="003B5813"/>
    <w:rsid w:val="003B66E5"/>
    <w:rsid w:val="003C03EA"/>
    <w:rsid w:val="003C196B"/>
    <w:rsid w:val="003C1F18"/>
    <w:rsid w:val="003C4C03"/>
    <w:rsid w:val="003C5679"/>
    <w:rsid w:val="003C6E1D"/>
    <w:rsid w:val="003C73D6"/>
    <w:rsid w:val="003D058C"/>
    <w:rsid w:val="003D09D7"/>
    <w:rsid w:val="003D0EF2"/>
    <w:rsid w:val="003D6C8C"/>
    <w:rsid w:val="003D76B1"/>
    <w:rsid w:val="003D7A10"/>
    <w:rsid w:val="003D7FA4"/>
    <w:rsid w:val="003E0429"/>
    <w:rsid w:val="003E0581"/>
    <w:rsid w:val="003E0898"/>
    <w:rsid w:val="003E17A6"/>
    <w:rsid w:val="003E38FC"/>
    <w:rsid w:val="003E397E"/>
    <w:rsid w:val="003E4AA5"/>
    <w:rsid w:val="003E4D98"/>
    <w:rsid w:val="003E62CA"/>
    <w:rsid w:val="003F1CEC"/>
    <w:rsid w:val="003F4319"/>
    <w:rsid w:val="003F43BF"/>
    <w:rsid w:val="003F6BE4"/>
    <w:rsid w:val="0040023C"/>
    <w:rsid w:val="0040097F"/>
    <w:rsid w:val="00403CF8"/>
    <w:rsid w:val="00405412"/>
    <w:rsid w:val="004066B7"/>
    <w:rsid w:val="00407459"/>
    <w:rsid w:val="004101A9"/>
    <w:rsid w:val="0041028D"/>
    <w:rsid w:val="004104C5"/>
    <w:rsid w:val="004124AD"/>
    <w:rsid w:val="00413ADE"/>
    <w:rsid w:val="00413DBD"/>
    <w:rsid w:val="00414D01"/>
    <w:rsid w:val="0041691B"/>
    <w:rsid w:val="004170FE"/>
    <w:rsid w:val="00420955"/>
    <w:rsid w:val="004209E6"/>
    <w:rsid w:val="004230F8"/>
    <w:rsid w:val="0042324B"/>
    <w:rsid w:val="004234E8"/>
    <w:rsid w:val="004244EE"/>
    <w:rsid w:val="00424743"/>
    <w:rsid w:val="00425F94"/>
    <w:rsid w:val="00426805"/>
    <w:rsid w:val="00426AC6"/>
    <w:rsid w:val="00426B0B"/>
    <w:rsid w:val="00430150"/>
    <w:rsid w:val="004302F9"/>
    <w:rsid w:val="0043065D"/>
    <w:rsid w:val="0043229B"/>
    <w:rsid w:val="00435287"/>
    <w:rsid w:val="00437F42"/>
    <w:rsid w:val="00440A22"/>
    <w:rsid w:val="0044109D"/>
    <w:rsid w:val="00442C60"/>
    <w:rsid w:val="0044497A"/>
    <w:rsid w:val="00445FF7"/>
    <w:rsid w:val="00446D81"/>
    <w:rsid w:val="00447E7C"/>
    <w:rsid w:val="00451FD6"/>
    <w:rsid w:val="004528C1"/>
    <w:rsid w:val="00452C3C"/>
    <w:rsid w:val="00453770"/>
    <w:rsid w:val="0045433D"/>
    <w:rsid w:val="0045550E"/>
    <w:rsid w:val="0045597A"/>
    <w:rsid w:val="004562A2"/>
    <w:rsid w:val="00456456"/>
    <w:rsid w:val="00462367"/>
    <w:rsid w:val="00462BCC"/>
    <w:rsid w:val="00464369"/>
    <w:rsid w:val="0046461A"/>
    <w:rsid w:val="0046490C"/>
    <w:rsid w:val="00466C80"/>
    <w:rsid w:val="00470287"/>
    <w:rsid w:val="00470733"/>
    <w:rsid w:val="004732E4"/>
    <w:rsid w:val="00473633"/>
    <w:rsid w:val="00475A53"/>
    <w:rsid w:val="00475A83"/>
    <w:rsid w:val="0047653A"/>
    <w:rsid w:val="00477A59"/>
    <w:rsid w:val="00477C53"/>
    <w:rsid w:val="00483A21"/>
    <w:rsid w:val="00485380"/>
    <w:rsid w:val="00485495"/>
    <w:rsid w:val="00486905"/>
    <w:rsid w:val="00491877"/>
    <w:rsid w:val="00491C0D"/>
    <w:rsid w:val="004925F5"/>
    <w:rsid w:val="00493D87"/>
    <w:rsid w:val="00493E8C"/>
    <w:rsid w:val="004944C1"/>
    <w:rsid w:val="00494724"/>
    <w:rsid w:val="004950D4"/>
    <w:rsid w:val="00496F13"/>
    <w:rsid w:val="004A0506"/>
    <w:rsid w:val="004A12BF"/>
    <w:rsid w:val="004A2342"/>
    <w:rsid w:val="004A2F62"/>
    <w:rsid w:val="004A3A90"/>
    <w:rsid w:val="004A3FA3"/>
    <w:rsid w:val="004A75CB"/>
    <w:rsid w:val="004A78AA"/>
    <w:rsid w:val="004B023A"/>
    <w:rsid w:val="004B1DB8"/>
    <w:rsid w:val="004B2F01"/>
    <w:rsid w:val="004B317A"/>
    <w:rsid w:val="004B3C2F"/>
    <w:rsid w:val="004B417F"/>
    <w:rsid w:val="004B4182"/>
    <w:rsid w:val="004B4538"/>
    <w:rsid w:val="004B6248"/>
    <w:rsid w:val="004B6FB6"/>
    <w:rsid w:val="004B7884"/>
    <w:rsid w:val="004B7D46"/>
    <w:rsid w:val="004B7E5A"/>
    <w:rsid w:val="004B7E7D"/>
    <w:rsid w:val="004C1520"/>
    <w:rsid w:val="004C19AC"/>
    <w:rsid w:val="004C1C21"/>
    <w:rsid w:val="004C2338"/>
    <w:rsid w:val="004C3423"/>
    <w:rsid w:val="004C3887"/>
    <w:rsid w:val="004C4900"/>
    <w:rsid w:val="004C571D"/>
    <w:rsid w:val="004C5A8F"/>
    <w:rsid w:val="004C74DD"/>
    <w:rsid w:val="004D13AC"/>
    <w:rsid w:val="004D3028"/>
    <w:rsid w:val="004D35A2"/>
    <w:rsid w:val="004D3875"/>
    <w:rsid w:val="004D3BC6"/>
    <w:rsid w:val="004D492B"/>
    <w:rsid w:val="004D49FB"/>
    <w:rsid w:val="004D58CA"/>
    <w:rsid w:val="004D5FD1"/>
    <w:rsid w:val="004D66AC"/>
    <w:rsid w:val="004E3964"/>
    <w:rsid w:val="004F2AF3"/>
    <w:rsid w:val="004F2F3A"/>
    <w:rsid w:val="004F7B78"/>
    <w:rsid w:val="004F7C93"/>
    <w:rsid w:val="00501AE4"/>
    <w:rsid w:val="00506105"/>
    <w:rsid w:val="005063DD"/>
    <w:rsid w:val="00506BB1"/>
    <w:rsid w:val="00507460"/>
    <w:rsid w:val="00507B03"/>
    <w:rsid w:val="00510C61"/>
    <w:rsid w:val="005114D1"/>
    <w:rsid w:val="00512CA5"/>
    <w:rsid w:val="00512F56"/>
    <w:rsid w:val="00512FD7"/>
    <w:rsid w:val="00513162"/>
    <w:rsid w:val="00514C5F"/>
    <w:rsid w:val="00514DC9"/>
    <w:rsid w:val="00515493"/>
    <w:rsid w:val="00516E70"/>
    <w:rsid w:val="00520192"/>
    <w:rsid w:val="005204E6"/>
    <w:rsid w:val="005218CE"/>
    <w:rsid w:val="00522E2D"/>
    <w:rsid w:val="00524FB9"/>
    <w:rsid w:val="0052564F"/>
    <w:rsid w:val="00525809"/>
    <w:rsid w:val="005267F5"/>
    <w:rsid w:val="00530961"/>
    <w:rsid w:val="00530AA7"/>
    <w:rsid w:val="00530AD9"/>
    <w:rsid w:val="00534B44"/>
    <w:rsid w:val="00535130"/>
    <w:rsid w:val="00537302"/>
    <w:rsid w:val="0054095E"/>
    <w:rsid w:val="00542B26"/>
    <w:rsid w:val="0054593D"/>
    <w:rsid w:val="00553222"/>
    <w:rsid w:val="005538B6"/>
    <w:rsid w:val="00553E5A"/>
    <w:rsid w:val="00554B3C"/>
    <w:rsid w:val="00555509"/>
    <w:rsid w:val="0056112E"/>
    <w:rsid w:val="00561C5B"/>
    <w:rsid w:val="005620C7"/>
    <w:rsid w:val="00562BB3"/>
    <w:rsid w:val="00563072"/>
    <w:rsid w:val="00564F2D"/>
    <w:rsid w:val="00566A96"/>
    <w:rsid w:val="00566CDA"/>
    <w:rsid w:val="0056727E"/>
    <w:rsid w:val="00567BA6"/>
    <w:rsid w:val="00570033"/>
    <w:rsid w:val="00570147"/>
    <w:rsid w:val="00571777"/>
    <w:rsid w:val="00571CB3"/>
    <w:rsid w:val="0057214E"/>
    <w:rsid w:val="0057307E"/>
    <w:rsid w:val="00573A4C"/>
    <w:rsid w:val="00574B79"/>
    <w:rsid w:val="00574D12"/>
    <w:rsid w:val="00575C94"/>
    <w:rsid w:val="00576D79"/>
    <w:rsid w:val="005770E9"/>
    <w:rsid w:val="005800B4"/>
    <w:rsid w:val="0058070B"/>
    <w:rsid w:val="005812B1"/>
    <w:rsid w:val="0058296F"/>
    <w:rsid w:val="005832CA"/>
    <w:rsid w:val="00585DBD"/>
    <w:rsid w:val="00586999"/>
    <w:rsid w:val="00592734"/>
    <w:rsid w:val="005934EE"/>
    <w:rsid w:val="00594FED"/>
    <w:rsid w:val="00595492"/>
    <w:rsid w:val="00595E80"/>
    <w:rsid w:val="0059650E"/>
    <w:rsid w:val="00596670"/>
    <w:rsid w:val="00596953"/>
    <w:rsid w:val="005973C4"/>
    <w:rsid w:val="005A0143"/>
    <w:rsid w:val="005A03CB"/>
    <w:rsid w:val="005A0AAD"/>
    <w:rsid w:val="005A13EC"/>
    <w:rsid w:val="005A3B02"/>
    <w:rsid w:val="005A411B"/>
    <w:rsid w:val="005A4269"/>
    <w:rsid w:val="005A44B2"/>
    <w:rsid w:val="005A4EE7"/>
    <w:rsid w:val="005A56FA"/>
    <w:rsid w:val="005A6030"/>
    <w:rsid w:val="005A637D"/>
    <w:rsid w:val="005B02F2"/>
    <w:rsid w:val="005B147F"/>
    <w:rsid w:val="005B1A1B"/>
    <w:rsid w:val="005B1C4D"/>
    <w:rsid w:val="005B57AD"/>
    <w:rsid w:val="005B722E"/>
    <w:rsid w:val="005B7F38"/>
    <w:rsid w:val="005C02FE"/>
    <w:rsid w:val="005C0C30"/>
    <w:rsid w:val="005C0FDE"/>
    <w:rsid w:val="005C247D"/>
    <w:rsid w:val="005C2B9D"/>
    <w:rsid w:val="005C30E8"/>
    <w:rsid w:val="005C3208"/>
    <w:rsid w:val="005C4790"/>
    <w:rsid w:val="005C48AE"/>
    <w:rsid w:val="005C50AC"/>
    <w:rsid w:val="005C6406"/>
    <w:rsid w:val="005C6A22"/>
    <w:rsid w:val="005D070A"/>
    <w:rsid w:val="005D23E5"/>
    <w:rsid w:val="005D2A42"/>
    <w:rsid w:val="005D3AC5"/>
    <w:rsid w:val="005D3C41"/>
    <w:rsid w:val="005D447B"/>
    <w:rsid w:val="005D69D1"/>
    <w:rsid w:val="005E12CC"/>
    <w:rsid w:val="005E210D"/>
    <w:rsid w:val="005E2D29"/>
    <w:rsid w:val="005E5C0D"/>
    <w:rsid w:val="005E65C2"/>
    <w:rsid w:val="005E798F"/>
    <w:rsid w:val="005F1F74"/>
    <w:rsid w:val="005F2425"/>
    <w:rsid w:val="005F2B06"/>
    <w:rsid w:val="005F2EA9"/>
    <w:rsid w:val="005F5001"/>
    <w:rsid w:val="005F5EC7"/>
    <w:rsid w:val="005F7207"/>
    <w:rsid w:val="005F7E92"/>
    <w:rsid w:val="005F7FCF"/>
    <w:rsid w:val="00603CF1"/>
    <w:rsid w:val="00604F6F"/>
    <w:rsid w:val="006051BE"/>
    <w:rsid w:val="0060542B"/>
    <w:rsid w:val="00607691"/>
    <w:rsid w:val="00607CDE"/>
    <w:rsid w:val="00610229"/>
    <w:rsid w:val="00610592"/>
    <w:rsid w:val="0061062C"/>
    <w:rsid w:val="00613183"/>
    <w:rsid w:val="006133F0"/>
    <w:rsid w:val="00614173"/>
    <w:rsid w:val="00614DC4"/>
    <w:rsid w:val="0061587F"/>
    <w:rsid w:val="00615BEA"/>
    <w:rsid w:val="00616888"/>
    <w:rsid w:val="00616B9E"/>
    <w:rsid w:val="00616D71"/>
    <w:rsid w:val="006176BE"/>
    <w:rsid w:val="006212CB"/>
    <w:rsid w:val="00622DBB"/>
    <w:rsid w:val="00623549"/>
    <w:rsid w:val="006279F9"/>
    <w:rsid w:val="00627F85"/>
    <w:rsid w:val="00634569"/>
    <w:rsid w:val="006369EE"/>
    <w:rsid w:val="006376FC"/>
    <w:rsid w:val="006415BB"/>
    <w:rsid w:val="00642EBB"/>
    <w:rsid w:val="00643ACE"/>
    <w:rsid w:val="006451AD"/>
    <w:rsid w:val="00645EAC"/>
    <w:rsid w:val="0064700E"/>
    <w:rsid w:val="00650183"/>
    <w:rsid w:val="00650677"/>
    <w:rsid w:val="006513CA"/>
    <w:rsid w:val="00653329"/>
    <w:rsid w:val="00653EE1"/>
    <w:rsid w:val="00656725"/>
    <w:rsid w:val="00656CF3"/>
    <w:rsid w:val="00660EA4"/>
    <w:rsid w:val="00661E6B"/>
    <w:rsid w:val="00662D3D"/>
    <w:rsid w:val="00665026"/>
    <w:rsid w:val="006675F3"/>
    <w:rsid w:val="0066760D"/>
    <w:rsid w:val="00667F7F"/>
    <w:rsid w:val="0067243F"/>
    <w:rsid w:val="00672583"/>
    <w:rsid w:val="006728F8"/>
    <w:rsid w:val="00672904"/>
    <w:rsid w:val="006736A9"/>
    <w:rsid w:val="00673BC7"/>
    <w:rsid w:val="00674890"/>
    <w:rsid w:val="00674901"/>
    <w:rsid w:val="00674975"/>
    <w:rsid w:val="0067536B"/>
    <w:rsid w:val="00675A71"/>
    <w:rsid w:val="00675D39"/>
    <w:rsid w:val="00676DCB"/>
    <w:rsid w:val="00677F80"/>
    <w:rsid w:val="00680EE5"/>
    <w:rsid w:val="00681AE9"/>
    <w:rsid w:val="00682F31"/>
    <w:rsid w:val="006831FA"/>
    <w:rsid w:val="00683EDD"/>
    <w:rsid w:val="00684B83"/>
    <w:rsid w:val="0068560B"/>
    <w:rsid w:val="00685778"/>
    <w:rsid w:val="006864FC"/>
    <w:rsid w:val="00687165"/>
    <w:rsid w:val="006878CB"/>
    <w:rsid w:val="00690911"/>
    <w:rsid w:val="00691626"/>
    <w:rsid w:val="006924E8"/>
    <w:rsid w:val="00694F88"/>
    <w:rsid w:val="00695412"/>
    <w:rsid w:val="00695756"/>
    <w:rsid w:val="0069768F"/>
    <w:rsid w:val="006A1277"/>
    <w:rsid w:val="006A2602"/>
    <w:rsid w:val="006A2D41"/>
    <w:rsid w:val="006A2E61"/>
    <w:rsid w:val="006A3A92"/>
    <w:rsid w:val="006A52D7"/>
    <w:rsid w:val="006A67E1"/>
    <w:rsid w:val="006A7132"/>
    <w:rsid w:val="006B0CB8"/>
    <w:rsid w:val="006B339E"/>
    <w:rsid w:val="006B4592"/>
    <w:rsid w:val="006B5260"/>
    <w:rsid w:val="006B66C2"/>
    <w:rsid w:val="006B7B40"/>
    <w:rsid w:val="006C2712"/>
    <w:rsid w:val="006C282A"/>
    <w:rsid w:val="006C36FB"/>
    <w:rsid w:val="006C42F2"/>
    <w:rsid w:val="006C446B"/>
    <w:rsid w:val="006C62E8"/>
    <w:rsid w:val="006C6890"/>
    <w:rsid w:val="006C7D62"/>
    <w:rsid w:val="006D0297"/>
    <w:rsid w:val="006D0B23"/>
    <w:rsid w:val="006D1227"/>
    <w:rsid w:val="006D2ED6"/>
    <w:rsid w:val="006D500E"/>
    <w:rsid w:val="006D5685"/>
    <w:rsid w:val="006D7B9E"/>
    <w:rsid w:val="006D7CB9"/>
    <w:rsid w:val="006E1987"/>
    <w:rsid w:val="006E23B2"/>
    <w:rsid w:val="006E5207"/>
    <w:rsid w:val="006E79B9"/>
    <w:rsid w:val="006E7B9E"/>
    <w:rsid w:val="006F296B"/>
    <w:rsid w:val="006F5C70"/>
    <w:rsid w:val="006F6089"/>
    <w:rsid w:val="006F6A20"/>
    <w:rsid w:val="00702E3B"/>
    <w:rsid w:val="007047B2"/>
    <w:rsid w:val="00704DE7"/>
    <w:rsid w:val="00706868"/>
    <w:rsid w:val="007070FE"/>
    <w:rsid w:val="007078B8"/>
    <w:rsid w:val="00710C80"/>
    <w:rsid w:val="00710D7B"/>
    <w:rsid w:val="00710F7E"/>
    <w:rsid w:val="00714031"/>
    <w:rsid w:val="00714644"/>
    <w:rsid w:val="00715E32"/>
    <w:rsid w:val="007161B3"/>
    <w:rsid w:val="007162D1"/>
    <w:rsid w:val="00716463"/>
    <w:rsid w:val="00716536"/>
    <w:rsid w:val="00716E0A"/>
    <w:rsid w:val="0071706E"/>
    <w:rsid w:val="0072007D"/>
    <w:rsid w:val="00721622"/>
    <w:rsid w:val="00722A20"/>
    <w:rsid w:val="00723F0A"/>
    <w:rsid w:val="00724BD9"/>
    <w:rsid w:val="00724F33"/>
    <w:rsid w:val="00725ABE"/>
    <w:rsid w:val="00726279"/>
    <w:rsid w:val="00727292"/>
    <w:rsid w:val="0073021D"/>
    <w:rsid w:val="00731B30"/>
    <w:rsid w:val="00733C55"/>
    <w:rsid w:val="00733D42"/>
    <w:rsid w:val="0073424E"/>
    <w:rsid w:val="007347BA"/>
    <w:rsid w:val="00735746"/>
    <w:rsid w:val="00735A9B"/>
    <w:rsid w:val="00737D21"/>
    <w:rsid w:val="00740CD8"/>
    <w:rsid w:val="00741457"/>
    <w:rsid w:val="00742F6A"/>
    <w:rsid w:val="00743DCF"/>
    <w:rsid w:val="00743EB1"/>
    <w:rsid w:val="007446E8"/>
    <w:rsid w:val="00744AFD"/>
    <w:rsid w:val="00745A7C"/>
    <w:rsid w:val="00750A0E"/>
    <w:rsid w:val="00751553"/>
    <w:rsid w:val="0075165E"/>
    <w:rsid w:val="00753D17"/>
    <w:rsid w:val="00754E10"/>
    <w:rsid w:val="00757E45"/>
    <w:rsid w:val="00762A29"/>
    <w:rsid w:val="0076327D"/>
    <w:rsid w:val="00764481"/>
    <w:rsid w:val="007647C7"/>
    <w:rsid w:val="0076523A"/>
    <w:rsid w:val="00767745"/>
    <w:rsid w:val="007705AC"/>
    <w:rsid w:val="007707FC"/>
    <w:rsid w:val="00770BE3"/>
    <w:rsid w:val="0077177A"/>
    <w:rsid w:val="007728A2"/>
    <w:rsid w:val="007728A8"/>
    <w:rsid w:val="0077381C"/>
    <w:rsid w:val="00774154"/>
    <w:rsid w:val="007748D4"/>
    <w:rsid w:val="00775F30"/>
    <w:rsid w:val="0078024B"/>
    <w:rsid w:val="007808B8"/>
    <w:rsid w:val="007812EE"/>
    <w:rsid w:val="00783470"/>
    <w:rsid w:val="00784956"/>
    <w:rsid w:val="00785A76"/>
    <w:rsid w:val="00785A84"/>
    <w:rsid w:val="00785EA3"/>
    <w:rsid w:val="0078729F"/>
    <w:rsid w:val="00787852"/>
    <w:rsid w:val="00787BE3"/>
    <w:rsid w:val="007915BC"/>
    <w:rsid w:val="00794089"/>
    <w:rsid w:val="0079587E"/>
    <w:rsid w:val="007959C7"/>
    <w:rsid w:val="007967FA"/>
    <w:rsid w:val="00797E7A"/>
    <w:rsid w:val="007A0EA6"/>
    <w:rsid w:val="007A2D9E"/>
    <w:rsid w:val="007A72FA"/>
    <w:rsid w:val="007B0172"/>
    <w:rsid w:val="007B0381"/>
    <w:rsid w:val="007B0C8A"/>
    <w:rsid w:val="007B0F3D"/>
    <w:rsid w:val="007B148D"/>
    <w:rsid w:val="007B18C8"/>
    <w:rsid w:val="007B194B"/>
    <w:rsid w:val="007B28DE"/>
    <w:rsid w:val="007B3741"/>
    <w:rsid w:val="007B6ADB"/>
    <w:rsid w:val="007B7A5F"/>
    <w:rsid w:val="007C087D"/>
    <w:rsid w:val="007C0B38"/>
    <w:rsid w:val="007C13B9"/>
    <w:rsid w:val="007C2256"/>
    <w:rsid w:val="007C2AF4"/>
    <w:rsid w:val="007C36BE"/>
    <w:rsid w:val="007C5E2D"/>
    <w:rsid w:val="007D37B5"/>
    <w:rsid w:val="007D53ED"/>
    <w:rsid w:val="007D6001"/>
    <w:rsid w:val="007D64C9"/>
    <w:rsid w:val="007D6783"/>
    <w:rsid w:val="007D7F94"/>
    <w:rsid w:val="007E00A8"/>
    <w:rsid w:val="007E0575"/>
    <w:rsid w:val="007E13AD"/>
    <w:rsid w:val="007E1B76"/>
    <w:rsid w:val="007E219A"/>
    <w:rsid w:val="007E2FD3"/>
    <w:rsid w:val="007E37BF"/>
    <w:rsid w:val="007E4397"/>
    <w:rsid w:val="007E6593"/>
    <w:rsid w:val="007E65EF"/>
    <w:rsid w:val="007E76AB"/>
    <w:rsid w:val="007F0457"/>
    <w:rsid w:val="007F1101"/>
    <w:rsid w:val="007F2CB1"/>
    <w:rsid w:val="007F35D6"/>
    <w:rsid w:val="007F5AF5"/>
    <w:rsid w:val="008024E2"/>
    <w:rsid w:val="00802F88"/>
    <w:rsid w:val="00803B89"/>
    <w:rsid w:val="00803D20"/>
    <w:rsid w:val="00805EEB"/>
    <w:rsid w:val="00810207"/>
    <w:rsid w:val="008112A0"/>
    <w:rsid w:val="008122B5"/>
    <w:rsid w:val="00812EC8"/>
    <w:rsid w:val="00815DEF"/>
    <w:rsid w:val="0081696D"/>
    <w:rsid w:val="00816E01"/>
    <w:rsid w:val="008173D0"/>
    <w:rsid w:val="00817E1D"/>
    <w:rsid w:val="008215B8"/>
    <w:rsid w:val="0082265A"/>
    <w:rsid w:val="00823235"/>
    <w:rsid w:val="008249F1"/>
    <w:rsid w:val="00824AF2"/>
    <w:rsid w:val="0082650E"/>
    <w:rsid w:val="00826686"/>
    <w:rsid w:val="00827F48"/>
    <w:rsid w:val="00830D6B"/>
    <w:rsid w:val="008317BB"/>
    <w:rsid w:val="00834039"/>
    <w:rsid w:val="0083468B"/>
    <w:rsid w:val="00835563"/>
    <w:rsid w:val="00836511"/>
    <w:rsid w:val="00836B02"/>
    <w:rsid w:val="00836EC6"/>
    <w:rsid w:val="0083741E"/>
    <w:rsid w:val="00837461"/>
    <w:rsid w:val="00837985"/>
    <w:rsid w:val="00840E3D"/>
    <w:rsid w:val="00840EB8"/>
    <w:rsid w:val="00841D8C"/>
    <w:rsid w:val="00842220"/>
    <w:rsid w:val="00842336"/>
    <w:rsid w:val="008426D7"/>
    <w:rsid w:val="00842FAF"/>
    <w:rsid w:val="00843450"/>
    <w:rsid w:val="00844111"/>
    <w:rsid w:val="008441A6"/>
    <w:rsid w:val="00844F74"/>
    <w:rsid w:val="00845FE3"/>
    <w:rsid w:val="00846382"/>
    <w:rsid w:val="00850F57"/>
    <w:rsid w:val="00853173"/>
    <w:rsid w:val="008536C2"/>
    <w:rsid w:val="0085637F"/>
    <w:rsid w:val="00856DE0"/>
    <w:rsid w:val="00857FDA"/>
    <w:rsid w:val="008600C7"/>
    <w:rsid w:val="008601F6"/>
    <w:rsid w:val="008607E4"/>
    <w:rsid w:val="008617D0"/>
    <w:rsid w:val="008618F5"/>
    <w:rsid w:val="00861A60"/>
    <w:rsid w:val="00862357"/>
    <w:rsid w:val="00862D02"/>
    <w:rsid w:val="008637B9"/>
    <w:rsid w:val="00864194"/>
    <w:rsid w:val="00866B62"/>
    <w:rsid w:val="00867A0E"/>
    <w:rsid w:val="00867CCB"/>
    <w:rsid w:val="00867E72"/>
    <w:rsid w:val="00870399"/>
    <w:rsid w:val="008711EC"/>
    <w:rsid w:val="008718FE"/>
    <w:rsid w:val="00871A45"/>
    <w:rsid w:val="00872222"/>
    <w:rsid w:val="00872946"/>
    <w:rsid w:val="00873A5D"/>
    <w:rsid w:val="00875CEE"/>
    <w:rsid w:val="00876D4D"/>
    <w:rsid w:val="00882851"/>
    <w:rsid w:val="00883928"/>
    <w:rsid w:val="00883DD1"/>
    <w:rsid w:val="00883DDE"/>
    <w:rsid w:val="00891D73"/>
    <w:rsid w:val="00892A44"/>
    <w:rsid w:val="00893B8B"/>
    <w:rsid w:val="008972AA"/>
    <w:rsid w:val="008A0B61"/>
    <w:rsid w:val="008A2DE8"/>
    <w:rsid w:val="008A2E63"/>
    <w:rsid w:val="008A312D"/>
    <w:rsid w:val="008A3E09"/>
    <w:rsid w:val="008A3E57"/>
    <w:rsid w:val="008A597D"/>
    <w:rsid w:val="008A6059"/>
    <w:rsid w:val="008A77A7"/>
    <w:rsid w:val="008A7CE2"/>
    <w:rsid w:val="008B0497"/>
    <w:rsid w:val="008B3F34"/>
    <w:rsid w:val="008C0F2B"/>
    <w:rsid w:val="008C1A80"/>
    <w:rsid w:val="008C2B8E"/>
    <w:rsid w:val="008C41D0"/>
    <w:rsid w:val="008C55B0"/>
    <w:rsid w:val="008C56B9"/>
    <w:rsid w:val="008C79E3"/>
    <w:rsid w:val="008D05E0"/>
    <w:rsid w:val="008D2600"/>
    <w:rsid w:val="008D2E1E"/>
    <w:rsid w:val="008D3E65"/>
    <w:rsid w:val="008D728D"/>
    <w:rsid w:val="008D7B3A"/>
    <w:rsid w:val="008E0AC0"/>
    <w:rsid w:val="008E1153"/>
    <w:rsid w:val="008E1ED9"/>
    <w:rsid w:val="008E221A"/>
    <w:rsid w:val="008E366D"/>
    <w:rsid w:val="008E3FFE"/>
    <w:rsid w:val="008E60BE"/>
    <w:rsid w:val="008E6B74"/>
    <w:rsid w:val="008E7C24"/>
    <w:rsid w:val="008F0074"/>
    <w:rsid w:val="008F0FAF"/>
    <w:rsid w:val="008F171A"/>
    <w:rsid w:val="008F2C70"/>
    <w:rsid w:val="008F35BE"/>
    <w:rsid w:val="008F3A18"/>
    <w:rsid w:val="008F3D39"/>
    <w:rsid w:val="008F46CD"/>
    <w:rsid w:val="008F516F"/>
    <w:rsid w:val="008F6480"/>
    <w:rsid w:val="008F7740"/>
    <w:rsid w:val="00900CA2"/>
    <w:rsid w:val="009031B2"/>
    <w:rsid w:val="00903653"/>
    <w:rsid w:val="00906955"/>
    <w:rsid w:val="00907665"/>
    <w:rsid w:val="009079BA"/>
    <w:rsid w:val="009079F8"/>
    <w:rsid w:val="00910A52"/>
    <w:rsid w:val="00910A55"/>
    <w:rsid w:val="00911479"/>
    <w:rsid w:val="00912453"/>
    <w:rsid w:val="0091484D"/>
    <w:rsid w:val="00914AA9"/>
    <w:rsid w:val="00916EA0"/>
    <w:rsid w:val="00917250"/>
    <w:rsid w:val="00920A4B"/>
    <w:rsid w:val="00921D24"/>
    <w:rsid w:val="00925125"/>
    <w:rsid w:val="009258D1"/>
    <w:rsid w:val="00925E71"/>
    <w:rsid w:val="00926796"/>
    <w:rsid w:val="00926C66"/>
    <w:rsid w:val="00930FA5"/>
    <w:rsid w:val="00931295"/>
    <w:rsid w:val="00932076"/>
    <w:rsid w:val="00932CE9"/>
    <w:rsid w:val="0093329F"/>
    <w:rsid w:val="00933342"/>
    <w:rsid w:val="00937043"/>
    <w:rsid w:val="009401E9"/>
    <w:rsid w:val="00940EBC"/>
    <w:rsid w:val="00941C7B"/>
    <w:rsid w:val="00941C9E"/>
    <w:rsid w:val="00943025"/>
    <w:rsid w:val="009445D3"/>
    <w:rsid w:val="00944836"/>
    <w:rsid w:val="00944F6A"/>
    <w:rsid w:val="009476DA"/>
    <w:rsid w:val="0095496A"/>
    <w:rsid w:val="00955A8A"/>
    <w:rsid w:val="009604B1"/>
    <w:rsid w:val="00960989"/>
    <w:rsid w:val="0096400D"/>
    <w:rsid w:val="00965BE5"/>
    <w:rsid w:val="00965E66"/>
    <w:rsid w:val="00966600"/>
    <w:rsid w:val="009671D9"/>
    <w:rsid w:val="00971352"/>
    <w:rsid w:val="0097183D"/>
    <w:rsid w:val="0097215A"/>
    <w:rsid w:val="00975E5B"/>
    <w:rsid w:val="00977C8F"/>
    <w:rsid w:val="00977F94"/>
    <w:rsid w:val="009863E9"/>
    <w:rsid w:val="009867E8"/>
    <w:rsid w:val="009874BC"/>
    <w:rsid w:val="009919AC"/>
    <w:rsid w:val="00992E20"/>
    <w:rsid w:val="009936FC"/>
    <w:rsid w:val="00993925"/>
    <w:rsid w:val="00993977"/>
    <w:rsid w:val="00993A59"/>
    <w:rsid w:val="009A05D1"/>
    <w:rsid w:val="009A1928"/>
    <w:rsid w:val="009A1BAA"/>
    <w:rsid w:val="009A28AC"/>
    <w:rsid w:val="009A38AE"/>
    <w:rsid w:val="009A3A5B"/>
    <w:rsid w:val="009A3F2A"/>
    <w:rsid w:val="009A4ADC"/>
    <w:rsid w:val="009B0330"/>
    <w:rsid w:val="009B064A"/>
    <w:rsid w:val="009B06E3"/>
    <w:rsid w:val="009B073D"/>
    <w:rsid w:val="009B1D77"/>
    <w:rsid w:val="009B2AAC"/>
    <w:rsid w:val="009B2DAA"/>
    <w:rsid w:val="009B3521"/>
    <w:rsid w:val="009B37A0"/>
    <w:rsid w:val="009B541C"/>
    <w:rsid w:val="009B60B2"/>
    <w:rsid w:val="009C095D"/>
    <w:rsid w:val="009C25CD"/>
    <w:rsid w:val="009C347C"/>
    <w:rsid w:val="009C3603"/>
    <w:rsid w:val="009C4460"/>
    <w:rsid w:val="009C452E"/>
    <w:rsid w:val="009C4CEB"/>
    <w:rsid w:val="009C6532"/>
    <w:rsid w:val="009C7586"/>
    <w:rsid w:val="009D03DD"/>
    <w:rsid w:val="009D532A"/>
    <w:rsid w:val="009D67DC"/>
    <w:rsid w:val="009D7192"/>
    <w:rsid w:val="009E0E38"/>
    <w:rsid w:val="009E1A35"/>
    <w:rsid w:val="009E3514"/>
    <w:rsid w:val="009E3B34"/>
    <w:rsid w:val="009E3EA3"/>
    <w:rsid w:val="009E408E"/>
    <w:rsid w:val="009F09AA"/>
    <w:rsid w:val="009F13E6"/>
    <w:rsid w:val="009F2C16"/>
    <w:rsid w:val="009F2C1B"/>
    <w:rsid w:val="009F335C"/>
    <w:rsid w:val="00A00086"/>
    <w:rsid w:val="00A002B5"/>
    <w:rsid w:val="00A019A5"/>
    <w:rsid w:val="00A0260C"/>
    <w:rsid w:val="00A026B5"/>
    <w:rsid w:val="00A041B5"/>
    <w:rsid w:val="00A049A1"/>
    <w:rsid w:val="00A04F8C"/>
    <w:rsid w:val="00A05158"/>
    <w:rsid w:val="00A052F4"/>
    <w:rsid w:val="00A06A4B"/>
    <w:rsid w:val="00A10939"/>
    <w:rsid w:val="00A1192A"/>
    <w:rsid w:val="00A124A2"/>
    <w:rsid w:val="00A12DEC"/>
    <w:rsid w:val="00A13BF5"/>
    <w:rsid w:val="00A14837"/>
    <w:rsid w:val="00A155BF"/>
    <w:rsid w:val="00A16253"/>
    <w:rsid w:val="00A205A3"/>
    <w:rsid w:val="00A208A5"/>
    <w:rsid w:val="00A225E3"/>
    <w:rsid w:val="00A23A26"/>
    <w:rsid w:val="00A24419"/>
    <w:rsid w:val="00A24A8F"/>
    <w:rsid w:val="00A25205"/>
    <w:rsid w:val="00A25708"/>
    <w:rsid w:val="00A25BF0"/>
    <w:rsid w:val="00A267CD"/>
    <w:rsid w:val="00A273BD"/>
    <w:rsid w:val="00A27712"/>
    <w:rsid w:val="00A3026E"/>
    <w:rsid w:val="00A33C82"/>
    <w:rsid w:val="00A35015"/>
    <w:rsid w:val="00A36D3B"/>
    <w:rsid w:val="00A3720E"/>
    <w:rsid w:val="00A40DB8"/>
    <w:rsid w:val="00A41757"/>
    <w:rsid w:val="00A436D6"/>
    <w:rsid w:val="00A445FA"/>
    <w:rsid w:val="00A44CF9"/>
    <w:rsid w:val="00A4576A"/>
    <w:rsid w:val="00A45AD0"/>
    <w:rsid w:val="00A45EE9"/>
    <w:rsid w:val="00A47F09"/>
    <w:rsid w:val="00A523BB"/>
    <w:rsid w:val="00A53C14"/>
    <w:rsid w:val="00A5487E"/>
    <w:rsid w:val="00A60FF7"/>
    <w:rsid w:val="00A61410"/>
    <w:rsid w:val="00A6198A"/>
    <w:rsid w:val="00A61E1D"/>
    <w:rsid w:val="00A6385E"/>
    <w:rsid w:val="00A65108"/>
    <w:rsid w:val="00A67251"/>
    <w:rsid w:val="00A7067F"/>
    <w:rsid w:val="00A707A7"/>
    <w:rsid w:val="00A70F92"/>
    <w:rsid w:val="00A7155F"/>
    <w:rsid w:val="00A718FD"/>
    <w:rsid w:val="00A72341"/>
    <w:rsid w:val="00A72532"/>
    <w:rsid w:val="00A776ED"/>
    <w:rsid w:val="00A80E50"/>
    <w:rsid w:val="00A8137F"/>
    <w:rsid w:val="00A83470"/>
    <w:rsid w:val="00A83663"/>
    <w:rsid w:val="00A83B0F"/>
    <w:rsid w:val="00A84216"/>
    <w:rsid w:val="00A86371"/>
    <w:rsid w:val="00A86D1B"/>
    <w:rsid w:val="00A86EBD"/>
    <w:rsid w:val="00A872CE"/>
    <w:rsid w:val="00A875A8"/>
    <w:rsid w:val="00A90BFA"/>
    <w:rsid w:val="00A91513"/>
    <w:rsid w:val="00A91934"/>
    <w:rsid w:val="00A9276D"/>
    <w:rsid w:val="00A92BF3"/>
    <w:rsid w:val="00A92DF1"/>
    <w:rsid w:val="00A93D8E"/>
    <w:rsid w:val="00A94003"/>
    <w:rsid w:val="00A943C8"/>
    <w:rsid w:val="00A94548"/>
    <w:rsid w:val="00A950A4"/>
    <w:rsid w:val="00A9520D"/>
    <w:rsid w:val="00A9549F"/>
    <w:rsid w:val="00A963CA"/>
    <w:rsid w:val="00A96EDD"/>
    <w:rsid w:val="00A9747D"/>
    <w:rsid w:val="00A97A43"/>
    <w:rsid w:val="00AA00A6"/>
    <w:rsid w:val="00AA1CAE"/>
    <w:rsid w:val="00AA4957"/>
    <w:rsid w:val="00AA5D4F"/>
    <w:rsid w:val="00AA692A"/>
    <w:rsid w:val="00AA6BA8"/>
    <w:rsid w:val="00AA7F5A"/>
    <w:rsid w:val="00AB0157"/>
    <w:rsid w:val="00AB0FC5"/>
    <w:rsid w:val="00AB1E56"/>
    <w:rsid w:val="00AB2340"/>
    <w:rsid w:val="00AB5FE4"/>
    <w:rsid w:val="00AB659D"/>
    <w:rsid w:val="00AB7407"/>
    <w:rsid w:val="00AC0341"/>
    <w:rsid w:val="00AC229F"/>
    <w:rsid w:val="00AC2914"/>
    <w:rsid w:val="00AC45EA"/>
    <w:rsid w:val="00AC61AC"/>
    <w:rsid w:val="00AC6A84"/>
    <w:rsid w:val="00AC6D66"/>
    <w:rsid w:val="00AC7560"/>
    <w:rsid w:val="00AD25CA"/>
    <w:rsid w:val="00AD35B9"/>
    <w:rsid w:val="00AD6211"/>
    <w:rsid w:val="00AD65EB"/>
    <w:rsid w:val="00AD7671"/>
    <w:rsid w:val="00AD7E3B"/>
    <w:rsid w:val="00AE1547"/>
    <w:rsid w:val="00AE2379"/>
    <w:rsid w:val="00AE2411"/>
    <w:rsid w:val="00AE3855"/>
    <w:rsid w:val="00AE53E8"/>
    <w:rsid w:val="00AE6FE4"/>
    <w:rsid w:val="00AE7F9C"/>
    <w:rsid w:val="00AF2059"/>
    <w:rsid w:val="00AF2405"/>
    <w:rsid w:val="00AF2695"/>
    <w:rsid w:val="00AF3506"/>
    <w:rsid w:val="00AF3D84"/>
    <w:rsid w:val="00AF3DDD"/>
    <w:rsid w:val="00AF4161"/>
    <w:rsid w:val="00AF580B"/>
    <w:rsid w:val="00AF5AB8"/>
    <w:rsid w:val="00AF7B0B"/>
    <w:rsid w:val="00B007C8"/>
    <w:rsid w:val="00B02371"/>
    <w:rsid w:val="00B04E7A"/>
    <w:rsid w:val="00B13806"/>
    <w:rsid w:val="00B14410"/>
    <w:rsid w:val="00B14C4D"/>
    <w:rsid w:val="00B15E61"/>
    <w:rsid w:val="00B17021"/>
    <w:rsid w:val="00B21024"/>
    <w:rsid w:val="00B21648"/>
    <w:rsid w:val="00B2381E"/>
    <w:rsid w:val="00B243AE"/>
    <w:rsid w:val="00B24F35"/>
    <w:rsid w:val="00B27710"/>
    <w:rsid w:val="00B27F1F"/>
    <w:rsid w:val="00B302F4"/>
    <w:rsid w:val="00B30F9E"/>
    <w:rsid w:val="00B32C88"/>
    <w:rsid w:val="00B32CA6"/>
    <w:rsid w:val="00B33888"/>
    <w:rsid w:val="00B34747"/>
    <w:rsid w:val="00B403E7"/>
    <w:rsid w:val="00B40CB7"/>
    <w:rsid w:val="00B4153F"/>
    <w:rsid w:val="00B41847"/>
    <w:rsid w:val="00B42E49"/>
    <w:rsid w:val="00B43E54"/>
    <w:rsid w:val="00B4646B"/>
    <w:rsid w:val="00B47521"/>
    <w:rsid w:val="00B50903"/>
    <w:rsid w:val="00B55A09"/>
    <w:rsid w:val="00B56790"/>
    <w:rsid w:val="00B61D81"/>
    <w:rsid w:val="00B61FDF"/>
    <w:rsid w:val="00B62FFE"/>
    <w:rsid w:val="00B65013"/>
    <w:rsid w:val="00B65E31"/>
    <w:rsid w:val="00B66166"/>
    <w:rsid w:val="00B70DFC"/>
    <w:rsid w:val="00B7123A"/>
    <w:rsid w:val="00B72E1A"/>
    <w:rsid w:val="00B73A13"/>
    <w:rsid w:val="00B740DF"/>
    <w:rsid w:val="00B7435C"/>
    <w:rsid w:val="00B755F4"/>
    <w:rsid w:val="00B76F38"/>
    <w:rsid w:val="00B77EEC"/>
    <w:rsid w:val="00B8085D"/>
    <w:rsid w:val="00B8117E"/>
    <w:rsid w:val="00B81AF3"/>
    <w:rsid w:val="00B81EFF"/>
    <w:rsid w:val="00B82C5F"/>
    <w:rsid w:val="00B836BB"/>
    <w:rsid w:val="00B84122"/>
    <w:rsid w:val="00B84F13"/>
    <w:rsid w:val="00B862B0"/>
    <w:rsid w:val="00B87777"/>
    <w:rsid w:val="00B91401"/>
    <w:rsid w:val="00B93200"/>
    <w:rsid w:val="00B939DD"/>
    <w:rsid w:val="00B948D0"/>
    <w:rsid w:val="00B94BDC"/>
    <w:rsid w:val="00B96058"/>
    <w:rsid w:val="00B96D2D"/>
    <w:rsid w:val="00BA0AC3"/>
    <w:rsid w:val="00BA2B7C"/>
    <w:rsid w:val="00BA522B"/>
    <w:rsid w:val="00BA5C4A"/>
    <w:rsid w:val="00BA5D19"/>
    <w:rsid w:val="00BA61EA"/>
    <w:rsid w:val="00BA6CB8"/>
    <w:rsid w:val="00BB0E43"/>
    <w:rsid w:val="00BB142A"/>
    <w:rsid w:val="00BB211F"/>
    <w:rsid w:val="00BB258D"/>
    <w:rsid w:val="00BB34B9"/>
    <w:rsid w:val="00BB35C2"/>
    <w:rsid w:val="00BB553B"/>
    <w:rsid w:val="00BC1D5F"/>
    <w:rsid w:val="00BC28D7"/>
    <w:rsid w:val="00BC376C"/>
    <w:rsid w:val="00BC3D91"/>
    <w:rsid w:val="00BC6321"/>
    <w:rsid w:val="00BC7817"/>
    <w:rsid w:val="00BD0B5F"/>
    <w:rsid w:val="00BD0EC8"/>
    <w:rsid w:val="00BD1025"/>
    <w:rsid w:val="00BD110A"/>
    <w:rsid w:val="00BD1B10"/>
    <w:rsid w:val="00BD345E"/>
    <w:rsid w:val="00BD3819"/>
    <w:rsid w:val="00BD458C"/>
    <w:rsid w:val="00BD484C"/>
    <w:rsid w:val="00BD642D"/>
    <w:rsid w:val="00BD6988"/>
    <w:rsid w:val="00BD74D7"/>
    <w:rsid w:val="00BE1A77"/>
    <w:rsid w:val="00BE2A0C"/>
    <w:rsid w:val="00BE3A1B"/>
    <w:rsid w:val="00BE4742"/>
    <w:rsid w:val="00BE5781"/>
    <w:rsid w:val="00BE7383"/>
    <w:rsid w:val="00BE7421"/>
    <w:rsid w:val="00BE754D"/>
    <w:rsid w:val="00BF063E"/>
    <w:rsid w:val="00BF0704"/>
    <w:rsid w:val="00BF1782"/>
    <w:rsid w:val="00BF1DB9"/>
    <w:rsid w:val="00BF5CA7"/>
    <w:rsid w:val="00BF6D10"/>
    <w:rsid w:val="00BF6E79"/>
    <w:rsid w:val="00BF70F5"/>
    <w:rsid w:val="00C00C3B"/>
    <w:rsid w:val="00C01060"/>
    <w:rsid w:val="00C03F6C"/>
    <w:rsid w:val="00C10B12"/>
    <w:rsid w:val="00C12108"/>
    <w:rsid w:val="00C12164"/>
    <w:rsid w:val="00C121D9"/>
    <w:rsid w:val="00C12B02"/>
    <w:rsid w:val="00C12E3B"/>
    <w:rsid w:val="00C13453"/>
    <w:rsid w:val="00C15FEE"/>
    <w:rsid w:val="00C169C6"/>
    <w:rsid w:val="00C177F6"/>
    <w:rsid w:val="00C17959"/>
    <w:rsid w:val="00C214C4"/>
    <w:rsid w:val="00C220F9"/>
    <w:rsid w:val="00C22916"/>
    <w:rsid w:val="00C2455D"/>
    <w:rsid w:val="00C2541C"/>
    <w:rsid w:val="00C25E24"/>
    <w:rsid w:val="00C26862"/>
    <w:rsid w:val="00C270FB"/>
    <w:rsid w:val="00C303C5"/>
    <w:rsid w:val="00C30458"/>
    <w:rsid w:val="00C30EA6"/>
    <w:rsid w:val="00C31DA6"/>
    <w:rsid w:val="00C32ED6"/>
    <w:rsid w:val="00C33260"/>
    <w:rsid w:val="00C33456"/>
    <w:rsid w:val="00C40B89"/>
    <w:rsid w:val="00C4598F"/>
    <w:rsid w:val="00C45E32"/>
    <w:rsid w:val="00C464A0"/>
    <w:rsid w:val="00C50360"/>
    <w:rsid w:val="00C5122B"/>
    <w:rsid w:val="00C51777"/>
    <w:rsid w:val="00C51929"/>
    <w:rsid w:val="00C52E8F"/>
    <w:rsid w:val="00C53198"/>
    <w:rsid w:val="00C54E12"/>
    <w:rsid w:val="00C55468"/>
    <w:rsid w:val="00C55887"/>
    <w:rsid w:val="00C559FC"/>
    <w:rsid w:val="00C57E20"/>
    <w:rsid w:val="00C60B3F"/>
    <w:rsid w:val="00C622C3"/>
    <w:rsid w:val="00C625C6"/>
    <w:rsid w:val="00C63BD5"/>
    <w:rsid w:val="00C664D7"/>
    <w:rsid w:val="00C67738"/>
    <w:rsid w:val="00C67EED"/>
    <w:rsid w:val="00C72FC2"/>
    <w:rsid w:val="00C73012"/>
    <w:rsid w:val="00C739AB"/>
    <w:rsid w:val="00C74906"/>
    <w:rsid w:val="00C74FAF"/>
    <w:rsid w:val="00C75C54"/>
    <w:rsid w:val="00C81B40"/>
    <w:rsid w:val="00C81FEA"/>
    <w:rsid w:val="00C82B77"/>
    <w:rsid w:val="00C837D1"/>
    <w:rsid w:val="00C83969"/>
    <w:rsid w:val="00C86C95"/>
    <w:rsid w:val="00C87AE9"/>
    <w:rsid w:val="00C907F6"/>
    <w:rsid w:val="00C90927"/>
    <w:rsid w:val="00C9230A"/>
    <w:rsid w:val="00C943B4"/>
    <w:rsid w:val="00C97700"/>
    <w:rsid w:val="00C97896"/>
    <w:rsid w:val="00CA053A"/>
    <w:rsid w:val="00CA05EB"/>
    <w:rsid w:val="00CA2971"/>
    <w:rsid w:val="00CA3515"/>
    <w:rsid w:val="00CA3A05"/>
    <w:rsid w:val="00CA3BE1"/>
    <w:rsid w:val="00CA52B1"/>
    <w:rsid w:val="00CA6D68"/>
    <w:rsid w:val="00CB14E9"/>
    <w:rsid w:val="00CB1960"/>
    <w:rsid w:val="00CB458F"/>
    <w:rsid w:val="00CB602B"/>
    <w:rsid w:val="00CB6363"/>
    <w:rsid w:val="00CB6D90"/>
    <w:rsid w:val="00CB72C3"/>
    <w:rsid w:val="00CC41EB"/>
    <w:rsid w:val="00CC45E4"/>
    <w:rsid w:val="00CC657A"/>
    <w:rsid w:val="00CC7636"/>
    <w:rsid w:val="00CD019F"/>
    <w:rsid w:val="00CD03F4"/>
    <w:rsid w:val="00CD23CC"/>
    <w:rsid w:val="00CD27C5"/>
    <w:rsid w:val="00CD4603"/>
    <w:rsid w:val="00CD47DD"/>
    <w:rsid w:val="00CD47DF"/>
    <w:rsid w:val="00CD6B02"/>
    <w:rsid w:val="00CD6EA5"/>
    <w:rsid w:val="00CE1507"/>
    <w:rsid w:val="00CE1C15"/>
    <w:rsid w:val="00CE22CD"/>
    <w:rsid w:val="00CE4169"/>
    <w:rsid w:val="00CE53A5"/>
    <w:rsid w:val="00CE57B4"/>
    <w:rsid w:val="00CE7894"/>
    <w:rsid w:val="00CF00B6"/>
    <w:rsid w:val="00CF06A1"/>
    <w:rsid w:val="00CF1467"/>
    <w:rsid w:val="00CF1F65"/>
    <w:rsid w:val="00CF2DA3"/>
    <w:rsid w:val="00CF48D6"/>
    <w:rsid w:val="00CF57D6"/>
    <w:rsid w:val="00CF599C"/>
    <w:rsid w:val="00CF62E6"/>
    <w:rsid w:val="00CF6BC0"/>
    <w:rsid w:val="00CF6C1B"/>
    <w:rsid w:val="00CF716E"/>
    <w:rsid w:val="00D019D5"/>
    <w:rsid w:val="00D01D3B"/>
    <w:rsid w:val="00D01EE9"/>
    <w:rsid w:val="00D021DA"/>
    <w:rsid w:val="00D040FE"/>
    <w:rsid w:val="00D0632C"/>
    <w:rsid w:val="00D07572"/>
    <w:rsid w:val="00D113A2"/>
    <w:rsid w:val="00D1173D"/>
    <w:rsid w:val="00D122E2"/>
    <w:rsid w:val="00D12353"/>
    <w:rsid w:val="00D13429"/>
    <w:rsid w:val="00D14B3A"/>
    <w:rsid w:val="00D15729"/>
    <w:rsid w:val="00D168FD"/>
    <w:rsid w:val="00D16F64"/>
    <w:rsid w:val="00D2472C"/>
    <w:rsid w:val="00D24EB3"/>
    <w:rsid w:val="00D25600"/>
    <w:rsid w:val="00D264E2"/>
    <w:rsid w:val="00D279BA"/>
    <w:rsid w:val="00D27AC4"/>
    <w:rsid w:val="00D30257"/>
    <w:rsid w:val="00D3330F"/>
    <w:rsid w:val="00D372A9"/>
    <w:rsid w:val="00D37351"/>
    <w:rsid w:val="00D3782F"/>
    <w:rsid w:val="00D404B5"/>
    <w:rsid w:val="00D4277E"/>
    <w:rsid w:val="00D43038"/>
    <w:rsid w:val="00D447CB"/>
    <w:rsid w:val="00D4552D"/>
    <w:rsid w:val="00D45736"/>
    <w:rsid w:val="00D47D16"/>
    <w:rsid w:val="00D505F4"/>
    <w:rsid w:val="00D517FE"/>
    <w:rsid w:val="00D51CE1"/>
    <w:rsid w:val="00D5234D"/>
    <w:rsid w:val="00D52A3C"/>
    <w:rsid w:val="00D54214"/>
    <w:rsid w:val="00D542D2"/>
    <w:rsid w:val="00D5602A"/>
    <w:rsid w:val="00D5620B"/>
    <w:rsid w:val="00D562F2"/>
    <w:rsid w:val="00D571C3"/>
    <w:rsid w:val="00D57750"/>
    <w:rsid w:val="00D61B93"/>
    <w:rsid w:val="00D62199"/>
    <w:rsid w:val="00D6399C"/>
    <w:rsid w:val="00D67316"/>
    <w:rsid w:val="00D67E4A"/>
    <w:rsid w:val="00D70784"/>
    <w:rsid w:val="00D712BA"/>
    <w:rsid w:val="00D741DF"/>
    <w:rsid w:val="00D74FF6"/>
    <w:rsid w:val="00D755F2"/>
    <w:rsid w:val="00D763FD"/>
    <w:rsid w:val="00D76B08"/>
    <w:rsid w:val="00D77F97"/>
    <w:rsid w:val="00D83514"/>
    <w:rsid w:val="00D83A5A"/>
    <w:rsid w:val="00D85B2B"/>
    <w:rsid w:val="00D85F0A"/>
    <w:rsid w:val="00D90AD1"/>
    <w:rsid w:val="00D9139E"/>
    <w:rsid w:val="00D91F90"/>
    <w:rsid w:val="00D931E5"/>
    <w:rsid w:val="00D941F7"/>
    <w:rsid w:val="00DA0E40"/>
    <w:rsid w:val="00DA3C39"/>
    <w:rsid w:val="00DA3F5A"/>
    <w:rsid w:val="00DA4DDF"/>
    <w:rsid w:val="00DA67D0"/>
    <w:rsid w:val="00DB0804"/>
    <w:rsid w:val="00DB18E1"/>
    <w:rsid w:val="00DB2FC4"/>
    <w:rsid w:val="00DB35B3"/>
    <w:rsid w:val="00DB3E62"/>
    <w:rsid w:val="00DC08FC"/>
    <w:rsid w:val="00DC15E9"/>
    <w:rsid w:val="00DC1811"/>
    <w:rsid w:val="00DC366D"/>
    <w:rsid w:val="00DC382A"/>
    <w:rsid w:val="00DC7AE2"/>
    <w:rsid w:val="00DD1602"/>
    <w:rsid w:val="00DD1F49"/>
    <w:rsid w:val="00DD722E"/>
    <w:rsid w:val="00DE1923"/>
    <w:rsid w:val="00DE2842"/>
    <w:rsid w:val="00DE2B33"/>
    <w:rsid w:val="00DE4C04"/>
    <w:rsid w:val="00DE5556"/>
    <w:rsid w:val="00DE638B"/>
    <w:rsid w:val="00DE6F42"/>
    <w:rsid w:val="00DE72EE"/>
    <w:rsid w:val="00DF0E88"/>
    <w:rsid w:val="00DF1B41"/>
    <w:rsid w:val="00DF2D79"/>
    <w:rsid w:val="00DF37E5"/>
    <w:rsid w:val="00E030E2"/>
    <w:rsid w:val="00E0331B"/>
    <w:rsid w:val="00E034FE"/>
    <w:rsid w:val="00E03A92"/>
    <w:rsid w:val="00E041E5"/>
    <w:rsid w:val="00E04706"/>
    <w:rsid w:val="00E04888"/>
    <w:rsid w:val="00E0763B"/>
    <w:rsid w:val="00E10302"/>
    <w:rsid w:val="00E113CC"/>
    <w:rsid w:val="00E1425B"/>
    <w:rsid w:val="00E17EC5"/>
    <w:rsid w:val="00E20C6B"/>
    <w:rsid w:val="00E26145"/>
    <w:rsid w:val="00E26AA3"/>
    <w:rsid w:val="00E26BFD"/>
    <w:rsid w:val="00E27E90"/>
    <w:rsid w:val="00E336A9"/>
    <w:rsid w:val="00E33D02"/>
    <w:rsid w:val="00E34471"/>
    <w:rsid w:val="00E34983"/>
    <w:rsid w:val="00E34F2C"/>
    <w:rsid w:val="00E35D79"/>
    <w:rsid w:val="00E36872"/>
    <w:rsid w:val="00E437CE"/>
    <w:rsid w:val="00E4555A"/>
    <w:rsid w:val="00E45EDA"/>
    <w:rsid w:val="00E462B9"/>
    <w:rsid w:val="00E4641E"/>
    <w:rsid w:val="00E47084"/>
    <w:rsid w:val="00E50CDE"/>
    <w:rsid w:val="00E519AE"/>
    <w:rsid w:val="00E53DE6"/>
    <w:rsid w:val="00E54163"/>
    <w:rsid w:val="00E56149"/>
    <w:rsid w:val="00E56698"/>
    <w:rsid w:val="00E570F4"/>
    <w:rsid w:val="00E576C4"/>
    <w:rsid w:val="00E57AF7"/>
    <w:rsid w:val="00E60BC5"/>
    <w:rsid w:val="00E6241B"/>
    <w:rsid w:val="00E64FCC"/>
    <w:rsid w:val="00E673DD"/>
    <w:rsid w:val="00E703B6"/>
    <w:rsid w:val="00E706FF"/>
    <w:rsid w:val="00E70AD2"/>
    <w:rsid w:val="00E72200"/>
    <w:rsid w:val="00E72B1B"/>
    <w:rsid w:val="00E7479E"/>
    <w:rsid w:val="00E74CEB"/>
    <w:rsid w:val="00E75C09"/>
    <w:rsid w:val="00E75D47"/>
    <w:rsid w:val="00E766F5"/>
    <w:rsid w:val="00E76AD0"/>
    <w:rsid w:val="00E81126"/>
    <w:rsid w:val="00E82948"/>
    <w:rsid w:val="00E82E97"/>
    <w:rsid w:val="00E83DA6"/>
    <w:rsid w:val="00E87693"/>
    <w:rsid w:val="00E87A6C"/>
    <w:rsid w:val="00E90218"/>
    <w:rsid w:val="00E906A4"/>
    <w:rsid w:val="00E90AE9"/>
    <w:rsid w:val="00E91178"/>
    <w:rsid w:val="00E913BB"/>
    <w:rsid w:val="00E92098"/>
    <w:rsid w:val="00E94523"/>
    <w:rsid w:val="00E95F2E"/>
    <w:rsid w:val="00EA07F9"/>
    <w:rsid w:val="00EA1508"/>
    <w:rsid w:val="00EA1541"/>
    <w:rsid w:val="00EA32E4"/>
    <w:rsid w:val="00EA63A6"/>
    <w:rsid w:val="00EA72EA"/>
    <w:rsid w:val="00EA76CD"/>
    <w:rsid w:val="00EA79B9"/>
    <w:rsid w:val="00EA7E36"/>
    <w:rsid w:val="00EB0898"/>
    <w:rsid w:val="00EB306E"/>
    <w:rsid w:val="00EB3EC6"/>
    <w:rsid w:val="00EB4594"/>
    <w:rsid w:val="00EB622E"/>
    <w:rsid w:val="00EB627B"/>
    <w:rsid w:val="00EB6D94"/>
    <w:rsid w:val="00EB74C0"/>
    <w:rsid w:val="00EB7785"/>
    <w:rsid w:val="00EC4183"/>
    <w:rsid w:val="00EC496F"/>
    <w:rsid w:val="00EC6468"/>
    <w:rsid w:val="00EC6708"/>
    <w:rsid w:val="00EC6C4D"/>
    <w:rsid w:val="00ED0369"/>
    <w:rsid w:val="00ED207C"/>
    <w:rsid w:val="00ED325A"/>
    <w:rsid w:val="00ED3F41"/>
    <w:rsid w:val="00ED5152"/>
    <w:rsid w:val="00ED5615"/>
    <w:rsid w:val="00ED59EE"/>
    <w:rsid w:val="00ED692E"/>
    <w:rsid w:val="00ED69AF"/>
    <w:rsid w:val="00ED7A1C"/>
    <w:rsid w:val="00EE0A2F"/>
    <w:rsid w:val="00EE1847"/>
    <w:rsid w:val="00EE240E"/>
    <w:rsid w:val="00EE472F"/>
    <w:rsid w:val="00EE4E0A"/>
    <w:rsid w:val="00EE5170"/>
    <w:rsid w:val="00EE52F9"/>
    <w:rsid w:val="00EE572D"/>
    <w:rsid w:val="00EE60CB"/>
    <w:rsid w:val="00EE688E"/>
    <w:rsid w:val="00EE6A6D"/>
    <w:rsid w:val="00EE6F69"/>
    <w:rsid w:val="00EF03E2"/>
    <w:rsid w:val="00EF078E"/>
    <w:rsid w:val="00EF2930"/>
    <w:rsid w:val="00EF2ACB"/>
    <w:rsid w:val="00EF5DD6"/>
    <w:rsid w:val="00EF771F"/>
    <w:rsid w:val="00EF7F8B"/>
    <w:rsid w:val="00F00424"/>
    <w:rsid w:val="00F0287A"/>
    <w:rsid w:val="00F03270"/>
    <w:rsid w:val="00F03814"/>
    <w:rsid w:val="00F05681"/>
    <w:rsid w:val="00F076CD"/>
    <w:rsid w:val="00F07A09"/>
    <w:rsid w:val="00F11C4E"/>
    <w:rsid w:val="00F12EFE"/>
    <w:rsid w:val="00F1390C"/>
    <w:rsid w:val="00F142AB"/>
    <w:rsid w:val="00F14D98"/>
    <w:rsid w:val="00F159DB"/>
    <w:rsid w:val="00F1650B"/>
    <w:rsid w:val="00F20C5E"/>
    <w:rsid w:val="00F23B1F"/>
    <w:rsid w:val="00F2564D"/>
    <w:rsid w:val="00F263D4"/>
    <w:rsid w:val="00F26D64"/>
    <w:rsid w:val="00F300EF"/>
    <w:rsid w:val="00F321BA"/>
    <w:rsid w:val="00F3357D"/>
    <w:rsid w:val="00F33BDB"/>
    <w:rsid w:val="00F34C40"/>
    <w:rsid w:val="00F34E94"/>
    <w:rsid w:val="00F35E2F"/>
    <w:rsid w:val="00F36A1D"/>
    <w:rsid w:val="00F36FA3"/>
    <w:rsid w:val="00F405EB"/>
    <w:rsid w:val="00F40E60"/>
    <w:rsid w:val="00F43C32"/>
    <w:rsid w:val="00F44278"/>
    <w:rsid w:val="00F44F0C"/>
    <w:rsid w:val="00F51B65"/>
    <w:rsid w:val="00F52AAB"/>
    <w:rsid w:val="00F52EB6"/>
    <w:rsid w:val="00F54435"/>
    <w:rsid w:val="00F5513E"/>
    <w:rsid w:val="00F55260"/>
    <w:rsid w:val="00F56DD8"/>
    <w:rsid w:val="00F56DF5"/>
    <w:rsid w:val="00F62149"/>
    <w:rsid w:val="00F6316B"/>
    <w:rsid w:val="00F6452D"/>
    <w:rsid w:val="00F65AE0"/>
    <w:rsid w:val="00F6717D"/>
    <w:rsid w:val="00F67D36"/>
    <w:rsid w:val="00F74E38"/>
    <w:rsid w:val="00F76D6F"/>
    <w:rsid w:val="00F77266"/>
    <w:rsid w:val="00F778B0"/>
    <w:rsid w:val="00F77B05"/>
    <w:rsid w:val="00F77F09"/>
    <w:rsid w:val="00F812BA"/>
    <w:rsid w:val="00F81848"/>
    <w:rsid w:val="00F81B99"/>
    <w:rsid w:val="00F83BC2"/>
    <w:rsid w:val="00F861B2"/>
    <w:rsid w:val="00F92396"/>
    <w:rsid w:val="00F92D78"/>
    <w:rsid w:val="00F92EC1"/>
    <w:rsid w:val="00F94C47"/>
    <w:rsid w:val="00F959E2"/>
    <w:rsid w:val="00F9613D"/>
    <w:rsid w:val="00F9674A"/>
    <w:rsid w:val="00F96F08"/>
    <w:rsid w:val="00FA0421"/>
    <w:rsid w:val="00FA079F"/>
    <w:rsid w:val="00FA3389"/>
    <w:rsid w:val="00FA3476"/>
    <w:rsid w:val="00FA4027"/>
    <w:rsid w:val="00FA495F"/>
    <w:rsid w:val="00FA5CB9"/>
    <w:rsid w:val="00FA6F13"/>
    <w:rsid w:val="00FB0C10"/>
    <w:rsid w:val="00FB1F24"/>
    <w:rsid w:val="00FB3C36"/>
    <w:rsid w:val="00FB4280"/>
    <w:rsid w:val="00FB4351"/>
    <w:rsid w:val="00FB49C6"/>
    <w:rsid w:val="00FB5450"/>
    <w:rsid w:val="00FB5485"/>
    <w:rsid w:val="00FB6529"/>
    <w:rsid w:val="00FB7CCE"/>
    <w:rsid w:val="00FC01C8"/>
    <w:rsid w:val="00FC0AD3"/>
    <w:rsid w:val="00FC1FD7"/>
    <w:rsid w:val="00FC5027"/>
    <w:rsid w:val="00FC50C7"/>
    <w:rsid w:val="00FC511D"/>
    <w:rsid w:val="00FC6105"/>
    <w:rsid w:val="00FC68BC"/>
    <w:rsid w:val="00FC6F32"/>
    <w:rsid w:val="00FD11D4"/>
    <w:rsid w:val="00FD225D"/>
    <w:rsid w:val="00FD2384"/>
    <w:rsid w:val="00FD3DAF"/>
    <w:rsid w:val="00FE0B54"/>
    <w:rsid w:val="00FE10A4"/>
    <w:rsid w:val="00FE27FF"/>
    <w:rsid w:val="00FE31F2"/>
    <w:rsid w:val="00FE335C"/>
    <w:rsid w:val="00FE3FC7"/>
    <w:rsid w:val="00FE452E"/>
    <w:rsid w:val="00FE489F"/>
    <w:rsid w:val="00FE4F38"/>
    <w:rsid w:val="00FE6FAF"/>
    <w:rsid w:val="00FF0007"/>
    <w:rsid w:val="00FF053D"/>
    <w:rsid w:val="00FF184D"/>
    <w:rsid w:val="00FF24A8"/>
    <w:rsid w:val="00FF2E33"/>
    <w:rsid w:val="00FF4275"/>
    <w:rsid w:val="00FF4A4C"/>
    <w:rsid w:val="00FF4C15"/>
    <w:rsid w:val="00FF6617"/>
    <w:rsid w:val="00FF6969"/>
    <w:rsid w:val="00FF7571"/>
    <w:rsid w:val="00FF7A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4D78FF46"/>
  <w15:docId w15:val="{CA164E4B-9050-4E8F-83E9-6643D7A6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67243F"/>
    <w:rPr>
      <w:sz w:val="24"/>
      <w:szCs w:val="24"/>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semiHidden/>
    <w:unhideWhenUsed/>
    <w:qFormat/>
    <w:rsid w:val="00614DC4"/>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ind w:right="44"/>
      <w:jc w:val="center"/>
      <w:outlineLvl w:val="4"/>
    </w:pPr>
    <w:rPr>
      <w:b/>
      <w:sz w:val="28"/>
    </w:rPr>
  </w:style>
  <w:style w:type="paragraph" w:styleId="Ttulo6">
    <w:name w:val="heading 6"/>
    <w:basedOn w:val="Normal"/>
    <w:next w:val="Normal"/>
    <w:link w:val="Ttulo6Car"/>
    <w:semiHidden/>
    <w:unhideWhenUsed/>
    <w:qFormat/>
    <w:rsid w:val="00614DC4"/>
    <w:pPr>
      <w:spacing w:before="240" w:after="60"/>
      <w:outlineLvl w:val="5"/>
    </w:pPr>
    <w:rPr>
      <w:b/>
      <w:bCs/>
    </w:rPr>
  </w:style>
  <w:style w:type="paragraph" w:styleId="Ttulo7">
    <w:name w:val="heading 7"/>
    <w:basedOn w:val="Normal"/>
    <w:next w:val="Normal"/>
    <w:link w:val="Ttulo7Car"/>
    <w:uiPriority w:val="99"/>
    <w:semiHidden/>
    <w:unhideWhenUsed/>
    <w:qFormat/>
    <w:rsid w:val="00614DC4"/>
    <w:pPr>
      <w:keepNext/>
      <w:jc w:val="center"/>
      <w:outlineLvl w:val="6"/>
    </w:pPr>
    <w:rPr>
      <w:sz w:val="52"/>
    </w:rPr>
  </w:style>
  <w:style w:type="paragraph" w:styleId="Ttulo8">
    <w:name w:val="heading 8"/>
    <w:basedOn w:val="Normal"/>
    <w:next w:val="Normal"/>
    <w:link w:val="Ttulo8Car"/>
    <w:uiPriority w:val="99"/>
    <w:semiHidden/>
    <w:unhideWhenUsed/>
    <w:qFormat/>
    <w:rsid w:val="00614DC4"/>
    <w:pPr>
      <w:keepNext/>
      <w:snapToGrid w:val="0"/>
      <w:jc w:val="center"/>
      <w:outlineLvl w:val="7"/>
    </w:pPr>
    <w:rPr>
      <w:rFonts w:ascii="Arial" w:hAnsi="Arial"/>
      <w:color w:val="000000"/>
      <w:sz w:val="16"/>
      <w:u w:val="single"/>
    </w:rPr>
  </w:style>
  <w:style w:type="paragraph" w:styleId="Ttulo9">
    <w:name w:val="heading 9"/>
    <w:basedOn w:val="Normal"/>
    <w:next w:val="Normal"/>
    <w:link w:val="Ttulo9Car"/>
    <w:uiPriority w:val="99"/>
    <w:semiHidden/>
    <w:unhideWhenUsed/>
    <w:qFormat/>
    <w:rsid w:val="00614DC4"/>
    <w:pPr>
      <w:keepNext/>
      <w:snapToGrid w:val="0"/>
      <w:jc w:val="center"/>
      <w:outlineLvl w:val="8"/>
    </w:pPr>
    <w:rPr>
      <w:rFonts w:ascii="Arial" w:hAnsi="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qFormat/>
    <w:rsid w:val="00075677"/>
    <w:pPr>
      <w:keepLines/>
      <w:tabs>
        <w:tab w:val="right" w:pos="2835"/>
        <w:tab w:val="right" w:pos="3969"/>
        <w:tab w:val="right" w:pos="5103"/>
        <w:tab w:val="right" w:pos="6237"/>
        <w:tab w:val="right" w:pos="7371"/>
      </w:tabs>
      <w:spacing w:line="240" w:lineRule="atLeast"/>
      <w:ind w:firstLine="0"/>
    </w:pPr>
    <w:rPr>
      <w:rFonts w:ascii="Arial Narrow" w:hAnsi="Arial Narrow"/>
      <w:sz w:val="20"/>
    </w:rPr>
  </w:style>
  <w:style w:type="paragraph" w:customStyle="1" w:styleId="recomen">
    <w:name w:val="recomen"/>
    <w:basedOn w:val="texto"/>
    <w:link w:val="recomenCar"/>
    <w:rsid w:val="001D4F09"/>
    <w:pPr>
      <w:numPr>
        <w:numId w:val="1"/>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uiPriority w:val="99"/>
    <w:rsid w:val="00FF4A4C"/>
    <w:pPr>
      <w:spacing w:before="60"/>
      <w:ind w:left="4536"/>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rPr>
  </w:style>
  <w:style w:type="paragraph" w:customStyle="1" w:styleId="atitulo1">
    <w:name w:val="atitulo1"/>
    <w:basedOn w:val="Ttulo1"/>
    <w:link w:val="atitulo1Car"/>
    <w:qFormat/>
    <w:rsid w:val="004B2F01"/>
    <w:pPr>
      <w:spacing w:before="0" w:after="24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ind w:left="378"/>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Descripcin"/>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uiPriority w:val="99"/>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uiPriority w:val="99"/>
    <w:qFormat/>
    <w:rsid w:val="00891D73"/>
    <w:rPr>
      <w:b/>
      <w:bCs/>
    </w:rPr>
  </w:style>
  <w:style w:type="paragraph" w:customStyle="1" w:styleId="BorradorProvisional">
    <w:name w:val="Borrador/Provisional"/>
    <w:basedOn w:val="texto"/>
    <w:uiPriority w:val="99"/>
    <w:rsid w:val="001D4F09"/>
    <w:pPr>
      <w:tabs>
        <w:tab w:val="clear" w:pos="2835"/>
        <w:tab w:val="clear" w:pos="3969"/>
        <w:tab w:val="clear" w:pos="5103"/>
        <w:tab w:val="clear" w:pos="6237"/>
        <w:tab w:val="clear" w:pos="7371"/>
      </w:tabs>
      <w:ind w:left="4394" w:firstLine="0"/>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qFormat/>
    <w:rsid w:val="00075677"/>
    <w:rPr>
      <w:rFonts w:ascii="Arial" w:hAnsi="Arial"/>
      <w:sz w:val="18"/>
    </w:rPr>
  </w:style>
  <w:style w:type="paragraph" w:customStyle="1" w:styleId="Portada0">
    <w:name w:val="Portada"/>
    <w:basedOn w:val="portada"/>
    <w:uiPriority w:val="99"/>
    <w:rsid w:val="00FF4A4C"/>
    <w:pPr>
      <w:ind w:left="4396" w:right="-1051"/>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uiPriority w:val="99"/>
    <w:rsid w:val="00C622C3"/>
    <w:rPr>
      <w:sz w:val="20"/>
    </w:rPr>
  </w:style>
  <w:style w:type="paragraph" w:styleId="TDC3">
    <w:name w:val="toc 3"/>
    <w:basedOn w:val="atitulo3"/>
    <w:autoRedefine/>
    <w:uiPriority w:val="99"/>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uiPriority w:val="99"/>
    <w:semiHidden/>
    <w:rsid w:val="00BC376C"/>
    <w:pPr>
      <w:tabs>
        <w:tab w:val="right" w:leader="dot" w:pos="8930"/>
      </w:tabs>
      <w:ind w:left="567"/>
    </w:pPr>
    <w:rPr>
      <w:rFonts w:ascii="Arial Narrow" w:hAnsi="Arial Narrow"/>
    </w:rPr>
  </w:style>
  <w:style w:type="character" w:customStyle="1" w:styleId="Ttulo4Car">
    <w:name w:val="Título 4 Car"/>
    <w:basedOn w:val="Fuentedeprrafopredeter"/>
    <w:link w:val="Ttulo4"/>
    <w:uiPriority w:val="99"/>
    <w:semiHidden/>
    <w:rsid w:val="00614DC4"/>
    <w:rPr>
      <w:b/>
      <w:bCs/>
      <w:sz w:val="28"/>
      <w:szCs w:val="28"/>
      <w:lang w:val="es-ES_tradnl" w:eastAsia="en-US"/>
    </w:rPr>
  </w:style>
  <w:style w:type="character" w:customStyle="1" w:styleId="Ttulo6Car">
    <w:name w:val="Título 6 Car"/>
    <w:basedOn w:val="Fuentedeprrafopredeter"/>
    <w:link w:val="Ttulo6"/>
    <w:semiHidden/>
    <w:rsid w:val="00614DC4"/>
    <w:rPr>
      <w:rFonts w:ascii="Calibri" w:hAnsi="Calibri"/>
      <w:b/>
      <w:bCs/>
      <w:sz w:val="22"/>
      <w:szCs w:val="22"/>
      <w:lang w:val="es-ES_tradnl" w:eastAsia="en-US"/>
    </w:rPr>
  </w:style>
  <w:style w:type="character" w:customStyle="1" w:styleId="Ttulo7Car">
    <w:name w:val="Título 7 Car"/>
    <w:basedOn w:val="Fuentedeprrafopredeter"/>
    <w:link w:val="Ttulo7"/>
    <w:uiPriority w:val="99"/>
    <w:semiHidden/>
    <w:rsid w:val="00614DC4"/>
    <w:rPr>
      <w:sz w:val="52"/>
    </w:rPr>
  </w:style>
  <w:style w:type="character" w:customStyle="1" w:styleId="Ttulo8Car">
    <w:name w:val="Título 8 Car"/>
    <w:basedOn w:val="Fuentedeprrafopredeter"/>
    <w:link w:val="Ttulo8"/>
    <w:uiPriority w:val="99"/>
    <w:semiHidden/>
    <w:rsid w:val="00614DC4"/>
    <w:rPr>
      <w:rFonts w:ascii="Arial" w:hAnsi="Arial"/>
      <w:color w:val="000000"/>
      <w:sz w:val="16"/>
      <w:u w:val="single"/>
    </w:rPr>
  </w:style>
  <w:style w:type="character" w:customStyle="1" w:styleId="Ttulo9Car">
    <w:name w:val="Título 9 Car"/>
    <w:basedOn w:val="Fuentedeprrafopredeter"/>
    <w:link w:val="Ttulo9"/>
    <w:uiPriority w:val="99"/>
    <w:semiHidden/>
    <w:rsid w:val="00614DC4"/>
    <w:rPr>
      <w:rFonts w:ascii="Arial" w:hAnsi="Arial"/>
      <w:b/>
      <w:color w:val="000000"/>
    </w:rPr>
  </w:style>
  <w:style w:type="character" w:customStyle="1" w:styleId="Ttulo1Car">
    <w:name w:val="Título 1 Car"/>
    <w:basedOn w:val="Fuentedeprrafopredeter"/>
    <w:link w:val="Ttulo1"/>
    <w:uiPriority w:val="99"/>
    <w:rsid w:val="00614DC4"/>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614DC4"/>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614DC4"/>
    <w:rPr>
      <w:rFonts w:ascii="Arial" w:hAnsi="Arial" w:cs="Arial"/>
      <w:b/>
      <w:bCs/>
      <w:szCs w:val="26"/>
      <w:lang w:val="es-ES_tradnl" w:eastAsia="en-US"/>
    </w:rPr>
  </w:style>
  <w:style w:type="character" w:customStyle="1" w:styleId="Ttulo5Car">
    <w:name w:val="Título 5 Car"/>
    <w:basedOn w:val="Fuentedeprrafopredeter"/>
    <w:link w:val="Ttulo5"/>
    <w:uiPriority w:val="99"/>
    <w:rsid w:val="00614DC4"/>
    <w:rPr>
      <w:b/>
      <w:sz w:val="28"/>
      <w:lang w:eastAsia="en-US"/>
    </w:rPr>
  </w:style>
  <w:style w:type="character" w:styleId="Hipervnculovisitado">
    <w:name w:val="FollowedHyperlink"/>
    <w:semiHidden/>
    <w:unhideWhenUsed/>
    <w:rsid w:val="00614DC4"/>
    <w:rPr>
      <w:color w:val="800080"/>
      <w:u w:val="single"/>
    </w:rPr>
  </w:style>
  <w:style w:type="character" w:styleId="nfasis">
    <w:name w:val="Emphasis"/>
    <w:basedOn w:val="Fuentedeprrafopredeter"/>
    <w:uiPriority w:val="20"/>
    <w:qFormat/>
    <w:rsid w:val="00614DC4"/>
    <w:rPr>
      <w:rFonts w:ascii="Times New Roman" w:hAnsi="Times New Roman" w:cs="Times New Roman" w:hint="default"/>
      <w:i/>
      <w:iCs/>
    </w:rPr>
  </w:style>
  <w:style w:type="character" w:styleId="Textoennegrita">
    <w:name w:val="Strong"/>
    <w:basedOn w:val="Fuentedeprrafopredeter"/>
    <w:uiPriority w:val="22"/>
    <w:qFormat/>
    <w:rsid w:val="00614DC4"/>
    <w:rPr>
      <w:rFonts w:ascii="Times New Roman" w:hAnsi="Times New Roman" w:cs="Times New Roman" w:hint="default"/>
      <w:b/>
      <w:bCs w:val="0"/>
    </w:rPr>
  </w:style>
  <w:style w:type="paragraph" w:customStyle="1" w:styleId="msonormal0">
    <w:name w:val="msonormal"/>
    <w:basedOn w:val="Normal"/>
    <w:uiPriority w:val="99"/>
    <w:rsid w:val="00614DC4"/>
    <w:pPr>
      <w:spacing w:before="100" w:beforeAutospacing="1" w:after="100" w:afterAutospacing="1"/>
    </w:pPr>
    <w:rPr>
      <w:rFonts w:ascii="Verdana" w:hAnsi="Verdana"/>
      <w:sz w:val="11"/>
      <w:szCs w:val="11"/>
    </w:rPr>
  </w:style>
  <w:style w:type="paragraph" w:styleId="NormalWeb">
    <w:name w:val="Normal (Web)"/>
    <w:basedOn w:val="Normal"/>
    <w:uiPriority w:val="99"/>
    <w:semiHidden/>
    <w:unhideWhenUsed/>
    <w:rsid w:val="00614DC4"/>
    <w:pPr>
      <w:spacing w:before="100" w:beforeAutospacing="1" w:after="100" w:afterAutospacing="1"/>
    </w:pPr>
    <w:rPr>
      <w:rFonts w:ascii="Verdana" w:hAnsi="Verdana"/>
      <w:sz w:val="11"/>
      <w:szCs w:val="11"/>
    </w:rPr>
  </w:style>
  <w:style w:type="paragraph" w:styleId="Textonotapie">
    <w:name w:val="footnote text"/>
    <w:basedOn w:val="Normal"/>
    <w:link w:val="TextonotapieCar"/>
    <w:uiPriority w:val="99"/>
    <w:semiHidden/>
    <w:unhideWhenUsed/>
    <w:rsid w:val="00614DC4"/>
  </w:style>
  <w:style w:type="character" w:customStyle="1" w:styleId="TextonotapieCar">
    <w:name w:val="Texto nota pie Car"/>
    <w:basedOn w:val="Fuentedeprrafopredeter"/>
    <w:link w:val="Textonotapie"/>
    <w:uiPriority w:val="99"/>
    <w:semiHidden/>
    <w:rsid w:val="00614DC4"/>
    <w:rPr>
      <w:lang w:val="es-ES_tradnl" w:eastAsia="en-US"/>
    </w:rPr>
  </w:style>
  <w:style w:type="paragraph" w:styleId="Textocomentario">
    <w:name w:val="annotation text"/>
    <w:basedOn w:val="Normal"/>
    <w:link w:val="TextocomentarioCar"/>
    <w:uiPriority w:val="99"/>
    <w:semiHidden/>
    <w:unhideWhenUsed/>
    <w:rsid w:val="00614DC4"/>
  </w:style>
  <w:style w:type="character" w:customStyle="1" w:styleId="TextocomentarioCar">
    <w:name w:val="Texto comentario Car"/>
    <w:basedOn w:val="Fuentedeprrafopredeter"/>
    <w:link w:val="Textocomentario"/>
    <w:uiPriority w:val="99"/>
    <w:semiHidden/>
    <w:rsid w:val="00614DC4"/>
    <w:rPr>
      <w:lang w:val="es-ES_tradnl" w:eastAsia="en-US"/>
    </w:rPr>
  </w:style>
  <w:style w:type="character" w:customStyle="1" w:styleId="EncabezadoCar">
    <w:name w:val="Encabezado Car"/>
    <w:basedOn w:val="Fuentedeprrafopredeter"/>
    <w:link w:val="Encabezado"/>
    <w:uiPriority w:val="99"/>
    <w:rsid w:val="00614DC4"/>
    <w:rPr>
      <w:bCs/>
      <w:caps/>
      <w:sz w:val="14"/>
      <w:szCs w:val="12"/>
      <w:lang w:val="es-ES_tradnl" w:eastAsia="en-US"/>
    </w:rPr>
  </w:style>
  <w:style w:type="paragraph" w:styleId="Textonotaalfinal">
    <w:name w:val="endnote text"/>
    <w:basedOn w:val="Normal"/>
    <w:link w:val="TextonotaalfinalCar"/>
    <w:uiPriority w:val="99"/>
    <w:semiHidden/>
    <w:unhideWhenUsed/>
    <w:rsid w:val="00614DC4"/>
  </w:style>
  <w:style w:type="character" w:customStyle="1" w:styleId="TextonotaalfinalCar">
    <w:name w:val="Texto nota al final Car"/>
    <w:basedOn w:val="Fuentedeprrafopredeter"/>
    <w:link w:val="Textonotaalfinal"/>
    <w:uiPriority w:val="99"/>
    <w:semiHidden/>
    <w:rsid w:val="00614DC4"/>
    <w:rPr>
      <w:lang w:val="es-ES_tradnl" w:eastAsia="en-US"/>
    </w:rPr>
  </w:style>
  <w:style w:type="paragraph" w:styleId="Listaconvietas">
    <w:name w:val="List Bullet"/>
    <w:basedOn w:val="Normal"/>
    <w:autoRedefine/>
    <w:uiPriority w:val="99"/>
    <w:semiHidden/>
    <w:unhideWhenUsed/>
    <w:rsid w:val="00614DC4"/>
    <w:pPr>
      <w:numPr>
        <w:numId w:val="2"/>
      </w:numPr>
      <w:spacing w:before="120" w:after="120"/>
    </w:pPr>
    <w:rPr>
      <w:rFonts w:ascii="Arial" w:hAnsi="Arial"/>
      <w:sz w:val="22"/>
    </w:rPr>
  </w:style>
  <w:style w:type="paragraph" w:styleId="Ttulo">
    <w:name w:val="Title"/>
    <w:basedOn w:val="Normal"/>
    <w:next w:val="Normal"/>
    <w:link w:val="TtuloCar"/>
    <w:uiPriority w:val="10"/>
    <w:qFormat/>
    <w:rsid w:val="00614D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14DC4"/>
    <w:rPr>
      <w:rFonts w:asciiTheme="majorHAnsi" w:eastAsiaTheme="majorEastAsia" w:hAnsiTheme="majorHAnsi" w:cstheme="majorBidi"/>
      <w:color w:val="17365D" w:themeColor="text2" w:themeShade="BF"/>
      <w:spacing w:val="5"/>
      <w:kern w:val="28"/>
      <w:sz w:val="52"/>
      <w:szCs w:val="52"/>
      <w:lang w:val="es-ES_tradnl" w:eastAsia="en-US"/>
    </w:rPr>
  </w:style>
  <w:style w:type="paragraph" w:styleId="Textoindependiente">
    <w:name w:val="Body Text"/>
    <w:basedOn w:val="Normal"/>
    <w:link w:val="TextoindependienteCar"/>
    <w:uiPriority w:val="99"/>
    <w:semiHidden/>
    <w:unhideWhenUsed/>
    <w:rsid w:val="00614DC4"/>
    <w:rPr>
      <w:rFonts w:ascii="Arial" w:hAnsi="Arial"/>
    </w:rPr>
  </w:style>
  <w:style w:type="character" w:customStyle="1" w:styleId="TextoindependienteCar">
    <w:name w:val="Texto independiente Car"/>
    <w:basedOn w:val="Fuentedeprrafopredeter"/>
    <w:link w:val="Textoindependiente"/>
    <w:uiPriority w:val="99"/>
    <w:semiHidden/>
    <w:rsid w:val="00614DC4"/>
    <w:rPr>
      <w:rFonts w:ascii="Arial" w:hAnsi="Arial"/>
      <w:sz w:val="24"/>
      <w:lang w:val="es-ES_tradnl"/>
    </w:rPr>
  </w:style>
  <w:style w:type="paragraph" w:styleId="Sangradetextonormal">
    <w:name w:val="Body Text Indent"/>
    <w:basedOn w:val="Normal"/>
    <w:link w:val="SangradetextonormalCar"/>
    <w:uiPriority w:val="99"/>
    <w:semiHidden/>
    <w:unhideWhenUsed/>
    <w:rsid w:val="00614DC4"/>
    <w:pPr>
      <w:spacing w:line="307" w:lineRule="auto"/>
      <w:ind w:firstLine="708"/>
    </w:pPr>
    <w:rPr>
      <w:rFonts w:ascii="Arial" w:hAnsi="Arial"/>
    </w:rPr>
  </w:style>
  <w:style w:type="character" w:customStyle="1" w:styleId="SangradetextonormalCar">
    <w:name w:val="Sangría de texto normal Car"/>
    <w:basedOn w:val="Fuentedeprrafopredeter"/>
    <w:link w:val="Sangradetextonormal"/>
    <w:uiPriority w:val="99"/>
    <w:semiHidden/>
    <w:rsid w:val="00614DC4"/>
    <w:rPr>
      <w:rFonts w:ascii="Arial" w:hAnsi="Arial"/>
      <w:sz w:val="22"/>
      <w:lang w:val="es-ES_tradnl"/>
    </w:rPr>
  </w:style>
  <w:style w:type="paragraph" w:styleId="Subttulo">
    <w:name w:val="Subtitle"/>
    <w:basedOn w:val="Normal"/>
    <w:next w:val="Normal"/>
    <w:link w:val="SubttuloCar"/>
    <w:uiPriority w:val="11"/>
    <w:qFormat/>
    <w:rsid w:val="00614DC4"/>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614DC4"/>
    <w:rPr>
      <w:rFonts w:asciiTheme="majorHAnsi" w:eastAsiaTheme="majorEastAsia" w:hAnsiTheme="majorHAnsi" w:cstheme="majorBidi"/>
      <w:i/>
      <w:iCs/>
      <w:color w:val="4F81BD" w:themeColor="accent1"/>
      <w:spacing w:val="15"/>
      <w:sz w:val="24"/>
      <w:szCs w:val="24"/>
      <w:lang w:val="es-ES_tradnl" w:eastAsia="en-US"/>
    </w:rPr>
  </w:style>
  <w:style w:type="paragraph" w:styleId="Textoindependiente2">
    <w:name w:val="Body Text 2"/>
    <w:basedOn w:val="Normal"/>
    <w:link w:val="Textoindependiente2Car"/>
    <w:uiPriority w:val="99"/>
    <w:semiHidden/>
    <w:unhideWhenUsed/>
    <w:rsid w:val="00614DC4"/>
    <w:pPr>
      <w:spacing w:line="307" w:lineRule="auto"/>
    </w:pPr>
    <w:rPr>
      <w:rFonts w:ascii="Arial" w:hAnsi="Arial"/>
    </w:rPr>
  </w:style>
  <w:style w:type="character" w:customStyle="1" w:styleId="Textoindependiente2Car">
    <w:name w:val="Texto independiente 2 Car"/>
    <w:basedOn w:val="Fuentedeprrafopredeter"/>
    <w:link w:val="Textoindependiente2"/>
    <w:uiPriority w:val="99"/>
    <w:semiHidden/>
    <w:rsid w:val="00614DC4"/>
    <w:rPr>
      <w:rFonts w:ascii="Arial" w:hAnsi="Arial"/>
      <w:lang w:val="es-ES_tradnl"/>
    </w:rPr>
  </w:style>
  <w:style w:type="paragraph" w:styleId="Textoindependiente3">
    <w:name w:val="Body Text 3"/>
    <w:basedOn w:val="Normal"/>
    <w:link w:val="Textoindependiente3Car"/>
    <w:uiPriority w:val="99"/>
    <w:semiHidden/>
    <w:unhideWhenUsed/>
    <w:rsid w:val="00614DC4"/>
    <w:pPr>
      <w:spacing w:line="307" w:lineRule="auto"/>
    </w:pPr>
    <w:rPr>
      <w:sz w:val="18"/>
    </w:rPr>
  </w:style>
  <w:style w:type="character" w:customStyle="1" w:styleId="Textoindependiente3Car">
    <w:name w:val="Texto independiente 3 Car"/>
    <w:basedOn w:val="Fuentedeprrafopredeter"/>
    <w:link w:val="Textoindependiente3"/>
    <w:uiPriority w:val="99"/>
    <w:semiHidden/>
    <w:rsid w:val="00614DC4"/>
    <w:rPr>
      <w:sz w:val="18"/>
      <w:lang w:val="es-ES_tradnl"/>
    </w:rPr>
  </w:style>
  <w:style w:type="paragraph" w:styleId="Sangra2detindependiente">
    <w:name w:val="Body Text Indent 2"/>
    <w:basedOn w:val="Normal"/>
    <w:link w:val="Sangra2detindependienteCar"/>
    <w:uiPriority w:val="99"/>
    <w:semiHidden/>
    <w:unhideWhenUsed/>
    <w:rsid w:val="00614DC4"/>
    <w:pPr>
      <w:spacing w:line="307" w:lineRule="auto"/>
      <w:ind w:left="426"/>
    </w:pPr>
    <w:rPr>
      <w:rFonts w:ascii="Arial" w:hAnsi="Arial"/>
    </w:rPr>
  </w:style>
  <w:style w:type="character" w:customStyle="1" w:styleId="Sangra2detindependienteCar">
    <w:name w:val="Sangría 2 de t. independiente Car"/>
    <w:basedOn w:val="Fuentedeprrafopredeter"/>
    <w:link w:val="Sangra2detindependiente"/>
    <w:uiPriority w:val="99"/>
    <w:semiHidden/>
    <w:rsid w:val="00614DC4"/>
    <w:rPr>
      <w:rFonts w:ascii="Arial" w:hAnsi="Arial"/>
      <w:lang w:val="es-ES_tradnl"/>
    </w:rPr>
  </w:style>
  <w:style w:type="paragraph" w:styleId="Sangra3detindependiente">
    <w:name w:val="Body Text Indent 3"/>
    <w:basedOn w:val="Normal"/>
    <w:link w:val="Sangra3detindependienteCar"/>
    <w:uiPriority w:val="99"/>
    <w:semiHidden/>
    <w:unhideWhenUsed/>
    <w:rsid w:val="00614DC4"/>
    <w:pPr>
      <w:spacing w:line="307" w:lineRule="auto"/>
      <w:ind w:left="426"/>
    </w:pPr>
    <w:rPr>
      <w:rFonts w:ascii="Arial" w:hAnsi="Arial"/>
    </w:rPr>
  </w:style>
  <w:style w:type="character" w:customStyle="1" w:styleId="Sangra3detindependienteCar">
    <w:name w:val="Sangría 3 de t. independiente Car"/>
    <w:basedOn w:val="Fuentedeprrafopredeter"/>
    <w:link w:val="Sangra3detindependiente"/>
    <w:uiPriority w:val="99"/>
    <w:semiHidden/>
    <w:rsid w:val="00614DC4"/>
    <w:rPr>
      <w:rFonts w:ascii="Arial" w:hAnsi="Arial"/>
      <w:sz w:val="22"/>
      <w:lang w:val="es-ES_tradnl"/>
    </w:rPr>
  </w:style>
  <w:style w:type="paragraph" w:styleId="Mapadeldocumento">
    <w:name w:val="Document Map"/>
    <w:basedOn w:val="Normal"/>
    <w:link w:val="MapadeldocumentoCar"/>
    <w:uiPriority w:val="99"/>
    <w:semiHidden/>
    <w:unhideWhenUsed/>
    <w:rsid w:val="00614DC4"/>
    <w:pPr>
      <w:shd w:val="clear" w:color="auto" w:fill="000080"/>
    </w:pPr>
    <w:rPr>
      <w:rFonts w:ascii="Tahoma" w:hAnsi="Tahoma"/>
    </w:rPr>
  </w:style>
  <w:style w:type="character" w:customStyle="1" w:styleId="MapadeldocumentoCar">
    <w:name w:val="Mapa del documento Car"/>
    <w:basedOn w:val="Fuentedeprrafopredeter"/>
    <w:link w:val="Mapadeldocumento"/>
    <w:uiPriority w:val="99"/>
    <w:semiHidden/>
    <w:rsid w:val="00614DC4"/>
    <w:rPr>
      <w:rFonts w:ascii="Tahoma" w:hAnsi="Tahoma"/>
      <w:shd w:val="clear" w:color="auto" w:fill="000080"/>
      <w:lang w:val="es-ES_tradnl"/>
    </w:rPr>
  </w:style>
  <w:style w:type="paragraph" w:styleId="Textosinformato">
    <w:name w:val="Plain Text"/>
    <w:basedOn w:val="Normal"/>
    <w:link w:val="TextosinformatoCar"/>
    <w:uiPriority w:val="99"/>
    <w:semiHidden/>
    <w:unhideWhenUsed/>
    <w:rsid w:val="00614DC4"/>
    <w:rPr>
      <w:rFonts w:eastAsiaTheme="minorHAnsi" w:cstheme="minorBidi"/>
      <w:szCs w:val="21"/>
    </w:rPr>
  </w:style>
  <w:style w:type="character" w:customStyle="1" w:styleId="TextosinformatoCar">
    <w:name w:val="Texto sin formato Car"/>
    <w:basedOn w:val="Fuentedeprrafopredeter"/>
    <w:link w:val="Textosinformato"/>
    <w:uiPriority w:val="99"/>
    <w:semiHidden/>
    <w:rsid w:val="00614DC4"/>
    <w:rPr>
      <w:rFonts w:ascii="Calibri" w:eastAsiaTheme="minorHAnsi" w:hAnsi="Calibri" w:cstheme="minorBidi"/>
      <w:sz w:val="22"/>
      <w:szCs w:val="21"/>
      <w:lang w:eastAsia="en-US"/>
    </w:rPr>
  </w:style>
  <w:style w:type="paragraph" w:styleId="Asuntodelcomentario">
    <w:name w:val="annotation subject"/>
    <w:basedOn w:val="Textocomentario"/>
    <w:next w:val="Textocomentario"/>
    <w:link w:val="AsuntodelcomentarioCar"/>
    <w:uiPriority w:val="99"/>
    <w:semiHidden/>
    <w:unhideWhenUsed/>
    <w:rsid w:val="00614DC4"/>
    <w:rPr>
      <w:b/>
      <w:bCs/>
    </w:rPr>
  </w:style>
  <w:style w:type="character" w:customStyle="1" w:styleId="AsuntodelcomentarioCar">
    <w:name w:val="Asunto del comentario Car"/>
    <w:basedOn w:val="TextocomentarioCar"/>
    <w:link w:val="Asuntodelcomentario"/>
    <w:uiPriority w:val="99"/>
    <w:semiHidden/>
    <w:rsid w:val="00614DC4"/>
    <w:rPr>
      <w:b/>
      <w:bCs/>
      <w:lang w:val="es-ES_tradnl" w:eastAsia="en-US"/>
    </w:rPr>
  </w:style>
  <w:style w:type="character" w:customStyle="1" w:styleId="TextodegloboCar">
    <w:name w:val="Texto de globo Car"/>
    <w:basedOn w:val="Fuentedeprrafopredeter"/>
    <w:link w:val="Textodeglobo"/>
    <w:uiPriority w:val="99"/>
    <w:semiHidden/>
    <w:rsid w:val="00614DC4"/>
    <w:rPr>
      <w:rFonts w:ascii="Tahoma" w:hAnsi="Tahoma" w:cs="Tahoma"/>
      <w:sz w:val="16"/>
      <w:szCs w:val="16"/>
      <w:lang w:val="es-ES_tradnl" w:eastAsia="en-US"/>
    </w:rPr>
  </w:style>
  <w:style w:type="paragraph" w:styleId="Prrafodelista">
    <w:name w:val="List Paragraph"/>
    <w:aliases w:val="Guión"/>
    <w:basedOn w:val="Normal"/>
    <w:link w:val="PrrafodelistaCar"/>
    <w:uiPriority w:val="34"/>
    <w:qFormat/>
    <w:rsid w:val="00614DC4"/>
    <w:pPr>
      <w:ind w:left="720"/>
      <w:contextualSpacing/>
    </w:pPr>
  </w:style>
  <w:style w:type="paragraph" w:styleId="Cita">
    <w:name w:val="Quote"/>
    <w:basedOn w:val="Normal"/>
    <w:next w:val="Normal"/>
    <w:link w:val="CitaCar"/>
    <w:uiPriority w:val="29"/>
    <w:qFormat/>
    <w:rsid w:val="00614DC4"/>
    <w:rPr>
      <w:i/>
      <w:iCs/>
      <w:color w:val="000000" w:themeColor="text1"/>
    </w:rPr>
  </w:style>
  <w:style w:type="character" w:customStyle="1" w:styleId="CitaCar">
    <w:name w:val="Cita Car"/>
    <w:basedOn w:val="Fuentedeprrafopredeter"/>
    <w:link w:val="Cita"/>
    <w:uiPriority w:val="29"/>
    <w:rsid w:val="00614DC4"/>
    <w:rPr>
      <w:i/>
      <w:iCs/>
      <w:color w:val="000000" w:themeColor="text1"/>
      <w:lang w:val="es-ES_tradnl" w:eastAsia="en-US"/>
    </w:rPr>
  </w:style>
  <w:style w:type="character" w:customStyle="1" w:styleId="atitulo1Car">
    <w:name w:val="atitulo1 Car"/>
    <w:basedOn w:val="Fuentedeprrafopredeter"/>
    <w:link w:val="atitulo1"/>
    <w:locked/>
    <w:rsid w:val="00614DC4"/>
    <w:rPr>
      <w:rFonts w:ascii="Arial" w:hAnsi="Arial"/>
      <w:b/>
      <w:color w:val="000000"/>
      <w:kern w:val="28"/>
      <w:sz w:val="25"/>
      <w:szCs w:val="26"/>
      <w:lang w:val="es-ES_tradnl" w:eastAsia="en-US"/>
    </w:rPr>
  </w:style>
  <w:style w:type="character" w:customStyle="1" w:styleId="atitulo2Car">
    <w:name w:val="atitulo2 Car"/>
    <w:link w:val="atitulo2"/>
    <w:locked/>
    <w:rsid w:val="00614DC4"/>
    <w:rPr>
      <w:rFonts w:ascii="Arial" w:hAnsi="Arial"/>
      <w:bCs/>
      <w:iCs/>
      <w:color w:val="000000"/>
      <w:spacing w:val="10"/>
      <w:kern w:val="28"/>
      <w:sz w:val="25"/>
      <w:szCs w:val="26"/>
      <w:lang w:val="es-ES_tradnl" w:eastAsia="en-US"/>
    </w:rPr>
  </w:style>
  <w:style w:type="character" w:customStyle="1" w:styleId="atitulo3Car">
    <w:name w:val="atitulo3 Car"/>
    <w:link w:val="atitulo3"/>
    <w:locked/>
    <w:rsid w:val="00614DC4"/>
    <w:rPr>
      <w:rFonts w:ascii="Arial" w:hAnsi="Arial"/>
      <w:i/>
      <w:iCs/>
      <w:color w:val="000000"/>
      <w:spacing w:val="10"/>
      <w:kern w:val="28"/>
      <w:sz w:val="25"/>
      <w:szCs w:val="26"/>
      <w:lang w:val="es-ES_tradnl" w:eastAsia="en-US"/>
    </w:rPr>
  </w:style>
  <w:style w:type="paragraph" w:customStyle="1" w:styleId="cuatitul">
    <w:name w:val="cuatitul"/>
    <w:basedOn w:val="Normal"/>
    <w:uiPriority w:val="99"/>
    <w:rsid w:val="00614DC4"/>
    <w:pPr>
      <w:spacing w:after="60"/>
      <w:jc w:val="center"/>
    </w:pPr>
    <w:rPr>
      <w:rFonts w:ascii="GillSans" w:hAnsi="GillSans"/>
      <w:sz w:val="22"/>
    </w:rPr>
  </w:style>
  <w:style w:type="paragraph" w:customStyle="1" w:styleId="Tabla">
    <w:name w:val="Tabla"/>
    <w:basedOn w:val="Normal"/>
    <w:uiPriority w:val="99"/>
    <w:rsid w:val="00614DC4"/>
    <w:rPr>
      <w:rFonts w:ascii="Arial" w:hAnsi="Arial"/>
      <w:sz w:val="16"/>
    </w:rPr>
  </w:style>
  <w:style w:type="paragraph" w:customStyle="1" w:styleId="recomendaciones">
    <w:name w:val="recomendaciones"/>
    <w:uiPriority w:val="99"/>
    <w:rsid w:val="00614DC4"/>
    <w:pPr>
      <w:spacing w:after="140"/>
      <w:ind w:left="1418" w:firstLine="284"/>
      <w:jc w:val="both"/>
    </w:pPr>
    <w:rPr>
      <w:rFonts w:ascii="ITCCentury Book" w:hAnsi="ITCCentury Book"/>
      <w:i/>
      <w:color w:val="000000"/>
      <w:sz w:val="24"/>
      <w:lang w:val="es-ES_tradnl"/>
    </w:rPr>
  </w:style>
  <w:style w:type="paragraph" w:customStyle="1" w:styleId="norma1">
    <w:name w:val="norma1"/>
    <w:basedOn w:val="Normal"/>
    <w:uiPriority w:val="99"/>
    <w:rsid w:val="00614DC4"/>
    <w:pPr>
      <w:spacing w:after="240"/>
    </w:pPr>
    <w:rPr>
      <w:b/>
      <w:bCs/>
      <w:caps/>
    </w:rPr>
  </w:style>
  <w:style w:type="paragraph" w:customStyle="1" w:styleId="Default">
    <w:name w:val="Default"/>
    <w:rsid w:val="00614DC4"/>
    <w:pPr>
      <w:autoSpaceDE w:val="0"/>
      <w:autoSpaceDN w:val="0"/>
      <w:adjustRightInd w:val="0"/>
    </w:pPr>
    <w:rPr>
      <w:rFonts w:ascii="Arial" w:hAnsi="Arial" w:cs="Arial"/>
      <w:color w:val="000000"/>
      <w:sz w:val="24"/>
      <w:szCs w:val="24"/>
    </w:rPr>
  </w:style>
  <w:style w:type="paragraph" w:customStyle="1" w:styleId="Pa9">
    <w:name w:val="Pa9"/>
    <w:basedOn w:val="Default"/>
    <w:next w:val="Default"/>
    <w:uiPriority w:val="99"/>
    <w:rsid w:val="00614DC4"/>
    <w:pPr>
      <w:spacing w:line="201" w:lineRule="atLeast"/>
    </w:pPr>
    <w:rPr>
      <w:rFonts w:cs="Times New Roman"/>
      <w:color w:val="auto"/>
    </w:rPr>
  </w:style>
  <w:style w:type="paragraph" w:customStyle="1" w:styleId="Estndar">
    <w:name w:val="Estándar"/>
    <w:uiPriority w:val="99"/>
    <w:rsid w:val="00614DC4"/>
    <w:pPr>
      <w:snapToGrid w:val="0"/>
    </w:pPr>
    <w:rPr>
      <w:rFonts w:ascii="CG Omega" w:hAnsi="CG Omega"/>
      <w:color w:val="000000"/>
      <w:sz w:val="22"/>
    </w:rPr>
  </w:style>
  <w:style w:type="paragraph" w:customStyle="1" w:styleId="Pa8">
    <w:name w:val="Pa8"/>
    <w:basedOn w:val="Default"/>
    <w:next w:val="Default"/>
    <w:uiPriority w:val="99"/>
    <w:rsid w:val="00614DC4"/>
    <w:pPr>
      <w:spacing w:line="201" w:lineRule="atLeast"/>
    </w:pPr>
    <w:rPr>
      <w:rFonts w:cs="Times New Roman"/>
      <w:color w:val="auto"/>
    </w:rPr>
  </w:style>
  <w:style w:type="paragraph" w:customStyle="1" w:styleId="foral-f-parrafo-c">
    <w:name w:val="foral-f-parrafo-c"/>
    <w:basedOn w:val="Normal"/>
    <w:uiPriority w:val="99"/>
    <w:rsid w:val="00614DC4"/>
    <w:pPr>
      <w:spacing w:after="240"/>
    </w:pPr>
  </w:style>
  <w:style w:type="paragraph" w:customStyle="1" w:styleId="foral-f-parrafo-3lineas-t5-c">
    <w:name w:val="foral-f-parrafo-3lineas-t5-c"/>
    <w:basedOn w:val="Normal"/>
    <w:uiPriority w:val="99"/>
    <w:rsid w:val="00614DC4"/>
    <w:pPr>
      <w:spacing w:after="240"/>
    </w:pPr>
  </w:style>
  <w:style w:type="paragraph" w:customStyle="1" w:styleId="aaa">
    <w:name w:val="aaa"/>
    <w:basedOn w:val="Normal"/>
    <w:uiPriority w:val="99"/>
    <w:rsid w:val="00614DC4"/>
    <w:pPr>
      <w:tabs>
        <w:tab w:val="left" w:pos="587"/>
        <w:tab w:val="left" w:pos="1418"/>
        <w:tab w:val="left" w:pos="2835"/>
        <w:tab w:val="left" w:pos="4253"/>
        <w:tab w:val="left" w:pos="5670"/>
      </w:tabs>
      <w:spacing w:line="360" w:lineRule="auto"/>
      <w:ind w:left="587" w:hanging="587"/>
    </w:pPr>
    <w:rPr>
      <w:rFonts w:ascii="ITCCentury Book" w:hAnsi="ITCCentury Book"/>
      <w:spacing w:val="-3"/>
    </w:rPr>
  </w:style>
  <w:style w:type="paragraph" w:customStyle="1" w:styleId="INF-TEXTO">
    <w:name w:val="INF-TEXTO"/>
    <w:uiPriority w:val="99"/>
    <w:rsid w:val="00614DC4"/>
    <w:pPr>
      <w:tabs>
        <w:tab w:val="left" w:pos="992"/>
      </w:tabs>
      <w:spacing w:after="300" w:line="340" w:lineRule="exact"/>
      <w:ind w:firstLine="567"/>
      <w:jc w:val="both"/>
    </w:pPr>
    <w:rPr>
      <w:rFonts w:ascii="Arial" w:hAnsi="Arial"/>
      <w:sz w:val="24"/>
    </w:rPr>
  </w:style>
  <w:style w:type="paragraph" w:customStyle="1" w:styleId="ANUEVO">
    <w:name w:val="A.NUEVO"/>
    <w:basedOn w:val="Normal"/>
    <w:uiPriority w:val="99"/>
    <w:rsid w:val="00614DC4"/>
    <w:pPr>
      <w:widowControl w:val="0"/>
      <w:overflowPunct w:val="0"/>
      <w:autoSpaceDE w:val="0"/>
      <w:autoSpaceDN w:val="0"/>
      <w:adjustRightInd w:val="0"/>
    </w:pPr>
    <w:rPr>
      <w:rFonts w:ascii="Arial" w:hAnsi="Arial"/>
      <w:i/>
      <w:color w:val="0000FF"/>
      <w:sz w:val="17"/>
    </w:rPr>
  </w:style>
  <w:style w:type="paragraph" w:customStyle="1" w:styleId="xa1">
    <w:name w:val="xa1"/>
    <w:basedOn w:val="Normal"/>
    <w:uiPriority w:val="99"/>
    <w:rsid w:val="00614DC4"/>
    <w:pPr>
      <w:spacing w:after="240"/>
      <w:ind w:left="200" w:right="50"/>
    </w:pPr>
  </w:style>
  <w:style w:type="paragraph" w:customStyle="1" w:styleId="xl1">
    <w:name w:val="xl1"/>
    <w:basedOn w:val="Normal"/>
    <w:rsid w:val="00614DC4"/>
    <w:pPr>
      <w:spacing w:after="240"/>
      <w:ind w:left="200" w:right="50" w:hanging="150"/>
    </w:pPr>
  </w:style>
  <w:style w:type="paragraph" w:customStyle="1" w:styleId="xl2">
    <w:name w:val="xl2"/>
    <w:basedOn w:val="Normal"/>
    <w:uiPriority w:val="99"/>
    <w:rsid w:val="00614DC4"/>
    <w:pPr>
      <w:spacing w:after="240"/>
      <w:ind w:left="350" w:right="50" w:hanging="150"/>
    </w:pPr>
  </w:style>
  <w:style w:type="paragraph" w:customStyle="1" w:styleId="Pa7">
    <w:name w:val="Pa7"/>
    <w:basedOn w:val="Default"/>
    <w:next w:val="Default"/>
    <w:uiPriority w:val="99"/>
    <w:rsid w:val="00614DC4"/>
    <w:pPr>
      <w:spacing w:line="201" w:lineRule="atLeast"/>
    </w:pPr>
    <w:rPr>
      <w:rFonts w:cs="Times New Roman"/>
      <w:color w:val="auto"/>
    </w:rPr>
  </w:style>
  <w:style w:type="paragraph" w:customStyle="1" w:styleId="ParrafoClausulas">
    <w:name w:val="ParrafoClausulas"/>
    <w:basedOn w:val="Normal"/>
    <w:uiPriority w:val="99"/>
    <w:rsid w:val="00614DC4"/>
    <w:pPr>
      <w:tabs>
        <w:tab w:val="left" w:pos="720"/>
        <w:tab w:val="center" w:pos="3888"/>
      </w:tabs>
      <w:spacing w:after="120" w:line="340" w:lineRule="atLeast"/>
      <w:ind w:firstLine="720"/>
    </w:pPr>
    <w:rPr>
      <w:rFonts w:ascii="Arial" w:hAnsi="Arial"/>
      <w:sz w:val="22"/>
    </w:rPr>
  </w:style>
  <w:style w:type="paragraph" w:customStyle="1" w:styleId="Cuadropequea9centradonegrita6">
    <w:name w:val="Cuadro pequeña 9 centrado negrita6"/>
    <w:basedOn w:val="Normal"/>
    <w:autoRedefine/>
    <w:uiPriority w:val="99"/>
    <w:rsid w:val="00614DC4"/>
    <w:pPr>
      <w:tabs>
        <w:tab w:val="left" w:pos="851"/>
      </w:tabs>
      <w:autoSpaceDE w:val="0"/>
      <w:autoSpaceDN w:val="0"/>
      <w:adjustRightInd w:val="0"/>
      <w:spacing w:before="120" w:after="60"/>
      <w:jc w:val="center"/>
    </w:pPr>
    <w:rPr>
      <w:rFonts w:ascii="Arial" w:hAnsi="Arial" w:cs="Arial"/>
      <w:b/>
      <w:bCs/>
      <w:sz w:val="18"/>
    </w:rPr>
  </w:style>
  <w:style w:type="paragraph" w:customStyle="1" w:styleId="Cuadropequea9centradonegrita31">
    <w:name w:val="Cuadro pequeña 9 centrado negrita31"/>
    <w:basedOn w:val="Normal"/>
    <w:autoRedefine/>
    <w:uiPriority w:val="99"/>
    <w:rsid w:val="00614DC4"/>
    <w:pPr>
      <w:widowControl w:val="0"/>
      <w:tabs>
        <w:tab w:val="left" w:pos="851"/>
      </w:tabs>
      <w:autoSpaceDE w:val="0"/>
      <w:autoSpaceDN w:val="0"/>
      <w:adjustRightInd w:val="0"/>
      <w:spacing w:before="120" w:after="60"/>
      <w:jc w:val="center"/>
    </w:pPr>
    <w:rPr>
      <w:rFonts w:ascii="Arial" w:hAnsi="Arial" w:cs="Arial"/>
      <w:b/>
      <w:bCs/>
      <w:sz w:val="18"/>
      <w:lang w:val="es-MX"/>
    </w:rPr>
  </w:style>
  <w:style w:type="paragraph" w:customStyle="1" w:styleId="Cuadropequea931">
    <w:name w:val="Cuadro pequeña 931"/>
    <w:basedOn w:val="Normal"/>
    <w:autoRedefine/>
    <w:uiPriority w:val="99"/>
    <w:rsid w:val="00614DC4"/>
    <w:pPr>
      <w:widowControl w:val="0"/>
      <w:tabs>
        <w:tab w:val="left" w:pos="284"/>
        <w:tab w:val="num" w:pos="1610"/>
      </w:tabs>
      <w:autoSpaceDE w:val="0"/>
      <w:autoSpaceDN w:val="0"/>
      <w:adjustRightInd w:val="0"/>
      <w:spacing w:before="40" w:after="60"/>
    </w:pPr>
    <w:rPr>
      <w:rFonts w:ascii="Arial" w:hAnsi="Arial" w:cs="Arial"/>
      <w:bCs/>
      <w:sz w:val="18"/>
    </w:rPr>
  </w:style>
  <w:style w:type="character" w:customStyle="1" w:styleId="Cuadropequea9izda12Car">
    <w:name w:val="Cuadro pequeña 9 izda12 Car"/>
    <w:link w:val="Cuadropequea9izda12"/>
    <w:locked/>
    <w:rsid w:val="00614DC4"/>
    <w:rPr>
      <w:rFonts w:ascii="Arial" w:hAnsi="Arial" w:cs="Arial"/>
      <w:b/>
      <w:bCs/>
      <w:sz w:val="18"/>
      <w:lang w:val="es-MX"/>
    </w:rPr>
  </w:style>
  <w:style w:type="paragraph" w:customStyle="1" w:styleId="Cuadropequea9izda12">
    <w:name w:val="Cuadro pequeña 9 izda12"/>
    <w:basedOn w:val="Normal"/>
    <w:link w:val="Cuadropequea9izda12Car"/>
    <w:autoRedefine/>
    <w:rsid w:val="00614DC4"/>
    <w:pPr>
      <w:widowControl w:val="0"/>
      <w:tabs>
        <w:tab w:val="left" w:pos="851"/>
      </w:tabs>
      <w:autoSpaceDE w:val="0"/>
      <w:autoSpaceDN w:val="0"/>
      <w:adjustRightInd w:val="0"/>
      <w:spacing w:before="120" w:after="60"/>
    </w:pPr>
    <w:rPr>
      <w:rFonts w:ascii="Arial" w:hAnsi="Arial" w:cs="Arial"/>
      <w:b/>
      <w:bCs/>
      <w:sz w:val="18"/>
      <w:lang w:val="es-MX"/>
    </w:rPr>
  </w:style>
  <w:style w:type="paragraph" w:customStyle="1" w:styleId="Cuadropequea9dcha11">
    <w:name w:val="Cuadro pequeña 9 dcha11"/>
    <w:basedOn w:val="Normal"/>
    <w:autoRedefine/>
    <w:uiPriority w:val="99"/>
    <w:rsid w:val="00614DC4"/>
    <w:pPr>
      <w:widowControl w:val="0"/>
      <w:tabs>
        <w:tab w:val="left" w:pos="851"/>
      </w:tabs>
      <w:autoSpaceDE w:val="0"/>
      <w:autoSpaceDN w:val="0"/>
      <w:adjustRightInd w:val="0"/>
      <w:spacing w:before="40" w:after="60"/>
      <w:jc w:val="right"/>
    </w:pPr>
    <w:rPr>
      <w:rFonts w:ascii="Arial" w:hAnsi="Arial" w:cs="Arial"/>
      <w:bCs/>
      <w:sz w:val="18"/>
      <w:lang w:val="es-MX"/>
    </w:rPr>
  </w:style>
  <w:style w:type="paragraph" w:customStyle="1" w:styleId="Cuadropequea9negrita11">
    <w:name w:val="Cuadro pequeña 9 negrita11"/>
    <w:basedOn w:val="Normal"/>
    <w:uiPriority w:val="99"/>
    <w:rsid w:val="00614DC4"/>
    <w:pPr>
      <w:widowControl w:val="0"/>
      <w:tabs>
        <w:tab w:val="left" w:pos="426"/>
        <w:tab w:val="right" w:pos="3686"/>
        <w:tab w:val="right" w:pos="4041"/>
        <w:tab w:val="right" w:pos="4820"/>
        <w:tab w:val="right" w:pos="5103"/>
        <w:tab w:val="right" w:pos="6237"/>
        <w:tab w:val="right" w:pos="7230"/>
        <w:tab w:val="right" w:pos="8505"/>
        <w:tab w:val="left" w:pos="8535"/>
        <w:tab w:val="right" w:pos="10773"/>
        <w:tab w:val="right" w:pos="11907"/>
        <w:tab w:val="right" w:pos="13041"/>
        <w:tab w:val="right" w:pos="14175"/>
        <w:tab w:val="right" w:pos="15168"/>
      </w:tabs>
      <w:autoSpaceDE w:val="0"/>
      <w:autoSpaceDN w:val="0"/>
      <w:adjustRightInd w:val="0"/>
      <w:snapToGrid w:val="0"/>
      <w:spacing w:before="40" w:after="60"/>
      <w:jc w:val="right"/>
    </w:pPr>
    <w:rPr>
      <w:rFonts w:ascii="Arial" w:hAnsi="Arial" w:cs="Arial"/>
      <w:b/>
      <w:bCs/>
      <w:color w:val="000000"/>
      <w:position w:val="6"/>
      <w:sz w:val="18"/>
      <w:lang w:val="es-MX"/>
    </w:rPr>
  </w:style>
  <w:style w:type="paragraph" w:customStyle="1" w:styleId="simple">
    <w:name w:val="simple"/>
    <w:basedOn w:val="Normal"/>
    <w:uiPriority w:val="99"/>
    <w:rsid w:val="00614DC4"/>
    <w:pPr>
      <w:spacing w:before="100" w:beforeAutospacing="1" w:after="100" w:afterAutospacing="1"/>
    </w:pPr>
  </w:style>
  <w:style w:type="paragraph" w:customStyle="1" w:styleId="ML">
    <w:name w:val="M/L"/>
    <w:basedOn w:val="Normal"/>
    <w:uiPriority w:val="99"/>
    <w:rsid w:val="00614DC4"/>
    <w:pPr>
      <w:spacing w:line="307" w:lineRule="auto"/>
      <w:ind w:left="-851"/>
    </w:pPr>
    <w:rPr>
      <w:rFonts w:ascii="Arial" w:hAnsi="Arial"/>
      <w:b/>
      <w:caps/>
      <w:sz w:val="28"/>
    </w:rPr>
  </w:style>
  <w:style w:type="paragraph" w:customStyle="1" w:styleId="c20">
    <w:name w:val="c20"/>
    <w:basedOn w:val="Normal"/>
    <w:uiPriority w:val="99"/>
    <w:rsid w:val="00614DC4"/>
    <w:pPr>
      <w:spacing w:before="100" w:beforeAutospacing="1" w:after="100" w:afterAutospacing="1"/>
    </w:pPr>
  </w:style>
  <w:style w:type="paragraph" w:customStyle="1" w:styleId="AVIEJO">
    <w:name w:val="A.VIEJO"/>
    <w:basedOn w:val="Normal"/>
    <w:uiPriority w:val="99"/>
    <w:rsid w:val="00614DC4"/>
    <w:pPr>
      <w:widowControl w:val="0"/>
      <w:overflowPunct w:val="0"/>
      <w:autoSpaceDE w:val="0"/>
      <w:autoSpaceDN w:val="0"/>
      <w:adjustRightInd w:val="0"/>
      <w:ind w:left="709"/>
    </w:pPr>
    <w:rPr>
      <w:rFonts w:ascii="Arial" w:hAnsi="Arial"/>
      <w:i/>
      <w:noProof/>
      <w:color w:val="008080"/>
      <w:sz w:val="17"/>
    </w:rPr>
  </w:style>
  <w:style w:type="paragraph" w:customStyle="1" w:styleId="a">
    <w:name w:val="a"/>
    <w:basedOn w:val="Normal"/>
    <w:uiPriority w:val="99"/>
    <w:rsid w:val="00614DC4"/>
    <w:pPr>
      <w:spacing w:before="100" w:beforeAutospacing="1" w:after="100" w:afterAutospacing="1"/>
    </w:pPr>
  </w:style>
  <w:style w:type="paragraph" w:customStyle="1" w:styleId="PARA">
    <w:name w:val="PARA"/>
    <w:basedOn w:val="Normal"/>
    <w:uiPriority w:val="99"/>
    <w:rsid w:val="00614DC4"/>
    <w:pPr>
      <w:spacing w:line="240" w:lineRule="atLeast"/>
    </w:pPr>
    <w:rPr>
      <w:rFonts w:ascii="Arial" w:hAnsi="Arial"/>
      <w:lang w:val="en-GB"/>
    </w:rPr>
  </w:style>
  <w:style w:type="paragraph" w:customStyle="1" w:styleId="anadir1">
    <w:name w:val="anadir1"/>
    <w:basedOn w:val="Normal"/>
    <w:uiPriority w:val="99"/>
    <w:rsid w:val="00614DC4"/>
    <w:pPr>
      <w:spacing w:after="240"/>
      <w:ind w:right="240"/>
      <w:jc w:val="right"/>
    </w:pPr>
    <w:rPr>
      <w:sz w:val="22"/>
      <w:szCs w:val="22"/>
    </w:rPr>
  </w:style>
  <w:style w:type="character" w:customStyle="1" w:styleId="textoplanoCar">
    <w:name w:val="texto plano Car"/>
    <w:link w:val="textoplano"/>
    <w:locked/>
    <w:rsid w:val="00614DC4"/>
    <w:rPr>
      <w:rFonts w:ascii="Arial" w:hAnsi="Arial" w:cs="Arial"/>
      <w:color w:val="000000"/>
      <w:sz w:val="19"/>
      <w:lang w:eastAsia="en-US"/>
    </w:rPr>
  </w:style>
  <w:style w:type="paragraph" w:customStyle="1" w:styleId="textoplano">
    <w:name w:val="texto plano"/>
    <w:basedOn w:val="Normal"/>
    <w:link w:val="textoplanoCar"/>
    <w:qFormat/>
    <w:rsid w:val="00614DC4"/>
    <w:pPr>
      <w:spacing w:before="60" w:after="100" w:line="240" w:lineRule="exact"/>
      <w:ind w:left="2971"/>
      <w:textboxTightWrap w:val="allLines"/>
    </w:pPr>
    <w:rPr>
      <w:rFonts w:ascii="Arial" w:hAnsi="Arial" w:cs="Arial"/>
      <w:color w:val="000000"/>
      <w:sz w:val="19"/>
    </w:rPr>
  </w:style>
  <w:style w:type="paragraph" w:customStyle="1" w:styleId="norma">
    <w:name w:val="norma"/>
    <w:basedOn w:val="Normal"/>
    <w:uiPriority w:val="99"/>
    <w:rsid w:val="00614DC4"/>
  </w:style>
  <w:style w:type="paragraph" w:customStyle="1" w:styleId="tabla10">
    <w:name w:val="tabla10"/>
    <w:uiPriority w:val="99"/>
    <w:rsid w:val="00614DC4"/>
    <w:pPr>
      <w:tabs>
        <w:tab w:val="left" w:pos="567"/>
        <w:tab w:val="left" w:pos="1134"/>
      </w:tabs>
      <w:snapToGrid w:val="0"/>
    </w:pPr>
    <w:rPr>
      <w:rFonts w:ascii="CG Times" w:hAnsi="CG Times"/>
      <w:color w:val="000000"/>
    </w:rPr>
  </w:style>
  <w:style w:type="paragraph" w:customStyle="1" w:styleId="parrafo2">
    <w:name w:val="parrafo_2"/>
    <w:basedOn w:val="Normal"/>
    <w:uiPriority w:val="99"/>
    <w:rsid w:val="00614DC4"/>
    <w:pPr>
      <w:spacing w:before="100" w:beforeAutospacing="1" w:after="100" w:afterAutospacing="1"/>
    </w:pPr>
  </w:style>
  <w:style w:type="paragraph" w:customStyle="1" w:styleId="parrafo">
    <w:name w:val="parrafo"/>
    <w:basedOn w:val="Normal"/>
    <w:uiPriority w:val="99"/>
    <w:rsid w:val="00614DC4"/>
    <w:pPr>
      <w:spacing w:before="100" w:beforeAutospacing="1" w:after="100" w:afterAutospacing="1"/>
    </w:pPr>
  </w:style>
  <w:style w:type="character" w:styleId="Refdenotaalpie">
    <w:name w:val="footnote reference"/>
    <w:uiPriority w:val="99"/>
    <w:unhideWhenUsed/>
    <w:rsid w:val="00614DC4"/>
    <w:rPr>
      <w:vertAlign w:val="superscript"/>
    </w:rPr>
  </w:style>
  <w:style w:type="character" w:styleId="Refdecomentario">
    <w:name w:val="annotation reference"/>
    <w:basedOn w:val="Fuentedeprrafopredeter"/>
    <w:uiPriority w:val="99"/>
    <w:semiHidden/>
    <w:unhideWhenUsed/>
    <w:rsid w:val="00614DC4"/>
    <w:rPr>
      <w:sz w:val="16"/>
      <w:szCs w:val="16"/>
    </w:rPr>
  </w:style>
  <w:style w:type="character" w:styleId="Refdenotaalfinal">
    <w:name w:val="endnote reference"/>
    <w:semiHidden/>
    <w:unhideWhenUsed/>
    <w:rsid w:val="00614DC4"/>
    <w:rPr>
      <w:vertAlign w:val="superscript"/>
    </w:rPr>
  </w:style>
  <w:style w:type="character" w:styleId="nfasissutil">
    <w:name w:val="Subtle Emphasis"/>
    <w:basedOn w:val="Fuentedeprrafopredeter"/>
    <w:uiPriority w:val="19"/>
    <w:qFormat/>
    <w:rsid w:val="00614DC4"/>
    <w:rPr>
      <w:i/>
      <w:iCs/>
      <w:color w:val="808080" w:themeColor="text1" w:themeTint="7F"/>
    </w:rPr>
  </w:style>
  <w:style w:type="character" w:styleId="nfasisintenso">
    <w:name w:val="Intense Emphasis"/>
    <w:basedOn w:val="Fuentedeprrafopredeter"/>
    <w:uiPriority w:val="21"/>
    <w:qFormat/>
    <w:rsid w:val="00614DC4"/>
    <w:rPr>
      <w:b/>
      <w:bCs/>
      <w:i/>
      <w:iCs/>
      <w:color w:val="4F81BD" w:themeColor="accent1"/>
    </w:rPr>
  </w:style>
  <w:style w:type="character" w:styleId="Referenciasutil">
    <w:name w:val="Subtle Reference"/>
    <w:basedOn w:val="Fuentedeprrafopredeter"/>
    <w:uiPriority w:val="31"/>
    <w:qFormat/>
    <w:rsid w:val="00614DC4"/>
    <w:rPr>
      <w:smallCaps/>
      <w:color w:val="C0504D" w:themeColor="accent2"/>
      <w:u w:val="single"/>
    </w:rPr>
  </w:style>
  <w:style w:type="character" w:styleId="Referenciaintensa">
    <w:name w:val="Intense Reference"/>
    <w:basedOn w:val="Fuentedeprrafopredeter"/>
    <w:uiPriority w:val="32"/>
    <w:qFormat/>
    <w:rsid w:val="00614DC4"/>
    <w:rPr>
      <w:b/>
      <w:bCs/>
      <w:smallCaps/>
      <w:color w:val="C0504D" w:themeColor="accent2"/>
      <w:spacing w:val="5"/>
      <w:u w:val="single"/>
    </w:rPr>
  </w:style>
  <w:style w:type="character" w:customStyle="1" w:styleId="PiedepginaCar">
    <w:name w:val="Pie de página Car"/>
    <w:basedOn w:val="Fuentedeprrafopredeter"/>
    <w:link w:val="Piedepgina"/>
    <w:uiPriority w:val="99"/>
    <w:rsid w:val="00614DC4"/>
    <w:rPr>
      <w:spacing w:val="6"/>
      <w:lang w:val="es-ES_tradnl" w:eastAsia="en-US"/>
    </w:rPr>
  </w:style>
  <w:style w:type="character" w:customStyle="1" w:styleId="recomenCar">
    <w:name w:val="recomen Car"/>
    <w:link w:val="recomen"/>
    <w:locked/>
    <w:rsid w:val="00614DC4"/>
    <w:rPr>
      <w:i/>
      <w:spacing w:val="6"/>
      <w:sz w:val="26"/>
      <w:szCs w:val="24"/>
    </w:rPr>
  </w:style>
  <w:style w:type="character" w:customStyle="1" w:styleId="A5">
    <w:name w:val="A5"/>
    <w:rsid w:val="00614DC4"/>
    <w:rPr>
      <w:rFonts w:ascii="Arial" w:hAnsi="Arial" w:cs="Arial" w:hint="default"/>
      <w:color w:val="000000"/>
      <w:sz w:val="16"/>
      <w:szCs w:val="16"/>
    </w:rPr>
  </w:style>
  <w:style w:type="character" w:customStyle="1" w:styleId="searchterm2">
    <w:name w:val="searchterm2"/>
    <w:rsid w:val="00614DC4"/>
    <w:rPr>
      <w:b/>
      <w:bCs/>
      <w:color w:val="000000"/>
      <w:shd w:val="clear" w:color="auto" w:fill="FFFFBF"/>
    </w:rPr>
  </w:style>
  <w:style w:type="character" w:customStyle="1" w:styleId="CuadropequeacentradonegritaCar6">
    <w:name w:val="Cuadro pequeña centrado negrita Car6"/>
    <w:rsid w:val="00614DC4"/>
    <w:rPr>
      <w:rFonts w:ascii="Arial" w:hAnsi="Arial" w:cs="Arial" w:hint="default"/>
      <w:b/>
      <w:bCs w:val="0"/>
      <w:snapToGrid w:val="0"/>
      <w:position w:val="6"/>
      <w:sz w:val="18"/>
      <w:lang w:val="es-MX" w:eastAsia="es-ES" w:bidi="ar-SA"/>
    </w:rPr>
  </w:style>
  <w:style w:type="character" w:customStyle="1" w:styleId="searchterm">
    <w:name w:val="searchterm"/>
    <w:rsid w:val="00614DC4"/>
  </w:style>
  <w:style w:type="character" w:customStyle="1" w:styleId="rubrica">
    <w:name w:val="rubrica"/>
    <w:rsid w:val="00614DC4"/>
  </w:style>
  <w:style w:type="character" w:customStyle="1" w:styleId="highlight">
    <w:name w:val="highlight"/>
    <w:rsid w:val="00614DC4"/>
  </w:style>
  <w:style w:type="character" w:customStyle="1" w:styleId="hithighligh1">
    <w:name w:val="hithighligh1"/>
    <w:rsid w:val="00614DC4"/>
    <w:rPr>
      <w:shd w:val="clear" w:color="auto" w:fill="FCFE7C"/>
    </w:rPr>
  </w:style>
  <w:style w:type="character" w:customStyle="1" w:styleId="corchete-llamada1">
    <w:name w:val="corchete-llamada1"/>
    <w:basedOn w:val="Fuentedeprrafopredeter"/>
    <w:rsid w:val="00614DC4"/>
    <w:rPr>
      <w:vanish/>
      <w:webHidden w:val="0"/>
      <w:specVanish/>
    </w:rPr>
  </w:style>
  <w:style w:type="character" w:customStyle="1" w:styleId="st1">
    <w:name w:val="st1"/>
    <w:basedOn w:val="Fuentedeprrafopredeter"/>
    <w:rsid w:val="00614DC4"/>
  </w:style>
  <w:style w:type="character" w:customStyle="1" w:styleId="apple-converted-space">
    <w:name w:val="apple-converted-space"/>
    <w:basedOn w:val="Fuentedeprrafopredeter"/>
    <w:rsid w:val="00614DC4"/>
  </w:style>
  <w:style w:type="character" w:customStyle="1" w:styleId="post-created">
    <w:name w:val="post-created"/>
    <w:basedOn w:val="Fuentedeprrafopredeter"/>
    <w:rsid w:val="00614DC4"/>
  </w:style>
  <w:style w:type="character" w:customStyle="1" w:styleId="markedcontent">
    <w:name w:val="markedcontent"/>
    <w:basedOn w:val="Fuentedeprrafopredeter"/>
    <w:rsid w:val="00614DC4"/>
  </w:style>
  <w:style w:type="table" w:styleId="Tablaconcolumnas1">
    <w:name w:val="Table Columns 1"/>
    <w:basedOn w:val="Tablanormal"/>
    <w:semiHidden/>
    <w:unhideWhenUsed/>
    <w:rsid w:val="00614DC4"/>
    <w:rPr>
      <w:b/>
      <w:bCs/>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semiHidden/>
    <w:unhideWhenUsed/>
    <w:rsid w:val="00614DC4"/>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elegante">
    <w:name w:val="Table Elegant"/>
    <w:basedOn w:val="Tablanormal"/>
    <w:semiHidden/>
    <w:unhideWhenUsed/>
    <w:rsid w:val="00614DC4"/>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Sombreadoclaro">
    <w:name w:val="Light Shading"/>
    <w:aliases w:val="tabla informe"/>
    <w:basedOn w:val="Tablanormal"/>
    <w:uiPriority w:val="60"/>
    <w:semiHidden/>
    <w:unhideWhenUsed/>
    <w:rsid w:val="00614DC4"/>
    <w:rPr>
      <w:rFonts w:ascii="Arial Narrow" w:eastAsiaTheme="minorHAnsi" w:hAnsi="Arial Narrow" w:cstheme="minorBidi"/>
      <w:color w:val="000000" w:themeColor="text1" w:themeShade="BF"/>
      <w:szCs w:val="22"/>
      <w:lang w:eastAsia="en-US"/>
    </w:rPr>
    <w:tblPr>
      <w:tblStyleRowBandSize w:val="1"/>
      <w:tblStyleColBandSize w:val="1"/>
      <w:tblInd w:w="0" w:type="nil"/>
      <w:tblBorders>
        <w:top w:val="single" w:sz="8" w:space="0" w:color="000000" w:themeColor="text1"/>
        <w:bottom w:val="single" w:sz="8" w:space="0" w:color="000000" w:themeColor="text1"/>
      </w:tblBorders>
    </w:tblPr>
    <w:tcPr>
      <w:vAlign w:val="center"/>
    </w:tcPr>
    <w:tblStylePr w:type="firstRow">
      <w:pPr>
        <w:spacing w:beforeLines="0" w:before="0" w:beforeAutospacing="0" w:afterLines="0" w:after="0" w:afterAutospacing="0" w:line="240" w:lineRule="auto"/>
        <w:jc w:val="right"/>
      </w:pPr>
      <w:rPr>
        <w:rFonts w:ascii="Arial" w:hAnsi="Arial" w:cs="Arial" w:hint="default"/>
        <w:b w:val="0"/>
        <w:bCs/>
        <w:sz w:val="18"/>
        <w:szCs w:val="18"/>
      </w:rPr>
      <w:tblPr/>
      <w:tcPr>
        <w:shd w:val="clear" w:color="auto" w:fill="8DB3E2" w:themeFill="text2" w:themeFillTint="66"/>
      </w:tcPr>
    </w:tblStylePr>
    <w:tblStylePr w:type="lastRow">
      <w:pPr>
        <w:spacing w:beforeLines="0" w:before="0" w:beforeAutospacing="0" w:afterLines="0" w:after="0" w:afterAutospacing="0" w:line="240" w:lineRule="auto"/>
        <w:jc w:val="right"/>
      </w:pPr>
      <w:rPr>
        <w:rFonts w:ascii="Arial" w:hAnsi="Arial" w:cs="Arial" w:hint="default"/>
        <w:b w:val="0"/>
        <w:bCs/>
        <w:sz w:val="18"/>
        <w:szCs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hint="default"/>
        <w:b w:val="0"/>
        <w:sz w:val="20"/>
        <w:szCs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hint="default"/>
        <w:b w:val="0"/>
        <w:sz w:val="20"/>
        <w:szCs w:val="20"/>
      </w:rPr>
      <w:tblPr/>
      <w:tcPr>
        <w:tcBorders>
          <w:bottom w:val="nil"/>
        </w:tcBorders>
      </w:tcPr>
    </w:tblStylePr>
  </w:style>
  <w:style w:type="table" w:customStyle="1" w:styleId="Tablaconcuadrcula1">
    <w:name w:val="Tabla con cuadrícula1"/>
    <w:basedOn w:val="Tablanormal"/>
    <w:uiPriority w:val="59"/>
    <w:rsid w:val="00614DC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614DC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614DC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614DC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rsid w:val="00614DC4"/>
    <w:pPr>
      <w:spacing w:after="140"/>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614DC4"/>
    <w:pPr>
      <w:autoSpaceDE w:val="0"/>
      <w:autoSpaceDN w:val="0"/>
      <w:adjustRightInd w:val="0"/>
      <w:spacing w:line="276" w:lineRule="auto"/>
    </w:pPr>
    <w:rPr>
      <w:rFonts w:ascii="Verdana" w:hAnsi="Verdana"/>
      <w:color w:val="000000"/>
      <w:sz w:val="24"/>
      <w:szCs w:val="24"/>
      <w:u w:color="000000"/>
      <w:lang w:val="en-US"/>
    </w:rPr>
    <w:tblPr>
      <w:tblCellMar>
        <w:top w:w="0" w:type="dxa"/>
        <w:left w:w="0" w:type="dxa"/>
        <w:bottom w:w="0" w:type="dxa"/>
        <w:right w:w="0" w:type="dxa"/>
      </w:tblCellMar>
    </w:tblPr>
  </w:style>
  <w:style w:type="character" w:customStyle="1" w:styleId="PrrafodelistaCar">
    <w:name w:val="Párrafo de lista Car"/>
    <w:aliases w:val="Guión Car"/>
    <w:basedOn w:val="Fuentedeprrafopredeter"/>
    <w:link w:val="Prrafodelista"/>
    <w:uiPriority w:val="34"/>
    <w:locked/>
    <w:rsid w:val="004E3964"/>
    <w:rPr>
      <w:lang w:val="es-ES_tradnl" w:eastAsia="en-US"/>
    </w:rPr>
  </w:style>
  <w:style w:type="paragraph" w:styleId="Listaconvietas2">
    <w:name w:val="List Bullet 2"/>
    <w:basedOn w:val="Normal"/>
    <w:semiHidden/>
    <w:unhideWhenUsed/>
    <w:rsid w:val="00D264E2"/>
    <w:pPr>
      <w:numPr>
        <w:numId w:val="10"/>
      </w:numPr>
      <w:contextualSpacing/>
    </w:pPr>
  </w:style>
  <w:style w:type="table" w:customStyle="1" w:styleId="Tablaconcuadrcula5">
    <w:name w:val="Tabla con cuadrícula5"/>
    <w:basedOn w:val="Tablanormal"/>
    <w:next w:val="Tablaconcuadrcula"/>
    <w:uiPriority w:val="59"/>
    <w:rsid w:val="00BD345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AC2914"/>
  </w:style>
  <w:style w:type="paragraph" w:customStyle="1" w:styleId="paragraph">
    <w:name w:val="paragraph"/>
    <w:basedOn w:val="Normal"/>
    <w:rsid w:val="0040097F"/>
    <w:pPr>
      <w:spacing w:before="100" w:beforeAutospacing="1" w:after="100" w:afterAutospacing="1"/>
    </w:pPr>
  </w:style>
  <w:style w:type="character" w:customStyle="1" w:styleId="normaltextrun">
    <w:name w:val="normaltextrun"/>
    <w:basedOn w:val="Fuentedeprrafopredeter"/>
    <w:rsid w:val="0040097F"/>
  </w:style>
  <w:style w:type="character" w:customStyle="1" w:styleId="eop">
    <w:name w:val="eop"/>
    <w:basedOn w:val="Fuentedeprrafopredeter"/>
    <w:rsid w:val="0040097F"/>
  </w:style>
  <w:style w:type="paragraph" w:customStyle="1" w:styleId="Style">
    <w:name w:val="Style"/>
    <w:rsid w:val="00E576C4"/>
    <w:pPr>
      <w:widowControl w:val="0"/>
      <w:autoSpaceDE w:val="0"/>
      <w:autoSpaceDN w:val="0"/>
      <w:adjustRightInd w:val="0"/>
    </w:pPr>
    <w:rPr>
      <w:rFonts w:eastAsiaTheme="minorEastAsia"/>
      <w:sz w:val="24"/>
      <w:szCs w:val="24"/>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191">
      <w:bodyDiv w:val="1"/>
      <w:marLeft w:val="0"/>
      <w:marRight w:val="0"/>
      <w:marTop w:val="0"/>
      <w:marBottom w:val="0"/>
      <w:divBdr>
        <w:top w:val="none" w:sz="0" w:space="0" w:color="auto"/>
        <w:left w:val="none" w:sz="0" w:space="0" w:color="auto"/>
        <w:bottom w:val="none" w:sz="0" w:space="0" w:color="auto"/>
        <w:right w:val="none" w:sz="0" w:space="0" w:color="auto"/>
      </w:divBdr>
    </w:div>
    <w:div w:id="11155486">
      <w:bodyDiv w:val="1"/>
      <w:marLeft w:val="0"/>
      <w:marRight w:val="0"/>
      <w:marTop w:val="0"/>
      <w:marBottom w:val="0"/>
      <w:divBdr>
        <w:top w:val="none" w:sz="0" w:space="0" w:color="auto"/>
        <w:left w:val="none" w:sz="0" w:space="0" w:color="auto"/>
        <w:bottom w:val="none" w:sz="0" w:space="0" w:color="auto"/>
        <w:right w:val="none" w:sz="0" w:space="0" w:color="auto"/>
      </w:divBdr>
    </w:div>
    <w:div w:id="13775326">
      <w:bodyDiv w:val="1"/>
      <w:marLeft w:val="0"/>
      <w:marRight w:val="0"/>
      <w:marTop w:val="0"/>
      <w:marBottom w:val="0"/>
      <w:divBdr>
        <w:top w:val="none" w:sz="0" w:space="0" w:color="auto"/>
        <w:left w:val="none" w:sz="0" w:space="0" w:color="auto"/>
        <w:bottom w:val="none" w:sz="0" w:space="0" w:color="auto"/>
        <w:right w:val="none" w:sz="0" w:space="0" w:color="auto"/>
      </w:divBdr>
    </w:div>
    <w:div w:id="21253516">
      <w:bodyDiv w:val="1"/>
      <w:marLeft w:val="0"/>
      <w:marRight w:val="0"/>
      <w:marTop w:val="0"/>
      <w:marBottom w:val="0"/>
      <w:divBdr>
        <w:top w:val="none" w:sz="0" w:space="0" w:color="auto"/>
        <w:left w:val="none" w:sz="0" w:space="0" w:color="auto"/>
        <w:bottom w:val="none" w:sz="0" w:space="0" w:color="auto"/>
        <w:right w:val="none" w:sz="0" w:space="0" w:color="auto"/>
      </w:divBdr>
    </w:div>
    <w:div w:id="30151814">
      <w:bodyDiv w:val="1"/>
      <w:marLeft w:val="0"/>
      <w:marRight w:val="0"/>
      <w:marTop w:val="0"/>
      <w:marBottom w:val="0"/>
      <w:divBdr>
        <w:top w:val="none" w:sz="0" w:space="0" w:color="auto"/>
        <w:left w:val="none" w:sz="0" w:space="0" w:color="auto"/>
        <w:bottom w:val="none" w:sz="0" w:space="0" w:color="auto"/>
        <w:right w:val="none" w:sz="0" w:space="0" w:color="auto"/>
      </w:divBdr>
    </w:div>
    <w:div w:id="44568503">
      <w:bodyDiv w:val="1"/>
      <w:marLeft w:val="0"/>
      <w:marRight w:val="0"/>
      <w:marTop w:val="0"/>
      <w:marBottom w:val="0"/>
      <w:divBdr>
        <w:top w:val="none" w:sz="0" w:space="0" w:color="auto"/>
        <w:left w:val="none" w:sz="0" w:space="0" w:color="auto"/>
        <w:bottom w:val="none" w:sz="0" w:space="0" w:color="auto"/>
        <w:right w:val="none" w:sz="0" w:space="0" w:color="auto"/>
      </w:divBdr>
    </w:div>
    <w:div w:id="50082816">
      <w:bodyDiv w:val="1"/>
      <w:marLeft w:val="0"/>
      <w:marRight w:val="0"/>
      <w:marTop w:val="0"/>
      <w:marBottom w:val="0"/>
      <w:divBdr>
        <w:top w:val="none" w:sz="0" w:space="0" w:color="auto"/>
        <w:left w:val="none" w:sz="0" w:space="0" w:color="auto"/>
        <w:bottom w:val="none" w:sz="0" w:space="0" w:color="auto"/>
        <w:right w:val="none" w:sz="0" w:space="0" w:color="auto"/>
      </w:divBdr>
    </w:div>
    <w:div w:id="80178759">
      <w:bodyDiv w:val="1"/>
      <w:marLeft w:val="0"/>
      <w:marRight w:val="0"/>
      <w:marTop w:val="0"/>
      <w:marBottom w:val="0"/>
      <w:divBdr>
        <w:top w:val="none" w:sz="0" w:space="0" w:color="auto"/>
        <w:left w:val="none" w:sz="0" w:space="0" w:color="auto"/>
        <w:bottom w:val="none" w:sz="0" w:space="0" w:color="auto"/>
        <w:right w:val="none" w:sz="0" w:space="0" w:color="auto"/>
      </w:divBdr>
    </w:div>
    <w:div w:id="82652282">
      <w:bodyDiv w:val="1"/>
      <w:marLeft w:val="0"/>
      <w:marRight w:val="0"/>
      <w:marTop w:val="0"/>
      <w:marBottom w:val="0"/>
      <w:divBdr>
        <w:top w:val="none" w:sz="0" w:space="0" w:color="auto"/>
        <w:left w:val="none" w:sz="0" w:space="0" w:color="auto"/>
        <w:bottom w:val="none" w:sz="0" w:space="0" w:color="auto"/>
        <w:right w:val="none" w:sz="0" w:space="0" w:color="auto"/>
      </w:divBdr>
    </w:div>
    <w:div w:id="85925456">
      <w:bodyDiv w:val="1"/>
      <w:marLeft w:val="0"/>
      <w:marRight w:val="0"/>
      <w:marTop w:val="0"/>
      <w:marBottom w:val="0"/>
      <w:divBdr>
        <w:top w:val="none" w:sz="0" w:space="0" w:color="auto"/>
        <w:left w:val="none" w:sz="0" w:space="0" w:color="auto"/>
        <w:bottom w:val="none" w:sz="0" w:space="0" w:color="auto"/>
        <w:right w:val="none" w:sz="0" w:space="0" w:color="auto"/>
      </w:divBdr>
    </w:div>
    <w:div w:id="88087647">
      <w:bodyDiv w:val="1"/>
      <w:marLeft w:val="0"/>
      <w:marRight w:val="0"/>
      <w:marTop w:val="0"/>
      <w:marBottom w:val="0"/>
      <w:divBdr>
        <w:top w:val="none" w:sz="0" w:space="0" w:color="auto"/>
        <w:left w:val="none" w:sz="0" w:space="0" w:color="auto"/>
        <w:bottom w:val="none" w:sz="0" w:space="0" w:color="auto"/>
        <w:right w:val="none" w:sz="0" w:space="0" w:color="auto"/>
      </w:divBdr>
    </w:div>
    <w:div w:id="103574077">
      <w:bodyDiv w:val="1"/>
      <w:marLeft w:val="0"/>
      <w:marRight w:val="0"/>
      <w:marTop w:val="0"/>
      <w:marBottom w:val="0"/>
      <w:divBdr>
        <w:top w:val="none" w:sz="0" w:space="0" w:color="auto"/>
        <w:left w:val="none" w:sz="0" w:space="0" w:color="auto"/>
        <w:bottom w:val="none" w:sz="0" w:space="0" w:color="auto"/>
        <w:right w:val="none" w:sz="0" w:space="0" w:color="auto"/>
      </w:divBdr>
      <w:divsChild>
        <w:div w:id="1526674804">
          <w:marLeft w:val="0"/>
          <w:marRight w:val="0"/>
          <w:marTop w:val="0"/>
          <w:marBottom w:val="0"/>
          <w:divBdr>
            <w:top w:val="none" w:sz="0" w:space="0" w:color="auto"/>
            <w:left w:val="none" w:sz="0" w:space="0" w:color="auto"/>
            <w:bottom w:val="none" w:sz="0" w:space="0" w:color="auto"/>
            <w:right w:val="none" w:sz="0" w:space="0" w:color="auto"/>
          </w:divBdr>
          <w:divsChild>
            <w:div w:id="1753619807">
              <w:marLeft w:val="0"/>
              <w:marRight w:val="0"/>
              <w:marTop w:val="0"/>
              <w:marBottom w:val="0"/>
              <w:divBdr>
                <w:top w:val="none" w:sz="0" w:space="0" w:color="auto"/>
                <w:left w:val="none" w:sz="0" w:space="0" w:color="auto"/>
                <w:bottom w:val="none" w:sz="0" w:space="0" w:color="auto"/>
                <w:right w:val="none" w:sz="0" w:space="0" w:color="auto"/>
              </w:divBdr>
            </w:div>
          </w:divsChild>
        </w:div>
        <w:div w:id="496191123">
          <w:marLeft w:val="0"/>
          <w:marRight w:val="0"/>
          <w:marTop w:val="0"/>
          <w:marBottom w:val="0"/>
          <w:divBdr>
            <w:top w:val="none" w:sz="0" w:space="0" w:color="auto"/>
            <w:left w:val="none" w:sz="0" w:space="0" w:color="auto"/>
            <w:bottom w:val="none" w:sz="0" w:space="0" w:color="auto"/>
            <w:right w:val="none" w:sz="0" w:space="0" w:color="auto"/>
          </w:divBdr>
          <w:divsChild>
            <w:div w:id="1111170714">
              <w:marLeft w:val="0"/>
              <w:marRight w:val="0"/>
              <w:marTop w:val="30"/>
              <w:marBottom w:val="30"/>
              <w:divBdr>
                <w:top w:val="none" w:sz="0" w:space="0" w:color="auto"/>
                <w:left w:val="none" w:sz="0" w:space="0" w:color="auto"/>
                <w:bottom w:val="none" w:sz="0" w:space="0" w:color="auto"/>
                <w:right w:val="none" w:sz="0" w:space="0" w:color="auto"/>
              </w:divBdr>
              <w:divsChild>
                <w:div w:id="470825517">
                  <w:marLeft w:val="0"/>
                  <w:marRight w:val="0"/>
                  <w:marTop w:val="0"/>
                  <w:marBottom w:val="0"/>
                  <w:divBdr>
                    <w:top w:val="none" w:sz="0" w:space="0" w:color="auto"/>
                    <w:left w:val="none" w:sz="0" w:space="0" w:color="auto"/>
                    <w:bottom w:val="none" w:sz="0" w:space="0" w:color="auto"/>
                    <w:right w:val="none" w:sz="0" w:space="0" w:color="auto"/>
                  </w:divBdr>
                  <w:divsChild>
                    <w:div w:id="1150945815">
                      <w:marLeft w:val="0"/>
                      <w:marRight w:val="0"/>
                      <w:marTop w:val="0"/>
                      <w:marBottom w:val="0"/>
                      <w:divBdr>
                        <w:top w:val="none" w:sz="0" w:space="0" w:color="auto"/>
                        <w:left w:val="none" w:sz="0" w:space="0" w:color="auto"/>
                        <w:bottom w:val="none" w:sz="0" w:space="0" w:color="auto"/>
                        <w:right w:val="none" w:sz="0" w:space="0" w:color="auto"/>
                      </w:divBdr>
                    </w:div>
                  </w:divsChild>
                </w:div>
                <w:div w:id="1166555606">
                  <w:marLeft w:val="0"/>
                  <w:marRight w:val="0"/>
                  <w:marTop w:val="0"/>
                  <w:marBottom w:val="0"/>
                  <w:divBdr>
                    <w:top w:val="none" w:sz="0" w:space="0" w:color="auto"/>
                    <w:left w:val="none" w:sz="0" w:space="0" w:color="auto"/>
                    <w:bottom w:val="none" w:sz="0" w:space="0" w:color="auto"/>
                    <w:right w:val="none" w:sz="0" w:space="0" w:color="auto"/>
                  </w:divBdr>
                  <w:divsChild>
                    <w:div w:id="1732802006">
                      <w:marLeft w:val="0"/>
                      <w:marRight w:val="0"/>
                      <w:marTop w:val="0"/>
                      <w:marBottom w:val="0"/>
                      <w:divBdr>
                        <w:top w:val="none" w:sz="0" w:space="0" w:color="auto"/>
                        <w:left w:val="none" w:sz="0" w:space="0" w:color="auto"/>
                        <w:bottom w:val="none" w:sz="0" w:space="0" w:color="auto"/>
                        <w:right w:val="none" w:sz="0" w:space="0" w:color="auto"/>
                      </w:divBdr>
                    </w:div>
                  </w:divsChild>
                </w:div>
                <w:div w:id="1953583473">
                  <w:marLeft w:val="0"/>
                  <w:marRight w:val="0"/>
                  <w:marTop w:val="0"/>
                  <w:marBottom w:val="0"/>
                  <w:divBdr>
                    <w:top w:val="none" w:sz="0" w:space="0" w:color="auto"/>
                    <w:left w:val="none" w:sz="0" w:space="0" w:color="auto"/>
                    <w:bottom w:val="none" w:sz="0" w:space="0" w:color="auto"/>
                    <w:right w:val="none" w:sz="0" w:space="0" w:color="auto"/>
                  </w:divBdr>
                  <w:divsChild>
                    <w:div w:id="1636137435">
                      <w:marLeft w:val="0"/>
                      <w:marRight w:val="0"/>
                      <w:marTop w:val="0"/>
                      <w:marBottom w:val="0"/>
                      <w:divBdr>
                        <w:top w:val="none" w:sz="0" w:space="0" w:color="auto"/>
                        <w:left w:val="none" w:sz="0" w:space="0" w:color="auto"/>
                        <w:bottom w:val="none" w:sz="0" w:space="0" w:color="auto"/>
                        <w:right w:val="none" w:sz="0" w:space="0" w:color="auto"/>
                      </w:divBdr>
                    </w:div>
                  </w:divsChild>
                </w:div>
                <w:div w:id="23795305">
                  <w:marLeft w:val="0"/>
                  <w:marRight w:val="0"/>
                  <w:marTop w:val="0"/>
                  <w:marBottom w:val="0"/>
                  <w:divBdr>
                    <w:top w:val="none" w:sz="0" w:space="0" w:color="auto"/>
                    <w:left w:val="none" w:sz="0" w:space="0" w:color="auto"/>
                    <w:bottom w:val="none" w:sz="0" w:space="0" w:color="auto"/>
                    <w:right w:val="none" w:sz="0" w:space="0" w:color="auto"/>
                  </w:divBdr>
                  <w:divsChild>
                    <w:div w:id="2078625227">
                      <w:marLeft w:val="0"/>
                      <w:marRight w:val="0"/>
                      <w:marTop w:val="0"/>
                      <w:marBottom w:val="0"/>
                      <w:divBdr>
                        <w:top w:val="none" w:sz="0" w:space="0" w:color="auto"/>
                        <w:left w:val="none" w:sz="0" w:space="0" w:color="auto"/>
                        <w:bottom w:val="none" w:sz="0" w:space="0" w:color="auto"/>
                        <w:right w:val="none" w:sz="0" w:space="0" w:color="auto"/>
                      </w:divBdr>
                    </w:div>
                  </w:divsChild>
                </w:div>
                <w:div w:id="621159163">
                  <w:marLeft w:val="0"/>
                  <w:marRight w:val="0"/>
                  <w:marTop w:val="0"/>
                  <w:marBottom w:val="0"/>
                  <w:divBdr>
                    <w:top w:val="none" w:sz="0" w:space="0" w:color="auto"/>
                    <w:left w:val="none" w:sz="0" w:space="0" w:color="auto"/>
                    <w:bottom w:val="none" w:sz="0" w:space="0" w:color="auto"/>
                    <w:right w:val="none" w:sz="0" w:space="0" w:color="auto"/>
                  </w:divBdr>
                  <w:divsChild>
                    <w:div w:id="1016226010">
                      <w:marLeft w:val="0"/>
                      <w:marRight w:val="0"/>
                      <w:marTop w:val="0"/>
                      <w:marBottom w:val="0"/>
                      <w:divBdr>
                        <w:top w:val="none" w:sz="0" w:space="0" w:color="auto"/>
                        <w:left w:val="none" w:sz="0" w:space="0" w:color="auto"/>
                        <w:bottom w:val="none" w:sz="0" w:space="0" w:color="auto"/>
                        <w:right w:val="none" w:sz="0" w:space="0" w:color="auto"/>
                      </w:divBdr>
                    </w:div>
                  </w:divsChild>
                </w:div>
                <w:div w:id="78066483">
                  <w:marLeft w:val="0"/>
                  <w:marRight w:val="0"/>
                  <w:marTop w:val="0"/>
                  <w:marBottom w:val="0"/>
                  <w:divBdr>
                    <w:top w:val="none" w:sz="0" w:space="0" w:color="auto"/>
                    <w:left w:val="none" w:sz="0" w:space="0" w:color="auto"/>
                    <w:bottom w:val="none" w:sz="0" w:space="0" w:color="auto"/>
                    <w:right w:val="none" w:sz="0" w:space="0" w:color="auto"/>
                  </w:divBdr>
                  <w:divsChild>
                    <w:div w:id="165024055">
                      <w:marLeft w:val="0"/>
                      <w:marRight w:val="0"/>
                      <w:marTop w:val="0"/>
                      <w:marBottom w:val="0"/>
                      <w:divBdr>
                        <w:top w:val="none" w:sz="0" w:space="0" w:color="auto"/>
                        <w:left w:val="none" w:sz="0" w:space="0" w:color="auto"/>
                        <w:bottom w:val="none" w:sz="0" w:space="0" w:color="auto"/>
                        <w:right w:val="none" w:sz="0" w:space="0" w:color="auto"/>
                      </w:divBdr>
                    </w:div>
                  </w:divsChild>
                </w:div>
                <w:div w:id="813641530">
                  <w:marLeft w:val="0"/>
                  <w:marRight w:val="0"/>
                  <w:marTop w:val="0"/>
                  <w:marBottom w:val="0"/>
                  <w:divBdr>
                    <w:top w:val="none" w:sz="0" w:space="0" w:color="auto"/>
                    <w:left w:val="none" w:sz="0" w:space="0" w:color="auto"/>
                    <w:bottom w:val="none" w:sz="0" w:space="0" w:color="auto"/>
                    <w:right w:val="none" w:sz="0" w:space="0" w:color="auto"/>
                  </w:divBdr>
                  <w:divsChild>
                    <w:div w:id="1304965435">
                      <w:marLeft w:val="0"/>
                      <w:marRight w:val="0"/>
                      <w:marTop w:val="0"/>
                      <w:marBottom w:val="0"/>
                      <w:divBdr>
                        <w:top w:val="none" w:sz="0" w:space="0" w:color="auto"/>
                        <w:left w:val="none" w:sz="0" w:space="0" w:color="auto"/>
                        <w:bottom w:val="none" w:sz="0" w:space="0" w:color="auto"/>
                        <w:right w:val="none" w:sz="0" w:space="0" w:color="auto"/>
                      </w:divBdr>
                    </w:div>
                  </w:divsChild>
                </w:div>
                <w:div w:id="1046416603">
                  <w:marLeft w:val="0"/>
                  <w:marRight w:val="0"/>
                  <w:marTop w:val="0"/>
                  <w:marBottom w:val="0"/>
                  <w:divBdr>
                    <w:top w:val="none" w:sz="0" w:space="0" w:color="auto"/>
                    <w:left w:val="none" w:sz="0" w:space="0" w:color="auto"/>
                    <w:bottom w:val="none" w:sz="0" w:space="0" w:color="auto"/>
                    <w:right w:val="none" w:sz="0" w:space="0" w:color="auto"/>
                  </w:divBdr>
                  <w:divsChild>
                    <w:div w:id="1673295458">
                      <w:marLeft w:val="0"/>
                      <w:marRight w:val="0"/>
                      <w:marTop w:val="0"/>
                      <w:marBottom w:val="0"/>
                      <w:divBdr>
                        <w:top w:val="none" w:sz="0" w:space="0" w:color="auto"/>
                        <w:left w:val="none" w:sz="0" w:space="0" w:color="auto"/>
                        <w:bottom w:val="none" w:sz="0" w:space="0" w:color="auto"/>
                        <w:right w:val="none" w:sz="0" w:space="0" w:color="auto"/>
                      </w:divBdr>
                    </w:div>
                  </w:divsChild>
                </w:div>
                <w:div w:id="1216624910">
                  <w:marLeft w:val="0"/>
                  <w:marRight w:val="0"/>
                  <w:marTop w:val="0"/>
                  <w:marBottom w:val="0"/>
                  <w:divBdr>
                    <w:top w:val="none" w:sz="0" w:space="0" w:color="auto"/>
                    <w:left w:val="none" w:sz="0" w:space="0" w:color="auto"/>
                    <w:bottom w:val="none" w:sz="0" w:space="0" w:color="auto"/>
                    <w:right w:val="none" w:sz="0" w:space="0" w:color="auto"/>
                  </w:divBdr>
                  <w:divsChild>
                    <w:div w:id="945774153">
                      <w:marLeft w:val="0"/>
                      <w:marRight w:val="0"/>
                      <w:marTop w:val="0"/>
                      <w:marBottom w:val="0"/>
                      <w:divBdr>
                        <w:top w:val="none" w:sz="0" w:space="0" w:color="auto"/>
                        <w:left w:val="none" w:sz="0" w:space="0" w:color="auto"/>
                        <w:bottom w:val="none" w:sz="0" w:space="0" w:color="auto"/>
                        <w:right w:val="none" w:sz="0" w:space="0" w:color="auto"/>
                      </w:divBdr>
                    </w:div>
                  </w:divsChild>
                </w:div>
                <w:div w:id="917980465">
                  <w:marLeft w:val="0"/>
                  <w:marRight w:val="0"/>
                  <w:marTop w:val="0"/>
                  <w:marBottom w:val="0"/>
                  <w:divBdr>
                    <w:top w:val="none" w:sz="0" w:space="0" w:color="auto"/>
                    <w:left w:val="none" w:sz="0" w:space="0" w:color="auto"/>
                    <w:bottom w:val="none" w:sz="0" w:space="0" w:color="auto"/>
                    <w:right w:val="none" w:sz="0" w:space="0" w:color="auto"/>
                  </w:divBdr>
                  <w:divsChild>
                    <w:div w:id="1712069505">
                      <w:marLeft w:val="0"/>
                      <w:marRight w:val="0"/>
                      <w:marTop w:val="0"/>
                      <w:marBottom w:val="0"/>
                      <w:divBdr>
                        <w:top w:val="none" w:sz="0" w:space="0" w:color="auto"/>
                        <w:left w:val="none" w:sz="0" w:space="0" w:color="auto"/>
                        <w:bottom w:val="none" w:sz="0" w:space="0" w:color="auto"/>
                        <w:right w:val="none" w:sz="0" w:space="0" w:color="auto"/>
                      </w:divBdr>
                    </w:div>
                  </w:divsChild>
                </w:div>
                <w:div w:id="1678189346">
                  <w:marLeft w:val="0"/>
                  <w:marRight w:val="0"/>
                  <w:marTop w:val="0"/>
                  <w:marBottom w:val="0"/>
                  <w:divBdr>
                    <w:top w:val="none" w:sz="0" w:space="0" w:color="auto"/>
                    <w:left w:val="none" w:sz="0" w:space="0" w:color="auto"/>
                    <w:bottom w:val="none" w:sz="0" w:space="0" w:color="auto"/>
                    <w:right w:val="none" w:sz="0" w:space="0" w:color="auto"/>
                  </w:divBdr>
                  <w:divsChild>
                    <w:div w:id="339813294">
                      <w:marLeft w:val="0"/>
                      <w:marRight w:val="0"/>
                      <w:marTop w:val="0"/>
                      <w:marBottom w:val="0"/>
                      <w:divBdr>
                        <w:top w:val="none" w:sz="0" w:space="0" w:color="auto"/>
                        <w:left w:val="none" w:sz="0" w:space="0" w:color="auto"/>
                        <w:bottom w:val="none" w:sz="0" w:space="0" w:color="auto"/>
                        <w:right w:val="none" w:sz="0" w:space="0" w:color="auto"/>
                      </w:divBdr>
                    </w:div>
                  </w:divsChild>
                </w:div>
                <w:div w:id="1942569961">
                  <w:marLeft w:val="0"/>
                  <w:marRight w:val="0"/>
                  <w:marTop w:val="0"/>
                  <w:marBottom w:val="0"/>
                  <w:divBdr>
                    <w:top w:val="none" w:sz="0" w:space="0" w:color="auto"/>
                    <w:left w:val="none" w:sz="0" w:space="0" w:color="auto"/>
                    <w:bottom w:val="none" w:sz="0" w:space="0" w:color="auto"/>
                    <w:right w:val="none" w:sz="0" w:space="0" w:color="auto"/>
                  </w:divBdr>
                  <w:divsChild>
                    <w:div w:id="18645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3543">
      <w:bodyDiv w:val="1"/>
      <w:marLeft w:val="0"/>
      <w:marRight w:val="0"/>
      <w:marTop w:val="0"/>
      <w:marBottom w:val="0"/>
      <w:divBdr>
        <w:top w:val="none" w:sz="0" w:space="0" w:color="auto"/>
        <w:left w:val="none" w:sz="0" w:space="0" w:color="auto"/>
        <w:bottom w:val="none" w:sz="0" w:space="0" w:color="auto"/>
        <w:right w:val="none" w:sz="0" w:space="0" w:color="auto"/>
      </w:divBdr>
    </w:div>
    <w:div w:id="109401520">
      <w:bodyDiv w:val="1"/>
      <w:marLeft w:val="0"/>
      <w:marRight w:val="0"/>
      <w:marTop w:val="0"/>
      <w:marBottom w:val="0"/>
      <w:divBdr>
        <w:top w:val="none" w:sz="0" w:space="0" w:color="auto"/>
        <w:left w:val="none" w:sz="0" w:space="0" w:color="auto"/>
        <w:bottom w:val="none" w:sz="0" w:space="0" w:color="auto"/>
        <w:right w:val="none" w:sz="0" w:space="0" w:color="auto"/>
      </w:divBdr>
    </w:div>
    <w:div w:id="112526860">
      <w:bodyDiv w:val="1"/>
      <w:marLeft w:val="0"/>
      <w:marRight w:val="0"/>
      <w:marTop w:val="0"/>
      <w:marBottom w:val="0"/>
      <w:divBdr>
        <w:top w:val="none" w:sz="0" w:space="0" w:color="auto"/>
        <w:left w:val="none" w:sz="0" w:space="0" w:color="auto"/>
        <w:bottom w:val="none" w:sz="0" w:space="0" w:color="auto"/>
        <w:right w:val="none" w:sz="0" w:space="0" w:color="auto"/>
      </w:divBdr>
    </w:div>
    <w:div w:id="122509324">
      <w:bodyDiv w:val="1"/>
      <w:marLeft w:val="0"/>
      <w:marRight w:val="0"/>
      <w:marTop w:val="0"/>
      <w:marBottom w:val="0"/>
      <w:divBdr>
        <w:top w:val="none" w:sz="0" w:space="0" w:color="auto"/>
        <w:left w:val="none" w:sz="0" w:space="0" w:color="auto"/>
        <w:bottom w:val="none" w:sz="0" w:space="0" w:color="auto"/>
        <w:right w:val="none" w:sz="0" w:space="0" w:color="auto"/>
      </w:divBdr>
    </w:div>
    <w:div w:id="135880544">
      <w:bodyDiv w:val="1"/>
      <w:marLeft w:val="0"/>
      <w:marRight w:val="0"/>
      <w:marTop w:val="0"/>
      <w:marBottom w:val="0"/>
      <w:divBdr>
        <w:top w:val="none" w:sz="0" w:space="0" w:color="auto"/>
        <w:left w:val="none" w:sz="0" w:space="0" w:color="auto"/>
        <w:bottom w:val="none" w:sz="0" w:space="0" w:color="auto"/>
        <w:right w:val="none" w:sz="0" w:space="0" w:color="auto"/>
      </w:divBdr>
    </w:div>
    <w:div w:id="136724003">
      <w:bodyDiv w:val="1"/>
      <w:marLeft w:val="0"/>
      <w:marRight w:val="0"/>
      <w:marTop w:val="0"/>
      <w:marBottom w:val="0"/>
      <w:divBdr>
        <w:top w:val="none" w:sz="0" w:space="0" w:color="auto"/>
        <w:left w:val="none" w:sz="0" w:space="0" w:color="auto"/>
        <w:bottom w:val="none" w:sz="0" w:space="0" w:color="auto"/>
        <w:right w:val="none" w:sz="0" w:space="0" w:color="auto"/>
      </w:divBdr>
    </w:div>
    <w:div w:id="137306045">
      <w:bodyDiv w:val="1"/>
      <w:marLeft w:val="0"/>
      <w:marRight w:val="0"/>
      <w:marTop w:val="0"/>
      <w:marBottom w:val="0"/>
      <w:divBdr>
        <w:top w:val="none" w:sz="0" w:space="0" w:color="auto"/>
        <w:left w:val="none" w:sz="0" w:space="0" w:color="auto"/>
        <w:bottom w:val="none" w:sz="0" w:space="0" w:color="auto"/>
        <w:right w:val="none" w:sz="0" w:space="0" w:color="auto"/>
      </w:divBdr>
    </w:div>
    <w:div w:id="156191009">
      <w:bodyDiv w:val="1"/>
      <w:marLeft w:val="0"/>
      <w:marRight w:val="0"/>
      <w:marTop w:val="0"/>
      <w:marBottom w:val="0"/>
      <w:divBdr>
        <w:top w:val="none" w:sz="0" w:space="0" w:color="auto"/>
        <w:left w:val="none" w:sz="0" w:space="0" w:color="auto"/>
        <w:bottom w:val="none" w:sz="0" w:space="0" w:color="auto"/>
        <w:right w:val="none" w:sz="0" w:space="0" w:color="auto"/>
      </w:divBdr>
    </w:div>
    <w:div w:id="170947963">
      <w:bodyDiv w:val="1"/>
      <w:marLeft w:val="0"/>
      <w:marRight w:val="0"/>
      <w:marTop w:val="0"/>
      <w:marBottom w:val="0"/>
      <w:divBdr>
        <w:top w:val="none" w:sz="0" w:space="0" w:color="auto"/>
        <w:left w:val="none" w:sz="0" w:space="0" w:color="auto"/>
        <w:bottom w:val="none" w:sz="0" w:space="0" w:color="auto"/>
        <w:right w:val="none" w:sz="0" w:space="0" w:color="auto"/>
      </w:divBdr>
    </w:div>
    <w:div w:id="173541873">
      <w:bodyDiv w:val="1"/>
      <w:marLeft w:val="0"/>
      <w:marRight w:val="0"/>
      <w:marTop w:val="0"/>
      <w:marBottom w:val="0"/>
      <w:divBdr>
        <w:top w:val="none" w:sz="0" w:space="0" w:color="auto"/>
        <w:left w:val="none" w:sz="0" w:space="0" w:color="auto"/>
        <w:bottom w:val="none" w:sz="0" w:space="0" w:color="auto"/>
        <w:right w:val="none" w:sz="0" w:space="0" w:color="auto"/>
      </w:divBdr>
    </w:div>
    <w:div w:id="183372399">
      <w:bodyDiv w:val="1"/>
      <w:marLeft w:val="0"/>
      <w:marRight w:val="0"/>
      <w:marTop w:val="0"/>
      <w:marBottom w:val="0"/>
      <w:divBdr>
        <w:top w:val="none" w:sz="0" w:space="0" w:color="auto"/>
        <w:left w:val="none" w:sz="0" w:space="0" w:color="auto"/>
        <w:bottom w:val="none" w:sz="0" w:space="0" w:color="auto"/>
        <w:right w:val="none" w:sz="0" w:space="0" w:color="auto"/>
      </w:divBdr>
    </w:div>
    <w:div w:id="186188220">
      <w:bodyDiv w:val="1"/>
      <w:marLeft w:val="0"/>
      <w:marRight w:val="0"/>
      <w:marTop w:val="0"/>
      <w:marBottom w:val="0"/>
      <w:divBdr>
        <w:top w:val="none" w:sz="0" w:space="0" w:color="auto"/>
        <w:left w:val="none" w:sz="0" w:space="0" w:color="auto"/>
        <w:bottom w:val="none" w:sz="0" w:space="0" w:color="auto"/>
        <w:right w:val="none" w:sz="0" w:space="0" w:color="auto"/>
      </w:divBdr>
    </w:div>
    <w:div w:id="197865277">
      <w:bodyDiv w:val="1"/>
      <w:marLeft w:val="0"/>
      <w:marRight w:val="0"/>
      <w:marTop w:val="0"/>
      <w:marBottom w:val="0"/>
      <w:divBdr>
        <w:top w:val="none" w:sz="0" w:space="0" w:color="auto"/>
        <w:left w:val="none" w:sz="0" w:space="0" w:color="auto"/>
        <w:bottom w:val="none" w:sz="0" w:space="0" w:color="auto"/>
        <w:right w:val="none" w:sz="0" w:space="0" w:color="auto"/>
      </w:divBdr>
    </w:div>
    <w:div w:id="198863431">
      <w:bodyDiv w:val="1"/>
      <w:marLeft w:val="0"/>
      <w:marRight w:val="0"/>
      <w:marTop w:val="0"/>
      <w:marBottom w:val="0"/>
      <w:divBdr>
        <w:top w:val="none" w:sz="0" w:space="0" w:color="auto"/>
        <w:left w:val="none" w:sz="0" w:space="0" w:color="auto"/>
        <w:bottom w:val="none" w:sz="0" w:space="0" w:color="auto"/>
        <w:right w:val="none" w:sz="0" w:space="0" w:color="auto"/>
      </w:divBdr>
    </w:div>
    <w:div w:id="199051546">
      <w:bodyDiv w:val="1"/>
      <w:marLeft w:val="0"/>
      <w:marRight w:val="0"/>
      <w:marTop w:val="0"/>
      <w:marBottom w:val="0"/>
      <w:divBdr>
        <w:top w:val="none" w:sz="0" w:space="0" w:color="auto"/>
        <w:left w:val="none" w:sz="0" w:space="0" w:color="auto"/>
        <w:bottom w:val="none" w:sz="0" w:space="0" w:color="auto"/>
        <w:right w:val="none" w:sz="0" w:space="0" w:color="auto"/>
      </w:divBdr>
    </w:div>
    <w:div w:id="212546650">
      <w:bodyDiv w:val="1"/>
      <w:marLeft w:val="0"/>
      <w:marRight w:val="0"/>
      <w:marTop w:val="0"/>
      <w:marBottom w:val="0"/>
      <w:divBdr>
        <w:top w:val="none" w:sz="0" w:space="0" w:color="auto"/>
        <w:left w:val="none" w:sz="0" w:space="0" w:color="auto"/>
        <w:bottom w:val="none" w:sz="0" w:space="0" w:color="auto"/>
        <w:right w:val="none" w:sz="0" w:space="0" w:color="auto"/>
      </w:divBdr>
    </w:div>
    <w:div w:id="214388051">
      <w:bodyDiv w:val="1"/>
      <w:marLeft w:val="0"/>
      <w:marRight w:val="0"/>
      <w:marTop w:val="0"/>
      <w:marBottom w:val="0"/>
      <w:divBdr>
        <w:top w:val="none" w:sz="0" w:space="0" w:color="auto"/>
        <w:left w:val="none" w:sz="0" w:space="0" w:color="auto"/>
        <w:bottom w:val="none" w:sz="0" w:space="0" w:color="auto"/>
        <w:right w:val="none" w:sz="0" w:space="0" w:color="auto"/>
      </w:divBdr>
    </w:div>
    <w:div w:id="216480185">
      <w:bodyDiv w:val="1"/>
      <w:marLeft w:val="0"/>
      <w:marRight w:val="0"/>
      <w:marTop w:val="0"/>
      <w:marBottom w:val="0"/>
      <w:divBdr>
        <w:top w:val="none" w:sz="0" w:space="0" w:color="auto"/>
        <w:left w:val="none" w:sz="0" w:space="0" w:color="auto"/>
        <w:bottom w:val="none" w:sz="0" w:space="0" w:color="auto"/>
        <w:right w:val="none" w:sz="0" w:space="0" w:color="auto"/>
      </w:divBdr>
    </w:div>
    <w:div w:id="219369887">
      <w:bodyDiv w:val="1"/>
      <w:marLeft w:val="0"/>
      <w:marRight w:val="0"/>
      <w:marTop w:val="0"/>
      <w:marBottom w:val="0"/>
      <w:divBdr>
        <w:top w:val="none" w:sz="0" w:space="0" w:color="auto"/>
        <w:left w:val="none" w:sz="0" w:space="0" w:color="auto"/>
        <w:bottom w:val="none" w:sz="0" w:space="0" w:color="auto"/>
        <w:right w:val="none" w:sz="0" w:space="0" w:color="auto"/>
      </w:divBdr>
    </w:div>
    <w:div w:id="219707704">
      <w:bodyDiv w:val="1"/>
      <w:marLeft w:val="0"/>
      <w:marRight w:val="0"/>
      <w:marTop w:val="0"/>
      <w:marBottom w:val="0"/>
      <w:divBdr>
        <w:top w:val="none" w:sz="0" w:space="0" w:color="auto"/>
        <w:left w:val="none" w:sz="0" w:space="0" w:color="auto"/>
        <w:bottom w:val="none" w:sz="0" w:space="0" w:color="auto"/>
        <w:right w:val="none" w:sz="0" w:space="0" w:color="auto"/>
      </w:divBdr>
    </w:div>
    <w:div w:id="230430235">
      <w:bodyDiv w:val="1"/>
      <w:marLeft w:val="0"/>
      <w:marRight w:val="0"/>
      <w:marTop w:val="0"/>
      <w:marBottom w:val="0"/>
      <w:divBdr>
        <w:top w:val="none" w:sz="0" w:space="0" w:color="auto"/>
        <w:left w:val="none" w:sz="0" w:space="0" w:color="auto"/>
        <w:bottom w:val="none" w:sz="0" w:space="0" w:color="auto"/>
        <w:right w:val="none" w:sz="0" w:space="0" w:color="auto"/>
      </w:divBdr>
    </w:div>
    <w:div w:id="236600819">
      <w:bodyDiv w:val="1"/>
      <w:marLeft w:val="0"/>
      <w:marRight w:val="0"/>
      <w:marTop w:val="0"/>
      <w:marBottom w:val="0"/>
      <w:divBdr>
        <w:top w:val="none" w:sz="0" w:space="0" w:color="auto"/>
        <w:left w:val="none" w:sz="0" w:space="0" w:color="auto"/>
        <w:bottom w:val="none" w:sz="0" w:space="0" w:color="auto"/>
        <w:right w:val="none" w:sz="0" w:space="0" w:color="auto"/>
      </w:divBdr>
    </w:div>
    <w:div w:id="239757608">
      <w:bodyDiv w:val="1"/>
      <w:marLeft w:val="0"/>
      <w:marRight w:val="0"/>
      <w:marTop w:val="0"/>
      <w:marBottom w:val="0"/>
      <w:divBdr>
        <w:top w:val="none" w:sz="0" w:space="0" w:color="auto"/>
        <w:left w:val="none" w:sz="0" w:space="0" w:color="auto"/>
        <w:bottom w:val="none" w:sz="0" w:space="0" w:color="auto"/>
        <w:right w:val="none" w:sz="0" w:space="0" w:color="auto"/>
      </w:divBdr>
    </w:div>
    <w:div w:id="240219350">
      <w:bodyDiv w:val="1"/>
      <w:marLeft w:val="0"/>
      <w:marRight w:val="0"/>
      <w:marTop w:val="0"/>
      <w:marBottom w:val="0"/>
      <w:divBdr>
        <w:top w:val="none" w:sz="0" w:space="0" w:color="auto"/>
        <w:left w:val="none" w:sz="0" w:space="0" w:color="auto"/>
        <w:bottom w:val="none" w:sz="0" w:space="0" w:color="auto"/>
        <w:right w:val="none" w:sz="0" w:space="0" w:color="auto"/>
      </w:divBdr>
    </w:div>
    <w:div w:id="243491058">
      <w:bodyDiv w:val="1"/>
      <w:marLeft w:val="0"/>
      <w:marRight w:val="0"/>
      <w:marTop w:val="0"/>
      <w:marBottom w:val="0"/>
      <w:divBdr>
        <w:top w:val="none" w:sz="0" w:space="0" w:color="auto"/>
        <w:left w:val="none" w:sz="0" w:space="0" w:color="auto"/>
        <w:bottom w:val="none" w:sz="0" w:space="0" w:color="auto"/>
        <w:right w:val="none" w:sz="0" w:space="0" w:color="auto"/>
      </w:divBdr>
    </w:div>
    <w:div w:id="248198758">
      <w:bodyDiv w:val="1"/>
      <w:marLeft w:val="0"/>
      <w:marRight w:val="0"/>
      <w:marTop w:val="0"/>
      <w:marBottom w:val="0"/>
      <w:divBdr>
        <w:top w:val="none" w:sz="0" w:space="0" w:color="auto"/>
        <w:left w:val="none" w:sz="0" w:space="0" w:color="auto"/>
        <w:bottom w:val="none" w:sz="0" w:space="0" w:color="auto"/>
        <w:right w:val="none" w:sz="0" w:space="0" w:color="auto"/>
      </w:divBdr>
    </w:div>
    <w:div w:id="249780759">
      <w:bodyDiv w:val="1"/>
      <w:marLeft w:val="0"/>
      <w:marRight w:val="0"/>
      <w:marTop w:val="0"/>
      <w:marBottom w:val="0"/>
      <w:divBdr>
        <w:top w:val="none" w:sz="0" w:space="0" w:color="auto"/>
        <w:left w:val="none" w:sz="0" w:space="0" w:color="auto"/>
        <w:bottom w:val="none" w:sz="0" w:space="0" w:color="auto"/>
        <w:right w:val="none" w:sz="0" w:space="0" w:color="auto"/>
      </w:divBdr>
    </w:div>
    <w:div w:id="250895248">
      <w:bodyDiv w:val="1"/>
      <w:marLeft w:val="0"/>
      <w:marRight w:val="0"/>
      <w:marTop w:val="0"/>
      <w:marBottom w:val="0"/>
      <w:divBdr>
        <w:top w:val="none" w:sz="0" w:space="0" w:color="auto"/>
        <w:left w:val="none" w:sz="0" w:space="0" w:color="auto"/>
        <w:bottom w:val="none" w:sz="0" w:space="0" w:color="auto"/>
        <w:right w:val="none" w:sz="0" w:space="0" w:color="auto"/>
      </w:divBdr>
    </w:div>
    <w:div w:id="253126646">
      <w:bodyDiv w:val="1"/>
      <w:marLeft w:val="0"/>
      <w:marRight w:val="0"/>
      <w:marTop w:val="0"/>
      <w:marBottom w:val="0"/>
      <w:divBdr>
        <w:top w:val="none" w:sz="0" w:space="0" w:color="auto"/>
        <w:left w:val="none" w:sz="0" w:space="0" w:color="auto"/>
        <w:bottom w:val="none" w:sz="0" w:space="0" w:color="auto"/>
        <w:right w:val="none" w:sz="0" w:space="0" w:color="auto"/>
      </w:divBdr>
    </w:div>
    <w:div w:id="260455693">
      <w:bodyDiv w:val="1"/>
      <w:marLeft w:val="0"/>
      <w:marRight w:val="0"/>
      <w:marTop w:val="0"/>
      <w:marBottom w:val="0"/>
      <w:divBdr>
        <w:top w:val="none" w:sz="0" w:space="0" w:color="auto"/>
        <w:left w:val="none" w:sz="0" w:space="0" w:color="auto"/>
        <w:bottom w:val="none" w:sz="0" w:space="0" w:color="auto"/>
        <w:right w:val="none" w:sz="0" w:space="0" w:color="auto"/>
      </w:divBdr>
    </w:div>
    <w:div w:id="273556581">
      <w:bodyDiv w:val="1"/>
      <w:marLeft w:val="0"/>
      <w:marRight w:val="0"/>
      <w:marTop w:val="0"/>
      <w:marBottom w:val="0"/>
      <w:divBdr>
        <w:top w:val="none" w:sz="0" w:space="0" w:color="auto"/>
        <w:left w:val="none" w:sz="0" w:space="0" w:color="auto"/>
        <w:bottom w:val="none" w:sz="0" w:space="0" w:color="auto"/>
        <w:right w:val="none" w:sz="0" w:space="0" w:color="auto"/>
      </w:divBdr>
    </w:div>
    <w:div w:id="285239662">
      <w:bodyDiv w:val="1"/>
      <w:marLeft w:val="0"/>
      <w:marRight w:val="0"/>
      <w:marTop w:val="0"/>
      <w:marBottom w:val="0"/>
      <w:divBdr>
        <w:top w:val="none" w:sz="0" w:space="0" w:color="auto"/>
        <w:left w:val="none" w:sz="0" w:space="0" w:color="auto"/>
        <w:bottom w:val="none" w:sz="0" w:space="0" w:color="auto"/>
        <w:right w:val="none" w:sz="0" w:space="0" w:color="auto"/>
      </w:divBdr>
    </w:div>
    <w:div w:id="285628696">
      <w:bodyDiv w:val="1"/>
      <w:marLeft w:val="0"/>
      <w:marRight w:val="0"/>
      <w:marTop w:val="0"/>
      <w:marBottom w:val="0"/>
      <w:divBdr>
        <w:top w:val="none" w:sz="0" w:space="0" w:color="auto"/>
        <w:left w:val="none" w:sz="0" w:space="0" w:color="auto"/>
        <w:bottom w:val="none" w:sz="0" w:space="0" w:color="auto"/>
        <w:right w:val="none" w:sz="0" w:space="0" w:color="auto"/>
      </w:divBdr>
    </w:div>
    <w:div w:id="290944244">
      <w:bodyDiv w:val="1"/>
      <w:marLeft w:val="0"/>
      <w:marRight w:val="0"/>
      <w:marTop w:val="0"/>
      <w:marBottom w:val="0"/>
      <w:divBdr>
        <w:top w:val="none" w:sz="0" w:space="0" w:color="auto"/>
        <w:left w:val="none" w:sz="0" w:space="0" w:color="auto"/>
        <w:bottom w:val="none" w:sz="0" w:space="0" w:color="auto"/>
        <w:right w:val="none" w:sz="0" w:space="0" w:color="auto"/>
      </w:divBdr>
    </w:div>
    <w:div w:id="301737777">
      <w:bodyDiv w:val="1"/>
      <w:marLeft w:val="0"/>
      <w:marRight w:val="0"/>
      <w:marTop w:val="0"/>
      <w:marBottom w:val="0"/>
      <w:divBdr>
        <w:top w:val="none" w:sz="0" w:space="0" w:color="auto"/>
        <w:left w:val="none" w:sz="0" w:space="0" w:color="auto"/>
        <w:bottom w:val="none" w:sz="0" w:space="0" w:color="auto"/>
        <w:right w:val="none" w:sz="0" w:space="0" w:color="auto"/>
      </w:divBdr>
    </w:div>
    <w:div w:id="315957796">
      <w:bodyDiv w:val="1"/>
      <w:marLeft w:val="0"/>
      <w:marRight w:val="0"/>
      <w:marTop w:val="0"/>
      <w:marBottom w:val="0"/>
      <w:divBdr>
        <w:top w:val="none" w:sz="0" w:space="0" w:color="auto"/>
        <w:left w:val="none" w:sz="0" w:space="0" w:color="auto"/>
        <w:bottom w:val="none" w:sz="0" w:space="0" w:color="auto"/>
        <w:right w:val="none" w:sz="0" w:space="0" w:color="auto"/>
      </w:divBdr>
    </w:div>
    <w:div w:id="340470745">
      <w:bodyDiv w:val="1"/>
      <w:marLeft w:val="0"/>
      <w:marRight w:val="0"/>
      <w:marTop w:val="0"/>
      <w:marBottom w:val="0"/>
      <w:divBdr>
        <w:top w:val="none" w:sz="0" w:space="0" w:color="auto"/>
        <w:left w:val="none" w:sz="0" w:space="0" w:color="auto"/>
        <w:bottom w:val="none" w:sz="0" w:space="0" w:color="auto"/>
        <w:right w:val="none" w:sz="0" w:space="0" w:color="auto"/>
      </w:divBdr>
    </w:div>
    <w:div w:id="342318048">
      <w:bodyDiv w:val="1"/>
      <w:marLeft w:val="0"/>
      <w:marRight w:val="0"/>
      <w:marTop w:val="0"/>
      <w:marBottom w:val="0"/>
      <w:divBdr>
        <w:top w:val="none" w:sz="0" w:space="0" w:color="auto"/>
        <w:left w:val="none" w:sz="0" w:space="0" w:color="auto"/>
        <w:bottom w:val="none" w:sz="0" w:space="0" w:color="auto"/>
        <w:right w:val="none" w:sz="0" w:space="0" w:color="auto"/>
      </w:divBdr>
    </w:div>
    <w:div w:id="344326832">
      <w:bodyDiv w:val="1"/>
      <w:marLeft w:val="0"/>
      <w:marRight w:val="0"/>
      <w:marTop w:val="0"/>
      <w:marBottom w:val="0"/>
      <w:divBdr>
        <w:top w:val="none" w:sz="0" w:space="0" w:color="auto"/>
        <w:left w:val="none" w:sz="0" w:space="0" w:color="auto"/>
        <w:bottom w:val="none" w:sz="0" w:space="0" w:color="auto"/>
        <w:right w:val="none" w:sz="0" w:space="0" w:color="auto"/>
      </w:divBdr>
    </w:div>
    <w:div w:id="347604148">
      <w:bodyDiv w:val="1"/>
      <w:marLeft w:val="0"/>
      <w:marRight w:val="0"/>
      <w:marTop w:val="0"/>
      <w:marBottom w:val="0"/>
      <w:divBdr>
        <w:top w:val="none" w:sz="0" w:space="0" w:color="auto"/>
        <w:left w:val="none" w:sz="0" w:space="0" w:color="auto"/>
        <w:bottom w:val="none" w:sz="0" w:space="0" w:color="auto"/>
        <w:right w:val="none" w:sz="0" w:space="0" w:color="auto"/>
      </w:divBdr>
    </w:div>
    <w:div w:id="359666738">
      <w:bodyDiv w:val="1"/>
      <w:marLeft w:val="0"/>
      <w:marRight w:val="0"/>
      <w:marTop w:val="0"/>
      <w:marBottom w:val="0"/>
      <w:divBdr>
        <w:top w:val="none" w:sz="0" w:space="0" w:color="auto"/>
        <w:left w:val="none" w:sz="0" w:space="0" w:color="auto"/>
        <w:bottom w:val="none" w:sz="0" w:space="0" w:color="auto"/>
        <w:right w:val="none" w:sz="0" w:space="0" w:color="auto"/>
      </w:divBdr>
    </w:div>
    <w:div w:id="364791873">
      <w:bodyDiv w:val="1"/>
      <w:marLeft w:val="0"/>
      <w:marRight w:val="0"/>
      <w:marTop w:val="0"/>
      <w:marBottom w:val="0"/>
      <w:divBdr>
        <w:top w:val="none" w:sz="0" w:space="0" w:color="auto"/>
        <w:left w:val="none" w:sz="0" w:space="0" w:color="auto"/>
        <w:bottom w:val="none" w:sz="0" w:space="0" w:color="auto"/>
        <w:right w:val="none" w:sz="0" w:space="0" w:color="auto"/>
      </w:divBdr>
    </w:div>
    <w:div w:id="380517301">
      <w:bodyDiv w:val="1"/>
      <w:marLeft w:val="0"/>
      <w:marRight w:val="0"/>
      <w:marTop w:val="0"/>
      <w:marBottom w:val="0"/>
      <w:divBdr>
        <w:top w:val="none" w:sz="0" w:space="0" w:color="auto"/>
        <w:left w:val="none" w:sz="0" w:space="0" w:color="auto"/>
        <w:bottom w:val="none" w:sz="0" w:space="0" w:color="auto"/>
        <w:right w:val="none" w:sz="0" w:space="0" w:color="auto"/>
      </w:divBdr>
    </w:div>
    <w:div w:id="381950770">
      <w:bodyDiv w:val="1"/>
      <w:marLeft w:val="0"/>
      <w:marRight w:val="0"/>
      <w:marTop w:val="0"/>
      <w:marBottom w:val="0"/>
      <w:divBdr>
        <w:top w:val="none" w:sz="0" w:space="0" w:color="auto"/>
        <w:left w:val="none" w:sz="0" w:space="0" w:color="auto"/>
        <w:bottom w:val="none" w:sz="0" w:space="0" w:color="auto"/>
        <w:right w:val="none" w:sz="0" w:space="0" w:color="auto"/>
      </w:divBdr>
    </w:div>
    <w:div w:id="397364959">
      <w:bodyDiv w:val="1"/>
      <w:marLeft w:val="0"/>
      <w:marRight w:val="0"/>
      <w:marTop w:val="0"/>
      <w:marBottom w:val="0"/>
      <w:divBdr>
        <w:top w:val="none" w:sz="0" w:space="0" w:color="auto"/>
        <w:left w:val="none" w:sz="0" w:space="0" w:color="auto"/>
        <w:bottom w:val="none" w:sz="0" w:space="0" w:color="auto"/>
        <w:right w:val="none" w:sz="0" w:space="0" w:color="auto"/>
      </w:divBdr>
    </w:div>
    <w:div w:id="411126983">
      <w:bodyDiv w:val="1"/>
      <w:marLeft w:val="0"/>
      <w:marRight w:val="0"/>
      <w:marTop w:val="0"/>
      <w:marBottom w:val="0"/>
      <w:divBdr>
        <w:top w:val="none" w:sz="0" w:space="0" w:color="auto"/>
        <w:left w:val="none" w:sz="0" w:space="0" w:color="auto"/>
        <w:bottom w:val="none" w:sz="0" w:space="0" w:color="auto"/>
        <w:right w:val="none" w:sz="0" w:space="0" w:color="auto"/>
      </w:divBdr>
    </w:div>
    <w:div w:id="422189982">
      <w:bodyDiv w:val="1"/>
      <w:marLeft w:val="0"/>
      <w:marRight w:val="0"/>
      <w:marTop w:val="0"/>
      <w:marBottom w:val="0"/>
      <w:divBdr>
        <w:top w:val="none" w:sz="0" w:space="0" w:color="auto"/>
        <w:left w:val="none" w:sz="0" w:space="0" w:color="auto"/>
        <w:bottom w:val="none" w:sz="0" w:space="0" w:color="auto"/>
        <w:right w:val="none" w:sz="0" w:space="0" w:color="auto"/>
      </w:divBdr>
    </w:div>
    <w:div w:id="431247669">
      <w:bodyDiv w:val="1"/>
      <w:marLeft w:val="0"/>
      <w:marRight w:val="0"/>
      <w:marTop w:val="0"/>
      <w:marBottom w:val="0"/>
      <w:divBdr>
        <w:top w:val="none" w:sz="0" w:space="0" w:color="auto"/>
        <w:left w:val="none" w:sz="0" w:space="0" w:color="auto"/>
        <w:bottom w:val="none" w:sz="0" w:space="0" w:color="auto"/>
        <w:right w:val="none" w:sz="0" w:space="0" w:color="auto"/>
      </w:divBdr>
    </w:div>
    <w:div w:id="432476101">
      <w:bodyDiv w:val="1"/>
      <w:marLeft w:val="0"/>
      <w:marRight w:val="0"/>
      <w:marTop w:val="0"/>
      <w:marBottom w:val="0"/>
      <w:divBdr>
        <w:top w:val="none" w:sz="0" w:space="0" w:color="auto"/>
        <w:left w:val="none" w:sz="0" w:space="0" w:color="auto"/>
        <w:bottom w:val="none" w:sz="0" w:space="0" w:color="auto"/>
        <w:right w:val="none" w:sz="0" w:space="0" w:color="auto"/>
      </w:divBdr>
    </w:div>
    <w:div w:id="436022937">
      <w:bodyDiv w:val="1"/>
      <w:marLeft w:val="0"/>
      <w:marRight w:val="0"/>
      <w:marTop w:val="0"/>
      <w:marBottom w:val="0"/>
      <w:divBdr>
        <w:top w:val="none" w:sz="0" w:space="0" w:color="auto"/>
        <w:left w:val="none" w:sz="0" w:space="0" w:color="auto"/>
        <w:bottom w:val="none" w:sz="0" w:space="0" w:color="auto"/>
        <w:right w:val="none" w:sz="0" w:space="0" w:color="auto"/>
      </w:divBdr>
    </w:div>
    <w:div w:id="441731201">
      <w:bodyDiv w:val="1"/>
      <w:marLeft w:val="0"/>
      <w:marRight w:val="0"/>
      <w:marTop w:val="0"/>
      <w:marBottom w:val="0"/>
      <w:divBdr>
        <w:top w:val="none" w:sz="0" w:space="0" w:color="auto"/>
        <w:left w:val="none" w:sz="0" w:space="0" w:color="auto"/>
        <w:bottom w:val="none" w:sz="0" w:space="0" w:color="auto"/>
        <w:right w:val="none" w:sz="0" w:space="0" w:color="auto"/>
      </w:divBdr>
    </w:div>
    <w:div w:id="469858687">
      <w:bodyDiv w:val="1"/>
      <w:marLeft w:val="0"/>
      <w:marRight w:val="0"/>
      <w:marTop w:val="0"/>
      <w:marBottom w:val="0"/>
      <w:divBdr>
        <w:top w:val="none" w:sz="0" w:space="0" w:color="auto"/>
        <w:left w:val="none" w:sz="0" w:space="0" w:color="auto"/>
        <w:bottom w:val="none" w:sz="0" w:space="0" w:color="auto"/>
        <w:right w:val="none" w:sz="0" w:space="0" w:color="auto"/>
      </w:divBdr>
    </w:div>
    <w:div w:id="470557237">
      <w:bodyDiv w:val="1"/>
      <w:marLeft w:val="0"/>
      <w:marRight w:val="0"/>
      <w:marTop w:val="0"/>
      <w:marBottom w:val="0"/>
      <w:divBdr>
        <w:top w:val="none" w:sz="0" w:space="0" w:color="auto"/>
        <w:left w:val="none" w:sz="0" w:space="0" w:color="auto"/>
        <w:bottom w:val="none" w:sz="0" w:space="0" w:color="auto"/>
        <w:right w:val="none" w:sz="0" w:space="0" w:color="auto"/>
      </w:divBdr>
    </w:div>
    <w:div w:id="471870037">
      <w:bodyDiv w:val="1"/>
      <w:marLeft w:val="0"/>
      <w:marRight w:val="0"/>
      <w:marTop w:val="0"/>
      <w:marBottom w:val="0"/>
      <w:divBdr>
        <w:top w:val="none" w:sz="0" w:space="0" w:color="auto"/>
        <w:left w:val="none" w:sz="0" w:space="0" w:color="auto"/>
        <w:bottom w:val="none" w:sz="0" w:space="0" w:color="auto"/>
        <w:right w:val="none" w:sz="0" w:space="0" w:color="auto"/>
      </w:divBdr>
    </w:div>
    <w:div w:id="484858226">
      <w:bodyDiv w:val="1"/>
      <w:marLeft w:val="0"/>
      <w:marRight w:val="0"/>
      <w:marTop w:val="0"/>
      <w:marBottom w:val="0"/>
      <w:divBdr>
        <w:top w:val="none" w:sz="0" w:space="0" w:color="auto"/>
        <w:left w:val="none" w:sz="0" w:space="0" w:color="auto"/>
        <w:bottom w:val="none" w:sz="0" w:space="0" w:color="auto"/>
        <w:right w:val="none" w:sz="0" w:space="0" w:color="auto"/>
      </w:divBdr>
    </w:div>
    <w:div w:id="489059739">
      <w:bodyDiv w:val="1"/>
      <w:marLeft w:val="0"/>
      <w:marRight w:val="0"/>
      <w:marTop w:val="0"/>
      <w:marBottom w:val="0"/>
      <w:divBdr>
        <w:top w:val="none" w:sz="0" w:space="0" w:color="auto"/>
        <w:left w:val="none" w:sz="0" w:space="0" w:color="auto"/>
        <w:bottom w:val="none" w:sz="0" w:space="0" w:color="auto"/>
        <w:right w:val="none" w:sz="0" w:space="0" w:color="auto"/>
      </w:divBdr>
    </w:div>
    <w:div w:id="503517287">
      <w:bodyDiv w:val="1"/>
      <w:marLeft w:val="0"/>
      <w:marRight w:val="0"/>
      <w:marTop w:val="0"/>
      <w:marBottom w:val="0"/>
      <w:divBdr>
        <w:top w:val="none" w:sz="0" w:space="0" w:color="auto"/>
        <w:left w:val="none" w:sz="0" w:space="0" w:color="auto"/>
        <w:bottom w:val="none" w:sz="0" w:space="0" w:color="auto"/>
        <w:right w:val="none" w:sz="0" w:space="0" w:color="auto"/>
      </w:divBdr>
    </w:div>
    <w:div w:id="507839144">
      <w:bodyDiv w:val="1"/>
      <w:marLeft w:val="0"/>
      <w:marRight w:val="0"/>
      <w:marTop w:val="0"/>
      <w:marBottom w:val="0"/>
      <w:divBdr>
        <w:top w:val="none" w:sz="0" w:space="0" w:color="auto"/>
        <w:left w:val="none" w:sz="0" w:space="0" w:color="auto"/>
        <w:bottom w:val="none" w:sz="0" w:space="0" w:color="auto"/>
        <w:right w:val="none" w:sz="0" w:space="0" w:color="auto"/>
      </w:divBdr>
    </w:div>
    <w:div w:id="518936104">
      <w:bodyDiv w:val="1"/>
      <w:marLeft w:val="0"/>
      <w:marRight w:val="0"/>
      <w:marTop w:val="0"/>
      <w:marBottom w:val="0"/>
      <w:divBdr>
        <w:top w:val="none" w:sz="0" w:space="0" w:color="auto"/>
        <w:left w:val="none" w:sz="0" w:space="0" w:color="auto"/>
        <w:bottom w:val="none" w:sz="0" w:space="0" w:color="auto"/>
        <w:right w:val="none" w:sz="0" w:space="0" w:color="auto"/>
      </w:divBdr>
    </w:div>
    <w:div w:id="522977317">
      <w:bodyDiv w:val="1"/>
      <w:marLeft w:val="0"/>
      <w:marRight w:val="0"/>
      <w:marTop w:val="0"/>
      <w:marBottom w:val="0"/>
      <w:divBdr>
        <w:top w:val="none" w:sz="0" w:space="0" w:color="auto"/>
        <w:left w:val="none" w:sz="0" w:space="0" w:color="auto"/>
        <w:bottom w:val="none" w:sz="0" w:space="0" w:color="auto"/>
        <w:right w:val="none" w:sz="0" w:space="0" w:color="auto"/>
      </w:divBdr>
    </w:div>
    <w:div w:id="529034709">
      <w:bodyDiv w:val="1"/>
      <w:marLeft w:val="0"/>
      <w:marRight w:val="0"/>
      <w:marTop w:val="0"/>
      <w:marBottom w:val="0"/>
      <w:divBdr>
        <w:top w:val="none" w:sz="0" w:space="0" w:color="auto"/>
        <w:left w:val="none" w:sz="0" w:space="0" w:color="auto"/>
        <w:bottom w:val="none" w:sz="0" w:space="0" w:color="auto"/>
        <w:right w:val="none" w:sz="0" w:space="0" w:color="auto"/>
      </w:divBdr>
    </w:div>
    <w:div w:id="542793044">
      <w:bodyDiv w:val="1"/>
      <w:marLeft w:val="0"/>
      <w:marRight w:val="0"/>
      <w:marTop w:val="0"/>
      <w:marBottom w:val="0"/>
      <w:divBdr>
        <w:top w:val="none" w:sz="0" w:space="0" w:color="auto"/>
        <w:left w:val="none" w:sz="0" w:space="0" w:color="auto"/>
        <w:bottom w:val="none" w:sz="0" w:space="0" w:color="auto"/>
        <w:right w:val="none" w:sz="0" w:space="0" w:color="auto"/>
      </w:divBdr>
    </w:div>
    <w:div w:id="563302086">
      <w:bodyDiv w:val="1"/>
      <w:marLeft w:val="0"/>
      <w:marRight w:val="0"/>
      <w:marTop w:val="0"/>
      <w:marBottom w:val="0"/>
      <w:divBdr>
        <w:top w:val="none" w:sz="0" w:space="0" w:color="auto"/>
        <w:left w:val="none" w:sz="0" w:space="0" w:color="auto"/>
        <w:bottom w:val="none" w:sz="0" w:space="0" w:color="auto"/>
        <w:right w:val="none" w:sz="0" w:space="0" w:color="auto"/>
      </w:divBdr>
    </w:div>
    <w:div w:id="568619686">
      <w:bodyDiv w:val="1"/>
      <w:marLeft w:val="0"/>
      <w:marRight w:val="0"/>
      <w:marTop w:val="0"/>
      <w:marBottom w:val="0"/>
      <w:divBdr>
        <w:top w:val="none" w:sz="0" w:space="0" w:color="auto"/>
        <w:left w:val="none" w:sz="0" w:space="0" w:color="auto"/>
        <w:bottom w:val="none" w:sz="0" w:space="0" w:color="auto"/>
        <w:right w:val="none" w:sz="0" w:space="0" w:color="auto"/>
      </w:divBdr>
    </w:div>
    <w:div w:id="572469951">
      <w:bodyDiv w:val="1"/>
      <w:marLeft w:val="0"/>
      <w:marRight w:val="0"/>
      <w:marTop w:val="0"/>
      <w:marBottom w:val="0"/>
      <w:divBdr>
        <w:top w:val="none" w:sz="0" w:space="0" w:color="auto"/>
        <w:left w:val="none" w:sz="0" w:space="0" w:color="auto"/>
        <w:bottom w:val="none" w:sz="0" w:space="0" w:color="auto"/>
        <w:right w:val="none" w:sz="0" w:space="0" w:color="auto"/>
      </w:divBdr>
    </w:div>
    <w:div w:id="588274533">
      <w:bodyDiv w:val="1"/>
      <w:marLeft w:val="0"/>
      <w:marRight w:val="0"/>
      <w:marTop w:val="0"/>
      <w:marBottom w:val="0"/>
      <w:divBdr>
        <w:top w:val="none" w:sz="0" w:space="0" w:color="auto"/>
        <w:left w:val="none" w:sz="0" w:space="0" w:color="auto"/>
        <w:bottom w:val="none" w:sz="0" w:space="0" w:color="auto"/>
        <w:right w:val="none" w:sz="0" w:space="0" w:color="auto"/>
      </w:divBdr>
    </w:div>
    <w:div w:id="606037710">
      <w:bodyDiv w:val="1"/>
      <w:marLeft w:val="0"/>
      <w:marRight w:val="0"/>
      <w:marTop w:val="0"/>
      <w:marBottom w:val="0"/>
      <w:divBdr>
        <w:top w:val="none" w:sz="0" w:space="0" w:color="auto"/>
        <w:left w:val="none" w:sz="0" w:space="0" w:color="auto"/>
        <w:bottom w:val="none" w:sz="0" w:space="0" w:color="auto"/>
        <w:right w:val="none" w:sz="0" w:space="0" w:color="auto"/>
      </w:divBdr>
    </w:div>
    <w:div w:id="614556945">
      <w:bodyDiv w:val="1"/>
      <w:marLeft w:val="0"/>
      <w:marRight w:val="0"/>
      <w:marTop w:val="0"/>
      <w:marBottom w:val="0"/>
      <w:divBdr>
        <w:top w:val="none" w:sz="0" w:space="0" w:color="auto"/>
        <w:left w:val="none" w:sz="0" w:space="0" w:color="auto"/>
        <w:bottom w:val="none" w:sz="0" w:space="0" w:color="auto"/>
        <w:right w:val="none" w:sz="0" w:space="0" w:color="auto"/>
      </w:divBdr>
    </w:div>
    <w:div w:id="627129089">
      <w:bodyDiv w:val="1"/>
      <w:marLeft w:val="0"/>
      <w:marRight w:val="0"/>
      <w:marTop w:val="0"/>
      <w:marBottom w:val="0"/>
      <w:divBdr>
        <w:top w:val="none" w:sz="0" w:space="0" w:color="auto"/>
        <w:left w:val="none" w:sz="0" w:space="0" w:color="auto"/>
        <w:bottom w:val="none" w:sz="0" w:space="0" w:color="auto"/>
        <w:right w:val="none" w:sz="0" w:space="0" w:color="auto"/>
      </w:divBdr>
    </w:div>
    <w:div w:id="643125262">
      <w:bodyDiv w:val="1"/>
      <w:marLeft w:val="0"/>
      <w:marRight w:val="0"/>
      <w:marTop w:val="0"/>
      <w:marBottom w:val="0"/>
      <w:divBdr>
        <w:top w:val="none" w:sz="0" w:space="0" w:color="auto"/>
        <w:left w:val="none" w:sz="0" w:space="0" w:color="auto"/>
        <w:bottom w:val="none" w:sz="0" w:space="0" w:color="auto"/>
        <w:right w:val="none" w:sz="0" w:space="0" w:color="auto"/>
      </w:divBdr>
    </w:div>
    <w:div w:id="652563482">
      <w:bodyDiv w:val="1"/>
      <w:marLeft w:val="0"/>
      <w:marRight w:val="0"/>
      <w:marTop w:val="0"/>
      <w:marBottom w:val="0"/>
      <w:divBdr>
        <w:top w:val="none" w:sz="0" w:space="0" w:color="auto"/>
        <w:left w:val="none" w:sz="0" w:space="0" w:color="auto"/>
        <w:bottom w:val="none" w:sz="0" w:space="0" w:color="auto"/>
        <w:right w:val="none" w:sz="0" w:space="0" w:color="auto"/>
      </w:divBdr>
    </w:div>
    <w:div w:id="662701876">
      <w:bodyDiv w:val="1"/>
      <w:marLeft w:val="0"/>
      <w:marRight w:val="0"/>
      <w:marTop w:val="0"/>
      <w:marBottom w:val="0"/>
      <w:divBdr>
        <w:top w:val="none" w:sz="0" w:space="0" w:color="auto"/>
        <w:left w:val="none" w:sz="0" w:space="0" w:color="auto"/>
        <w:bottom w:val="none" w:sz="0" w:space="0" w:color="auto"/>
        <w:right w:val="none" w:sz="0" w:space="0" w:color="auto"/>
      </w:divBdr>
    </w:div>
    <w:div w:id="668875404">
      <w:bodyDiv w:val="1"/>
      <w:marLeft w:val="0"/>
      <w:marRight w:val="0"/>
      <w:marTop w:val="0"/>
      <w:marBottom w:val="0"/>
      <w:divBdr>
        <w:top w:val="none" w:sz="0" w:space="0" w:color="auto"/>
        <w:left w:val="none" w:sz="0" w:space="0" w:color="auto"/>
        <w:bottom w:val="none" w:sz="0" w:space="0" w:color="auto"/>
        <w:right w:val="none" w:sz="0" w:space="0" w:color="auto"/>
      </w:divBdr>
    </w:div>
    <w:div w:id="678241342">
      <w:bodyDiv w:val="1"/>
      <w:marLeft w:val="0"/>
      <w:marRight w:val="0"/>
      <w:marTop w:val="0"/>
      <w:marBottom w:val="0"/>
      <w:divBdr>
        <w:top w:val="none" w:sz="0" w:space="0" w:color="auto"/>
        <w:left w:val="none" w:sz="0" w:space="0" w:color="auto"/>
        <w:bottom w:val="none" w:sz="0" w:space="0" w:color="auto"/>
        <w:right w:val="none" w:sz="0" w:space="0" w:color="auto"/>
      </w:divBdr>
    </w:div>
    <w:div w:id="679744830">
      <w:bodyDiv w:val="1"/>
      <w:marLeft w:val="0"/>
      <w:marRight w:val="0"/>
      <w:marTop w:val="0"/>
      <w:marBottom w:val="0"/>
      <w:divBdr>
        <w:top w:val="none" w:sz="0" w:space="0" w:color="auto"/>
        <w:left w:val="none" w:sz="0" w:space="0" w:color="auto"/>
        <w:bottom w:val="none" w:sz="0" w:space="0" w:color="auto"/>
        <w:right w:val="none" w:sz="0" w:space="0" w:color="auto"/>
      </w:divBdr>
    </w:div>
    <w:div w:id="686636096">
      <w:bodyDiv w:val="1"/>
      <w:marLeft w:val="0"/>
      <w:marRight w:val="0"/>
      <w:marTop w:val="0"/>
      <w:marBottom w:val="0"/>
      <w:divBdr>
        <w:top w:val="none" w:sz="0" w:space="0" w:color="auto"/>
        <w:left w:val="none" w:sz="0" w:space="0" w:color="auto"/>
        <w:bottom w:val="none" w:sz="0" w:space="0" w:color="auto"/>
        <w:right w:val="none" w:sz="0" w:space="0" w:color="auto"/>
      </w:divBdr>
    </w:div>
    <w:div w:id="703674443">
      <w:bodyDiv w:val="1"/>
      <w:marLeft w:val="0"/>
      <w:marRight w:val="0"/>
      <w:marTop w:val="0"/>
      <w:marBottom w:val="0"/>
      <w:divBdr>
        <w:top w:val="none" w:sz="0" w:space="0" w:color="auto"/>
        <w:left w:val="none" w:sz="0" w:space="0" w:color="auto"/>
        <w:bottom w:val="none" w:sz="0" w:space="0" w:color="auto"/>
        <w:right w:val="none" w:sz="0" w:space="0" w:color="auto"/>
      </w:divBdr>
    </w:div>
    <w:div w:id="714155735">
      <w:bodyDiv w:val="1"/>
      <w:marLeft w:val="0"/>
      <w:marRight w:val="0"/>
      <w:marTop w:val="0"/>
      <w:marBottom w:val="0"/>
      <w:divBdr>
        <w:top w:val="none" w:sz="0" w:space="0" w:color="auto"/>
        <w:left w:val="none" w:sz="0" w:space="0" w:color="auto"/>
        <w:bottom w:val="none" w:sz="0" w:space="0" w:color="auto"/>
        <w:right w:val="none" w:sz="0" w:space="0" w:color="auto"/>
      </w:divBdr>
    </w:div>
    <w:div w:id="714279429">
      <w:bodyDiv w:val="1"/>
      <w:marLeft w:val="0"/>
      <w:marRight w:val="0"/>
      <w:marTop w:val="0"/>
      <w:marBottom w:val="0"/>
      <w:divBdr>
        <w:top w:val="none" w:sz="0" w:space="0" w:color="auto"/>
        <w:left w:val="none" w:sz="0" w:space="0" w:color="auto"/>
        <w:bottom w:val="none" w:sz="0" w:space="0" w:color="auto"/>
        <w:right w:val="none" w:sz="0" w:space="0" w:color="auto"/>
      </w:divBdr>
    </w:div>
    <w:div w:id="730927621">
      <w:bodyDiv w:val="1"/>
      <w:marLeft w:val="0"/>
      <w:marRight w:val="0"/>
      <w:marTop w:val="0"/>
      <w:marBottom w:val="0"/>
      <w:divBdr>
        <w:top w:val="none" w:sz="0" w:space="0" w:color="auto"/>
        <w:left w:val="none" w:sz="0" w:space="0" w:color="auto"/>
        <w:bottom w:val="none" w:sz="0" w:space="0" w:color="auto"/>
        <w:right w:val="none" w:sz="0" w:space="0" w:color="auto"/>
      </w:divBdr>
    </w:div>
    <w:div w:id="734401527">
      <w:bodyDiv w:val="1"/>
      <w:marLeft w:val="0"/>
      <w:marRight w:val="0"/>
      <w:marTop w:val="0"/>
      <w:marBottom w:val="0"/>
      <w:divBdr>
        <w:top w:val="none" w:sz="0" w:space="0" w:color="auto"/>
        <w:left w:val="none" w:sz="0" w:space="0" w:color="auto"/>
        <w:bottom w:val="none" w:sz="0" w:space="0" w:color="auto"/>
        <w:right w:val="none" w:sz="0" w:space="0" w:color="auto"/>
      </w:divBdr>
    </w:div>
    <w:div w:id="737095186">
      <w:bodyDiv w:val="1"/>
      <w:marLeft w:val="0"/>
      <w:marRight w:val="0"/>
      <w:marTop w:val="0"/>
      <w:marBottom w:val="0"/>
      <w:divBdr>
        <w:top w:val="none" w:sz="0" w:space="0" w:color="auto"/>
        <w:left w:val="none" w:sz="0" w:space="0" w:color="auto"/>
        <w:bottom w:val="none" w:sz="0" w:space="0" w:color="auto"/>
        <w:right w:val="none" w:sz="0" w:space="0" w:color="auto"/>
      </w:divBdr>
    </w:div>
    <w:div w:id="738598315">
      <w:bodyDiv w:val="1"/>
      <w:marLeft w:val="0"/>
      <w:marRight w:val="0"/>
      <w:marTop w:val="0"/>
      <w:marBottom w:val="0"/>
      <w:divBdr>
        <w:top w:val="none" w:sz="0" w:space="0" w:color="auto"/>
        <w:left w:val="none" w:sz="0" w:space="0" w:color="auto"/>
        <w:bottom w:val="none" w:sz="0" w:space="0" w:color="auto"/>
        <w:right w:val="none" w:sz="0" w:space="0" w:color="auto"/>
      </w:divBdr>
    </w:div>
    <w:div w:id="739792581">
      <w:bodyDiv w:val="1"/>
      <w:marLeft w:val="0"/>
      <w:marRight w:val="0"/>
      <w:marTop w:val="0"/>
      <w:marBottom w:val="0"/>
      <w:divBdr>
        <w:top w:val="none" w:sz="0" w:space="0" w:color="auto"/>
        <w:left w:val="none" w:sz="0" w:space="0" w:color="auto"/>
        <w:bottom w:val="none" w:sz="0" w:space="0" w:color="auto"/>
        <w:right w:val="none" w:sz="0" w:space="0" w:color="auto"/>
      </w:divBdr>
    </w:div>
    <w:div w:id="748772414">
      <w:bodyDiv w:val="1"/>
      <w:marLeft w:val="0"/>
      <w:marRight w:val="0"/>
      <w:marTop w:val="0"/>
      <w:marBottom w:val="0"/>
      <w:divBdr>
        <w:top w:val="none" w:sz="0" w:space="0" w:color="auto"/>
        <w:left w:val="none" w:sz="0" w:space="0" w:color="auto"/>
        <w:bottom w:val="none" w:sz="0" w:space="0" w:color="auto"/>
        <w:right w:val="none" w:sz="0" w:space="0" w:color="auto"/>
      </w:divBdr>
    </w:div>
    <w:div w:id="754784507">
      <w:bodyDiv w:val="1"/>
      <w:marLeft w:val="0"/>
      <w:marRight w:val="0"/>
      <w:marTop w:val="0"/>
      <w:marBottom w:val="0"/>
      <w:divBdr>
        <w:top w:val="none" w:sz="0" w:space="0" w:color="auto"/>
        <w:left w:val="none" w:sz="0" w:space="0" w:color="auto"/>
        <w:bottom w:val="none" w:sz="0" w:space="0" w:color="auto"/>
        <w:right w:val="none" w:sz="0" w:space="0" w:color="auto"/>
      </w:divBdr>
    </w:div>
    <w:div w:id="755857172">
      <w:bodyDiv w:val="1"/>
      <w:marLeft w:val="0"/>
      <w:marRight w:val="0"/>
      <w:marTop w:val="0"/>
      <w:marBottom w:val="0"/>
      <w:divBdr>
        <w:top w:val="none" w:sz="0" w:space="0" w:color="auto"/>
        <w:left w:val="none" w:sz="0" w:space="0" w:color="auto"/>
        <w:bottom w:val="none" w:sz="0" w:space="0" w:color="auto"/>
        <w:right w:val="none" w:sz="0" w:space="0" w:color="auto"/>
      </w:divBdr>
    </w:div>
    <w:div w:id="765921569">
      <w:bodyDiv w:val="1"/>
      <w:marLeft w:val="0"/>
      <w:marRight w:val="0"/>
      <w:marTop w:val="0"/>
      <w:marBottom w:val="0"/>
      <w:divBdr>
        <w:top w:val="none" w:sz="0" w:space="0" w:color="auto"/>
        <w:left w:val="none" w:sz="0" w:space="0" w:color="auto"/>
        <w:bottom w:val="none" w:sz="0" w:space="0" w:color="auto"/>
        <w:right w:val="none" w:sz="0" w:space="0" w:color="auto"/>
      </w:divBdr>
    </w:div>
    <w:div w:id="783502872">
      <w:bodyDiv w:val="1"/>
      <w:marLeft w:val="0"/>
      <w:marRight w:val="0"/>
      <w:marTop w:val="0"/>
      <w:marBottom w:val="0"/>
      <w:divBdr>
        <w:top w:val="none" w:sz="0" w:space="0" w:color="auto"/>
        <w:left w:val="none" w:sz="0" w:space="0" w:color="auto"/>
        <w:bottom w:val="none" w:sz="0" w:space="0" w:color="auto"/>
        <w:right w:val="none" w:sz="0" w:space="0" w:color="auto"/>
      </w:divBdr>
    </w:div>
    <w:div w:id="788857447">
      <w:bodyDiv w:val="1"/>
      <w:marLeft w:val="0"/>
      <w:marRight w:val="0"/>
      <w:marTop w:val="0"/>
      <w:marBottom w:val="0"/>
      <w:divBdr>
        <w:top w:val="none" w:sz="0" w:space="0" w:color="auto"/>
        <w:left w:val="none" w:sz="0" w:space="0" w:color="auto"/>
        <w:bottom w:val="none" w:sz="0" w:space="0" w:color="auto"/>
        <w:right w:val="none" w:sz="0" w:space="0" w:color="auto"/>
      </w:divBdr>
    </w:div>
    <w:div w:id="812912350">
      <w:bodyDiv w:val="1"/>
      <w:marLeft w:val="0"/>
      <w:marRight w:val="0"/>
      <w:marTop w:val="0"/>
      <w:marBottom w:val="0"/>
      <w:divBdr>
        <w:top w:val="none" w:sz="0" w:space="0" w:color="auto"/>
        <w:left w:val="none" w:sz="0" w:space="0" w:color="auto"/>
        <w:bottom w:val="none" w:sz="0" w:space="0" w:color="auto"/>
        <w:right w:val="none" w:sz="0" w:space="0" w:color="auto"/>
      </w:divBdr>
    </w:div>
    <w:div w:id="814418889">
      <w:bodyDiv w:val="1"/>
      <w:marLeft w:val="0"/>
      <w:marRight w:val="0"/>
      <w:marTop w:val="0"/>
      <w:marBottom w:val="0"/>
      <w:divBdr>
        <w:top w:val="none" w:sz="0" w:space="0" w:color="auto"/>
        <w:left w:val="none" w:sz="0" w:space="0" w:color="auto"/>
        <w:bottom w:val="none" w:sz="0" w:space="0" w:color="auto"/>
        <w:right w:val="none" w:sz="0" w:space="0" w:color="auto"/>
      </w:divBdr>
    </w:div>
    <w:div w:id="823935314">
      <w:bodyDiv w:val="1"/>
      <w:marLeft w:val="0"/>
      <w:marRight w:val="0"/>
      <w:marTop w:val="0"/>
      <w:marBottom w:val="0"/>
      <w:divBdr>
        <w:top w:val="none" w:sz="0" w:space="0" w:color="auto"/>
        <w:left w:val="none" w:sz="0" w:space="0" w:color="auto"/>
        <w:bottom w:val="none" w:sz="0" w:space="0" w:color="auto"/>
        <w:right w:val="none" w:sz="0" w:space="0" w:color="auto"/>
      </w:divBdr>
    </w:div>
    <w:div w:id="826357256">
      <w:bodyDiv w:val="1"/>
      <w:marLeft w:val="0"/>
      <w:marRight w:val="0"/>
      <w:marTop w:val="0"/>
      <w:marBottom w:val="0"/>
      <w:divBdr>
        <w:top w:val="none" w:sz="0" w:space="0" w:color="auto"/>
        <w:left w:val="none" w:sz="0" w:space="0" w:color="auto"/>
        <w:bottom w:val="none" w:sz="0" w:space="0" w:color="auto"/>
        <w:right w:val="none" w:sz="0" w:space="0" w:color="auto"/>
      </w:divBdr>
    </w:div>
    <w:div w:id="840312367">
      <w:bodyDiv w:val="1"/>
      <w:marLeft w:val="0"/>
      <w:marRight w:val="0"/>
      <w:marTop w:val="0"/>
      <w:marBottom w:val="0"/>
      <w:divBdr>
        <w:top w:val="none" w:sz="0" w:space="0" w:color="auto"/>
        <w:left w:val="none" w:sz="0" w:space="0" w:color="auto"/>
        <w:bottom w:val="none" w:sz="0" w:space="0" w:color="auto"/>
        <w:right w:val="none" w:sz="0" w:space="0" w:color="auto"/>
      </w:divBdr>
    </w:div>
    <w:div w:id="847451906">
      <w:bodyDiv w:val="1"/>
      <w:marLeft w:val="0"/>
      <w:marRight w:val="0"/>
      <w:marTop w:val="0"/>
      <w:marBottom w:val="0"/>
      <w:divBdr>
        <w:top w:val="none" w:sz="0" w:space="0" w:color="auto"/>
        <w:left w:val="none" w:sz="0" w:space="0" w:color="auto"/>
        <w:bottom w:val="none" w:sz="0" w:space="0" w:color="auto"/>
        <w:right w:val="none" w:sz="0" w:space="0" w:color="auto"/>
      </w:divBdr>
    </w:div>
    <w:div w:id="855577057">
      <w:bodyDiv w:val="1"/>
      <w:marLeft w:val="0"/>
      <w:marRight w:val="0"/>
      <w:marTop w:val="0"/>
      <w:marBottom w:val="0"/>
      <w:divBdr>
        <w:top w:val="none" w:sz="0" w:space="0" w:color="auto"/>
        <w:left w:val="none" w:sz="0" w:space="0" w:color="auto"/>
        <w:bottom w:val="none" w:sz="0" w:space="0" w:color="auto"/>
        <w:right w:val="none" w:sz="0" w:space="0" w:color="auto"/>
      </w:divBdr>
    </w:div>
    <w:div w:id="859127088">
      <w:bodyDiv w:val="1"/>
      <w:marLeft w:val="0"/>
      <w:marRight w:val="0"/>
      <w:marTop w:val="0"/>
      <w:marBottom w:val="0"/>
      <w:divBdr>
        <w:top w:val="none" w:sz="0" w:space="0" w:color="auto"/>
        <w:left w:val="none" w:sz="0" w:space="0" w:color="auto"/>
        <w:bottom w:val="none" w:sz="0" w:space="0" w:color="auto"/>
        <w:right w:val="none" w:sz="0" w:space="0" w:color="auto"/>
      </w:divBdr>
    </w:div>
    <w:div w:id="891967357">
      <w:bodyDiv w:val="1"/>
      <w:marLeft w:val="0"/>
      <w:marRight w:val="0"/>
      <w:marTop w:val="0"/>
      <w:marBottom w:val="0"/>
      <w:divBdr>
        <w:top w:val="none" w:sz="0" w:space="0" w:color="auto"/>
        <w:left w:val="none" w:sz="0" w:space="0" w:color="auto"/>
        <w:bottom w:val="none" w:sz="0" w:space="0" w:color="auto"/>
        <w:right w:val="none" w:sz="0" w:space="0" w:color="auto"/>
      </w:divBdr>
    </w:div>
    <w:div w:id="894584174">
      <w:bodyDiv w:val="1"/>
      <w:marLeft w:val="0"/>
      <w:marRight w:val="0"/>
      <w:marTop w:val="0"/>
      <w:marBottom w:val="0"/>
      <w:divBdr>
        <w:top w:val="none" w:sz="0" w:space="0" w:color="auto"/>
        <w:left w:val="none" w:sz="0" w:space="0" w:color="auto"/>
        <w:bottom w:val="none" w:sz="0" w:space="0" w:color="auto"/>
        <w:right w:val="none" w:sz="0" w:space="0" w:color="auto"/>
      </w:divBdr>
    </w:div>
    <w:div w:id="894926545">
      <w:bodyDiv w:val="1"/>
      <w:marLeft w:val="0"/>
      <w:marRight w:val="0"/>
      <w:marTop w:val="0"/>
      <w:marBottom w:val="0"/>
      <w:divBdr>
        <w:top w:val="none" w:sz="0" w:space="0" w:color="auto"/>
        <w:left w:val="none" w:sz="0" w:space="0" w:color="auto"/>
        <w:bottom w:val="none" w:sz="0" w:space="0" w:color="auto"/>
        <w:right w:val="none" w:sz="0" w:space="0" w:color="auto"/>
      </w:divBdr>
    </w:div>
    <w:div w:id="897327959">
      <w:bodyDiv w:val="1"/>
      <w:marLeft w:val="0"/>
      <w:marRight w:val="0"/>
      <w:marTop w:val="0"/>
      <w:marBottom w:val="0"/>
      <w:divBdr>
        <w:top w:val="none" w:sz="0" w:space="0" w:color="auto"/>
        <w:left w:val="none" w:sz="0" w:space="0" w:color="auto"/>
        <w:bottom w:val="none" w:sz="0" w:space="0" w:color="auto"/>
        <w:right w:val="none" w:sz="0" w:space="0" w:color="auto"/>
      </w:divBdr>
    </w:div>
    <w:div w:id="904147892">
      <w:bodyDiv w:val="1"/>
      <w:marLeft w:val="0"/>
      <w:marRight w:val="0"/>
      <w:marTop w:val="0"/>
      <w:marBottom w:val="0"/>
      <w:divBdr>
        <w:top w:val="none" w:sz="0" w:space="0" w:color="auto"/>
        <w:left w:val="none" w:sz="0" w:space="0" w:color="auto"/>
        <w:bottom w:val="none" w:sz="0" w:space="0" w:color="auto"/>
        <w:right w:val="none" w:sz="0" w:space="0" w:color="auto"/>
      </w:divBdr>
    </w:div>
    <w:div w:id="907963916">
      <w:bodyDiv w:val="1"/>
      <w:marLeft w:val="0"/>
      <w:marRight w:val="0"/>
      <w:marTop w:val="0"/>
      <w:marBottom w:val="0"/>
      <w:divBdr>
        <w:top w:val="none" w:sz="0" w:space="0" w:color="auto"/>
        <w:left w:val="none" w:sz="0" w:space="0" w:color="auto"/>
        <w:bottom w:val="none" w:sz="0" w:space="0" w:color="auto"/>
        <w:right w:val="none" w:sz="0" w:space="0" w:color="auto"/>
      </w:divBdr>
    </w:div>
    <w:div w:id="909920195">
      <w:bodyDiv w:val="1"/>
      <w:marLeft w:val="0"/>
      <w:marRight w:val="0"/>
      <w:marTop w:val="0"/>
      <w:marBottom w:val="0"/>
      <w:divBdr>
        <w:top w:val="none" w:sz="0" w:space="0" w:color="auto"/>
        <w:left w:val="none" w:sz="0" w:space="0" w:color="auto"/>
        <w:bottom w:val="none" w:sz="0" w:space="0" w:color="auto"/>
        <w:right w:val="none" w:sz="0" w:space="0" w:color="auto"/>
      </w:divBdr>
    </w:div>
    <w:div w:id="917978928">
      <w:bodyDiv w:val="1"/>
      <w:marLeft w:val="0"/>
      <w:marRight w:val="0"/>
      <w:marTop w:val="0"/>
      <w:marBottom w:val="0"/>
      <w:divBdr>
        <w:top w:val="none" w:sz="0" w:space="0" w:color="auto"/>
        <w:left w:val="none" w:sz="0" w:space="0" w:color="auto"/>
        <w:bottom w:val="none" w:sz="0" w:space="0" w:color="auto"/>
        <w:right w:val="none" w:sz="0" w:space="0" w:color="auto"/>
      </w:divBdr>
    </w:div>
    <w:div w:id="923301406">
      <w:bodyDiv w:val="1"/>
      <w:marLeft w:val="0"/>
      <w:marRight w:val="0"/>
      <w:marTop w:val="0"/>
      <w:marBottom w:val="0"/>
      <w:divBdr>
        <w:top w:val="none" w:sz="0" w:space="0" w:color="auto"/>
        <w:left w:val="none" w:sz="0" w:space="0" w:color="auto"/>
        <w:bottom w:val="none" w:sz="0" w:space="0" w:color="auto"/>
        <w:right w:val="none" w:sz="0" w:space="0" w:color="auto"/>
      </w:divBdr>
    </w:div>
    <w:div w:id="924800545">
      <w:bodyDiv w:val="1"/>
      <w:marLeft w:val="0"/>
      <w:marRight w:val="0"/>
      <w:marTop w:val="0"/>
      <w:marBottom w:val="0"/>
      <w:divBdr>
        <w:top w:val="none" w:sz="0" w:space="0" w:color="auto"/>
        <w:left w:val="none" w:sz="0" w:space="0" w:color="auto"/>
        <w:bottom w:val="none" w:sz="0" w:space="0" w:color="auto"/>
        <w:right w:val="none" w:sz="0" w:space="0" w:color="auto"/>
      </w:divBdr>
    </w:div>
    <w:div w:id="925069816">
      <w:bodyDiv w:val="1"/>
      <w:marLeft w:val="0"/>
      <w:marRight w:val="0"/>
      <w:marTop w:val="0"/>
      <w:marBottom w:val="0"/>
      <w:divBdr>
        <w:top w:val="none" w:sz="0" w:space="0" w:color="auto"/>
        <w:left w:val="none" w:sz="0" w:space="0" w:color="auto"/>
        <w:bottom w:val="none" w:sz="0" w:space="0" w:color="auto"/>
        <w:right w:val="none" w:sz="0" w:space="0" w:color="auto"/>
      </w:divBdr>
    </w:div>
    <w:div w:id="926694035">
      <w:bodyDiv w:val="1"/>
      <w:marLeft w:val="0"/>
      <w:marRight w:val="0"/>
      <w:marTop w:val="0"/>
      <w:marBottom w:val="0"/>
      <w:divBdr>
        <w:top w:val="none" w:sz="0" w:space="0" w:color="auto"/>
        <w:left w:val="none" w:sz="0" w:space="0" w:color="auto"/>
        <w:bottom w:val="none" w:sz="0" w:space="0" w:color="auto"/>
        <w:right w:val="none" w:sz="0" w:space="0" w:color="auto"/>
      </w:divBdr>
    </w:div>
    <w:div w:id="926841932">
      <w:bodyDiv w:val="1"/>
      <w:marLeft w:val="0"/>
      <w:marRight w:val="0"/>
      <w:marTop w:val="0"/>
      <w:marBottom w:val="0"/>
      <w:divBdr>
        <w:top w:val="none" w:sz="0" w:space="0" w:color="auto"/>
        <w:left w:val="none" w:sz="0" w:space="0" w:color="auto"/>
        <w:bottom w:val="none" w:sz="0" w:space="0" w:color="auto"/>
        <w:right w:val="none" w:sz="0" w:space="0" w:color="auto"/>
      </w:divBdr>
    </w:div>
    <w:div w:id="927008557">
      <w:bodyDiv w:val="1"/>
      <w:marLeft w:val="0"/>
      <w:marRight w:val="0"/>
      <w:marTop w:val="0"/>
      <w:marBottom w:val="0"/>
      <w:divBdr>
        <w:top w:val="none" w:sz="0" w:space="0" w:color="auto"/>
        <w:left w:val="none" w:sz="0" w:space="0" w:color="auto"/>
        <w:bottom w:val="none" w:sz="0" w:space="0" w:color="auto"/>
        <w:right w:val="none" w:sz="0" w:space="0" w:color="auto"/>
      </w:divBdr>
    </w:div>
    <w:div w:id="929972185">
      <w:bodyDiv w:val="1"/>
      <w:marLeft w:val="0"/>
      <w:marRight w:val="0"/>
      <w:marTop w:val="0"/>
      <w:marBottom w:val="0"/>
      <w:divBdr>
        <w:top w:val="none" w:sz="0" w:space="0" w:color="auto"/>
        <w:left w:val="none" w:sz="0" w:space="0" w:color="auto"/>
        <w:bottom w:val="none" w:sz="0" w:space="0" w:color="auto"/>
        <w:right w:val="none" w:sz="0" w:space="0" w:color="auto"/>
      </w:divBdr>
    </w:div>
    <w:div w:id="932397975">
      <w:bodyDiv w:val="1"/>
      <w:marLeft w:val="0"/>
      <w:marRight w:val="0"/>
      <w:marTop w:val="0"/>
      <w:marBottom w:val="0"/>
      <w:divBdr>
        <w:top w:val="none" w:sz="0" w:space="0" w:color="auto"/>
        <w:left w:val="none" w:sz="0" w:space="0" w:color="auto"/>
        <w:bottom w:val="none" w:sz="0" w:space="0" w:color="auto"/>
        <w:right w:val="none" w:sz="0" w:space="0" w:color="auto"/>
      </w:divBdr>
    </w:div>
    <w:div w:id="938678385">
      <w:bodyDiv w:val="1"/>
      <w:marLeft w:val="0"/>
      <w:marRight w:val="0"/>
      <w:marTop w:val="0"/>
      <w:marBottom w:val="0"/>
      <w:divBdr>
        <w:top w:val="none" w:sz="0" w:space="0" w:color="auto"/>
        <w:left w:val="none" w:sz="0" w:space="0" w:color="auto"/>
        <w:bottom w:val="none" w:sz="0" w:space="0" w:color="auto"/>
        <w:right w:val="none" w:sz="0" w:space="0" w:color="auto"/>
      </w:divBdr>
    </w:div>
    <w:div w:id="940839496">
      <w:bodyDiv w:val="1"/>
      <w:marLeft w:val="0"/>
      <w:marRight w:val="0"/>
      <w:marTop w:val="0"/>
      <w:marBottom w:val="0"/>
      <w:divBdr>
        <w:top w:val="none" w:sz="0" w:space="0" w:color="auto"/>
        <w:left w:val="none" w:sz="0" w:space="0" w:color="auto"/>
        <w:bottom w:val="none" w:sz="0" w:space="0" w:color="auto"/>
        <w:right w:val="none" w:sz="0" w:space="0" w:color="auto"/>
      </w:divBdr>
    </w:div>
    <w:div w:id="946960900">
      <w:bodyDiv w:val="1"/>
      <w:marLeft w:val="0"/>
      <w:marRight w:val="0"/>
      <w:marTop w:val="0"/>
      <w:marBottom w:val="0"/>
      <w:divBdr>
        <w:top w:val="none" w:sz="0" w:space="0" w:color="auto"/>
        <w:left w:val="none" w:sz="0" w:space="0" w:color="auto"/>
        <w:bottom w:val="none" w:sz="0" w:space="0" w:color="auto"/>
        <w:right w:val="none" w:sz="0" w:space="0" w:color="auto"/>
      </w:divBdr>
    </w:div>
    <w:div w:id="948974119">
      <w:bodyDiv w:val="1"/>
      <w:marLeft w:val="0"/>
      <w:marRight w:val="0"/>
      <w:marTop w:val="0"/>
      <w:marBottom w:val="0"/>
      <w:divBdr>
        <w:top w:val="none" w:sz="0" w:space="0" w:color="auto"/>
        <w:left w:val="none" w:sz="0" w:space="0" w:color="auto"/>
        <w:bottom w:val="none" w:sz="0" w:space="0" w:color="auto"/>
        <w:right w:val="none" w:sz="0" w:space="0" w:color="auto"/>
      </w:divBdr>
    </w:div>
    <w:div w:id="958030105">
      <w:bodyDiv w:val="1"/>
      <w:marLeft w:val="0"/>
      <w:marRight w:val="0"/>
      <w:marTop w:val="0"/>
      <w:marBottom w:val="0"/>
      <w:divBdr>
        <w:top w:val="none" w:sz="0" w:space="0" w:color="auto"/>
        <w:left w:val="none" w:sz="0" w:space="0" w:color="auto"/>
        <w:bottom w:val="none" w:sz="0" w:space="0" w:color="auto"/>
        <w:right w:val="none" w:sz="0" w:space="0" w:color="auto"/>
      </w:divBdr>
    </w:div>
    <w:div w:id="960306778">
      <w:bodyDiv w:val="1"/>
      <w:marLeft w:val="0"/>
      <w:marRight w:val="0"/>
      <w:marTop w:val="0"/>
      <w:marBottom w:val="0"/>
      <w:divBdr>
        <w:top w:val="none" w:sz="0" w:space="0" w:color="auto"/>
        <w:left w:val="none" w:sz="0" w:space="0" w:color="auto"/>
        <w:bottom w:val="none" w:sz="0" w:space="0" w:color="auto"/>
        <w:right w:val="none" w:sz="0" w:space="0" w:color="auto"/>
      </w:divBdr>
    </w:div>
    <w:div w:id="967509424">
      <w:bodyDiv w:val="1"/>
      <w:marLeft w:val="0"/>
      <w:marRight w:val="0"/>
      <w:marTop w:val="0"/>
      <w:marBottom w:val="0"/>
      <w:divBdr>
        <w:top w:val="none" w:sz="0" w:space="0" w:color="auto"/>
        <w:left w:val="none" w:sz="0" w:space="0" w:color="auto"/>
        <w:bottom w:val="none" w:sz="0" w:space="0" w:color="auto"/>
        <w:right w:val="none" w:sz="0" w:space="0" w:color="auto"/>
      </w:divBdr>
    </w:div>
    <w:div w:id="980889603">
      <w:bodyDiv w:val="1"/>
      <w:marLeft w:val="0"/>
      <w:marRight w:val="0"/>
      <w:marTop w:val="0"/>
      <w:marBottom w:val="0"/>
      <w:divBdr>
        <w:top w:val="none" w:sz="0" w:space="0" w:color="auto"/>
        <w:left w:val="none" w:sz="0" w:space="0" w:color="auto"/>
        <w:bottom w:val="none" w:sz="0" w:space="0" w:color="auto"/>
        <w:right w:val="none" w:sz="0" w:space="0" w:color="auto"/>
      </w:divBdr>
    </w:div>
    <w:div w:id="988091425">
      <w:bodyDiv w:val="1"/>
      <w:marLeft w:val="0"/>
      <w:marRight w:val="0"/>
      <w:marTop w:val="0"/>
      <w:marBottom w:val="0"/>
      <w:divBdr>
        <w:top w:val="none" w:sz="0" w:space="0" w:color="auto"/>
        <w:left w:val="none" w:sz="0" w:space="0" w:color="auto"/>
        <w:bottom w:val="none" w:sz="0" w:space="0" w:color="auto"/>
        <w:right w:val="none" w:sz="0" w:space="0" w:color="auto"/>
      </w:divBdr>
    </w:div>
    <w:div w:id="997685645">
      <w:bodyDiv w:val="1"/>
      <w:marLeft w:val="0"/>
      <w:marRight w:val="0"/>
      <w:marTop w:val="0"/>
      <w:marBottom w:val="0"/>
      <w:divBdr>
        <w:top w:val="none" w:sz="0" w:space="0" w:color="auto"/>
        <w:left w:val="none" w:sz="0" w:space="0" w:color="auto"/>
        <w:bottom w:val="none" w:sz="0" w:space="0" w:color="auto"/>
        <w:right w:val="none" w:sz="0" w:space="0" w:color="auto"/>
      </w:divBdr>
    </w:div>
    <w:div w:id="1021859647">
      <w:bodyDiv w:val="1"/>
      <w:marLeft w:val="0"/>
      <w:marRight w:val="0"/>
      <w:marTop w:val="0"/>
      <w:marBottom w:val="0"/>
      <w:divBdr>
        <w:top w:val="none" w:sz="0" w:space="0" w:color="auto"/>
        <w:left w:val="none" w:sz="0" w:space="0" w:color="auto"/>
        <w:bottom w:val="none" w:sz="0" w:space="0" w:color="auto"/>
        <w:right w:val="none" w:sz="0" w:space="0" w:color="auto"/>
      </w:divBdr>
    </w:div>
    <w:div w:id="1024090148">
      <w:bodyDiv w:val="1"/>
      <w:marLeft w:val="0"/>
      <w:marRight w:val="0"/>
      <w:marTop w:val="0"/>
      <w:marBottom w:val="0"/>
      <w:divBdr>
        <w:top w:val="none" w:sz="0" w:space="0" w:color="auto"/>
        <w:left w:val="none" w:sz="0" w:space="0" w:color="auto"/>
        <w:bottom w:val="none" w:sz="0" w:space="0" w:color="auto"/>
        <w:right w:val="none" w:sz="0" w:space="0" w:color="auto"/>
      </w:divBdr>
    </w:div>
    <w:div w:id="1034649341">
      <w:bodyDiv w:val="1"/>
      <w:marLeft w:val="0"/>
      <w:marRight w:val="0"/>
      <w:marTop w:val="0"/>
      <w:marBottom w:val="0"/>
      <w:divBdr>
        <w:top w:val="none" w:sz="0" w:space="0" w:color="auto"/>
        <w:left w:val="none" w:sz="0" w:space="0" w:color="auto"/>
        <w:bottom w:val="none" w:sz="0" w:space="0" w:color="auto"/>
        <w:right w:val="none" w:sz="0" w:space="0" w:color="auto"/>
      </w:divBdr>
    </w:div>
    <w:div w:id="1042359855">
      <w:bodyDiv w:val="1"/>
      <w:marLeft w:val="0"/>
      <w:marRight w:val="0"/>
      <w:marTop w:val="0"/>
      <w:marBottom w:val="0"/>
      <w:divBdr>
        <w:top w:val="none" w:sz="0" w:space="0" w:color="auto"/>
        <w:left w:val="none" w:sz="0" w:space="0" w:color="auto"/>
        <w:bottom w:val="none" w:sz="0" w:space="0" w:color="auto"/>
        <w:right w:val="none" w:sz="0" w:space="0" w:color="auto"/>
      </w:divBdr>
    </w:div>
    <w:div w:id="1047025953">
      <w:bodyDiv w:val="1"/>
      <w:marLeft w:val="0"/>
      <w:marRight w:val="0"/>
      <w:marTop w:val="0"/>
      <w:marBottom w:val="0"/>
      <w:divBdr>
        <w:top w:val="none" w:sz="0" w:space="0" w:color="auto"/>
        <w:left w:val="none" w:sz="0" w:space="0" w:color="auto"/>
        <w:bottom w:val="none" w:sz="0" w:space="0" w:color="auto"/>
        <w:right w:val="none" w:sz="0" w:space="0" w:color="auto"/>
      </w:divBdr>
    </w:div>
    <w:div w:id="1049577317">
      <w:bodyDiv w:val="1"/>
      <w:marLeft w:val="0"/>
      <w:marRight w:val="0"/>
      <w:marTop w:val="0"/>
      <w:marBottom w:val="0"/>
      <w:divBdr>
        <w:top w:val="none" w:sz="0" w:space="0" w:color="auto"/>
        <w:left w:val="none" w:sz="0" w:space="0" w:color="auto"/>
        <w:bottom w:val="none" w:sz="0" w:space="0" w:color="auto"/>
        <w:right w:val="none" w:sz="0" w:space="0" w:color="auto"/>
      </w:divBdr>
    </w:div>
    <w:div w:id="1077556028">
      <w:bodyDiv w:val="1"/>
      <w:marLeft w:val="0"/>
      <w:marRight w:val="0"/>
      <w:marTop w:val="0"/>
      <w:marBottom w:val="0"/>
      <w:divBdr>
        <w:top w:val="none" w:sz="0" w:space="0" w:color="auto"/>
        <w:left w:val="none" w:sz="0" w:space="0" w:color="auto"/>
        <w:bottom w:val="none" w:sz="0" w:space="0" w:color="auto"/>
        <w:right w:val="none" w:sz="0" w:space="0" w:color="auto"/>
      </w:divBdr>
    </w:div>
    <w:div w:id="1077943468">
      <w:bodyDiv w:val="1"/>
      <w:marLeft w:val="0"/>
      <w:marRight w:val="0"/>
      <w:marTop w:val="0"/>
      <w:marBottom w:val="0"/>
      <w:divBdr>
        <w:top w:val="none" w:sz="0" w:space="0" w:color="auto"/>
        <w:left w:val="none" w:sz="0" w:space="0" w:color="auto"/>
        <w:bottom w:val="none" w:sz="0" w:space="0" w:color="auto"/>
        <w:right w:val="none" w:sz="0" w:space="0" w:color="auto"/>
      </w:divBdr>
    </w:div>
    <w:div w:id="1083599160">
      <w:bodyDiv w:val="1"/>
      <w:marLeft w:val="0"/>
      <w:marRight w:val="0"/>
      <w:marTop w:val="0"/>
      <w:marBottom w:val="0"/>
      <w:divBdr>
        <w:top w:val="none" w:sz="0" w:space="0" w:color="auto"/>
        <w:left w:val="none" w:sz="0" w:space="0" w:color="auto"/>
        <w:bottom w:val="none" w:sz="0" w:space="0" w:color="auto"/>
        <w:right w:val="none" w:sz="0" w:space="0" w:color="auto"/>
      </w:divBdr>
    </w:div>
    <w:div w:id="1102266992">
      <w:bodyDiv w:val="1"/>
      <w:marLeft w:val="0"/>
      <w:marRight w:val="0"/>
      <w:marTop w:val="0"/>
      <w:marBottom w:val="0"/>
      <w:divBdr>
        <w:top w:val="none" w:sz="0" w:space="0" w:color="auto"/>
        <w:left w:val="none" w:sz="0" w:space="0" w:color="auto"/>
        <w:bottom w:val="none" w:sz="0" w:space="0" w:color="auto"/>
        <w:right w:val="none" w:sz="0" w:space="0" w:color="auto"/>
      </w:divBdr>
    </w:div>
    <w:div w:id="1107770220">
      <w:bodyDiv w:val="1"/>
      <w:marLeft w:val="0"/>
      <w:marRight w:val="0"/>
      <w:marTop w:val="0"/>
      <w:marBottom w:val="0"/>
      <w:divBdr>
        <w:top w:val="none" w:sz="0" w:space="0" w:color="auto"/>
        <w:left w:val="none" w:sz="0" w:space="0" w:color="auto"/>
        <w:bottom w:val="none" w:sz="0" w:space="0" w:color="auto"/>
        <w:right w:val="none" w:sz="0" w:space="0" w:color="auto"/>
      </w:divBdr>
    </w:div>
    <w:div w:id="1124008181">
      <w:bodyDiv w:val="1"/>
      <w:marLeft w:val="0"/>
      <w:marRight w:val="0"/>
      <w:marTop w:val="0"/>
      <w:marBottom w:val="0"/>
      <w:divBdr>
        <w:top w:val="none" w:sz="0" w:space="0" w:color="auto"/>
        <w:left w:val="none" w:sz="0" w:space="0" w:color="auto"/>
        <w:bottom w:val="none" w:sz="0" w:space="0" w:color="auto"/>
        <w:right w:val="none" w:sz="0" w:space="0" w:color="auto"/>
      </w:divBdr>
    </w:div>
    <w:div w:id="1139959232">
      <w:bodyDiv w:val="1"/>
      <w:marLeft w:val="0"/>
      <w:marRight w:val="0"/>
      <w:marTop w:val="0"/>
      <w:marBottom w:val="0"/>
      <w:divBdr>
        <w:top w:val="none" w:sz="0" w:space="0" w:color="auto"/>
        <w:left w:val="none" w:sz="0" w:space="0" w:color="auto"/>
        <w:bottom w:val="none" w:sz="0" w:space="0" w:color="auto"/>
        <w:right w:val="none" w:sz="0" w:space="0" w:color="auto"/>
      </w:divBdr>
    </w:div>
    <w:div w:id="1142768362">
      <w:bodyDiv w:val="1"/>
      <w:marLeft w:val="0"/>
      <w:marRight w:val="0"/>
      <w:marTop w:val="0"/>
      <w:marBottom w:val="0"/>
      <w:divBdr>
        <w:top w:val="none" w:sz="0" w:space="0" w:color="auto"/>
        <w:left w:val="none" w:sz="0" w:space="0" w:color="auto"/>
        <w:bottom w:val="none" w:sz="0" w:space="0" w:color="auto"/>
        <w:right w:val="none" w:sz="0" w:space="0" w:color="auto"/>
      </w:divBdr>
    </w:div>
    <w:div w:id="1143085330">
      <w:bodyDiv w:val="1"/>
      <w:marLeft w:val="0"/>
      <w:marRight w:val="0"/>
      <w:marTop w:val="0"/>
      <w:marBottom w:val="0"/>
      <w:divBdr>
        <w:top w:val="none" w:sz="0" w:space="0" w:color="auto"/>
        <w:left w:val="none" w:sz="0" w:space="0" w:color="auto"/>
        <w:bottom w:val="none" w:sz="0" w:space="0" w:color="auto"/>
        <w:right w:val="none" w:sz="0" w:space="0" w:color="auto"/>
      </w:divBdr>
    </w:div>
    <w:div w:id="1143545151">
      <w:bodyDiv w:val="1"/>
      <w:marLeft w:val="0"/>
      <w:marRight w:val="0"/>
      <w:marTop w:val="0"/>
      <w:marBottom w:val="0"/>
      <w:divBdr>
        <w:top w:val="none" w:sz="0" w:space="0" w:color="auto"/>
        <w:left w:val="none" w:sz="0" w:space="0" w:color="auto"/>
        <w:bottom w:val="none" w:sz="0" w:space="0" w:color="auto"/>
        <w:right w:val="none" w:sz="0" w:space="0" w:color="auto"/>
      </w:divBdr>
    </w:div>
    <w:div w:id="1147549741">
      <w:bodyDiv w:val="1"/>
      <w:marLeft w:val="0"/>
      <w:marRight w:val="0"/>
      <w:marTop w:val="0"/>
      <w:marBottom w:val="0"/>
      <w:divBdr>
        <w:top w:val="none" w:sz="0" w:space="0" w:color="auto"/>
        <w:left w:val="none" w:sz="0" w:space="0" w:color="auto"/>
        <w:bottom w:val="none" w:sz="0" w:space="0" w:color="auto"/>
        <w:right w:val="none" w:sz="0" w:space="0" w:color="auto"/>
      </w:divBdr>
    </w:div>
    <w:div w:id="1152715474">
      <w:bodyDiv w:val="1"/>
      <w:marLeft w:val="0"/>
      <w:marRight w:val="0"/>
      <w:marTop w:val="0"/>
      <w:marBottom w:val="0"/>
      <w:divBdr>
        <w:top w:val="none" w:sz="0" w:space="0" w:color="auto"/>
        <w:left w:val="none" w:sz="0" w:space="0" w:color="auto"/>
        <w:bottom w:val="none" w:sz="0" w:space="0" w:color="auto"/>
        <w:right w:val="none" w:sz="0" w:space="0" w:color="auto"/>
      </w:divBdr>
    </w:div>
    <w:div w:id="1164125634">
      <w:bodyDiv w:val="1"/>
      <w:marLeft w:val="0"/>
      <w:marRight w:val="0"/>
      <w:marTop w:val="0"/>
      <w:marBottom w:val="0"/>
      <w:divBdr>
        <w:top w:val="none" w:sz="0" w:space="0" w:color="auto"/>
        <w:left w:val="none" w:sz="0" w:space="0" w:color="auto"/>
        <w:bottom w:val="none" w:sz="0" w:space="0" w:color="auto"/>
        <w:right w:val="none" w:sz="0" w:space="0" w:color="auto"/>
      </w:divBdr>
    </w:div>
    <w:div w:id="1166631697">
      <w:bodyDiv w:val="1"/>
      <w:marLeft w:val="0"/>
      <w:marRight w:val="0"/>
      <w:marTop w:val="0"/>
      <w:marBottom w:val="0"/>
      <w:divBdr>
        <w:top w:val="none" w:sz="0" w:space="0" w:color="auto"/>
        <w:left w:val="none" w:sz="0" w:space="0" w:color="auto"/>
        <w:bottom w:val="none" w:sz="0" w:space="0" w:color="auto"/>
        <w:right w:val="none" w:sz="0" w:space="0" w:color="auto"/>
      </w:divBdr>
    </w:div>
    <w:div w:id="1167941182">
      <w:bodyDiv w:val="1"/>
      <w:marLeft w:val="0"/>
      <w:marRight w:val="0"/>
      <w:marTop w:val="0"/>
      <w:marBottom w:val="0"/>
      <w:divBdr>
        <w:top w:val="none" w:sz="0" w:space="0" w:color="auto"/>
        <w:left w:val="none" w:sz="0" w:space="0" w:color="auto"/>
        <w:bottom w:val="none" w:sz="0" w:space="0" w:color="auto"/>
        <w:right w:val="none" w:sz="0" w:space="0" w:color="auto"/>
      </w:divBdr>
    </w:div>
    <w:div w:id="1169829296">
      <w:bodyDiv w:val="1"/>
      <w:marLeft w:val="0"/>
      <w:marRight w:val="0"/>
      <w:marTop w:val="0"/>
      <w:marBottom w:val="0"/>
      <w:divBdr>
        <w:top w:val="none" w:sz="0" w:space="0" w:color="auto"/>
        <w:left w:val="none" w:sz="0" w:space="0" w:color="auto"/>
        <w:bottom w:val="none" w:sz="0" w:space="0" w:color="auto"/>
        <w:right w:val="none" w:sz="0" w:space="0" w:color="auto"/>
      </w:divBdr>
    </w:div>
    <w:div w:id="1179810184">
      <w:bodyDiv w:val="1"/>
      <w:marLeft w:val="0"/>
      <w:marRight w:val="0"/>
      <w:marTop w:val="0"/>
      <w:marBottom w:val="0"/>
      <w:divBdr>
        <w:top w:val="none" w:sz="0" w:space="0" w:color="auto"/>
        <w:left w:val="none" w:sz="0" w:space="0" w:color="auto"/>
        <w:bottom w:val="none" w:sz="0" w:space="0" w:color="auto"/>
        <w:right w:val="none" w:sz="0" w:space="0" w:color="auto"/>
      </w:divBdr>
    </w:div>
    <w:div w:id="1182740609">
      <w:bodyDiv w:val="1"/>
      <w:marLeft w:val="0"/>
      <w:marRight w:val="0"/>
      <w:marTop w:val="0"/>
      <w:marBottom w:val="0"/>
      <w:divBdr>
        <w:top w:val="none" w:sz="0" w:space="0" w:color="auto"/>
        <w:left w:val="none" w:sz="0" w:space="0" w:color="auto"/>
        <w:bottom w:val="none" w:sz="0" w:space="0" w:color="auto"/>
        <w:right w:val="none" w:sz="0" w:space="0" w:color="auto"/>
      </w:divBdr>
    </w:div>
    <w:div w:id="1205410597">
      <w:bodyDiv w:val="1"/>
      <w:marLeft w:val="0"/>
      <w:marRight w:val="0"/>
      <w:marTop w:val="0"/>
      <w:marBottom w:val="0"/>
      <w:divBdr>
        <w:top w:val="none" w:sz="0" w:space="0" w:color="auto"/>
        <w:left w:val="none" w:sz="0" w:space="0" w:color="auto"/>
        <w:bottom w:val="none" w:sz="0" w:space="0" w:color="auto"/>
        <w:right w:val="none" w:sz="0" w:space="0" w:color="auto"/>
      </w:divBdr>
    </w:div>
    <w:div w:id="1211455219">
      <w:bodyDiv w:val="1"/>
      <w:marLeft w:val="0"/>
      <w:marRight w:val="0"/>
      <w:marTop w:val="0"/>
      <w:marBottom w:val="0"/>
      <w:divBdr>
        <w:top w:val="none" w:sz="0" w:space="0" w:color="auto"/>
        <w:left w:val="none" w:sz="0" w:space="0" w:color="auto"/>
        <w:bottom w:val="none" w:sz="0" w:space="0" w:color="auto"/>
        <w:right w:val="none" w:sz="0" w:space="0" w:color="auto"/>
      </w:divBdr>
    </w:div>
    <w:div w:id="1212036088">
      <w:bodyDiv w:val="1"/>
      <w:marLeft w:val="0"/>
      <w:marRight w:val="0"/>
      <w:marTop w:val="0"/>
      <w:marBottom w:val="0"/>
      <w:divBdr>
        <w:top w:val="none" w:sz="0" w:space="0" w:color="auto"/>
        <w:left w:val="none" w:sz="0" w:space="0" w:color="auto"/>
        <w:bottom w:val="none" w:sz="0" w:space="0" w:color="auto"/>
        <w:right w:val="none" w:sz="0" w:space="0" w:color="auto"/>
      </w:divBdr>
    </w:div>
    <w:div w:id="1213224401">
      <w:bodyDiv w:val="1"/>
      <w:marLeft w:val="0"/>
      <w:marRight w:val="0"/>
      <w:marTop w:val="0"/>
      <w:marBottom w:val="0"/>
      <w:divBdr>
        <w:top w:val="none" w:sz="0" w:space="0" w:color="auto"/>
        <w:left w:val="none" w:sz="0" w:space="0" w:color="auto"/>
        <w:bottom w:val="none" w:sz="0" w:space="0" w:color="auto"/>
        <w:right w:val="none" w:sz="0" w:space="0" w:color="auto"/>
      </w:divBdr>
    </w:div>
    <w:div w:id="1215193251">
      <w:bodyDiv w:val="1"/>
      <w:marLeft w:val="0"/>
      <w:marRight w:val="0"/>
      <w:marTop w:val="0"/>
      <w:marBottom w:val="0"/>
      <w:divBdr>
        <w:top w:val="none" w:sz="0" w:space="0" w:color="auto"/>
        <w:left w:val="none" w:sz="0" w:space="0" w:color="auto"/>
        <w:bottom w:val="none" w:sz="0" w:space="0" w:color="auto"/>
        <w:right w:val="none" w:sz="0" w:space="0" w:color="auto"/>
      </w:divBdr>
    </w:div>
    <w:div w:id="1215386618">
      <w:bodyDiv w:val="1"/>
      <w:marLeft w:val="0"/>
      <w:marRight w:val="0"/>
      <w:marTop w:val="0"/>
      <w:marBottom w:val="0"/>
      <w:divBdr>
        <w:top w:val="none" w:sz="0" w:space="0" w:color="auto"/>
        <w:left w:val="none" w:sz="0" w:space="0" w:color="auto"/>
        <w:bottom w:val="none" w:sz="0" w:space="0" w:color="auto"/>
        <w:right w:val="none" w:sz="0" w:space="0" w:color="auto"/>
      </w:divBdr>
    </w:div>
    <w:div w:id="1221526559">
      <w:bodyDiv w:val="1"/>
      <w:marLeft w:val="0"/>
      <w:marRight w:val="0"/>
      <w:marTop w:val="0"/>
      <w:marBottom w:val="0"/>
      <w:divBdr>
        <w:top w:val="none" w:sz="0" w:space="0" w:color="auto"/>
        <w:left w:val="none" w:sz="0" w:space="0" w:color="auto"/>
        <w:bottom w:val="none" w:sz="0" w:space="0" w:color="auto"/>
        <w:right w:val="none" w:sz="0" w:space="0" w:color="auto"/>
      </w:divBdr>
    </w:div>
    <w:div w:id="1248229145">
      <w:bodyDiv w:val="1"/>
      <w:marLeft w:val="0"/>
      <w:marRight w:val="0"/>
      <w:marTop w:val="0"/>
      <w:marBottom w:val="0"/>
      <w:divBdr>
        <w:top w:val="none" w:sz="0" w:space="0" w:color="auto"/>
        <w:left w:val="none" w:sz="0" w:space="0" w:color="auto"/>
        <w:bottom w:val="none" w:sz="0" w:space="0" w:color="auto"/>
        <w:right w:val="none" w:sz="0" w:space="0" w:color="auto"/>
      </w:divBdr>
    </w:div>
    <w:div w:id="1255549018">
      <w:bodyDiv w:val="1"/>
      <w:marLeft w:val="0"/>
      <w:marRight w:val="0"/>
      <w:marTop w:val="0"/>
      <w:marBottom w:val="0"/>
      <w:divBdr>
        <w:top w:val="none" w:sz="0" w:space="0" w:color="auto"/>
        <w:left w:val="none" w:sz="0" w:space="0" w:color="auto"/>
        <w:bottom w:val="none" w:sz="0" w:space="0" w:color="auto"/>
        <w:right w:val="none" w:sz="0" w:space="0" w:color="auto"/>
      </w:divBdr>
    </w:div>
    <w:div w:id="1270239790">
      <w:bodyDiv w:val="1"/>
      <w:marLeft w:val="0"/>
      <w:marRight w:val="0"/>
      <w:marTop w:val="0"/>
      <w:marBottom w:val="0"/>
      <w:divBdr>
        <w:top w:val="none" w:sz="0" w:space="0" w:color="auto"/>
        <w:left w:val="none" w:sz="0" w:space="0" w:color="auto"/>
        <w:bottom w:val="none" w:sz="0" w:space="0" w:color="auto"/>
        <w:right w:val="none" w:sz="0" w:space="0" w:color="auto"/>
      </w:divBdr>
    </w:div>
    <w:div w:id="1276448114">
      <w:bodyDiv w:val="1"/>
      <w:marLeft w:val="0"/>
      <w:marRight w:val="0"/>
      <w:marTop w:val="0"/>
      <w:marBottom w:val="0"/>
      <w:divBdr>
        <w:top w:val="none" w:sz="0" w:space="0" w:color="auto"/>
        <w:left w:val="none" w:sz="0" w:space="0" w:color="auto"/>
        <w:bottom w:val="none" w:sz="0" w:space="0" w:color="auto"/>
        <w:right w:val="none" w:sz="0" w:space="0" w:color="auto"/>
      </w:divBdr>
    </w:div>
    <w:div w:id="1342976636">
      <w:bodyDiv w:val="1"/>
      <w:marLeft w:val="0"/>
      <w:marRight w:val="0"/>
      <w:marTop w:val="0"/>
      <w:marBottom w:val="0"/>
      <w:divBdr>
        <w:top w:val="none" w:sz="0" w:space="0" w:color="auto"/>
        <w:left w:val="none" w:sz="0" w:space="0" w:color="auto"/>
        <w:bottom w:val="none" w:sz="0" w:space="0" w:color="auto"/>
        <w:right w:val="none" w:sz="0" w:space="0" w:color="auto"/>
      </w:divBdr>
    </w:div>
    <w:div w:id="1355183190">
      <w:bodyDiv w:val="1"/>
      <w:marLeft w:val="0"/>
      <w:marRight w:val="0"/>
      <w:marTop w:val="0"/>
      <w:marBottom w:val="0"/>
      <w:divBdr>
        <w:top w:val="none" w:sz="0" w:space="0" w:color="auto"/>
        <w:left w:val="none" w:sz="0" w:space="0" w:color="auto"/>
        <w:bottom w:val="none" w:sz="0" w:space="0" w:color="auto"/>
        <w:right w:val="none" w:sz="0" w:space="0" w:color="auto"/>
      </w:divBdr>
    </w:div>
    <w:div w:id="1362902345">
      <w:bodyDiv w:val="1"/>
      <w:marLeft w:val="0"/>
      <w:marRight w:val="0"/>
      <w:marTop w:val="0"/>
      <w:marBottom w:val="0"/>
      <w:divBdr>
        <w:top w:val="none" w:sz="0" w:space="0" w:color="auto"/>
        <w:left w:val="none" w:sz="0" w:space="0" w:color="auto"/>
        <w:bottom w:val="none" w:sz="0" w:space="0" w:color="auto"/>
        <w:right w:val="none" w:sz="0" w:space="0" w:color="auto"/>
      </w:divBdr>
    </w:div>
    <w:div w:id="1363626900">
      <w:bodyDiv w:val="1"/>
      <w:marLeft w:val="0"/>
      <w:marRight w:val="0"/>
      <w:marTop w:val="0"/>
      <w:marBottom w:val="0"/>
      <w:divBdr>
        <w:top w:val="none" w:sz="0" w:space="0" w:color="auto"/>
        <w:left w:val="none" w:sz="0" w:space="0" w:color="auto"/>
        <w:bottom w:val="none" w:sz="0" w:space="0" w:color="auto"/>
        <w:right w:val="none" w:sz="0" w:space="0" w:color="auto"/>
      </w:divBdr>
    </w:div>
    <w:div w:id="1367368262">
      <w:bodyDiv w:val="1"/>
      <w:marLeft w:val="0"/>
      <w:marRight w:val="0"/>
      <w:marTop w:val="0"/>
      <w:marBottom w:val="0"/>
      <w:divBdr>
        <w:top w:val="none" w:sz="0" w:space="0" w:color="auto"/>
        <w:left w:val="none" w:sz="0" w:space="0" w:color="auto"/>
        <w:bottom w:val="none" w:sz="0" w:space="0" w:color="auto"/>
        <w:right w:val="none" w:sz="0" w:space="0" w:color="auto"/>
      </w:divBdr>
    </w:div>
    <w:div w:id="1372269758">
      <w:bodyDiv w:val="1"/>
      <w:marLeft w:val="0"/>
      <w:marRight w:val="0"/>
      <w:marTop w:val="0"/>
      <w:marBottom w:val="0"/>
      <w:divBdr>
        <w:top w:val="none" w:sz="0" w:space="0" w:color="auto"/>
        <w:left w:val="none" w:sz="0" w:space="0" w:color="auto"/>
        <w:bottom w:val="none" w:sz="0" w:space="0" w:color="auto"/>
        <w:right w:val="none" w:sz="0" w:space="0" w:color="auto"/>
      </w:divBdr>
    </w:div>
    <w:div w:id="1381780690">
      <w:bodyDiv w:val="1"/>
      <w:marLeft w:val="0"/>
      <w:marRight w:val="0"/>
      <w:marTop w:val="0"/>
      <w:marBottom w:val="0"/>
      <w:divBdr>
        <w:top w:val="none" w:sz="0" w:space="0" w:color="auto"/>
        <w:left w:val="none" w:sz="0" w:space="0" w:color="auto"/>
        <w:bottom w:val="none" w:sz="0" w:space="0" w:color="auto"/>
        <w:right w:val="none" w:sz="0" w:space="0" w:color="auto"/>
      </w:divBdr>
    </w:div>
    <w:div w:id="1412704482">
      <w:bodyDiv w:val="1"/>
      <w:marLeft w:val="0"/>
      <w:marRight w:val="0"/>
      <w:marTop w:val="0"/>
      <w:marBottom w:val="0"/>
      <w:divBdr>
        <w:top w:val="none" w:sz="0" w:space="0" w:color="auto"/>
        <w:left w:val="none" w:sz="0" w:space="0" w:color="auto"/>
        <w:bottom w:val="none" w:sz="0" w:space="0" w:color="auto"/>
        <w:right w:val="none" w:sz="0" w:space="0" w:color="auto"/>
      </w:divBdr>
    </w:div>
    <w:div w:id="1413506502">
      <w:bodyDiv w:val="1"/>
      <w:marLeft w:val="0"/>
      <w:marRight w:val="0"/>
      <w:marTop w:val="0"/>
      <w:marBottom w:val="0"/>
      <w:divBdr>
        <w:top w:val="none" w:sz="0" w:space="0" w:color="auto"/>
        <w:left w:val="none" w:sz="0" w:space="0" w:color="auto"/>
        <w:bottom w:val="none" w:sz="0" w:space="0" w:color="auto"/>
        <w:right w:val="none" w:sz="0" w:space="0" w:color="auto"/>
      </w:divBdr>
    </w:div>
    <w:div w:id="1416899701">
      <w:bodyDiv w:val="1"/>
      <w:marLeft w:val="0"/>
      <w:marRight w:val="0"/>
      <w:marTop w:val="0"/>
      <w:marBottom w:val="0"/>
      <w:divBdr>
        <w:top w:val="none" w:sz="0" w:space="0" w:color="auto"/>
        <w:left w:val="none" w:sz="0" w:space="0" w:color="auto"/>
        <w:bottom w:val="none" w:sz="0" w:space="0" w:color="auto"/>
        <w:right w:val="none" w:sz="0" w:space="0" w:color="auto"/>
      </w:divBdr>
    </w:div>
    <w:div w:id="1417895258">
      <w:bodyDiv w:val="1"/>
      <w:marLeft w:val="0"/>
      <w:marRight w:val="0"/>
      <w:marTop w:val="0"/>
      <w:marBottom w:val="0"/>
      <w:divBdr>
        <w:top w:val="none" w:sz="0" w:space="0" w:color="auto"/>
        <w:left w:val="none" w:sz="0" w:space="0" w:color="auto"/>
        <w:bottom w:val="none" w:sz="0" w:space="0" w:color="auto"/>
        <w:right w:val="none" w:sz="0" w:space="0" w:color="auto"/>
      </w:divBdr>
    </w:div>
    <w:div w:id="1418789945">
      <w:bodyDiv w:val="1"/>
      <w:marLeft w:val="0"/>
      <w:marRight w:val="0"/>
      <w:marTop w:val="0"/>
      <w:marBottom w:val="0"/>
      <w:divBdr>
        <w:top w:val="none" w:sz="0" w:space="0" w:color="auto"/>
        <w:left w:val="none" w:sz="0" w:space="0" w:color="auto"/>
        <w:bottom w:val="none" w:sz="0" w:space="0" w:color="auto"/>
        <w:right w:val="none" w:sz="0" w:space="0" w:color="auto"/>
      </w:divBdr>
    </w:div>
    <w:div w:id="1427728817">
      <w:bodyDiv w:val="1"/>
      <w:marLeft w:val="0"/>
      <w:marRight w:val="0"/>
      <w:marTop w:val="0"/>
      <w:marBottom w:val="0"/>
      <w:divBdr>
        <w:top w:val="none" w:sz="0" w:space="0" w:color="auto"/>
        <w:left w:val="none" w:sz="0" w:space="0" w:color="auto"/>
        <w:bottom w:val="none" w:sz="0" w:space="0" w:color="auto"/>
        <w:right w:val="none" w:sz="0" w:space="0" w:color="auto"/>
      </w:divBdr>
    </w:div>
    <w:div w:id="1442069935">
      <w:bodyDiv w:val="1"/>
      <w:marLeft w:val="0"/>
      <w:marRight w:val="0"/>
      <w:marTop w:val="0"/>
      <w:marBottom w:val="0"/>
      <w:divBdr>
        <w:top w:val="none" w:sz="0" w:space="0" w:color="auto"/>
        <w:left w:val="none" w:sz="0" w:space="0" w:color="auto"/>
        <w:bottom w:val="none" w:sz="0" w:space="0" w:color="auto"/>
        <w:right w:val="none" w:sz="0" w:space="0" w:color="auto"/>
      </w:divBdr>
    </w:div>
    <w:div w:id="1453358193">
      <w:bodyDiv w:val="1"/>
      <w:marLeft w:val="0"/>
      <w:marRight w:val="0"/>
      <w:marTop w:val="0"/>
      <w:marBottom w:val="0"/>
      <w:divBdr>
        <w:top w:val="none" w:sz="0" w:space="0" w:color="auto"/>
        <w:left w:val="none" w:sz="0" w:space="0" w:color="auto"/>
        <w:bottom w:val="none" w:sz="0" w:space="0" w:color="auto"/>
        <w:right w:val="none" w:sz="0" w:space="0" w:color="auto"/>
      </w:divBdr>
    </w:div>
    <w:div w:id="1483620485">
      <w:bodyDiv w:val="1"/>
      <w:marLeft w:val="0"/>
      <w:marRight w:val="0"/>
      <w:marTop w:val="0"/>
      <w:marBottom w:val="0"/>
      <w:divBdr>
        <w:top w:val="none" w:sz="0" w:space="0" w:color="auto"/>
        <w:left w:val="none" w:sz="0" w:space="0" w:color="auto"/>
        <w:bottom w:val="none" w:sz="0" w:space="0" w:color="auto"/>
        <w:right w:val="none" w:sz="0" w:space="0" w:color="auto"/>
      </w:divBdr>
    </w:div>
    <w:div w:id="1487892647">
      <w:bodyDiv w:val="1"/>
      <w:marLeft w:val="0"/>
      <w:marRight w:val="0"/>
      <w:marTop w:val="0"/>
      <w:marBottom w:val="0"/>
      <w:divBdr>
        <w:top w:val="none" w:sz="0" w:space="0" w:color="auto"/>
        <w:left w:val="none" w:sz="0" w:space="0" w:color="auto"/>
        <w:bottom w:val="none" w:sz="0" w:space="0" w:color="auto"/>
        <w:right w:val="none" w:sz="0" w:space="0" w:color="auto"/>
      </w:divBdr>
    </w:div>
    <w:div w:id="1489324941">
      <w:bodyDiv w:val="1"/>
      <w:marLeft w:val="0"/>
      <w:marRight w:val="0"/>
      <w:marTop w:val="0"/>
      <w:marBottom w:val="0"/>
      <w:divBdr>
        <w:top w:val="none" w:sz="0" w:space="0" w:color="auto"/>
        <w:left w:val="none" w:sz="0" w:space="0" w:color="auto"/>
        <w:bottom w:val="none" w:sz="0" w:space="0" w:color="auto"/>
        <w:right w:val="none" w:sz="0" w:space="0" w:color="auto"/>
      </w:divBdr>
    </w:div>
    <w:div w:id="1489858138">
      <w:bodyDiv w:val="1"/>
      <w:marLeft w:val="0"/>
      <w:marRight w:val="0"/>
      <w:marTop w:val="0"/>
      <w:marBottom w:val="0"/>
      <w:divBdr>
        <w:top w:val="none" w:sz="0" w:space="0" w:color="auto"/>
        <w:left w:val="none" w:sz="0" w:space="0" w:color="auto"/>
        <w:bottom w:val="none" w:sz="0" w:space="0" w:color="auto"/>
        <w:right w:val="none" w:sz="0" w:space="0" w:color="auto"/>
      </w:divBdr>
    </w:div>
    <w:div w:id="1494445068">
      <w:bodyDiv w:val="1"/>
      <w:marLeft w:val="0"/>
      <w:marRight w:val="0"/>
      <w:marTop w:val="0"/>
      <w:marBottom w:val="0"/>
      <w:divBdr>
        <w:top w:val="none" w:sz="0" w:space="0" w:color="auto"/>
        <w:left w:val="none" w:sz="0" w:space="0" w:color="auto"/>
        <w:bottom w:val="none" w:sz="0" w:space="0" w:color="auto"/>
        <w:right w:val="none" w:sz="0" w:space="0" w:color="auto"/>
      </w:divBdr>
    </w:div>
    <w:div w:id="1494835349">
      <w:bodyDiv w:val="1"/>
      <w:marLeft w:val="0"/>
      <w:marRight w:val="0"/>
      <w:marTop w:val="0"/>
      <w:marBottom w:val="0"/>
      <w:divBdr>
        <w:top w:val="none" w:sz="0" w:space="0" w:color="auto"/>
        <w:left w:val="none" w:sz="0" w:space="0" w:color="auto"/>
        <w:bottom w:val="none" w:sz="0" w:space="0" w:color="auto"/>
        <w:right w:val="none" w:sz="0" w:space="0" w:color="auto"/>
      </w:divBdr>
    </w:div>
    <w:div w:id="1514296959">
      <w:bodyDiv w:val="1"/>
      <w:marLeft w:val="0"/>
      <w:marRight w:val="0"/>
      <w:marTop w:val="0"/>
      <w:marBottom w:val="0"/>
      <w:divBdr>
        <w:top w:val="none" w:sz="0" w:space="0" w:color="auto"/>
        <w:left w:val="none" w:sz="0" w:space="0" w:color="auto"/>
        <w:bottom w:val="none" w:sz="0" w:space="0" w:color="auto"/>
        <w:right w:val="none" w:sz="0" w:space="0" w:color="auto"/>
      </w:divBdr>
    </w:div>
    <w:div w:id="1521121150">
      <w:bodyDiv w:val="1"/>
      <w:marLeft w:val="0"/>
      <w:marRight w:val="0"/>
      <w:marTop w:val="0"/>
      <w:marBottom w:val="0"/>
      <w:divBdr>
        <w:top w:val="none" w:sz="0" w:space="0" w:color="auto"/>
        <w:left w:val="none" w:sz="0" w:space="0" w:color="auto"/>
        <w:bottom w:val="none" w:sz="0" w:space="0" w:color="auto"/>
        <w:right w:val="none" w:sz="0" w:space="0" w:color="auto"/>
      </w:divBdr>
    </w:div>
    <w:div w:id="1523937258">
      <w:bodyDiv w:val="1"/>
      <w:marLeft w:val="0"/>
      <w:marRight w:val="0"/>
      <w:marTop w:val="0"/>
      <w:marBottom w:val="0"/>
      <w:divBdr>
        <w:top w:val="none" w:sz="0" w:space="0" w:color="auto"/>
        <w:left w:val="none" w:sz="0" w:space="0" w:color="auto"/>
        <w:bottom w:val="none" w:sz="0" w:space="0" w:color="auto"/>
        <w:right w:val="none" w:sz="0" w:space="0" w:color="auto"/>
      </w:divBdr>
    </w:div>
    <w:div w:id="1533957193">
      <w:bodyDiv w:val="1"/>
      <w:marLeft w:val="0"/>
      <w:marRight w:val="0"/>
      <w:marTop w:val="0"/>
      <w:marBottom w:val="0"/>
      <w:divBdr>
        <w:top w:val="none" w:sz="0" w:space="0" w:color="auto"/>
        <w:left w:val="none" w:sz="0" w:space="0" w:color="auto"/>
        <w:bottom w:val="none" w:sz="0" w:space="0" w:color="auto"/>
        <w:right w:val="none" w:sz="0" w:space="0" w:color="auto"/>
      </w:divBdr>
    </w:div>
    <w:div w:id="1548950941">
      <w:bodyDiv w:val="1"/>
      <w:marLeft w:val="0"/>
      <w:marRight w:val="0"/>
      <w:marTop w:val="0"/>
      <w:marBottom w:val="0"/>
      <w:divBdr>
        <w:top w:val="none" w:sz="0" w:space="0" w:color="auto"/>
        <w:left w:val="none" w:sz="0" w:space="0" w:color="auto"/>
        <w:bottom w:val="none" w:sz="0" w:space="0" w:color="auto"/>
        <w:right w:val="none" w:sz="0" w:space="0" w:color="auto"/>
      </w:divBdr>
    </w:div>
    <w:div w:id="1566448155">
      <w:bodyDiv w:val="1"/>
      <w:marLeft w:val="0"/>
      <w:marRight w:val="0"/>
      <w:marTop w:val="0"/>
      <w:marBottom w:val="0"/>
      <w:divBdr>
        <w:top w:val="none" w:sz="0" w:space="0" w:color="auto"/>
        <w:left w:val="none" w:sz="0" w:space="0" w:color="auto"/>
        <w:bottom w:val="none" w:sz="0" w:space="0" w:color="auto"/>
        <w:right w:val="none" w:sz="0" w:space="0" w:color="auto"/>
      </w:divBdr>
    </w:div>
    <w:div w:id="1567186445">
      <w:bodyDiv w:val="1"/>
      <w:marLeft w:val="0"/>
      <w:marRight w:val="0"/>
      <w:marTop w:val="0"/>
      <w:marBottom w:val="0"/>
      <w:divBdr>
        <w:top w:val="none" w:sz="0" w:space="0" w:color="auto"/>
        <w:left w:val="none" w:sz="0" w:space="0" w:color="auto"/>
        <w:bottom w:val="none" w:sz="0" w:space="0" w:color="auto"/>
        <w:right w:val="none" w:sz="0" w:space="0" w:color="auto"/>
      </w:divBdr>
    </w:div>
    <w:div w:id="1567645925">
      <w:bodyDiv w:val="1"/>
      <w:marLeft w:val="0"/>
      <w:marRight w:val="0"/>
      <w:marTop w:val="0"/>
      <w:marBottom w:val="0"/>
      <w:divBdr>
        <w:top w:val="none" w:sz="0" w:space="0" w:color="auto"/>
        <w:left w:val="none" w:sz="0" w:space="0" w:color="auto"/>
        <w:bottom w:val="none" w:sz="0" w:space="0" w:color="auto"/>
        <w:right w:val="none" w:sz="0" w:space="0" w:color="auto"/>
      </w:divBdr>
    </w:div>
    <w:div w:id="1579712243">
      <w:bodyDiv w:val="1"/>
      <w:marLeft w:val="0"/>
      <w:marRight w:val="0"/>
      <w:marTop w:val="0"/>
      <w:marBottom w:val="0"/>
      <w:divBdr>
        <w:top w:val="none" w:sz="0" w:space="0" w:color="auto"/>
        <w:left w:val="none" w:sz="0" w:space="0" w:color="auto"/>
        <w:bottom w:val="none" w:sz="0" w:space="0" w:color="auto"/>
        <w:right w:val="none" w:sz="0" w:space="0" w:color="auto"/>
      </w:divBdr>
    </w:div>
    <w:div w:id="1584070982">
      <w:bodyDiv w:val="1"/>
      <w:marLeft w:val="0"/>
      <w:marRight w:val="0"/>
      <w:marTop w:val="0"/>
      <w:marBottom w:val="0"/>
      <w:divBdr>
        <w:top w:val="none" w:sz="0" w:space="0" w:color="auto"/>
        <w:left w:val="none" w:sz="0" w:space="0" w:color="auto"/>
        <w:bottom w:val="none" w:sz="0" w:space="0" w:color="auto"/>
        <w:right w:val="none" w:sz="0" w:space="0" w:color="auto"/>
      </w:divBdr>
    </w:div>
    <w:div w:id="1584533144">
      <w:bodyDiv w:val="1"/>
      <w:marLeft w:val="0"/>
      <w:marRight w:val="0"/>
      <w:marTop w:val="0"/>
      <w:marBottom w:val="0"/>
      <w:divBdr>
        <w:top w:val="none" w:sz="0" w:space="0" w:color="auto"/>
        <w:left w:val="none" w:sz="0" w:space="0" w:color="auto"/>
        <w:bottom w:val="none" w:sz="0" w:space="0" w:color="auto"/>
        <w:right w:val="none" w:sz="0" w:space="0" w:color="auto"/>
      </w:divBdr>
    </w:div>
    <w:div w:id="1608611719">
      <w:bodyDiv w:val="1"/>
      <w:marLeft w:val="0"/>
      <w:marRight w:val="0"/>
      <w:marTop w:val="0"/>
      <w:marBottom w:val="0"/>
      <w:divBdr>
        <w:top w:val="none" w:sz="0" w:space="0" w:color="auto"/>
        <w:left w:val="none" w:sz="0" w:space="0" w:color="auto"/>
        <w:bottom w:val="none" w:sz="0" w:space="0" w:color="auto"/>
        <w:right w:val="none" w:sz="0" w:space="0" w:color="auto"/>
      </w:divBdr>
    </w:div>
    <w:div w:id="1609048297">
      <w:bodyDiv w:val="1"/>
      <w:marLeft w:val="0"/>
      <w:marRight w:val="0"/>
      <w:marTop w:val="0"/>
      <w:marBottom w:val="0"/>
      <w:divBdr>
        <w:top w:val="none" w:sz="0" w:space="0" w:color="auto"/>
        <w:left w:val="none" w:sz="0" w:space="0" w:color="auto"/>
        <w:bottom w:val="none" w:sz="0" w:space="0" w:color="auto"/>
        <w:right w:val="none" w:sz="0" w:space="0" w:color="auto"/>
      </w:divBdr>
    </w:div>
    <w:div w:id="1622346515">
      <w:bodyDiv w:val="1"/>
      <w:marLeft w:val="0"/>
      <w:marRight w:val="0"/>
      <w:marTop w:val="0"/>
      <w:marBottom w:val="0"/>
      <w:divBdr>
        <w:top w:val="none" w:sz="0" w:space="0" w:color="auto"/>
        <w:left w:val="none" w:sz="0" w:space="0" w:color="auto"/>
        <w:bottom w:val="none" w:sz="0" w:space="0" w:color="auto"/>
        <w:right w:val="none" w:sz="0" w:space="0" w:color="auto"/>
      </w:divBdr>
    </w:div>
    <w:div w:id="1635406120">
      <w:bodyDiv w:val="1"/>
      <w:marLeft w:val="0"/>
      <w:marRight w:val="0"/>
      <w:marTop w:val="0"/>
      <w:marBottom w:val="0"/>
      <w:divBdr>
        <w:top w:val="none" w:sz="0" w:space="0" w:color="auto"/>
        <w:left w:val="none" w:sz="0" w:space="0" w:color="auto"/>
        <w:bottom w:val="none" w:sz="0" w:space="0" w:color="auto"/>
        <w:right w:val="none" w:sz="0" w:space="0" w:color="auto"/>
      </w:divBdr>
    </w:div>
    <w:div w:id="1639335009">
      <w:bodyDiv w:val="1"/>
      <w:marLeft w:val="0"/>
      <w:marRight w:val="0"/>
      <w:marTop w:val="0"/>
      <w:marBottom w:val="0"/>
      <w:divBdr>
        <w:top w:val="none" w:sz="0" w:space="0" w:color="auto"/>
        <w:left w:val="none" w:sz="0" w:space="0" w:color="auto"/>
        <w:bottom w:val="none" w:sz="0" w:space="0" w:color="auto"/>
        <w:right w:val="none" w:sz="0" w:space="0" w:color="auto"/>
      </w:divBdr>
    </w:div>
    <w:div w:id="1647667155">
      <w:bodyDiv w:val="1"/>
      <w:marLeft w:val="0"/>
      <w:marRight w:val="0"/>
      <w:marTop w:val="0"/>
      <w:marBottom w:val="0"/>
      <w:divBdr>
        <w:top w:val="none" w:sz="0" w:space="0" w:color="auto"/>
        <w:left w:val="none" w:sz="0" w:space="0" w:color="auto"/>
        <w:bottom w:val="none" w:sz="0" w:space="0" w:color="auto"/>
        <w:right w:val="none" w:sz="0" w:space="0" w:color="auto"/>
      </w:divBdr>
    </w:div>
    <w:div w:id="1649286483">
      <w:bodyDiv w:val="1"/>
      <w:marLeft w:val="0"/>
      <w:marRight w:val="0"/>
      <w:marTop w:val="0"/>
      <w:marBottom w:val="0"/>
      <w:divBdr>
        <w:top w:val="none" w:sz="0" w:space="0" w:color="auto"/>
        <w:left w:val="none" w:sz="0" w:space="0" w:color="auto"/>
        <w:bottom w:val="none" w:sz="0" w:space="0" w:color="auto"/>
        <w:right w:val="none" w:sz="0" w:space="0" w:color="auto"/>
      </w:divBdr>
    </w:div>
    <w:div w:id="1660646689">
      <w:bodyDiv w:val="1"/>
      <w:marLeft w:val="0"/>
      <w:marRight w:val="0"/>
      <w:marTop w:val="0"/>
      <w:marBottom w:val="0"/>
      <w:divBdr>
        <w:top w:val="none" w:sz="0" w:space="0" w:color="auto"/>
        <w:left w:val="none" w:sz="0" w:space="0" w:color="auto"/>
        <w:bottom w:val="none" w:sz="0" w:space="0" w:color="auto"/>
        <w:right w:val="none" w:sz="0" w:space="0" w:color="auto"/>
      </w:divBdr>
    </w:div>
    <w:div w:id="1666932987">
      <w:bodyDiv w:val="1"/>
      <w:marLeft w:val="0"/>
      <w:marRight w:val="0"/>
      <w:marTop w:val="0"/>
      <w:marBottom w:val="0"/>
      <w:divBdr>
        <w:top w:val="none" w:sz="0" w:space="0" w:color="auto"/>
        <w:left w:val="none" w:sz="0" w:space="0" w:color="auto"/>
        <w:bottom w:val="none" w:sz="0" w:space="0" w:color="auto"/>
        <w:right w:val="none" w:sz="0" w:space="0" w:color="auto"/>
      </w:divBdr>
    </w:div>
    <w:div w:id="1671060667">
      <w:bodyDiv w:val="1"/>
      <w:marLeft w:val="0"/>
      <w:marRight w:val="0"/>
      <w:marTop w:val="0"/>
      <w:marBottom w:val="0"/>
      <w:divBdr>
        <w:top w:val="none" w:sz="0" w:space="0" w:color="auto"/>
        <w:left w:val="none" w:sz="0" w:space="0" w:color="auto"/>
        <w:bottom w:val="none" w:sz="0" w:space="0" w:color="auto"/>
        <w:right w:val="none" w:sz="0" w:space="0" w:color="auto"/>
      </w:divBdr>
    </w:div>
    <w:div w:id="1678117659">
      <w:bodyDiv w:val="1"/>
      <w:marLeft w:val="0"/>
      <w:marRight w:val="0"/>
      <w:marTop w:val="0"/>
      <w:marBottom w:val="0"/>
      <w:divBdr>
        <w:top w:val="none" w:sz="0" w:space="0" w:color="auto"/>
        <w:left w:val="none" w:sz="0" w:space="0" w:color="auto"/>
        <w:bottom w:val="none" w:sz="0" w:space="0" w:color="auto"/>
        <w:right w:val="none" w:sz="0" w:space="0" w:color="auto"/>
      </w:divBdr>
    </w:div>
    <w:div w:id="1714042582">
      <w:bodyDiv w:val="1"/>
      <w:marLeft w:val="0"/>
      <w:marRight w:val="0"/>
      <w:marTop w:val="0"/>
      <w:marBottom w:val="0"/>
      <w:divBdr>
        <w:top w:val="none" w:sz="0" w:space="0" w:color="auto"/>
        <w:left w:val="none" w:sz="0" w:space="0" w:color="auto"/>
        <w:bottom w:val="none" w:sz="0" w:space="0" w:color="auto"/>
        <w:right w:val="none" w:sz="0" w:space="0" w:color="auto"/>
      </w:divBdr>
    </w:div>
    <w:div w:id="1714229924">
      <w:bodyDiv w:val="1"/>
      <w:marLeft w:val="0"/>
      <w:marRight w:val="0"/>
      <w:marTop w:val="0"/>
      <w:marBottom w:val="0"/>
      <w:divBdr>
        <w:top w:val="none" w:sz="0" w:space="0" w:color="auto"/>
        <w:left w:val="none" w:sz="0" w:space="0" w:color="auto"/>
        <w:bottom w:val="none" w:sz="0" w:space="0" w:color="auto"/>
        <w:right w:val="none" w:sz="0" w:space="0" w:color="auto"/>
      </w:divBdr>
    </w:div>
    <w:div w:id="1714889019">
      <w:bodyDiv w:val="1"/>
      <w:marLeft w:val="0"/>
      <w:marRight w:val="0"/>
      <w:marTop w:val="0"/>
      <w:marBottom w:val="0"/>
      <w:divBdr>
        <w:top w:val="none" w:sz="0" w:space="0" w:color="auto"/>
        <w:left w:val="none" w:sz="0" w:space="0" w:color="auto"/>
        <w:bottom w:val="none" w:sz="0" w:space="0" w:color="auto"/>
        <w:right w:val="none" w:sz="0" w:space="0" w:color="auto"/>
      </w:divBdr>
    </w:div>
    <w:div w:id="1728606395">
      <w:bodyDiv w:val="1"/>
      <w:marLeft w:val="0"/>
      <w:marRight w:val="0"/>
      <w:marTop w:val="0"/>
      <w:marBottom w:val="0"/>
      <w:divBdr>
        <w:top w:val="none" w:sz="0" w:space="0" w:color="auto"/>
        <w:left w:val="none" w:sz="0" w:space="0" w:color="auto"/>
        <w:bottom w:val="none" w:sz="0" w:space="0" w:color="auto"/>
        <w:right w:val="none" w:sz="0" w:space="0" w:color="auto"/>
      </w:divBdr>
    </w:div>
    <w:div w:id="1732577351">
      <w:bodyDiv w:val="1"/>
      <w:marLeft w:val="0"/>
      <w:marRight w:val="0"/>
      <w:marTop w:val="0"/>
      <w:marBottom w:val="0"/>
      <w:divBdr>
        <w:top w:val="none" w:sz="0" w:space="0" w:color="auto"/>
        <w:left w:val="none" w:sz="0" w:space="0" w:color="auto"/>
        <w:bottom w:val="none" w:sz="0" w:space="0" w:color="auto"/>
        <w:right w:val="none" w:sz="0" w:space="0" w:color="auto"/>
      </w:divBdr>
    </w:div>
    <w:div w:id="1743721098">
      <w:bodyDiv w:val="1"/>
      <w:marLeft w:val="0"/>
      <w:marRight w:val="0"/>
      <w:marTop w:val="0"/>
      <w:marBottom w:val="0"/>
      <w:divBdr>
        <w:top w:val="none" w:sz="0" w:space="0" w:color="auto"/>
        <w:left w:val="none" w:sz="0" w:space="0" w:color="auto"/>
        <w:bottom w:val="none" w:sz="0" w:space="0" w:color="auto"/>
        <w:right w:val="none" w:sz="0" w:space="0" w:color="auto"/>
      </w:divBdr>
      <w:divsChild>
        <w:div w:id="1141314452">
          <w:marLeft w:val="0"/>
          <w:marRight w:val="0"/>
          <w:marTop w:val="0"/>
          <w:marBottom w:val="0"/>
          <w:divBdr>
            <w:top w:val="none" w:sz="0" w:space="0" w:color="auto"/>
            <w:left w:val="none" w:sz="0" w:space="0" w:color="auto"/>
            <w:bottom w:val="none" w:sz="0" w:space="0" w:color="auto"/>
            <w:right w:val="none" w:sz="0" w:space="0" w:color="auto"/>
          </w:divBdr>
        </w:div>
        <w:div w:id="590771895">
          <w:marLeft w:val="0"/>
          <w:marRight w:val="0"/>
          <w:marTop w:val="0"/>
          <w:marBottom w:val="0"/>
          <w:divBdr>
            <w:top w:val="none" w:sz="0" w:space="0" w:color="auto"/>
            <w:left w:val="none" w:sz="0" w:space="0" w:color="auto"/>
            <w:bottom w:val="none" w:sz="0" w:space="0" w:color="auto"/>
            <w:right w:val="none" w:sz="0" w:space="0" w:color="auto"/>
          </w:divBdr>
        </w:div>
      </w:divsChild>
    </w:div>
    <w:div w:id="1746995921">
      <w:bodyDiv w:val="1"/>
      <w:marLeft w:val="0"/>
      <w:marRight w:val="0"/>
      <w:marTop w:val="0"/>
      <w:marBottom w:val="0"/>
      <w:divBdr>
        <w:top w:val="none" w:sz="0" w:space="0" w:color="auto"/>
        <w:left w:val="none" w:sz="0" w:space="0" w:color="auto"/>
        <w:bottom w:val="none" w:sz="0" w:space="0" w:color="auto"/>
        <w:right w:val="none" w:sz="0" w:space="0" w:color="auto"/>
      </w:divBdr>
    </w:div>
    <w:div w:id="1750736917">
      <w:bodyDiv w:val="1"/>
      <w:marLeft w:val="0"/>
      <w:marRight w:val="0"/>
      <w:marTop w:val="0"/>
      <w:marBottom w:val="0"/>
      <w:divBdr>
        <w:top w:val="none" w:sz="0" w:space="0" w:color="auto"/>
        <w:left w:val="none" w:sz="0" w:space="0" w:color="auto"/>
        <w:bottom w:val="none" w:sz="0" w:space="0" w:color="auto"/>
        <w:right w:val="none" w:sz="0" w:space="0" w:color="auto"/>
      </w:divBdr>
    </w:div>
    <w:div w:id="1758751427">
      <w:bodyDiv w:val="1"/>
      <w:marLeft w:val="0"/>
      <w:marRight w:val="0"/>
      <w:marTop w:val="0"/>
      <w:marBottom w:val="0"/>
      <w:divBdr>
        <w:top w:val="none" w:sz="0" w:space="0" w:color="auto"/>
        <w:left w:val="none" w:sz="0" w:space="0" w:color="auto"/>
        <w:bottom w:val="none" w:sz="0" w:space="0" w:color="auto"/>
        <w:right w:val="none" w:sz="0" w:space="0" w:color="auto"/>
      </w:divBdr>
    </w:div>
    <w:div w:id="1760827112">
      <w:bodyDiv w:val="1"/>
      <w:marLeft w:val="0"/>
      <w:marRight w:val="0"/>
      <w:marTop w:val="0"/>
      <w:marBottom w:val="0"/>
      <w:divBdr>
        <w:top w:val="none" w:sz="0" w:space="0" w:color="auto"/>
        <w:left w:val="none" w:sz="0" w:space="0" w:color="auto"/>
        <w:bottom w:val="none" w:sz="0" w:space="0" w:color="auto"/>
        <w:right w:val="none" w:sz="0" w:space="0" w:color="auto"/>
      </w:divBdr>
    </w:div>
    <w:div w:id="1763450819">
      <w:bodyDiv w:val="1"/>
      <w:marLeft w:val="0"/>
      <w:marRight w:val="0"/>
      <w:marTop w:val="0"/>
      <w:marBottom w:val="0"/>
      <w:divBdr>
        <w:top w:val="none" w:sz="0" w:space="0" w:color="auto"/>
        <w:left w:val="none" w:sz="0" w:space="0" w:color="auto"/>
        <w:bottom w:val="none" w:sz="0" w:space="0" w:color="auto"/>
        <w:right w:val="none" w:sz="0" w:space="0" w:color="auto"/>
      </w:divBdr>
    </w:div>
    <w:div w:id="1774737782">
      <w:bodyDiv w:val="1"/>
      <w:marLeft w:val="0"/>
      <w:marRight w:val="0"/>
      <w:marTop w:val="0"/>
      <w:marBottom w:val="0"/>
      <w:divBdr>
        <w:top w:val="none" w:sz="0" w:space="0" w:color="auto"/>
        <w:left w:val="none" w:sz="0" w:space="0" w:color="auto"/>
        <w:bottom w:val="none" w:sz="0" w:space="0" w:color="auto"/>
        <w:right w:val="none" w:sz="0" w:space="0" w:color="auto"/>
      </w:divBdr>
    </w:div>
    <w:div w:id="1791239892">
      <w:bodyDiv w:val="1"/>
      <w:marLeft w:val="0"/>
      <w:marRight w:val="0"/>
      <w:marTop w:val="0"/>
      <w:marBottom w:val="0"/>
      <w:divBdr>
        <w:top w:val="none" w:sz="0" w:space="0" w:color="auto"/>
        <w:left w:val="none" w:sz="0" w:space="0" w:color="auto"/>
        <w:bottom w:val="none" w:sz="0" w:space="0" w:color="auto"/>
        <w:right w:val="none" w:sz="0" w:space="0" w:color="auto"/>
      </w:divBdr>
    </w:div>
    <w:div w:id="1810895922">
      <w:bodyDiv w:val="1"/>
      <w:marLeft w:val="0"/>
      <w:marRight w:val="0"/>
      <w:marTop w:val="0"/>
      <w:marBottom w:val="0"/>
      <w:divBdr>
        <w:top w:val="none" w:sz="0" w:space="0" w:color="auto"/>
        <w:left w:val="none" w:sz="0" w:space="0" w:color="auto"/>
        <w:bottom w:val="none" w:sz="0" w:space="0" w:color="auto"/>
        <w:right w:val="none" w:sz="0" w:space="0" w:color="auto"/>
      </w:divBdr>
    </w:div>
    <w:div w:id="1816141170">
      <w:bodyDiv w:val="1"/>
      <w:marLeft w:val="0"/>
      <w:marRight w:val="0"/>
      <w:marTop w:val="0"/>
      <w:marBottom w:val="0"/>
      <w:divBdr>
        <w:top w:val="none" w:sz="0" w:space="0" w:color="auto"/>
        <w:left w:val="none" w:sz="0" w:space="0" w:color="auto"/>
        <w:bottom w:val="none" w:sz="0" w:space="0" w:color="auto"/>
        <w:right w:val="none" w:sz="0" w:space="0" w:color="auto"/>
      </w:divBdr>
    </w:div>
    <w:div w:id="1834879688">
      <w:bodyDiv w:val="1"/>
      <w:marLeft w:val="0"/>
      <w:marRight w:val="0"/>
      <w:marTop w:val="0"/>
      <w:marBottom w:val="0"/>
      <w:divBdr>
        <w:top w:val="none" w:sz="0" w:space="0" w:color="auto"/>
        <w:left w:val="none" w:sz="0" w:space="0" w:color="auto"/>
        <w:bottom w:val="none" w:sz="0" w:space="0" w:color="auto"/>
        <w:right w:val="none" w:sz="0" w:space="0" w:color="auto"/>
      </w:divBdr>
    </w:div>
    <w:div w:id="1838305851">
      <w:bodyDiv w:val="1"/>
      <w:marLeft w:val="0"/>
      <w:marRight w:val="0"/>
      <w:marTop w:val="0"/>
      <w:marBottom w:val="0"/>
      <w:divBdr>
        <w:top w:val="none" w:sz="0" w:space="0" w:color="auto"/>
        <w:left w:val="none" w:sz="0" w:space="0" w:color="auto"/>
        <w:bottom w:val="none" w:sz="0" w:space="0" w:color="auto"/>
        <w:right w:val="none" w:sz="0" w:space="0" w:color="auto"/>
      </w:divBdr>
      <w:divsChild>
        <w:div w:id="38483291">
          <w:marLeft w:val="0"/>
          <w:marRight w:val="0"/>
          <w:marTop w:val="15"/>
          <w:marBottom w:val="0"/>
          <w:divBdr>
            <w:top w:val="single" w:sz="48" w:space="0" w:color="auto"/>
            <w:left w:val="single" w:sz="48" w:space="0" w:color="auto"/>
            <w:bottom w:val="single" w:sz="48" w:space="0" w:color="auto"/>
            <w:right w:val="single" w:sz="48" w:space="0" w:color="auto"/>
          </w:divBdr>
          <w:divsChild>
            <w:div w:id="1660841972">
              <w:marLeft w:val="0"/>
              <w:marRight w:val="0"/>
              <w:marTop w:val="0"/>
              <w:marBottom w:val="0"/>
              <w:divBdr>
                <w:top w:val="none" w:sz="0" w:space="0" w:color="auto"/>
                <w:left w:val="none" w:sz="0" w:space="0" w:color="auto"/>
                <w:bottom w:val="none" w:sz="0" w:space="0" w:color="auto"/>
                <w:right w:val="none" w:sz="0" w:space="0" w:color="auto"/>
              </w:divBdr>
            </w:div>
          </w:divsChild>
        </w:div>
        <w:div w:id="1017460022">
          <w:marLeft w:val="0"/>
          <w:marRight w:val="0"/>
          <w:marTop w:val="15"/>
          <w:marBottom w:val="0"/>
          <w:divBdr>
            <w:top w:val="single" w:sz="48" w:space="0" w:color="auto"/>
            <w:left w:val="single" w:sz="48" w:space="0" w:color="auto"/>
            <w:bottom w:val="single" w:sz="48" w:space="0" w:color="auto"/>
            <w:right w:val="single" w:sz="48" w:space="0" w:color="auto"/>
          </w:divBdr>
          <w:divsChild>
            <w:div w:id="16872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77817">
      <w:bodyDiv w:val="1"/>
      <w:marLeft w:val="0"/>
      <w:marRight w:val="0"/>
      <w:marTop w:val="0"/>
      <w:marBottom w:val="0"/>
      <w:divBdr>
        <w:top w:val="none" w:sz="0" w:space="0" w:color="auto"/>
        <w:left w:val="none" w:sz="0" w:space="0" w:color="auto"/>
        <w:bottom w:val="none" w:sz="0" w:space="0" w:color="auto"/>
        <w:right w:val="none" w:sz="0" w:space="0" w:color="auto"/>
      </w:divBdr>
    </w:div>
    <w:div w:id="1871186982">
      <w:bodyDiv w:val="1"/>
      <w:marLeft w:val="0"/>
      <w:marRight w:val="0"/>
      <w:marTop w:val="0"/>
      <w:marBottom w:val="0"/>
      <w:divBdr>
        <w:top w:val="none" w:sz="0" w:space="0" w:color="auto"/>
        <w:left w:val="none" w:sz="0" w:space="0" w:color="auto"/>
        <w:bottom w:val="none" w:sz="0" w:space="0" w:color="auto"/>
        <w:right w:val="none" w:sz="0" w:space="0" w:color="auto"/>
      </w:divBdr>
    </w:div>
    <w:div w:id="1879658101">
      <w:bodyDiv w:val="1"/>
      <w:marLeft w:val="0"/>
      <w:marRight w:val="0"/>
      <w:marTop w:val="0"/>
      <w:marBottom w:val="0"/>
      <w:divBdr>
        <w:top w:val="none" w:sz="0" w:space="0" w:color="auto"/>
        <w:left w:val="none" w:sz="0" w:space="0" w:color="auto"/>
        <w:bottom w:val="none" w:sz="0" w:space="0" w:color="auto"/>
        <w:right w:val="none" w:sz="0" w:space="0" w:color="auto"/>
      </w:divBdr>
    </w:div>
    <w:div w:id="1891961120">
      <w:bodyDiv w:val="1"/>
      <w:marLeft w:val="0"/>
      <w:marRight w:val="0"/>
      <w:marTop w:val="0"/>
      <w:marBottom w:val="0"/>
      <w:divBdr>
        <w:top w:val="none" w:sz="0" w:space="0" w:color="auto"/>
        <w:left w:val="none" w:sz="0" w:space="0" w:color="auto"/>
        <w:bottom w:val="none" w:sz="0" w:space="0" w:color="auto"/>
        <w:right w:val="none" w:sz="0" w:space="0" w:color="auto"/>
      </w:divBdr>
    </w:div>
    <w:div w:id="1902018342">
      <w:bodyDiv w:val="1"/>
      <w:marLeft w:val="0"/>
      <w:marRight w:val="0"/>
      <w:marTop w:val="0"/>
      <w:marBottom w:val="0"/>
      <w:divBdr>
        <w:top w:val="none" w:sz="0" w:space="0" w:color="auto"/>
        <w:left w:val="none" w:sz="0" w:space="0" w:color="auto"/>
        <w:bottom w:val="none" w:sz="0" w:space="0" w:color="auto"/>
        <w:right w:val="none" w:sz="0" w:space="0" w:color="auto"/>
      </w:divBdr>
    </w:div>
    <w:div w:id="1902474735">
      <w:bodyDiv w:val="1"/>
      <w:marLeft w:val="0"/>
      <w:marRight w:val="0"/>
      <w:marTop w:val="0"/>
      <w:marBottom w:val="0"/>
      <w:divBdr>
        <w:top w:val="none" w:sz="0" w:space="0" w:color="auto"/>
        <w:left w:val="none" w:sz="0" w:space="0" w:color="auto"/>
        <w:bottom w:val="none" w:sz="0" w:space="0" w:color="auto"/>
        <w:right w:val="none" w:sz="0" w:space="0" w:color="auto"/>
      </w:divBdr>
    </w:div>
    <w:div w:id="1904439906">
      <w:bodyDiv w:val="1"/>
      <w:marLeft w:val="0"/>
      <w:marRight w:val="0"/>
      <w:marTop w:val="0"/>
      <w:marBottom w:val="0"/>
      <w:divBdr>
        <w:top w:val="none" w:sz="0" w:space="0" w:color="auto"/>
        <w:left w:val="none" w:sz="0" w:space="0" w:color="auto"/>
        <w:bottom w:val="none" w:sz="0" w:space="0" w:color="auto"/>
        <w:right w:val="none" w:sz="0" w:space="0" w:color="auto"/>
      </w:divBdr>
    </w:div>
    <w:div w:id="1915820146">
      <w:bodyDiv w:val="1"/>
      <w:marLeft w:val="0"/>
      <w:marRight w:val="0"/>
      <w:marTop w:val="0"/>
      <w:marBottom w:val="0"/>
      <w:divBdr>
        <w:top w:val="none" w:sz="0" w:space="0" w:color="auto"/>
        <w:left w:val="none" w:sz="0" w:space="0" w:color="auto"/>
        <w:bottom w:val="none" w:sz="0" w:space="0" w:color="auto"/>
        <w:right w:val="none" w:sz="0" w:space="0" w:color="auto"/>
      </w:divBdr>
    </w:div>
    <w:div w:id="1921406394">
      <w:bodyDiv w:val="1"/>
      <w:marLeft w:val="0"/>
      <w:marRight w:val="0"/>
      <w:marTop w:val="0"/>
      <w:marBottom w:val="0"/>
      <w:divBdr>
        <w:top w:val="none" w:sz="0" w:space="0" w:color="auto"/>
        <w:left w:val="none" w:sz="0" w:space="0" w:color="auto"/>
        <w:bottom w:val="none" w:sz="0" w:space="0" w:color="auto"/>
        <w:right w:val="none" w:sz="0" w:space="0" w:color="auto"/>
      </w:divBdr>
    </w:div>
    <w:div w:id="1944414971">
      <w:bodyDiv w:val="1"/>
      <w:marLeft w:val="0"/>
      <w:marRight w:val="0"/>
      <w:marTop w:val="0"/>
      <w:marBottom w:val="0"/>
      <w:divBdr>
        <w:top w:val="none" w:sz="0" w:space="0" w:color="auto"/>
        <w:left w:val="none" w:sz="0" w:space="0" w:color="auto"/>
        <w:bottom w:val="none" w:sz="0" w:space="0" w:color="auto"/>
        <w:right w:val="none" w:sz="0" w:space="0" w:color="auto"/>
      </w:divBdr>
    </w:div>
    <w:div w:id="1945922382">
      <w:bodyDiv w:val="1"/>
      <w:marLeft w:val="0"/>
      <w:marRight w:val="0"/>
      <w:marTop w:val="0"/>
      <w:marBottom w:val="0"/>
      <w:divBdr>
        <w:top w:val="none" w:sz="0" w:space="0" w:color="auto"/>
        <w:left w:val="none" w:sz="0" w:space="0" w:color="auto"/>
        <w:bottom w:val="none" w:sz="0" w:space="0" w:color="auto"/>
        <w:right w:val="none" w:sz="0" w:space="0" w:color="auto"/>
      </w:divBdr>
    </w:div>
    <w:div w:id="1951542746">
      <w:bodyDiv w:val="1"/>
      <w:marLeft w:val="0"/>
      <w:marRight w:val="0"/>
      <w:marTop w:val="0"/>
      <w:marBottom w:val="0"/>
      <w:divBdr>
        <w:top w:val="none" w:sz="0" w:space="0" w:color="auto"/>
        <w:left w:val="none" w:sz="0" w:space="0" w:color="auto"/>
        <w:bottom w:val="none" w:sz="0" w:space="0" w:color="auto"/>
        <w:right w:val="none" w:sz="0" w:space="0" w:color="auto"/>
      </w:divBdr>
    </w:div>
    <w:div w:id="1958557616">
      <w:bodyDiv w:val="1"/>
      <w:marLeft w:val="0"/>
      <w:marRight w:val="0"/>
      <w:marTop w:val="0"/>
      <w:marBottom w:val="0"/>
      <w:divBdr>
        <w:top w:val="none" w:sz="0" w:space="0" w:color="auto"/>
        <w:left w:val="none" w:sz="0" w:space="0" w:color="auto"/>
        <w:bottom w:val="none" w:sz="0" w:space="0" w:color="auto"/>
        <w:right w:val="none" w:sz="0" w:space="0" w:color="auto"/>
      </w:divBdr>
    </w:div>
    <w:div w:id="1961642681">
      <w:bodyDiv w:val="1"/>
      <w:marLeft w:val="0"/>
      <w:marRight w:val="0"/>
      <w:marTop w:val="0"/>
      <w:marBottom w:val="0"/>
      <w:divBdr>
        <w:top w:val="none" w:sz="0" w:space="0" w:color="auto"/>
        <w:left w:val="none" w:sz="0" w:space="0" w:color="auto"/>
        <w:bottom w:val="none" w:sz="0" w:space="0" w:color="auto"/>
        <w:right w:val="none" w:sz="0" w:space="0" w:color="auto"/>
      </w:divBdr>
    </w:div>
    <w:div w:id="2017880896">
      <w:bodyDiv w:val="1"/>
      <w:marLeft w:val="0"/>
      <w:marRight w:val="0"/>
      <w:marTop w:val="0"/>
      <w:marBottom w:val="0"/>
      <w:divBdr>
        <w:top w:val="none" w:sz="0" w:space="0" w:color="auto"/>
        <w:left w:val="none" w:sz="0" w:space="0" w:color="auto"/>
        <w:bottom w:val="none" w:sz="0" w:space="0" w:color="auto"/>
        <w:right w:val="none" w:sz="0" w:space="0" w:color="auto"/>
      </w:divBdr>
    </w:div>
    <w:div w:id="2028094745">
      <w:bodyDiv w:val="1"/>
      <w:marLeft w:val="0"/>
      <w:marRight w:val="0"/>
      <w:marTop w:val="0"/>
      <w:marBottom w:val="0"/>
      <w:divBdr>
        <w:top w:val="none" w:sz="0" w:space="0" w:color="auto"/>
        <w:left w:val="none" w:sz="0" w:space="0" w:color="auto"/>
        <w:bottom w:val="none" w:sz="0" w:space="0" w:color="auto"/>
        <w:right w:val="none" w:sz="0" w:space="0" w:color="auto"/>
      </w:divBdr>
    </w:div>
    <w:div w:id="2034722033">
      <w:bodyDiv w:val="1"/>
      <w:marLeft w:val="0"/>
      <w:marRight w:val="0"/>
      <w:marTop w:val="0"/>
      <w:marBottom w:val="0"/>
      <w:divBdr>
        <w:top w:val="none" w:sz="0" w:space="0" w:color="auto"/>
        <w:left w:val="none" w:sz="0" w:space="0" w:color="auto"/>
        <w:bottom w:val="none" w:sz="0" w:space="0" w:color="auto"/>
        <w:right w:val="none" w:sz="0" w:space="0" w:color="auto"/>
      </w:divBdr>
    </w:div>
    <w:div w:id="2053074131">
      <w:bodyDiv w:val="1"/>
      <w:marLeft w:val="0"/>
      <w:marRight w:val="0"/>
      <w:marTop w:val="0"/>
      <w:marBottom w:val="0"/>
      <w:divBdr>
        <w:top w:val="none" w:sz="0" w:space="0" w:color="auto"/>
        <w:left w:val="none" w:sz="0" w:space="0" w:color="auto"/>
        <w:bottom w:val="none" w:sz="0" w:space="0" w:color="auto"/>
        <w:right w:val="none" w:sz="0" w:space="0" w:color="auto"/>
      </w:divBdr>
    </w:div>
    <w:div w:id="2058428441">
      <w:bodyDiv w:val="1"/>
      <w:marLeft w:val="0"/>
      <w:marRight w:val="0"/>
      <w:marTop w:val="0"/>
      <w:marBottom w:val="0"/>
      <w:divBdr>
        <w:top w:val="none" w:sz="0" w:space="0" w:color="auto"/>
        <w:left w:val="none" w:sz="0" w:space="0" w:color="auto"/>
        <w:bottom w:val="none" w:sz="0" w:space="0" w:color="auto"/>
        <w:right w:val="none" w:sz="0" w:space="0" w:color="auto"/>
      </w:divBdr>
    </w:div>
    <w:div w:id="2081445706">
      <w:bodyDiv w:val="1"/>
      <w:marLeft w:val="0"/>
      <w:marRight w:val="0"/>
      <w:marTop w:val="0"/>
      <w:marBottom w:val="0"/>
      <w:divBdr>
        <w:top w:val="none" w:sz="0" w:space="0" w:color="auto"/>
        <w:left w:val="none" w:sz="0" w:space="0" w:color="auto"/>
        <w:bottom w:val="none" w:sz="0" w:space="0" w:color="auto"/>
        <w:right w:val="none" w:sz="0" w:space="0" w:color="auto"/>
      </w:divBdr>
    </w:div>
    <w:div w:id="2087258901">
      <w:bodyDiv w:val="1"/>
      <w:marLeft w:val="0"/>
      <w:marRight w:val="0"/>
      <w:marTop w:val="0"/>
      <w:marBottom w:val="0"/>
      <w:divBdr>
        <w:top w:val="none" w:sz="0" w:space="0" w:color="auto"/>
        <w:left w:val="none" w:sz="0" w:space="0" w:color="auto"/>
        <w:bottom w:val="none" w:sz="0" w:space="0" w:color="auto"/>
        <w:right w:val="none" w:sz="0" w:space="0" w:color="auto"/>
      </w:divBdr>
    </w:div>
    <w:div w:id="2098017116">
      <w:bodyDiv w:val="1"/>
      <w:marLeft w:val="0"/>
      <w:marRight w:val="0"/>
      <w:marTop w:val="0"/>
      <w:marBottom w:val="0"/>
      <w:divBdr>
        <w:top w:val="none" w:sz="0" w:space="0" w:color="auto"/>
        <w:left w:val="none" w:sz="0" w:space="0" w:color="auto"/>
        <w:bottom w:val="none" w:sz="0" w:space="0" w:color="auto"/>
        <w:right w:val="none" w:sz="0" w:space="0" w:color="auto"/>
      </w:divBdr>
    </w:div>
    <w:div w:id="2106268913">
      <w:bodyDiv w:val="1"/>
      <w:marLeft w:val="0"/>
      <w:marRight w:val="0"/>
      <w:marTop w:val="0"/>
      <w:marBottom w:val="0"/>
      <w:divBdr>
        <w:top w:val="none" w:sz="0" w:space="0" w:color="auto"/>
        <w:left w:val="none" w:sz="0" w:space="0" w:color="auto"/>
        <w:bottom w:val="none" w:sz="0" w:space="0" w:color="auto"/>
        <w:right w:val="none" w:sz="0" w:space="0" w:color="auto"/>
      </w:divBdr>
    </w:div>
    <w:div w:id="2128960514">
      <w:bodyDiv w:val="1"/>
      <w:marLeft w:val="0"/>
      <w:marRight w:val="0"/>
      <w:marTop w:val="0"/>
      <w:marBottom w:val="0"/>
      <w:divBdr>
        <w:top w:val="none" w:sz="0" w:space="0" w:color="auto"/>
        <w:left w:val="none" w:sz="0" w:space="0" w:color="auto"/>
        <w:bottom w:val="none" w:sz="0" w:space="0" w:color="auto"/>
        <w:right w:val="none" w:sz="0" w:space="0" w:color="auto"/>
      </w:divBdr>
    </w:div>
    <w:div w:id="214546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camaradecomptos.navarra.es/sites/default/files/assets/files/informes/InformeComptos2112_firmado.pdf"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camaradecomptos.navarra.es/sites/default/files/assets/files/informes/InformeComptos2112_firmado.pdf"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footer6.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2" Type="http://schemas.openxmlformats.org/officeDocument/2006/relationships/hyperlink" Target="https://gobiernoabierto.navarra.es/es/transparencia/auditorias-cuentas-anuales-procedimientos-acordados-sobre-cumplimiento-legalidad" TargetMode="External"/><Relationship Id="rId1" Type="http://schemas.openxmlformats.org/officeDocument/2006/relationships/hyperlink" Target="https://www.navarra.es/es/gobierno-de-navarra/cuentas-gene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Corporativas\Borrador%20Final.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Evolución</a:t>
            </a:r>
            <a:r>
              <a:rPr lang="es-ES" baseline="0"/>
              <a:t> de las partidas nominativas 2019-2024</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lineChart>
        <c:grouping val="standard"/>
        <c:varyColors val="0"/>
        <c:ser>
          <c:idx val="0"/>
          <c:order val="0"/>
          <c:tx>
            <c:strRef>
              <c:f>Hoja1!$E$28</c:f>
              <c:strCache>
                <c:ptCount val="1"/>
                <c:pt idx="0">
                  <c:v>Partidas incluidas por el G.N. en el P.L.F.P.G</c:v>
                </c:pt>
              </c:strCache>
            </c:strRef>
          </c:tx>
          <c:spPr>
            <a:ln w="28575" cap="rnd">
              <a:solidFill>
                <a:schemeClr val="accent1"/>
              </a:solidFill>
              <a:round/>
            </a:ln>
            <a:effectLst/>
          </c:spPr>
          <c:marker>
            <c:symbol val="none"/>
          </c:marker>
          <c:cat>
            <c:numRef>
              <c:f>Hoja1!$F$27:$K$27</c:f>
              <c:numCache>
                <c:formatCode>General</c:formatCode>
                <c:ptCount val="6"/>
                <c:pt idx="0">
                  <c:v>2019</c:v>
                </c:pt>
                <c:pt idx="1">
                  <c:v>2020</c:v>
                </c:pt>
                <c:pt idx="2">
                  <c:v>2021</c:v>
                </c:pt>
                <c:pt idx="3">
                  <c:v>2022</c:v>
                </c:pt>
                <c:pt idx="4">
                  <c:v>2023</c:v>
                </c:pt>
                <c:pt idx="5">
                  <c:v>2024</c:v>
                </c:pt>
              </c:numCache>
            </c:numRef>
          </c:cat>
          <c:val>
            <c:numRef>
              <c:f>Hoja1!$F$28:$K$28</c:f>
              <c:numCache>
                <c:formatCode>General</c:formatCode>
                <c:ptCount val="6"/>
                <c:pt idx="0">
                  <c:v>103</c:v>
                </c:pt>
                <c:pt idx="1">
                  <c:v>117</c:v>
                </c:pt>
                <c:pt idx="2">
                  <c:v>158</c:v>
                </c:pt>
                <c:pt idx="3">
                  <c:v>175</c:v>
                </c:pt>
                <c:pt idx="4">
                  <c:v>177</c:v>
                </c:pt>
                <c:pt idx="5">
                  <c:v>180</c:v>
                </c:pt>
              </c:numCache>
            </c:numRef>
          </c:val>
          <c:smooth val="0"/>
          <c:extLst>
            <c:ext xmlns:c16="http://schemas.microsoft.com/office/drawing/2014/chart" uri="{C3380CC4-5D6E-409C-BE32-E72D297353CC}">
              <c16:uniqueId val="{00000000-7323-448E-8C32-61396490A96A}"/>
            </c:ext>
          </c:extLst>
        </c:ser>
        <c:ser>
          <c:idx val="1"/>
          <c:order val="1"/>
          <c:tx>
            <c:strRef>
              <c:f>Hoja1!$E$29</c:f>
              <c:strCache>
                <c:ptCount val="1"/>
                <c:pt idx="0">
                  <c:v>Partidas incluidas en la L.F.P.G. (enmiendas G.P)</c:v>
                </c:pt>
              </c:strCache>
            </c:strRef>
          </c:tx>
          <c:spPr>
            <a:ln w="28575" cap="rnd">
              <a:solidFill>
                <a:schemeClr val="accent2"/>
              </a:solidFill>
              <a:round/>
            </a:ln>
            <a:effectLst/>
          </c:spPr>
          <c:marker>
            <c:symbol val="none"/>
          </c:marker>
          <c:cat>
            <c:numRef>
              <c:f>Hoja1!$F$27:$K$27</c:f>
              <c:numCache>
                <c:formatCode>General</c:formatCode>
                <c:ptCount val="6"/>
                <c:pt idx="0">
                  <c:v>2019</c:v>
                </c:pt>
                <c:pt idx="1">
                  <c:v>2020</c:v>
                </c:pt>
                <c:pt idx="2">
                  <c:v>2021</c:v>
                </c:pt>
                <c:pt idx="3">
                  <c:v>2022</c:v>
                </c:pt>
                <c:pt idx="4">
                  <c:v>2023</c:v>
                </c:pt>
                <c:pt idx="5">
                  <c:v>2024</c:v>
                </c:pt>
              </c:numCache>
            </c:numRef>
          </c:cat>
          <c:val>
            <c:numRef>
              <c:f>Hoja1!$F$29:$K$29</c:f>
              <c:numCache>
                <c:formatCode>General</c:formatCode>
                <c:ptCount val="6"/>
                <c:pt idx="0">
                  <c:v>55</c:v>
                </c:pt>
                <c:pt idx="1">
                  <c:v>121</c:v>
                </c:pt>
                <c:pt idx="2">
                  <c:v>152</c:v>
                </c:pt>
                <c:pt idx="3">
                  <c:v>241</c:v>
                </c:pt>
                <c:pt idx="4">
                  <c:v>262</c:v>
                </c:pt>
                <c:pt idx="5">
                  <c:v>283</c:v>
                </c:pt>
              </c:numCache>
            </c:numRef>
          </c:val>
          <c:smooth val="0"/>
          <c:extLst>
            <c:ext xmlns:c16="http://schemas.microsoft.com/office/drawing/2014/chart" uri="{C3380CC4-5D6E-409C-BE32-E72D297353CC}">
              <c16:uniqueId val="{00000001-7323-448E-8C32-61396490A96A}"/>
            </c:ext>
          </c:extLst>
        </c:ser>
        <c:ser>
          <c:idx val="2"/>
          <c:order val="2"/>
          <c:tx>
            <c:strRef>
              <c:f>Hoja1!$E$30</c:f>
              <c:strCache>
                <c:ptCount val="1"/>
                <c:pt idx="0">
                  <c:v>Total </c:v>
                </c:pt>
              </c:strCache>
            </c:strRef>
          </c:tx>
          <c:spPr>
            <a:ln w="28575" cap="rnd">
              <a:solidFill>
                <a:schemeClr val="accent3"/>
              </a:solidFill>
              <a:round/>
            </a:ln>
            <a:effectLst/>
          </c:spPr>
          <c:marker>
            <c:symbol val="none"/>
          </c:marker>
          <c:cat>
            <c:numRef>
              <c:f>Hoja1!$F$27:$K$27</c:f>
              <c:numCache>
                <c:formatCode>General</c:formatCode>
                <c:ptCount val="6"/>
                <c:pt idx="0">
                  <c:v>2019</c:v>
                </c:pt>
                <c:pt idx="1">
                  <c:v>2020</c:v>
                </c:pt>
                <c:pt idx="2">
                  <c:v>2021</c:v>
                </c:pt>
                <c:pt idx="3">
                  <c:v>2022</c:v>
                </c:pt>
                <c:pt idx="4">
                  <c:v>2023</c:v>
                </c:pt>
                <c:pt idx="5">
                  <c:v>2024</c:v>
                </c:pt>
              </c:numCache>
            </c:numRef>
          </c:cat>
          <c:val>
            <c:numRef>
              <c:f>Hoja1!$F$30:$K$30</c:f>
              <c:numCache>
                <c:formatCode>General</c:formatCode>
                <c:ptCount val="6"/>
                <c:pt idx="0">
                  <c:v>158</c:v>
                </c:pt>
                <c:pt idx="1">
                  <c:v>238</c:v>
                </c:pt>
                <c:pt idx="2">
                  <c:v>310</c:v>
                </c:pt>
                <c:pt idx="3">
                  <c:v>416</c:v>
                </c:pt>
                <c:pt idx="4">
                  <c:v>439</c:v>
                </c:pt>
                <c:pt idx="5">
                  <c:v>463</c:v>
                </c:pt>
              </c:numCache>
            </c:numRef>
          </c:val>
          <c:smooth val="0"/>
          <c:extLst>
            <c:ext xmlns:c16="http://schemas.microsoft.com/office/drawing/2014/chart" uri="{C3380CC4-5D6E-409C-BE32-E72D297353CC}">
              <c16:uniqueId val="{00000002-7323-448E-8C32-61396490A96A}"/>
            </c:ext>
          </c:extLst>
        </c:ser>
        <c:dLbls>
          <c:showLegendKey val="0"/>
          <c:showVal val="0"/>
          <c:showCatName val="0"/>
          <c:showSerName val="0"/>
          <c:showPercent val="0"/>
          <c:showBubbleSize val="0"/>
        </c:dLbls>
        <c:smooth val="0"/>
        <c:axId val="1007960888"/>
        <c:axId val="1007959904"/>
      </c:lineChart>
      <c:catAx>
        <c:axId val="1007960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007959904"/>
        <c:crosses val="autoZero"/>
        <c:auto val="1"/>
        <c:lblAlgn val="ctr"/>
        <c:lblOffset val="100"/>
        <c:noMultiLvlLbl val="0"/>
      </c:catAx>
      <c:valAx>
        <c:axId val="1007959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007960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Evolución</a:t>
            </a:r>
            <a:r>
              <a:rPr lang="es-ES" baseline="0"/>
              <a:t> gasto sin soporte contractual adecuado</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lineChart>
        <c:grouping val="standard"/>
        <c:varyColors val="0"/>
        <c:ser>
          <c:idx val="0"/>
          <c:order val="0"/>
          <c:tx>
            <c:strRef>
              <c:f>Hoja2!$E$6</c:f>
              <c:strCache>
                <c:ptCount val="1"/>
                <c:pt idx="0">
                  <c:v>Total gasto Departamentos</c:v>
                </c:pt>
              </c:strCache>
            </c:strRef>
          </c:tx>
          <c:spPr>
            <a:ln w="28575" cap="rnd">
              <a:solidFill>
                <a:schemeClr val="accent1"/>
              </a:solidFill>
              <a:round/>
            </a:ln>
            <a:effectLst/>
          </c:spPr>
          <c:marker>
            <c:symbol val="none"/>
          </c:marker>
          <c:cat>
            <c:numRef>
              <c:f>Hoja2!$F$5:$K$5</c:f>
              <c:numCache>
                <c:formatCode>General</c:formatCode>
                <c:ptCount val="6"/>
                <c:pt idx="0">
                  <c:v>2018</c:v>
                </c:pt>
                <c:pt idx="1">
                  <c:v>2019</c:v>
                </c:pt>
                <c:pt idx="2">
                  <c:v>2020</c:v>
                </c:pt>
                <c:pt idx="3">
                  <c:v>2021</c:v>
                </c:pt>
                <c:pt idx="4">
                  <c:v>2022</c:v>
                </c:pt>
                <c:pt idx="5">
                  <c:v>2023</c:v>
                </c:pt>
              </c:numCache>
            </c:numRef>
          </c:cat>
          <c:val>
            <c:numRef>
              <c:f>Hoja2!$F$6:$K$6</c:f>
              <c:numCache>
                <c:formatCode>General</c:formatCode>
                <c:ptCount val="6"/>
                <c:pt idx="0">
                  <c:v>89.65</c:v>
                </c:pt>
                <c:pt idx="1">
                  <c:v>92.08</c:v>
                </c:pt>
                <c:pt idx="2">
                  <c:v>68.73</c:v>
                </c:pt>
                <c:pt idx="3">
                  <c:v>120.7</c:v>
                </c:pt>
                <c:pt idx="4">
                  <c:v>154.33000000000001</c:v>
                </c:pt>
                <c:pt idx="5">
                  <c:v>123.17</c:v>
                </c:pt>
              </c:numCache>
            </c:numRef>
          </c:val>
          <c:smooth val="0"/>
          <c:extLst>
            <c:ext xmlns:c16="http://schemas.microsoft.com/office/drawing/2014/chart" uri="{C3380CC4-5D6E-409C-BE32-E72D297353CC}">
              <c16:uniqueId val="{00000000-72F7-4BFA-A5EB-40939B15B304}"/>
            </c:ext>
          </c:extLst>
        </c:ser>
        <c:ser>
          <c:idx val="1"/>
          <c:order val="1"/>
          <c:tx>
            <c:strRef>
              <c:f>Hoja2!$E$7</c:f>
              <c:strCache>
                <c:ptCount val="1"/>
                <c:pt idx="0">
                  <c:v>Total gasto SNS-O</c:v>
                </c:pt>
              </c:strCache>
            </c:strRef>
          </c:tx>
          <c:spPr>
            <a:ln w="28575" cap="rnd">
              <a:solidFill>
                <a:schemeClr val="accent2"/>
              </a:solidFill>
              <a:round/>
            </a:ln>
            <a:effectLst/>
          </c:spPr>
          <c:marker>
            <c:symbol val="none"/>
          </c:marker>
          <c:cat>
            <c:numRef>
              <c:f>Hoja2!$F$5:$K$5</c:f>
              <c:numCache>
                <c:formatCode>General</c:formatCode>
                <c:ptCount val="6"/>
                <c:pt idx="0">
                  <c:v>2018</c:v>
                </c:pt>
                <c:pt idx="1">
                  <c:v>2019</c:v>
                </c:pt>
                <c:pt idx="2">
                  <c:v>2020</c:v>
                </c:pt>
                <c:pt idx="3">
                  <c:v>2021</c:v>
                </c:pt>
                <c:pt idx="4">
                  <c:v>2022</c:v>
                </c:pt>
                <c:pt idx="5">
                  <c:v>2023</c:v>
                </c:pt>
              </c:numCache>
            </c:numRef>
          </c:cat>
          <c:val>
            <c:numRef>
              <c:f>Hoja2!$F$7:$K$7</c:f>
              <c:numCache>
                <c:formatCode>General</c:formatCode>
                <c:ptCount val="6"/>
                <c:pt idx="0">
                  <c:v>103.81</c:v>
                </c:pt>
                <c:pt idx="1">
                  <c:v>116.69</c:v>
                </c:pt>
                <c:pt idx="2">
                  <c:v>127.22</c:v>
                </c:pt>
                <c:pt idx="3">
                  <c:v>98.97</c:v>
                </c:pt>
                <c:pt idx="4">
                  <c:v>116.23</c:v>
                </c:pt>
                <c:pt idx="5">
                  <c:v>98.81</c:v>
                </c:pt>
              </c:numCache>
            </c:numRef>
          </c:val>
          <c:smooth val="0"/>
          <c:extLst>
            <c:ext xmlns:c16="http://schemas.microsoft.com/office/drawing/2014/chart" uri="{C3380CC4-5D6E-409C-BE32-E72D297353CC}">
              <c16:uniqueId val="{00000001-72F7-4BFA-A5EB-40939B15B304}"/>
            </c:ext>
          </c:extLst>
        </c:ser>
        <c:ser>
          <c:idx val="2"/>
          <c:order val="2"/>
          <c:tx>
            <c:strRef>
              <c:f>Hoja2!$E$8</c:f>
              <c:strCache>
                <c:ptCount val="1"/>
                <c:pt idx="0">
                  <c:v>Total gasto ACFN</c:v>
                </c:pt>
              </c:strCache>
            </c:strRef>
          </c:tx>
          <c:spPr>
            <a:ln w="28575" cap="rnd">
              <a:solidFill>
                <a:schemeClr val="accent3"/>
              </a:solidFill>
              <a:round/>
            </a:ln>
            <a:effectLst/>
          </c:spPr>
          <c:marker>
            <c:symbol val="none"/>
          </c:marker>
          <c:cat>
            <c:numRef>
              <c:f>Hoja2!$F$5:$K$5</c:f>
              <c:numCache>
                <c:formatCode>General</c:formatCode>
                <c:ptCount val="6"/>
                <c:pt idx="0">
                  <c:v>2018</c:v>
                </c:pt>
                <c:pt idx="1">
                  <c:v>2019</c:v>
                </c:pt>
                <c:pt idx="2">
                  <c:v>2020</c:v>
                </c:pt>
                <c:pt idx="3">
                  <c:v>2021</c:v>
                </c:pt>
                <c:pt idx="4">
                  <c:v>2022</c:v>
                </c:pt>
                <c:pt idx="5">
                  <c:v>2023</c:v>
                </c:pt>
              </c:numCache>
            </c:numRef>
          </c:cat>
          <c:val>
            <c:numRef>
              <c:f>Hoja2!$F$8:$K$8</c:f>
              <c:numCache>
                <c:formatCode>General</c:formatCode>
                <c:ptCount val="6"/>
                <c:pt idx="0">
                  <c:v>193.46</c:v>
                </c:pt>
                <c:pt idx="1">
                  <c:v>208.77</c:v>
                </c:pt>
                <c:pt idx="2">
                  <c:v>195.95</c:v>
                </c:pt>
                <c:pt idx="3">
                  <c:v>219.67</c:v>
                </c:pt>
                <c:pt idx="4">
                  <c:v>270.56</c:v>
                </c:pt>
                <c:pt idx="5">
                  <c:v>221.98</c:v>
                </c:pt>
              </c:numCache>
            </c:numRef>
          </c:val>
          <c:smooth val="0"/>
          <c:extLst>
            <c:ext xmlns:c16="http://schemas.microsoft.com/office/drawing/2014/chart" uri="{C3380CC4-5D6E-409C-BE32-E72D297353CC}">
              <c16:uniqueId val="{00000002-72F7-4BFA-A5EB-40939B15B304}"/>
            </c:ext>
          </c:extLst>
        </c:ser>
        <c:dLbls>
          <c:showLegendKey val="0"/>
          <c:showVal val="0"/>
          <c:showCatName val="0"/>
          <c:showSerName val="0"/>
          <c:showPercent val="0"/>
          <c:showBubbleSize val="0"/>
        </c:dLbls>
        <c:smooth val="0"/>
        <c:axId val="529333800"/>
        <c:axId val="529334456"/>
      </c:lineChart>
      <c:catAx>
        <c:axId val="529333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29334456"/>
        <c:crosses val="autoZero"/>
        <c:auto val="1"/>
        <c:lblAlgn val="ctr"/>
        <c:lblOffset val="100"/>
        <c:noMultiLvlLbl val="0"/>
      </c:catAx>
      <c:valAx>
        <c:axId val="529334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29333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399-497D-861F-7038C964ECC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399-497D-861F-7038C964ECC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399-497D-861F-7038C964ECC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399-497D-861F-7038C964ECCA}"/>
              </c:ext>
            </c:extLst>
          </c:dPt>
          <c:dLbls>
            <c:dLbl>
              <c:idx val="0"/>
              <c:layout>
                <c:manualLayout>
                  <c:x val="1.3516953237988108E-2"/>
                  <c:y val="-1.669526886062319E-2"/>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r>
                      <a:rPr lang="en-US" sz="1000"/>
                      <a:t>Servicios públicos</a:t>
                    </a:r>
                    <a:r>
                      <a:rPr lang="en-US" sz="1000" baseline="0"/>
                      <a:t> básicos 3%</a:t>
                    </a:r>
                    <a:endParaRPr lang="en-US" sz="1000"/>
                  </a:p>
                </c:rich>
              </c:tx>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s-ES"/>
                </a:p>
              </c:txPr>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399-497D-861F-7038C964ECCA}"/>
                </c:ext>
              </c:extLst>
            </c:dLbl>
            <c:dLbl>
              <c:idx val="1"/>
              <c:layout>
                <c:manualLayout>
                  <c:x val="3.1605670770026989E-2"/>
                  <c:y val="5.6462903969064934E-2"/>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r>
                      <a:rPr lang="en-US" sz="1000"/>
                      <a:t>Gastos</a:t>
                    </a:r>
                    <a:r>
                      <a:rPr lang="en-US" sz="1000" baseline="0"/>
                      <a:t> sociales 57%</a:t>
                    </a:r>
                    <a:endParaRPr lang="en-US" sz="1000"/>
                  </a:p>
                </c:rich>
              </c:tx>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s-ES"/>
                </a:p>
              </c:txPr>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399-497D-861F-7038C964ECCA}"/>
                </c:ext>
              </c:extLst>
            </c:dLbl>
            <c:dLbl>
              <c:idx val="2"/>
              <c:layout>
                <c:manualLayout>
                  <c:x val="-5.3639723605977824E-3"/>
                  <c:y val="9.4757855268091495E-2"/>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r>
                      <a:rPr lang="en-US" sz="1000"/>
                      <a:t>Actuaciones</a:t>
                    </a:r>
                    <a:r>
                      <a:rPr lang="en-US" sz="1000" baseline="0"/>
                      <a:t> de carácter económcio 10% </a:t>
                    </a:r>
                    <a:endParaRPr lang="en-US" sz="1000"/>
                  </a:p>
                </c:rich>
              </c:tx>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s-ES"/>
                </a:p>
              </c:txPr>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399-497D-861F-7038C964ECCA}"/>
                </c:ext>
              </c:extLst>
            </c:dLbl>
            <c:dLbl>
              <c:idx val="3"/>
              <c:layout>
                <c:manualLayout>
                  <c:x val="-1.2825539664684772E-3"/>
                  <c:y val="-0.10338597675290588"/>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r>
                      <a:rPr lang="en-US" sz="1000"/>
                      <a:t>Actuaciones de carácter</a:t>
                    </a:r>
                    <a:r>
                      <a:rPr lang="en-US" sz="1000" baseline="0"/>
                      <a:t> general 30%</a:t>
                    </a:r>
                    <a:endParaRPr lang="en-US" sz="1000"/>
                  </a:p>
                </c:rich>
              </c:tx>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s-ES"/>
                </a:p>
              </c:txPr>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5399-497D-861F-7038C964EC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Hoja2!$G$5:$G$8</c:f>
              <c:strCache>
                <c:ptCount val="4"/>
                <c:pt idx="0">
                  <c:v>Servicios públicos básicos</c:v>
                </c:pt>
                <c:pt idx="1">
                  <c:v>Gastos sociales</c:v>
                </c:pt>
                <c:pt idx="2">
                  <c:v>Actuaciones de carácter económico</c:v>
                </c:pt>
                <c:pt idx="3">
                  <c:v>Actuaciones de carácter general</c:v>
                </c:pt>
              </c:strCache>
            </c:strRef>
          </c:cat>
          <c:val>
            <c:numRef>
              <c:f>Hoja2!$H$5:$H$8</c:f>
              <c:numCache>
                <c:formatCode>General</c:formatCode>
                <c:ptCount val="4"/>
                <c:pt idx="0">
                  <c:v>3</c:v>
                </c:pt>
                <c:pt idx="1">
                  <c:v>57</c:v>
                </c:pt>
                <c:pt idx="2">
                  <c:v>10</c:v>
                </c:pt>
                <c:pt idx="3">
                  <c:v>30</c:v>
                </c:pt>
              </c:numCache>
            </c:numRef>
          </c:val>
          <c:extLst>
            <c:ext xmlns:c16="http://schemas.microsoft.com/office/drawing/2014/chart" uri="{C3380CC4-5D6E-409C-BE32-E72D297353CC}">
              <c16:uniqueId val="{00000008-5399-497D-861F-7038C964ECCA}"/>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F7FC8-2349-4339-A409-04B3BBD82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Borrador Final</Template>
  <TotalTime>443</TotalTime>
  <Pages>148</Pages>
  <Words>46952</Words>
  <Characters>259972</Characters>
  <Application>Microsoft Office Word</Application>
  <DocSecurity>0</DocSecurity>
  <Lines>2166</Lines>
  <Paragraphs>612</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306312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D206815</dc:creator>
  <cp:keywords/>
  <dc:description/>
  <cp:lastModifiedBy>Mauleón, Fernando</cp:lastModifiedBy>
  <cp:revision>28</cp:revision>
  <cp:lastPrinted>2024-11-25T06:42:00Z</cp:lastPrinted>
  <dcterms:created xsi:type="dcterms:W3CDTF">2024-11-13T13:30:00Z</dcterms:created>
  <dcterms:modified xsi:type="dcterms:W3CDTF">2024-11-28T07:32:00Z</dcterms:modified>
</cp:coreProperties>
</file>