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1621" w:type="dxa"/>
        <w:tblInd w:w="-1152" w:type="dxa"/>
        <w:tblLook w:val="01E0" w:firstRow="1" w:lastRow="1" w:firstColumn="1" w:lastColumn="1" w:noHBand="0" w:noVBand="0"/>
      </w:tblPr>
      <w:tblGrid>
        <w:gridCol w:w="13876"/>
        <w:gridCol w:w="7745"/>
      </w:tblGrid>
      <w:tr w:rsidR="005C5D95" w:rsidRPr="007A1B39" w14:paraId="52484750" w14:textId="77777777" w:rsidTr="005C5D95">
        <w:tc>
          <w:tcPr>
            <w:tcW w:w="13876" w:type="dxa"/>
          </w:tcPr>
          <w:p w14:paraId="4738A5B8" w14:textId="77777777" w:rsidR="005C5D95" w:rsidRPr="007A1B39" w:rsidRDefault="005C5D95">
            <w:pPr>
              <w:spacing w:line="360" w:lineRule="auto"/>
              <w:ind w:left="-3384" w:right="-108"/>
              <w:jc w:val="center"/>
              <w:rPr>
                <w:rFonts w:ascii="Calibri" w:hAnsi="Calibri" w:cs="Calibri"/>
                <w:sz w:val="22"/>
                <w:szCs w:val="22"/>
                <w:lang w:eastAsia="en-US"/>
              </w:rPr>
            </w:pPr>
          </w:p>
        </w:tc>
        <w:tc>
          <w:tcPr>
            <w:tcW w:w="7745" w:type="dxa"/>
          </w:tcPr>
          <w:p w14:paraId="633A652C" w14:textId="77777777" w:rsidR="005C5D95" w:rsidRPr="007A1B39" w:rsidRDefault="005C5D95">
            <w:pPr>
              <w:spacing w:line="360" w:lineRule="auto"/>
              <w:ind w:left="1332" w:right="-1216"/>
              <w:rPr>
                <w:rFonts w:ascii="Calibri" w:hAnsi="Calibri" w:cs="Calibri"/>
                <w:sz w:val="22"/>
                <w:szCs w:val="22"/>
                <w:lang w:eastAsia="en-US"/>
              </w:rPr>
            </w:pPr>
          </w:p>
        </w:tc>
      </w:tr>
    </w:tbl>
    <w:p w14:paraId="7A28246D" w14:textId="6612AF72" w:rsidR="00A60150" w:rsidRPr="007A1B39" w:rsidRDefault="005C5D95" w:rsidP="00A60150">
      <w:pPr>
        <w:autoSpaceDE w:val="0"/>
        <w:autoSpaceDN w:val="0"/>
        <w:adjustRightInd w:val="0"/>
        <w:spacing w:line="360" w:lineRule="auto"/>
        <w:jc w:val="both"/>
        <w:rPr>
          <w:sz w:val="22"/>
          <w:szCs w:val="22"/>
          <w:rFonts w:ascii="Calibri" w:hAnsi="Calibri" w:cs="Calibri"/>
        </w:rPr>
      </w:pPr>
      <w:r>
        <w:rPr>
          <w:sz w:val="22"/>
          <w:rFonts w:ascii="Calibri" w:hAnsi="Calibri"/>
        </w:rPr>
        <w:t xml:space="preserve">UPN talde parlamentarioari atxikitako foru parlamentari Ángel Ansa Echegaray jaunak 11-25/PES-00100 galdera egin du Nafarroako Erriberagoienako HTJPko funtsak esleitzeko irizpideei buruz. Hona hemen Nafarroako Gobernuaren Kultura, Kirol eta Turismoko kontseilariak horretaz ematen dion informazioa:</w:t>
      </w:r>
    </w:p>
    <w:p w14:paraId="342B5605" w14:textId="098AFFD4" w:rsidR="00A60150" w:rsidRPr="007A1B39" w:rsidRDefault="00A60150" w:rsidP="00A60150">
      <w:pPr>
        <w:spacing w:line="360" w:lineRule="auto"/>
        <w:jc w:val="both"/>
        <w:rPr>
          <w:sz w:val="22"/>
          <w:szCs w:val="22"/>
          <w:rFonts w:ascii="Calibri" w:hAnsi="Calibri" w:cs="Calibri"/>
        </w:rPr>
      </w:pPr>
      <w:r>
        <w:rPr>
          <w:sz w:val="22"/>
          <w:rFonts w:ascii="Calibri" w:hAnsi="Calibri"/>
        </w:rPr>
        <w:t xml:space="preserve">“Helmugetako Turismo Jasangarritasuneko Estrategia” dokumentuaren azken bertsioa Turismoko Estatuko Idazkaritzaren egoitza elektronikoan argitaratuta dago, eta dokumentu horretan Turismo Jasangarritasuneko Planen garapena eta betearazpena osatzen duten elementu eta osagai guztiak xehe azaltzen dira.</w:t>
      </w:r>
    </w:p>
    <w:p w14:paraId="0EDBC18A" w14:textId="3485283B" w:rsidR="00A60150" w:rsidRPr="007A1B39" w:rsidRDefault="00A60150" w:rsidP="00A60150">
      <w:pPr>
        <w:spacing w:line="360" w:lineRule="auto"/>
        <w:jc w:val="both"/>
        <w:rPr>
          <w:color w:val="0563C1" w:themeColor="hyperlink"/>
          <w:sz w:val="22"/>
          <w:szCs w:val="22"/>
          <w:u w:val="single"/>
          <w:rFonts w:ascii="Calibri" w:hAnsi="Calibri" w:cs="Calibri"/>
        </w:rPr>
      </w:pPr>
      <w:hyperlink r:id="rId6" w:history="1">
        <w:r>
          <w:rPr>
            <w:rStyle w:val="Hipervnculo"/>
            <w:sz w:val="22"/>
            <w:rFonts w:ascii="Calibri" w:hAnsi="Calibri"/>
          </w:rPr>
          <w:t xml:space="preserve">https://sede.serviciosmin.gob.es/es-ES/procedimientoselectronicos/paginas/detalle-procedimientos.aspx?IdProcedimiento=253</w:t>
        </w:r>
      </w:hyperlink>
    </w:p>
    <w:p w14:paraId="1F9C819C" w14:textId="77777777" w:rsidR="00A60150" w:rsidRPr="007A1B39" w:rsidRDefault="00A60150" w:rsidP="00A60150">
      <w:pPr>
        <w:spacing w:line="360" w:lineRule="auto"/>
        <w:jc w:val="both"/>
        <w:rPr>
          <w:sz w:val="22"/>
          <w:szCs w:val="22"/>
          <w:rFonts w:ascii="Calibri" w:hAnsi="Calibri" w:cs="Calibri"/>
        </w:rPr>
      </w:pPr>
      <w:r>
        <w:rPr>
          <w:sz w:val="22"/>
          <w:rFonts w:ascii="Calibri" w:hAnsi="Calibri"/>
        </w:rPr>
        <w:t xml:space="preserve">Dokumentu horren 8. apartatuan (Helmugetako Turismo Jasangarritasuneko Lurralde Planak), 8.1.1 puntuan, honako hau zehazten da:</w:t>
      </w:r>
    </w:p>
    <w:p w14:paraId="5224F32B" w14:textId="77777777" w:rsidR="00A60150" w:rsidRPr="007A1B39" w:rsidRDefault="00A60150" w:rsidP="00A60150">
      <w:pPr>
        <w:spacing w:line="360" w:lineRule="auto"/>
        <w:ind w:left="709" w:right="851"/>
        <w:jc w:val="both"/>
        <w:rPr>
          <w:i/>
          <w:sz w:val="22"/>
          <w:szCs w:val="22"/>
          <w:rFonts w:ascii="Calibri" w:hAnsi="Calibri" w:cs="Calibri"/>
        </w:rPr>
      </w:pPr>
      <w:r>
        <w:rPr>
          <w:i/>
          <w:sz w:val="22"/>
          <w:rFonts w:ascii="Calibri" w:hAnsi="Calibri"/>
        </w:rPr>
        <w:t xml:space="preserve">8.1.1.</w:t>
      </w:r>
      <w:r>
        <w:rPr>
          <w:i/>
          <w:sz w:val="22"/>
          <w:rFonts w:ascii="Calibri" w:hAnsi="Calibri"/>
        </w:rPr>
        <w:t xml:space="preserve"> </w:t>
      </w:r>
      <w:r>
        <w:rPr>
          <w:i/>
          <w:sz w:val="22"/>
          <w:rFonts w:ascii="Calibri" w:hAnsi="Calibri"/>
        </w:rPr>
        <w:t xml:space="preserve">Helmugako Turismo Jasangarritasuneko Planak (HTJP).</w:t>
      </w:r>
      <w:r>
        <w:rPr>
          <w:i/>
          <w:sz w:val="22"/>
          <w:rFonts w:ascii="Calibri" w:hAnsi="Calibri"/>
        </w:rPr>
        <w:t xml:space="preserve"> </w:t>
      </w:r>
    </w:p>
    <w:p w14:paraId="65A61CC1" w14:textId="73652C75" w:rsidR="00A60150" w:rsidRPr="007A1B39" w:rsidRDefault="00A60150" w:rsidP="007A1B39">
      <w:pPr>
        <w:spacing w:line="360" w:lineRule="auto"/>
        <w:ind w:left="709" w:right="851"/>
        <w:jc w:val="both"/>
        <w:rPr>
          <w:i/>
          <w:sz w:val="22"/>
          <w:szCs w:val="22"/>
          <w:rFonts w:ascii="Calibri" w:hAnsi="Calibri" w:cs="Calibri"/>
        </w:rPr>
      </w:pPr>
      <w:r>
        <w:rPr>
          <w:i/>
          <w:sz w:val="22"/>
          <w:b/>
          <w:rFonts w:ascii="Calibri" w:hAnsi="Calibri"/>
        </w:rPr>
        <w:t xml:space="preserve">Helmuga bakoitzeko tokiko erakundeek diseinatu eta gauzatu beharreko planak dira</w:t>
      </w:r>
      <w:r>
        <w:rPr>
          <w:i/>
          <w:sz w:val="22"/>
          <w:rFonts w:ascii="Calibri" w:hAnsi="Calibri"/>
        </w:rPr>
        <w:t xml:space="preserve">.</w:t>
      </w:r>
      <w:r>
        <w:rPr>
          <w:i/>
          <w:sz w:val="22"/>
          <w:rFonts w:ascii="Calibri" w:hAnsi="Calibri"/>
        </w:rPr>
        <w:t xml:space="preserve"> </w:t>
      </w:r>
      <w:r>
        <w:rPr>
          <w:i/>
          <w:sz w:val="22"/>
          <w:rFonts w:ascii="Calibri" w:hAnsi="Calibri"/>
        </w:rPr>
        <w:t xml:space="preserve">Helmugen arazoak konpontzeko helburua izanen dute, baldin eta estrategia honetan ezarritako helburuekin eta turismoaren arloko estatuko eta autonomia erkidegoetako dokumentu estrategikoekin lotuta badaude.</w:t>
      </w:r>
    </w:p>
    <w:p w14:paraId="3B442BA9" w14:textId="0B677A38" w:rsidR="00DB0750" w:rsidRPr="007A1B39" w:rsidRDefault="00A60150" w:rsidP="00A60150">
      <w:pPr>
        <w:spacing w:line="360" w:lineRule="auto"/>
        <w:jc w:val="both"/>
        <w:rPr>
          <w:sz w:val="22"/>
          <w:szCs w:val="22"/>
          <w:rFonts w:ascii="Calibri" w:hAnsi="Calibri" w:cs="Calibri"/>
        </w:rPr>
      </w:pPr>
      <w:r>
        <w:rPr>
          <w:sz w:val="22"/>
          <w:rFonts w:ascii="Calibri" w:hAnsi="Calibri"/>
        </w:rPr>
        <w:t xml:space="preserve">Helmugako Turismo Jasangarritasuneko Planen ezohiko programa Estatuko Administrazio Orokorrak, autonomia erkidegoek eta toki erakundeek koordinatutako prozesua bada ere, </w:t>
      </w:r>
      <w:r>
        <w:rPr>
          <w:sz w:val="22"/>
          <w:b/>
          <w:rFonts w:ascii="Calibri" w:hAnsi="Calibri"/>
        </w:rPr>
        <w:t xml:space="preserve">toki erakundeek aurkeztu dituzte beren HTJPak</w:t>
      </w:r>
      <w:r>
        <w:rPr>
          <w:sz w:val="22"/>
          <w:rFonts w:ascii="Calibri" w:hAnsi="Calibri"/>
        </w:rPr>
        <w:t xml:space="preserve"> Industria eta Turismo Ministerioak deitutako Jasangarritasun Planen </w:t>
      </w:r>
      <w:r>
        <w:rPr>
          <w:sz w:val="22"/>
          <w:b/>
          <w:rFonts w:ascii="Calibri" w:hAnsi="Calibri"/>
        </w:rPr>
        <w:t xml:space="preserve">urteko ezohiko deialdietara</w:t>
      </w:r>
      <w:r>
        <w:rPr>
          <w:sz w:val="22"/>
          <w:rFonts w:ascii="Calibri" w:hAnsi="Calibri"/>
        </w:rPr>
        <w:t xml:space="preserve"> (3).</w:t>
      </w:r>
    </w:p>
    <w:p w14:paraId="1109EC73" w14:textId="1BC8779C" w:rsidR="00520FD6" w:rsidRPr="007A1B39" w:rsidRDefault="00A60150" w:rsidP="007A1B39">
      <w:pPr>
        <w:spacing w:line="360" w:lineRule="auto"/>
        <w:jc w:val="both"/>
        <w:rPr>
          <w:sz w:val="22"/>
          <w:szCs w:val="22"/>
          <w:rFonts w:ascii="Calibri" w:hAnsi="Calibri" w:cs="Calibri"/>
        </w:rPr>
      </w:pPr>
      <w:r>
        <w:rPr>
          <w:sz w:val="22"/>
          <w:rFonts w:ascii="Calibri" w:hAnsi="Calibri"/>
        </w:rPr>
        <w:t xml:space="preserve">Beraz, </w:t>
      </w:r>
      <w:r>
        <w:rPr>
          <w:sz w:val="22"/>
          <w:b/>
          <w:bCs/>
          <w:rFonts w:ascii="Calibri" w:hAnsi="Calibri"/>
        </w:rPr>
        <w:t xml:space="preserve">Nafarroako</w:t>
      </w:r>
      <w:r>
        <w:rPr>
          <w:sz w:val="22"/>
          <w:rFonts w:ascii="Calibri" w:hAnsi="Calibri"/>
        </w:rPr>
        <w:t xml:space="preserve"> </w:t>
      </w:r>
      <w:r>
        <w:rPr>
          <w:sz w:val="22"/>
          <w:b/>
          <w:rFonts w:ascii="Calibri" w:hAnsi="Calibri"/>
        </w:rPr>
        <w:t xml:space="preserve">Erriberagoienako HTJP</w:t>
      </w:r>
      <w:r>
        <w:rPr>
          <w:sz w:val="22"/>
          <w:rFonts w:ascii="Calibri" w:hAnsi="Calibri"/>
        </w:rPr>
        <w:t xml:space="preserve">ri dagokionez, </w:t>
      </w:r>
      <w:r>
        <w:rPr>
          <w:sz w:val="22"/>
          <w:b/>
          <w:bCs/>
          <w:rFonts w:ascii="Calibri" w:hAnsi="Calibri"/>
        </w:rPr>
        <w:t xml:space="preserve">EDER Partzuergoa</w:t>
      </w:r>
      <w:r>
        <w:rPr>
          <w:sz w:val="22"/>
          <w:b/>
          <w:rFonts w:ascii="Calibri" w:hAnsi="Calibri"/>
        </w:rPr>
        <w:t xml:space="preserve">k</w:t>
      </w:r>
      <w:r>
        <w:rPr>
          <w:sz w:val="22"/>
          <w:rFonts w:ascii="Calibri" w:hAnsi="Calibri"/>
        </w:rPr>
        <w:t xml:space="preserve"> eman lezake balorazio eta adjudikazio irizpideei buruz eskatutako informazioa, elkarte horrek egin eta aurkeztu baitzuen plana, dirulaguntzaren onuradun izan zen eta plana kudeatzen du.</w:t>
      </w:r>
    </w:p>
    <w:p w14:paraId="44C0B9DD" w14:textId="6C99C8A3" w:rsidR="00720B2A" w:rsidRPr="007A1B39" w:rsidRDefault="00720B2A" w:rsidP="00A60150">
      <w:pPr>
        <w:spacing w:line="360" w:lineRule="auto"/>
        <w:jc w:val="both"/>
        <w:rPr>
          <w:sz w:val="22"/>
          <w:szCs w:val="22"/>
          <w:rFonts w:ascii="Calibri" w:hAnsi="Calibri" w:cs="Calibri"/>
        </w:rPr>
      </w:pPr>
      <w:r>
        <w:rPr>
          <w:sz w:val="22"/>
          <w:rFonts w:ascii="Calibri" w:hAnsi="Calibri"/>
        </w:rPr>
        <w:t xml:space="preserve">Hori jakinarazten dut, Nafarroako Parlamentuko Erregelamenduaren 215. artikuluan xedatutakoa betez.</w:t>
      </w:r>
    </w:p>
    <w:p w14:paraId="696F7368" w14:textId="77777777" w:rsidR="005C5D95" w:rsidRPr="007A1B39" w:rsidRDefault="00044E27" w:rsidP="007A1B39">
      <w:pPr>
        <w:spacing w:line="360" w:lineRule="auto"/>
        <w:rPr>
          <w:sz w:val="22"/>
          <w:szCs w:val="22"/>
          <w:rFonts w:ascii="Calibri" w:hAnsi="Calibri" w:cs="Calibri"/>
        </w:rPr>
      </w:pPr>
      <w:r>
        <w:rPr>
          <w:sz w:val="22"/>
          <w:rFonts w:ascii="Calibri" w:hAnsi="Calibri"/>
        </w:rPr>
        <w:t xml:space="preserve">Iruñean, 2025eko martxoaren 26an</w:t>
      </w:r>
    </w:p>
    <w:p w14:paraId="3F249C53" w14:textId="30C89600" w:rsidR="00D74EC4" w:rsidRPr="007A1B39" w:rsidRDefault="007A1B39" w:rsidP="00A60150">
      <w:pPr>
        <w:spacing w:line="360" w:lineRule="auto"/>
        <w:rPr>
          <w:sz w:val="22"/>
          <w:szCs w:val="22"/>
          <w:rFonts w:ascii="Calibri" w:hAnsi="Calibri" w:cs="Calibri"/>
        </w:rPr>
      </w:pPr>
      <w:r>
        <w:rPr>
          <w:sz w:val="22"/>
          <w:rFonts w:ascii="Calibri" w:hAnsi="Calibri"/>
        </w:rPr>
        <w:t xml:space="preserve">Kultura, Kirol eta Turismoko kontseilaria:</w:t>
      </w:r>
      <w:r>
        <w:rPr>
          <w:sz w:val="22"/>
          <w:rFonts w:ascii="Calibri" w:hAnsi="Calibri"/>
        </w:rPr>
        <w:t xml:space="preserve"> </w:t>
      </w:r>
      <w:r>
        <w:rPr>
          <w:sz w:val="22"/>
          <w:rFonts w:ascii="Calibri" w:hAnsi="Calibri"/>
        </w:rPr>
        <w:t xml:space="preserve">Rebeca Esnaola Bermejo</w:t>
      </w:r>
      <w:r>
        <w:rPr>
          <w:sz w:val="22"/>
          <w:rFonts w:ascii="Calibri" w:hAnsi="Calibri"/>
        </w:rPr>
        <w:t xml:space="preserve"> </w:t>
      </w:r>
    </w:p>
    <w:sectPr w:rsidR="00D74EC4" w:rsidRPr="007A1B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9E9D4"/>
    <w:multiLevelType w:val="hybridMultilevel"/>
    <w:tmpl w:val="787D67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E34A0B"/>
    <w:multiLevelType w:val="hybridMultilevel"/>
    <w:tmpl w:val="5DD05D3E"/>
    <w:lvl w:ilvl="0" w:tplc="2304CCE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07209C4"/>
    <w:multiLevelType w:val="hybridMultilevel"/>
    <w:tmpl w:val="2624854A"/>
    <w:lvl w:ilvl="0" w:tplc="9B102A24">
      <w:numFmt w:val="bullet"/>
      <w:lvlText w:val="-"/>
      <w:lvlJc w:val="left"/>
      <w:pPr>
        <w:ind w:left="420" w:hanging="360"/>
      </w:pPr>
      <w:rPr>
        <w:rFonts w:ascii="Arial" w:eastAsiaTheme="minorHAnsi" w:hAnsi="Arial" w:cs="Arial" w:hint="default"/>
        <w:color w:val="000000"/>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3" w15:restartNumberingAfterBreak="0">
    <w:nsid w:val="5B3F3D9A"/>
    <w:multiLevelType w:val="hybridMultilevel"/>
    <w:tmpl w:val="244A808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5E0D7542"/>
    <w:multiLevelType w:val="hybridMultilevel"/>
    <w:tmpl w:val="15BC3010"/>
    <w:lvl w:ilvl="0" w:tplc="FD6844DC">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6E4A520E"/>
    <w:multiLevelType w:val="hybridMultilevel"/>
    <w:tmpl w:val="6EE490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76544DFF"/>
    <w:multiLevelType w:val="hybridMultilevel"/>
    <w:tmpl w:val="33FCA8D4"/>
    <w:lvl w:ilvl="0" w:tplc="F84AD0E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C423A48"/>
    <w:multiLevelType w:val="hybridMultilevel"/>
    <w:tmpl w:val="470E37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8960930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9224723">
    <w:abstractNumId w:val="3"/>
  </w:num>
  <w:num w:numId="3" w16cid:durableId="1174804243">
    <w:abstractNumId w:val="0"/>
  </w:num>
  <w:num w:numId="4" w16cid:durableId="641813266">
    <w:abstractNumId w:val="2"/>
  </w:num>
  <w:num w:numId="5" w16cid:durableId="172453805">
    <w:abstractNumId w:val="6"/>
  </w:num>
  <w:num w:numId="6" w16cid:durableId="14294249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5033770">
    <w:abstractNumId w:val="7"/>
  </w:num>
  <w:num w:numId="8" w16cid:durableId="984965668">
    <w:abstractNumId w:val="5"/>
  </w:num>
  <w:num w:numId="9" w16cid:durableId="840587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95"/>
    <w:rsid w:val="0000591C"/>
    <w:rsid w:val="00044E27"/>
    <w:rsid w:val="0008521E"/>
    <w:rsid w:val="000E24D0"/>
    <w:rsid w:val="00124DC6"/>
    <w:rsid w:val="00145C38"/>
    <w:rsid w:val="00165C78"/>
    <w:rsid w:val="00257D7A"/>
    <w:rsid w:val="002601DD"/>
    <w:rsid w:val="002B3F6C"/>
    <w:rsid w:val="002E62D5"/>
    <w:rsid w:val="003E48EE"/>
    <w:rsid w:val="00436602"/>
    <w:rsid w:val="00444730"/>
    <w:rsid w:val="00461F32"/>
    <w:rsid w:val="00484F26"/>
    <w:rsid w:val="004F146C"/>
    <w:rsid w:val="004F2ED0"/>
    <w:rsid w:val="00512C90"/>
    <w:rsid w:val="00520FD6"/>
    <w:rsid w:val="005234C5"/>
    <w:rsid w:val="005322EF"/>
    <w:rsid w:val="00583BDA"/>
    <w:rsid w:val="00587A69"/>
    <w:rsid w:val="005C33C7"/>
    <w:rsid w:val="005C5D95"/>
    <w:rsid w:val="005F221C"/>
    <w:rsid w:val="00662FAB"/>
    <w:rsid w:val="00720B2A"/>
    <w:rsid w:val="00733746"/>
    <w:rsid w:val="0073496C"/>
    <w:rsid w:val="0075427A"/>
    <w:rsid w:val="007560AC"/>
    <w:rsid w:val="007A1B39"/>
    <w:rsid w:val="007E509F"/>
    <w:rsid w:val="007F3173"/>
    <w:rsid w:val="0081139A"/>
    <w:rsid w:val="00842895"/>
    <w:rsid w:val="008432FA"/>
    <w:rsid w:val="008E03B3"/>
    <w:rsid w:val="0095271E"/>
    <w:rsid w:val="00996D1B"/>
    <w:rsid w:val="009A7E73"/>
    <w:rsid w:val="009C795C"/>
    <w:rsid w:val="00A02DDE"/>
    <w:rsid w:val="00A37707"/>
    <w:rsid w:val="00A454EF"/>
    <w:rsid w:val="00A579F8"/>
    <w:rsid w:val="00A60150"/>
    <w:rsid w:val="00AD7F21"/>
    <w:rsid w:val="00B21AE8"/>
    <w:rsid w:val="00B700A2"/>
    <w:rsid w:val="00B77EAC"/>
    <w:rsid w:val="00BA1AD4"/>
    <w:rsid w:val="00BA5D83"/>
    <w:rsid w:val="00BB4A96"/>
    <w:rsid w:val="00C04996"/>
    <w:rsid w:val="00C117C2"/>
    <w:rsid w:val="00C87D03"/>
    <w:rsid w:val="00CC68D2"/>
    <w:rsid w:val="00CF1D5B"/>
    <w:rsid w:val="00D1626C"/>
    <w:rsid w:val="00D20825"/>
    <w:rsid w:val="00D74EC4"/>
    <w:rsid w:val="00DB0750"/>
    <w:rsid w:val="00DE3F08"/>
    <w:rsid w:val="00E57209"/>
    <w:rsid w:val="00E76858"/>
    <w:rsid w:val="00E94BB4"/>
    <w:rsid w:val="00EA3076"/>
    <w:rsid w:val="00EC3B62"/>
    <w:rsid w:val="00F16AC7"/>
    <w:rsid w:val="00F31D35"/>
    <w:rsid w:val="00FA171C"/>
    <w:rsid w:val="00FA6A1E"/>
    <w:rsid w:val="00FE06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73FC8"/>
  <w15:chartTrackingRefBased/>
  <w15:docId w15:val="{7E3B1683-EB29-4823-BDE5-C800776C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95"/>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C5D95"/>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5C5D95"/>
    <w:pPr>
      <w:ind w:left="708"/>
    </w:pPr>
  </w:style>
  <w:style w:type="character" w:styleId="Hipervnculo">
    <w:name w:val="Hyperlink"/>
    <w:basedOn w:val="Fuentedeprrafopredeter"/>
    <w:uiPriority w:val="99"/>
    <w:unhideWhenUsed/>
    <w:rsid w:val="00EC3B62"/>
    <w:rPr>
      <w:color w:val="0563C1" w:themeColor="hyperlink"/>
      <w:u w:val="single"/>
    </w:rPr>
  </w:style>
  <w:style w:type="character" w:styleId="Hipervnculovisitado">
    <w:name w:val="FollowedHyperlink"/>
    <w:basedOn w:val="Fuentedeprrafopredeter"/>
    <w:uiPriority w:val="99"/>
    <w:semiHidden/>
    <w:unhideWhenUsed/>
    <w:rsid w:val="00B21AE8"/>
    <w:rPr>
      <w:color w:val="954F72" w:themeColor="followedHyperlink"/>
      <w:u w:val="single"/>
    </w:rPr>
  </w:style>
  <w:style w:type="table" w:styleId="Tablaconcuadrcula">
    <w:name w:val="Table Grid"/>
    <w:basedOn w:val="Tablanormal"/>
    <w:rsid w:val="0073496C"/>
    <w:pPr>
      <w:spacing w:after="0" w:line="240" w:lineRule="auto"/>
    </w:pPr>
    <w:rPr>
      <w:rFonts w:ascii="Times New Roman" w:eastAsia="Times New Roman" w:hAnsi="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530758">
      <w:bodyDiv w:val="1"/>
      <w:marLeft w:val="0"/>
      <w:marRight w:val="0"/>
      <w:marTop w:val="0"/>
      <w:marBottom w:val="0"/>
      <w:divBdr>
        <w:top w:val="none" w:sz="0" w:space="0" w:color="auto"/>
        <w:left w:val="none" w:sz="0" w:space="0" w:color="auto"/>
        <w:bottom w:val="none" w:sz="0" w:space="0" w:color="auto"/>
        <w:right w:val="none" w:sz="0" w:space="0" w:color="auto"/>
      </w:divBdr>
    </w:div>
    <w:div w:id="466750191">
      <w:bodyDiv w:val="1"/>
      <w:marLeft w:val="0"/>
      <w:marRight w:val="0"/>
      <w:marTop w:val="0"/>
      <w:marBottom w:val="0"/>
      <w:divBdr>
        <w:top w:val="none" w:sz="0" w:space="0" w:color="auto"/>
        <w:left w:val="none" w:sz="0" w:space="0" w:color="auto"/>
        <w:bottom w:val="none" w:sz="0" w:space="0" w:color="auto"/>
        <w:right w:val="none" w:sz="0" w:space="0" w:color="auto"/>
      </w:divBdr>
    </w:div>
    <w:div w:id="2075466564">
      <w:bodyDiv w:val="1"/>
      <w:marLeft w:val="0"/>
      <w:marRight w:val="0"/>
      <w:marTop w:val="0"/>
      <w:marBottom w:val="0"/>
      <w:divBdr>
        <w:top w:val="none" w:sz="0" w:space="0" w:color="auto"/>
        <w:left w:val="none" w:sz="0" w:space="0" w:color="auto"/>
        <w:bottom w:val="none" w:sz="0" w:space="0" w:color="auto"/>
        <w:right w:val="none" w:sz="0" w:space="0" w:color="auto"/>
      </w:divBdr>
    </w:div>
    <w:div w:id="214253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ede.serviciosmin.gob.es/es-ES/procedimientoselectronicos/paginas/detalle-procedimientos.aspx?IdProcedimiento=25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ED130-C72D-4434-962F-54F20C0C8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2020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X055236</dc:creator>
  <cp:keywords/>
  <dc:description/>
  <cp:lastModifiedBy>Mauleón, Fernando</cp:lastModifiedBy>
  <cp:revision>5</cp:revision>
  <cp:lastPrinted>2023-11-27T10:19:00Z</cp:lastPrinted>
  <dcterms:created xsi:type="dcterms:W3CDTF">2025-04-26T10:37:00Z</dcterms:created>
  <dcterms:modified xsi:type="dcterms:W3CDTF">2025-04-28T07:56:00Z</dcterms:modified>
</cp:coreProperties>
</file>