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2355" w14:textId="7D9D5903" w:rsidR="00C06289" w:rsidRDefault="00C06289"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25POR-243</w:t>
      </w:r>
    </w:p>
    <w:p w14:paraId="7FA7539C" w14:textId="1FBE9DFA" w:rsidR="0014651E" w:rsidRPr="0014651E" w:rsidRDefault="0014651E" w:rsidP="0014651E">
      <w:pPr>
        <w:spacing w:after="120"/>
        <w:jc w:val="both"/>
        <w:rPr>
          <w:color w:val="000000"/>
          <w:sz w:val="24"/>
          <w:szCs w:val="24"/>
          <w:rFonts w:asciiTheme="minorHAnsi" w:hAnsiTheme="minorHAnsi" w:cstheme="minorHAnsi"/>
        </w:rPr>
      </w:pPr>
      <w:r>
        <w:rPr>
          <w:color w:val="000000"/>
          <w:sz w:val="24"/>
          <w:rFonts w:asciiTheme="minorHAnsi" w:hAnsiTheme="minorHAnsi"/>
        </w:rPr>
        <w:t xml:space="preserve">Nafarroako Alderdi Sozialista talde parlamentarioaren eledun Ramón Alzórriz Goñi jaunak, Legebiltzarreko Erregelamenduak ezarritakoaren babesean, gaurkotasun handiko honako galdera hau egiten du, Nafarroako Gobernuko lehendakariari zuzendua, 2025eko ekainaren 12ko Osoko Bilkurako gai-zerrendan sar dadin:</w:t>
      </w:r>
    </w:p>
    <w:p w14:paraId="56246BF7" w14:textId="323AF859" w:rsidR="0014651E" w:rsidRPr="0014651E" w:rsidRDefault="0014651E" w:rsidP="0014651E">
      <w:pPr>
        <w:spacing w:after="120"/>
        <w:jc w:val="both"/>
        <w:rPr>
          <w:color w:val="000000"/>
          <w:sz w:val="24"/>
          <w:szCs w:val="24"/>
          <w:rFonts w:asciiTheme="minorHAnsi" w:hAnsiTheme="minorHAnsi" w:cstheme="minorHAnsi"/>
        </w:rPr>
      </w:pPr>
      <w:r>
        <w:rPr>
          <w:color w:val="000000"/>
          <w:sz w:val="24"/>
          <w:rFonts w:asciiTheme="minorHAnsi" w:hAnsiTheme="minorHAnsi"/>
        </w:rPr>
        <w:t xml:space="preserve">Nafarroako Gobernuak zer balorazio egiten du enpleguak gure erkidegoan duen bilakaerari buruz?</w:t>
      </w:r>
    </w:p>
    <w:p w14:paraId="41F6492D" w14:textId="77777777" w:rsidR="0014651E" w:rsidRDefault="0014651E" w:rsidP="0014651E">
      <w:pPr>
        <w:spacing w:after="120"/>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9an</w:t>
      </w:r>
    </w:p>
    <w:p w14:paraId="4069CC34" w14:textId="7B71FF11" w:rsidR="0058011B" w:rsidRPr="00D4573A" w:rsidRDefault="0058011B" w:rsidP="0014651E">
      <w:pPr>
        <w:spacing w:after="120"/>
        <w:jc w:val="both"/>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Ramón Alzórriz Goñi</w:t>
      </w:r>
    </w:p>
    <w:sectPr w:rsidR="0058011B" w:rsidRPr="00D4573A"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14F61"/>
    <w:rsid w:val="0014651E"/>
    <w:rsid w:val="00193C87"/>
    <w:rsid w:val="001D4A94"/>
    <w:rsid w:val="00296AF7"/>
    <w:rsid w:val="00376B3B"/>
    <w:rsid w:val="0058011B"/>
    <w:rsid w:val="00587407"/>
    <w:rsid w:val="006C00AB"/>
    <w:rsid w:val="006D3042"/>
    <w:rsid w:val="00702A31"/>
    <w:rsid w:val="007863CE"/>
    <w:rsid w:val="00900599"/>
    <w:rsid w:val="00924D24"/>
    <w:rsid w:val="00BF56C5"/>
    <w:rsid w:val="00BF57A5"/>
    <w:rsid w:val="00C06289"/>
    <w:rsid w:val="00D4573A"/>
    <w:rsid w:val="00DE249A"/>
    <w:rsid w:val="00F76A59"/>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443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2025-06-09T07:45:00Z</dcterms:created>
  <dcterms:modified xsi:type="dcterms:W3CDTF">2025-06-09T07:47:00Z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