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87035" w14:textId="77777777" w:rsidR="007041C5" w:rsidRPr="00BF0B23" w:rsidRDefault="007041C5" w:rsidP="007041C5">
      <w:pPr>
        <w:pStyle w:val="OFI-TITULO2"/>
        <w:rPr>
          <w:caps w:val="0"/>
        </w:rPr>
      </w:pPr>
      <w:r w:rsidRPr="007D5DDF">
        <w:rPr>
          <w:noProof/>
        </w:rPr>
        <w:t>11-24/PON-00001</w:t>
      </w:r>
      <w:r>
        <w:t xml:space="preserve">. </w:t>
      </w:r>
      <w:r>
        <w:rPr>
          <w:caps w:val="0"/>
        </w:rPr>
        <w:t xml:space="preserve">Informe de la ponencia </w:t>
      </w:r>
      <w:r w:rsidRPr="00BF0B23">
        <w:rPr>
          <w:caps w:val="0"/>
          <w:noProof/>
        </w:rPr>
        <w:t>para el estudio y aprobación del Código de Conducta recogido en el artículo 26.2 del Reglamento del Parlamento de Navarra</w:t>
      </w:r>
    </w:p>
    <w:p w14:paraId="60458236" w14:textId="23FBB1F3" w:rsidR="007041C5" w:rsidRDefault="00633762" w:rsidP="007041C5">
      <w:pPr>
        <w:pStyle w:val="OFI-TITULO3"/>
      </w:pPr>
      <w:r>
        <w:rPr>
          <w:caps w:val="0"/>
        </w:rPr>
        <w:t xml:space="preserve">Aprobación por la </w:t>
      </w:r>
      <w:r w:rsidRPr="007D5DDF">
        <w:rPr>
          <w:caps w:val="0"/>
          <w:noProof/>
        </w:rPr>
        <w:t>Comisión de Reglamento</w:t>
      </w:r>
    </w:p>
    <w:p w14:paraId="65A12D41" w14:textId="52153E69" w:rsidR="007041C5" w:rsidRDefault="007041C5" w:rsidP="007041C5">
      <w:pPr>
        <w:pStyle w:val="OFI-TEXTO"/>
      </w:pPr>
      <w:r>
        <w:t xml:space="preserve">En cumplimiento de lo dispuesto en el artículo 125 del Reglamento de la Cámara, se ordena la publicación en el Boletín Oficial del Parlamento de Navarra </w:t>
      </w:r>
      <w:r w:rsidRPr="007D5DDF">
        <w:rPr>
          <w:noProof/>
        </w:rPr>
        <w:t>del Código de Conducta recogido en el artículo 26.2 del Reglamento del Parlamento de Navarra</w:t>
      </w:r>
      <w:r>
        <w:t xml:space="preserve">, aprobado por la </w:t>
      </w:r>
      <w:r w:rsidRPr="007D5DDF">
        <w:rPr>
          <w:noProof/>
        </w:rPr>
        <w:t>Comisión de Reglamento</w:t>
      </w:r>
      <w:r>
        <w:t xml:space="preserve"> con fecha </w:t>
      </w:r>
      <w:r w:rsidRPr="007D5DDF">
        <w:rPr>
          <w:noProof/>
        </w:rPr>
        <w:t>13 de junio de 2025</w:t>
      </w:r>
      <w:r>
        <w:t>.</w:t>
      </w:r>
    </w:p>
    <w:p w14:paraId="7351F612" w14:textId="77777777" w:rsidR="007041C5" w:rsidRDefault="007041C5" w:rsidP="007041C5">
      <w:pPr>
        <w:pStyle w:val="OFI-FECHA"/>
      </w:pPr>
      <w:r>
        <w:t xml:space="preserve">Pamplona, </w:t>
      </w:r>
      <w:r w:rsidRPr="007D5DDF">
        <w:rPr>
          <w:noProof/>
        </w:rPr>
        <w:t>13 de junio de 2025</w:t>
      </w:r>
    </w:p>
    <w:p w14:paraId="2A59FA1D" w14:textId="77777777" w:rsidR="007041C5" w:rsidRDefault="007041C5" w:rsidP="007041C5">
      <w:pPr>
        <w:pStyle w:val="OFI-FIRMA3"/>
      </w:pPr>
      <w:r w:rsidRPr="007D5DDF">
        <w:rPr>
          <w:noProof/>
        </w:rPr>
        <w:t>El Presidente</w:t>
      </w:r>
      <w:r>
        <w:t xml:space="preserve">: </w:t>
      </w:r>
      <w:r w:rsidRPr="007D5DDF">
        <w:rPr>
          <w:noProof/>
        </w:rPr>
        <w:t>Unai Hualde Iglesias</w:t>
      </w:r>
    </w:p>
    <w:p w14:paraId="58DD01D3" w14:textId="77777777" w:rsidR="00C451FF" w:rsidRDefault="00C451FF"/>
    <w:p w14:paraId="166E40FD" w14:textId="77777777" w:rsidR="00270C20" w:rsidRDefault="00270C20"/>
    <w:p w14:paraId="435A7C97" w14:textId="70AF75F6" w:rsidR="00270C20" w:rsidRDefault="00270C20">
      <w:r>
        <w:br w:type="page"/>
      </w:r>
    </w:p>
    <w:p w14:paraId="7C1F2AB5" w14:textId="77777777" w:rsidR="00270C20" w:rsidRPr="00EE2AFE" w:rsidRDefault="00270C20" w:rsidP="00270C20">
      <w:pPr>
        <w:jc w:val="center"/>
        <w:rPr>
          <w:rFonts w:ascii="Arial" w:eastAsia="Calibri" w:hAnsi="Arial" w:cs="Arial"/>
          <w:bCs/>
        </w:rPr>
      </w:pPr>
      <w:r>
        <w:rPr>
          <w:rFonts w:ascii="Arial" w:eastAsia="Calibri" w:hAnsi="Arial" w:cs="Arial"/>
          <w:b/>
        </w:rPr>
        <w:lastRenderedPageBreak/>
        <w:t>“</w:t>
      </w:r>
      <w:r w:rsidRPr="00EE2AFE">
        <w:rPr>
          <w:rFonts w:ascii="Arial" w:eastAsia="Calibri" w:hAnsi="Arial" w:cs="Arial"/>
          <w:bCs/>
        </w:rPr>
        <w:t>CÓDIGO DE CONDUCTA DEL PARLAMENTO DE NAVARRA</w:t>
      </w:r>
    </w:p>
    <w:p w14:paraId="52B66B3F" w14:textId="77777777" w:rsidR="00270C20" w:rsidRDefault="00270C20" w:rsidP="00270C20">
      <w:pPr>
        <w:overflowPunct w:val="0"/>
        <w:autoSpaceDE w:val="0"/>
        <w:autoSpaceDN w:val="0"/>
        <w:adjustRightInd w:val="0"/>
        <w:spacing w:after="0" w:line="312" w:lineRule="auto"/>
        <w:jc w:val="both"/>
        <w:textAlignment w:val="baseline"/>
        <w:rPr>
          <w:rFonts w:ascii="Arial" w:hAnsi="Arial" w:cs="Arial"/>
        </w:rPr>
      </w:pPr>
    </w:p>
    <w:p w14:paraId="3B3D35B7" w14:textId="77777777" w:rsidR="00270C20" w:rsidRPr="005C1945" w:rsidRDefault="00270C20" w:rsidP="00270C20">
      <w:pPr>
        <w:autoSpaceDE w:val="0"/>
        <w:autoSpaceDN w:val="0"/>
        <w:adjustRightInd w:val="0"/>
        <w:spacing w:after="0" w:line="240" w:lineRule="auto"/>
        <w:rPr>
          <w:rFonts w:ascii="Calibri" w:hAnsi="Calibri" w:cs="Calibri"/>
          <w:color w:val="000000"/>
          <w:sz w:val="24"/>
          <w:szCs w:val="24"/>
        </w:rPr>
      </w:pPr>
    </w:p>
    <w:p w14:paraId="3642818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 Artículo 1. Objeto, naturaleza jurídica y ámbito de aplicación</w:t>
      </w:r>
      <w:r>
        <w:rPr>
          <w:rFonts w:ascii="Arial" w:eastAsia="Calibri" w:hAnsi="Arial" w:cs="Arial"/>
        </w:rPr>
        <w:t>.</w:t>
      </w:r>
      <w:r w:rsidRPr="00EE2AFE">
        <w:rPr>
          <w:rFonts w:ascii="Arial" w:eastAsia="Calibri" w:hAnsi="Arial" w:cs="Arial"/>
        </w:rPr>
        <w:t xml:space="preserve"> </w:t>
      </w:r>
    </w:p>
    <w:p w14:paraId="3070D06C"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72F87CAC"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Este Código de Conducta tiene por objeto regular las obligaciones de los parlamentarios y parlamentarias forales, en desarrollo del artículo 26.2 del Reglamento del Parlamento de Navarra, con el fin de reforzar las exigencias de integridad y transparencia en su actuación y la confianza de la ciudadanía navarra en la máxima institución representativa de la Comunidad Foral. </w:t>
      </w:r>
    </w:p>
    <w:p w14:paraId="41D3D097"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75F5FF4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2. El presente Código de Conducta es una norma interna del Parlamento de Navarra de desarrollo de su Reglamento y es de aplicación directa y vinculante para todos los parlamentarios y parlamentarias forales en el ejercicio de sus funciones y durante todo el periodo de su mandato.</w:t>
      </w:r>
    </w:p>
    <w:p w14:paraId="795033FE" w14:textId="77777777" w:rsidR="00270C20" w:rsidRPr="00EE2AFE" w:rsidRDefault="00270C20" w:rsidP="00270C20">
      <w:pPr>
        <w:autoSpaceDE w:val="0"/>
        <w:autoSpaceDN w:val="0"/>
        <w:adjustRightInd w:val="0"/>
        <w:spacing w:after="0" w:line="240" w:lineRule="auto"/>
        <w:rPr>
          <w:rFonts w:ascii="Calibri" w:hAnsi="Calibri" w:cs="Calibri"/>
          <w:color w:val="000000"/>
          <w:sz w:val="24"/>
          <w:szCs w:val="24"/>
        </w:rPr>
      </w:pPr>
    </w:p>
    <w:p w14:paraId="14E77D67"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 Artículo 2. Principios generales de conducta</w:t>
      </w:r>
      <w:r>
        <w:rPr>
          <w:rFonts w:ascii="Arial" w:eastAsia="Calibri" w:hAnsi="Arial" w:cs="Arial"/>
        </w:rPr>
        <w:t>.</w:t>
      </w:r>
      <w:r w:rsidRPr="00EE2AFE">
        <w:rPr>
          <w:rFonts w:ascii="Arial" w:eastAsia="Calibri" w:hAnsi="Arial" w:cs="Arial"/>
        </w:rPr>
        <w:t xml:space="preserve"> </w:t>
      </w:r>
    </w:p>
    <w:p w14:paraId="0FC2A21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38D07B9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Los parlamentarios y parlamentarias forales deben ejercer los derechos y cumplir los deberes inherentes a su cargo de acuerdo con el interés público. Su actuación debe perseguir el interés general de la ciudadanía navarra y no estará comprometida por la búsqueda de cualquier tipo de recompensa o beneficio particular o de terceros. Evitarán incurrir en situaciones de conflicto de intereses y no podrán invocar o hacer uso de su condición parlamentaria para ejercer una actividad mercantil, industrial o profesional. </w:t>
      </w:r>
    </w:p>
    <w:p w14:paraId="3121E450"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7C409B17"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2. Los Parlamentarios y Parlamentarias Forales deben ejercer su cargo de acuerdo con los principios de integridad, honestidad, transparencia, diligencia, austeridad, rendición de cuentas, actuación desinteresada, responsabilidad y respeto a la ciudadanía y a la institución parlamentaria, debiendo siempre estar presidida su actuación por el principio de ejemplaridad como corresponde a la confianza pública que ha depositado en ellos la ciudadanía navarra. </w:t>
      </w:r>
    </w:p>
    <w:p w14:paraId="558AACE0"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417006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3. Los Parlamentarios y Parlamentarias Forales velarán por promover el respeto a la igualdad entre hombres y mujeres y removerán los obstáculos que </w:t>
      </w:r>
      <w:r w:rsidRPr="00EE2AFE">
        <w:rPr>
          <w:rFonts w:ascii="Arial" w:eastAsia="Calibri" w:hAnsi="Arial" w:cs="Arial"/>
        </w:rPr>
        <w:lastRenderedPageBreak/>
        <w:t xml:space="preserve">puedan dificultarla. Asimismo, mostrarán respeto por el uso de todas las lenguas propias de la Comunidad Foral de Navarra. </w:t>
      </w:r>
    </w:p>
    <w:p w14:paraId="4176CF3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5F7AD5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4. Los Parlamentarios y Parlamentarias Forales, de acuerdo con lo establecido por el presente Código de Conducta, no pueden aceptar, pedir, ni recibir ningún beneficio económico, ni favores a cambio de ejercer influencia o de votar en un determinado sentido en las tramitaciones parlamentarias. En el ejercicio de sus funciones, se abstendrán de aceptar obsequios y cualquier tipo de favor o servicio, excepto los obsequios de mera cortesía o los que les sean otorgados cuando representen al Parlamento, al que deberán entregarlos.</w:t>
      </w:r>
    </w:p>
    <w:p w14:paraId="09C0FBCF"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B88DF9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Artículo 3. Respeto a las normas de orden, cortesía y la disciplina parlamentaria. </w:t>
      </w:r>
    </w:p>
    <w:p w14:paraId="5CF6377C"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6CBB808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Los parlamentarios y parlamentarias forales están obligados a respetar el orden, la cortesía y la disciplina parlamentaria, así como a guardar secreto sobre todas las actuaciones y resoluciones que expresamente tengan determinado este carácter conforme a lo establecido en el Reglamento de la Cámara. </w:t>
      </w:r>
    </w:p>
    <w:p w14:paraId="703E141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8953216"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2. Ejercerán sus funciones en todo momento, con el máximo respeto hacia el resto de los parlamentarios y parlamentarias, el personal al servicio del Parlamento, las instituciones, autoridades y empleados públicos con lo que deban relacionarse, los medios de comunicación y los ciudadanos y ciudadanas que con ellos se relacionen. </w:t>
      </w:r>
    </w:p>
    <w:p w14:paraId="2EAF425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491075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3. En sus intervenciones, evitarán cualquier forma de expresión que propague, incite, promueva o justifique el odio contra los ciudadanos en general o contra determinadas personas por razón de su nacimiento, raza, sexo, religión, opinión o cualquier otra condición o circunstancia personal o social.</w:t>
      </w:r>
    </w:p>
    <w:p w14:paraId="1AD307CC"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CDECE4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4. Conflicto de intereses.</w:t>
      </w:r>
    </w:p>
    <w:p w14:paraId="7A9BC02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4283E0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1. Los Parlamentarios y Parlamentarias Forales han de abstenerse de todo procedimiento en el que exista algún interés personal y particular.</w:t>
      </w:r>
    </w:p>
    <w:p w14:paraId="56E0C86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8749E77"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lastRenderedPageBreak/>
        <w:t xml:space="preserve">2. Existirá conflicto de interés cuando un miembro del Parlamento de Navarra tenga un interés personal, directo y propio o indirecto a través de otra persona singularizada, que pueda influir de manera inadecuada en el cumplimiento de sus deberes, de forma que se pueda poner en duda su objetividad o independencia, o que implique que como parlamentario o parlamentaria no persiga la consecución del interés general. No existirá conflicto de intereses cuando se obtenga algún beneficio únicamente por pertenecer al conjunto de la población o a una categoría amplia de personas. </w:t>
      </w:r>
    </w:p>
    <w:p w14:paraId="7CEFF18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C12A28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3. Los parlamentarios y parlamentarias forales deberán tomar todas las medidas necesarias para evitar la existencia de un conflicto de intereses. Si el conflicto no se puede resolver, el afectado lo pondrá en conocimiento de la Mesa del Parlamento, con la mayor antelación posible y, en todo caso, en el plazo máximo de veinticuatro horas a contar desde la recepción de la convocatoria de la sesión de que se trate.  La Mesa resolverá lo que proceda, previo informe jurídico emitido al respecto.</w:t>
      </w:r>
    </w:p>
    <w:p w14:paraId="11F151D6" w14:textId="77777777" w:rsidR="00270C20" w:rsidRPr="00EE2AFE" w:rsidRDefault="00270C20" w:rsidP="00270C20">
      <w:pPr>
        <w:overflowPunct w:val="0"/>
        <w:autoSpaceDE w:val="0"/>
        <w:autoSpaceDN w:val="0"/>
        <w:adjustRightInd w:val="0"/>
        <w:spacing w:after="0" w:line="312" w:lineRule="auto"/>
        <w:jc w:val="both"/>
        <w:textAlignment w:val="baseline"/>
        <w:rPr>
          <w:rFonts w:ascii="Arial" w:eastAsia="Calibri" w:hAnsi="Arial" w:cs="Arial"/>
        </w:rPr>
      </w:pPr>
    </w:p>
    <w:p w14:paraId="71DD34D6"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5. Declaración de actividades y bienes patrimoniales y registro de intereses</w:t>
      </w:r>
      <w:r>
        <w:rPr>
          <w:rFonts w:ascii="Arial" w:eastAsia="Calibri" w:hAnsi="Arial" w:cs="Arial"/>
        </w:rPr>
        <w:t>.</w:t>
      </w:r>
    </w:p>
    <w:p w14:paraId="4E40FB7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DFCCD1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1. Los Parlamentarios y Parlamentarias Forales electos, para adquirir la plena condición de parlamentario, cumplimentarán de forma obligatoria, por separado y conforme al modelo que apruebe la Mesa de la Cámara, la declaración de actividades y la de bienes patrimoniales, en el momento en que acrediten su condición de electos ante la Secretaría General del Parlamento, en los términos que señala el artículo 1 del Reglamento del Parlamento de Navarra.</w:t>
      </w:r>
    </w:p>
    <w:p w14:paraId="5654CDA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E62B23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2. La declaración de actividades incluirá cualquier actividad profesional, laboral o empresarial que ejerzan y que, conforme a lo establecido en la legislación vigente, pueda constituir causa de incompatibilidad y, en general, las que proporcionen o puedan proporcionar ingresos económicos. </w:t>
      </w:r>
    </w:p>
    <w:p w14:paraId="7B5C08C6" w14:textId="77777777" w:rsidR="00270C20" w:rsidRPr="00EE2AFE" w:rsidRDefault="00270C20" w:rsidP="00270C20">
      <w:pPr>
        <w:overflowPunct w:val="0"/>
        <w:autoSpaceDE w:val="0"/>
        <w:autoSpaceDN w:val="0"/>
        <w:adjustRightInd w:val="0"/>
        <w:spacing w:after="0" w:line="312" w:lineRule="auto"/>
        <w:jc w:val="both"/>
        <w:textAlignment w:val="baseline"/>
        <w:rPr>
          <w:rFonts w:ascii="Arial" w:eastAsia="Calibri" w:hAnsi="Arial" w:cs="Arial"/>
        </w:rPr>
      </w:pPr>
    </w:p>
    <w:p w14:paraId="14C98C7E"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3. La declaración de bienes patrimoniales incluirá cualquier tipo de bienes de carácter mobiliario e inmobiliario del o de la declarante, señalando con precisión el régimen y grado de participación que le correspondan en cualquier sociedad y los depósitos o valores representativos que posea. </w:t>
      </w:r>
    </w:p>
    <w:p w14:paraId="131F7B4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39C9A49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4. Las declaraciones previstas en los apartados 2 y 3 de este artículo, se realizarán conforme a los modelos aprobados por la Mesa de la Cámara y que figuran como anexo al presente Código. </w:t>
      </w:r>
    </w:p>
    <w:p w14:paraId="07BC257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57F66D0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5. Estas declaraciones se inscribirán en el Registro de Intereses, constituido en la Cámara bajo la dependencia directa de la Presidencia y custodia del Letrado o Letrada Mayor. El registro tendrá carácter público. La información relativa a las actividades y bienes es pública y debe publicarse en la página web del Parlamento de Navarra en los términos y condiciones que determine la Mesa de la Cámara, en el plazo de dos meses. En todo caso, la información relativa a la declaración de bienes debe publicarse sin incluir los datos de localización ni los que pueden poner en peligro la privacidad y la seguridad de los titulares o de terceros. </w:t>
      </w:r>
    </w:p>
    <w:p w14:paraId="23C13F6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7A9D2B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6. Dentro del primer semestre de cada año natural, los Parlamentarias y Parlamentarios Forales deberán realizar una nueva declaración de actividades y de bienes que, en caso de no haberse producido modificaciones en las circunstancias declaradas, podrá sustituirse por una simple declaración confirmatoria de las anteriores declaraciones presentadas. Igualmente deberán presentar estas declaraciones dentro de los dos meses siguientes a la pérdida de la condición de Parlamentario o Parlamentaria Foral. </w:t>
      </w:r>
    </w:p>
    <w:p w14:paraId="5905AC31"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9ABBB5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7. Las Parlamentarias y Parlamentarios Forales estarán obligados a poner a disposición de las Comisiones de Investigación, siempre que estas lo necesiten, copia autorizada de las declaraciones que hayan efectuado para el Impuesto sobre la Renta de Personas Físicas y para el Impuesto sobre el Patrimonio. </w:t>
      </w:r>
    </w:p>
    <w:p w14:paraId="5C3F469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283A8A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8. Transcurridos dos años desde la pérdida de la condición de Parlamentaria o Parlamentario, las declaraciones deben ser destruidas.</w:t>
      </w:r>
    </w:p>
    <w:p w14:paraId="0FE914E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7BD4021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6. Régimen de incompatibilidades</w:t>
      </w:r>
      <w:r>
        <w:rPr>
          <w:rFonts w:ascii="Arial" w:eastAsia="Calibri" w:hAnsi="Arial" w:cs="Arial"/>
        </w:rPr>
        <w:t>.</w:t>
      </w:r>
    </w:p>
    <w:p w14:paraId="0F6210B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402811D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Los parlamentarios y parlamentarias forales están obligados a cumplir las normas que sobre incompatibilidades establezca la ley foral a que hace referencia el artículo 15 de la Ley Orgánica de Reintegración y Amejoramiento del </w:t>
      </w:r>
      <w:r w:rsidRPr="00EE2AFE">
        <w:rPr>
          <w:rFonts w:ascii="Arial" w:eastAsia="Calibri" w:hAnsi="Arial" w:cs="Arial"/>
        </w:rPr>
        <w:lastRenderedPageBreak/>
        <w:t xml:space="preserve">Régimen Foral de Navarra. La Mesa elevará al Pleno las propuestas que correspondan sobre la situación de compatibilidad o incompatibilidad de cada parlamentario o parlamentaria foral, previa audiencia de la persona afectada. </w:t>
      </w:r>
    </w:p>
    <w:p w14:paraId="5C40A13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3675CBD1"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2. Declarada y notificada a la persona interesada la situación de incompatibilidad, la parlamentaria o parlamentario foral afectado dispondrá de un plazo máximo de seis días hábiles para optar entre su escaño en la Cámara y el cargo incompatible. De no producirse notificación de esta opción ante la Mesa, se entenderá que el parlamentario o parlamentaria foral ha renunciado a su escaño en el Parlamento de Navarra.</w:t>
      </w:r>
    </w:p>
    <w:p w14:paraId="6018EF0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37970B81"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7. Transparencia y datos biográficos</w:t>
      </w:r>
      <w:r>
        <w:rPr>
          <w:rFonts w:ascii="Arial" w:eastAsia="Calibri" w:hAnsi="Arial" w:cs="Arial"/>
        </w:rPr>
        <w:t>.</w:t>
      </w:r>
      <w:r w:rsidRPr="00EE2AFE">
        <w:rPr>
          <w:rFonts w:ascii="Arial" w:eastAsia="Calibri" w:hAnsi="Arial" w:cs="Arial"/>
        </w:rPr>
        <w:t xml:space="preserve"> </w:t>
      </w:r>
    </w:p>
    <w:p w14:paraId="38A1288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99CCCF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Los parlamentarios y las parlamentarias forales actuarán conforme al principio de transparencia y cumplirán las obligaciones de información y publicidad relativas al ejercicio del cargo en los términos fijados en este Código. </w:t>
      </w:r>
    </w:p>
    <w:p w14:paraId="2F70C8BF"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4D22221"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2. En la página web de la Cámara se publicará una breve reseña de sus datos biográficos personales, académicos y profesionales, en la que se podrán consultar todos los títulos, datos y archivos que el miembro de la Cámara considere relevantes.</w:t>
      </w:r>
    </w:p>
    <w:p w14:paraId="5C73FE30"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68EB6C1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8. Formación continua en materias de ética y buenas prácticas</w:t>
      </w:r>
      <w:r>
        <w:rPr>
          <w:rFonts w:ascii="Arial" w:eastAsia="Calibri" w:hAnsi="Arial" w:cs="Arial"/>
        </w:rPr>
        <w:t>.</w:t>
      </w:r>
    </w:p>
    <w:p w14:paraId="2A9EF42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F09DD7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Con el fin de hacer posible el cumplimiento de este Código de Conducta, el Parlamento de Navarra establecerá dentro del primer año de legislatura un plan de información y formación para los miembros de la Cámara en las materias de ética, buenas prácticas, conflictos de intereses, buen gobierno y, en general, sobre las materias recogidas en este Código. </w:t>
      </w:r>
    </w:p>
    <w:p w14:paraId="2882729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F7268C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2. Asimismo, se facilitará previamente a los parlamentarios y parlamentarias, con ocasión de su toma de posesión, una Guía con sus obligaciones e incompatibilidades, así como un ejemplar de este Código de Conducta, debiendo estos declarar haber leído y comprendido estos documentos. </w:t>
      </w:r>
    </w:p>
    <w:p w14:paraId="5329E83D"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9BF5F7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lastRenderedPageBreak/>
        <w:t>3. El Gobierno de Navarra u otras entidades que cuenten con especialistas podrán proporcionar formación y acciones de sensibilización a los miembros de la Cámara en materia de racismo y discriminación por las razones del artículo 14 de la Constitución Española.</w:t>
      </w:r>
    </w:p>
    <w:p w14:paraId="0DBE93B4"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633525B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9. Garantías para el cumplimiento del Código de Conducta e informe anual de seguimiento</w:t>
      </w:r>
      <w:r>
        <w:rPr>
          <w:rFonts w:ascii="Arial" w:eastAsia="Calibri" w:hAnsi="Arial" w:cs="Arial"/>
        </w:rPr>
        <w:t>.</w:t>
      </w:r>
    </w:p>
    <w:p w14:paraId="08F41E8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8447E2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1. La Mesa del Parlamento debe garantizar el cumplimiento de este Código de Conducta por los miembros de la Cámara y adoptar, si procede, las medidas necesarias en caso de incumplimiento.</w:t>
      </w:r>
    </w:p>
    <w:p w14:paraId="16A89F33"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5DF012C2"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2. Anualmente la Mesa de la Cámara aprobará un informe de sus actuaciones respecto a la aplicación de este Código de Conducta, que se publicará en el apartado de Transparencia de la página web de la institución.</w:t>
      </w:r>
    </w:p>
    <w:p w14:paraId="5E0C9542"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3C6FDB0"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Artículo 10. Infracciones y sanciones</w:t>
      </w:r>
      <w:r>
        <w:rPr>
          <w:rFonts w:ascii="Arial" w:eastAsia="Calibri" w:hAnsi="Arial" w:cs="Arial"/>
        </w:rPr>
        <w:t>.</w:t>
      </w:r>
    </w:p>
    <w:p w14:paraId="23FF1451"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BBB36EE"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1. Las infracciones de este Código de conducta deben sancionarse de acuerdo con lo establecido específicamente por el Reglamento del Parlamento. </w:t>
      </w:r>
    </w:p>
    <w:p w14:paraId="2836F139" w14:textId="77777777" w:rsidR="00270C20" w:rsidRPr="00EE2AFE" w:rsidRDefault="00270C20" w:rsidP="00270C20">
      <w:pPr>
        <w:overflowPunct w:val="0"/>
        <w:autoSpaceDE w:val="0"/>
        <w:autoSpaceDN w:val="0"/>
        <w:adjustRightInd w:val="0"/>
        <w:spacing w:after="0" w:line="312" w:lineRule="auto"/>
        <w:ind w:firstLine="708"/>
        <w:jc w:val="both"/>
        <w:textAlignment w:val="baseline"/>
      </w:pPr>
    </w:p>
    <w:p w14:paraId="5ED0EA5A"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2. Las infracciones derivadas del incumplimiento de las obligaciones previstas en el presente Código de conducta pued</w:t>
      </w:r>
      <w:r>
        <w:rPr>
          <w:rFonts w:ascii="Arial" w:eastAsia="Calibri" w:hAnsi="Arial" w:cs="Arial"/>
        </w:rPr>
        <w:t>e</w:t>
      </w:r>
      <w:r w:rsidRPr="00EE2AFE">
        <w:rPr>
          <w:rFonts w:ascii="Arial" w:eastAsia="Calibri" w:hAnsi="Arial" w:cs="Arial"/>
        </w:rPr>
        <w:t xml:space="preserve">n clasificarse en muy graves, graves y leves conforme disponen los artículos 129 a 131 del Reglamento del Parlamento y serán sancionadas de acuerdo con lo dispuesto en su artículo 132. </w:t>
      </w:r>
    </w:p>
    <w:p w14:paraId="0FBB65F3" w14:textId="77777777" w:rsidR="00270C20" w:rsidRPr="00EE2AFE" w:rsidRDefault="00270C20" w:rsidP="00270C20">
      <w:pPr>
        <w:pStyle w:val="Pa3"/>
        <w:ind w:firstLine="708"/>
        <w:jc w:val="both"/>
        <w:rPr>
          <w:color w:val="000000"/>
          <w:sz w:val="21"/>
          <w:szCs w:val="21"/>
        </w:rPr>
      </w:pPr>
    </w:p>
    <w:p w14:paraId="2342DA4B"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3. El procedimiento sancionador se ajustará a lo dispuesto en los artículos 134 a 137 del Reglamento. </w:t>
      </w:r>
    </w:p>
    <w:p w14:paraId="56BD3FDE" w14:textId="77777777" w:rsidR="00270C20" w:rsidRPr="00EE2AFE" w:rsidRDefault="00270C20" w:rsidP="00270C20">
      <w:pPr>
        <w:pStyle w:val="Pa3"/>
        <w:ind w:firstLine="708"/>
        <w:jc w:val="both"/>
        <w:rPr>
          <w:color w:val="000000"/>
          <w:sz w:val="21"/>
          <w:szCs w:val="21"/>
        </w:rPr>
      </w:pPr>
    </w:p>
    <w:p w14:paraId="35481292" w14:textId="77777777" w:rsidR="00270C20"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4. La aplicación del régimen sancionador se entiende sin perjuicio de la obligación del parlamentario o parlamentaria foral de adoptar de forma inmediata las medidas necesarias para resolver y eliminar la situación de incumplimiento en que haya incurrido.</w:t>
      </w:r>
    </w:p>
    <w:p w14:paraId="28FD4C99"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18705018"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Artículo 11. Canal de consultas de dudas y cuestiones. </w:t>
      </w:r>
    </w:p>
    <w:p w14:paraId="27BD5946"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2616A0E2"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lastRenderedPageBreak/>
        <w:t>Se establece un canal de consultas de dudas y cuestiones mediante el cual los Parlamentarios y Parlamentarias Forales y los Grupos y Agrupaciones puedan preguntar a la Mesa de la Cámara sobre aspectos relacionados con la aplicación e interpretación de este Código.</w:t>
      </w:r>
    </w:p>
    <w:p w14:paraId="4D26B865" w14:textId="77777777" w:rsidR="00270C20" w:rsidRPr="00EE2AFE"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617CE0AB" w14:textId="77777777" w:rsidR="00270C20"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 xml:space="preserve">Disposición adicional única.  </w:t>
      </w:r>
      <w:r w:rsidRPr="00033093">
        <w:rPr>
          <w:rFonts w:ascii="Arial" w:eastAsia="Calibri" w:hAnsi="Arial" w:cs="Arial"/>
        </w:rPr>
        <w:t xml:space="preserve">Publicidad de los informes. </w:t>
      </w:r>
    </w:p>
    <w:p w14:paraId="0EC3E221" w14:textId="77777777" w:rsidR="00270C20"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p>
    <w:p w14:paraId="0BC6D5F2" w14:textId="77777777" w:rsidR="00270C20" w:rsidRDefault="00270C20" w:rsidP="00270C20">
      <w:pPr>
        <w:overflowPunct w:val="0"/>
        <w:autoSpaceDE w:val="0"/>
        <w:autoSpaceDN w:val="0"/>
        <w:adjustRightInd w:val="0"/>
        <w:spacing w:after="0" w:line="312" w:lineRule="auto"/>
        <w:ind w:firstLine="708"/>
        <w:jc w:val="both"/>
        <w:textAlignment w:val="baseline"/>
        <w:rPr>
          <w:rFonts w:ascii="Arial" w:eastAsia="Calibri" w:hAnsi="Arial" w:cs="Arial"/>
        </w:rPr>
      </w:pPr>
      <w:r w:rsidRPr="00EE2AFE">
        <w:rPr>
          <w:rFonts w:ascii="Arial" w:eastAsia="Calibri" w:hAnsi="Arial" w:cs="Arial"/>
        </w:rPr>
        <w:t>En el apartado de Transparencia de la página web del Parlamento de Navarra, se creará un apartado específico en el que se publicarán todos los informes relativos a la aplicación</w:t>
      </w:r>
      <w:r w:rsidRPr="008A4EB6">
        <w:rPr>
          <w:rFonts w:ascii="Arial" w:eastAsia="Calibri" w:hAnsi="Arial" w:cs="Arial"/>
        </w:rPr>
        <w:t xml:space="preserve"> de este Código de Conducta.</w:t>
      </w:r>
      <w:r>
        <w:rPr>
          <w:rFonts w:ascii="Arial" w:eastAsia="Calibri" w:hAnsi="Arial" w:cs="Arial"/>
        </w:rPr>
        <w:t>”</w:t>
      </w:r>
    </w:p>
    <w:p w14:paraId="164D47B8" w14:textId="77777777" w:rsidR="00270C20" w:rsidRDefault="00270C20"/>
    <w:sectPr w:rsidR="00270C20" w:rsidSect="007041C5">
      <w:pgSz w:w="11907" w:h="16839"/>
      <w:pgMar w:top="3686" w:right="1418" w:bottom="1134" w:left="2552" w:header="1134" w:footer="567"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4F05E" w14:textId="77777777" w:rsidR="007041C5" w:rsidRDefault="007041C5" w:rsidP="007041C5">
      <w:pPr>
        <w:spacing w:after="0" w:line="240" w:lineRule="auto"/>
      </w:pPr>
      <w:r>
        <w:separator/>
      </w:r>
    </w:p>
  </w:endnote>
  <w:endnote w:type="continuationSeparator" w:id="0">
    <w:p w14:paraId="35C4FFAD" w14:textId="77777777" w:rsidR="007041C5" w:rsidRDefault="007041C5" w:rsidP="00704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DCBF7" w14:textId="77777777" w:rsidR="007041C5" w:rsidRDefault="007041C5" w:rsidP="007041C5">
      <w:pPr>
        <w:spacing w:after="0" w:line="240" w:lineRule="auto"/>
      </w:pPr>
      <w:r>
        <w:separator/>
      </w:r>
    </w:p>
  </w:footnote>
  <w:footnote w:type="continuationSeparator" w:id="0">
    <w:p w14:paraId="742AE686" w14:textId="77777777" w:rsidR="007041C5" w:rsidRDefault="007041C5" w:rsidP="00704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676737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C5"/>
    <w:rsid w:val="001F2AE4"/>
    <w:rsid w:val="00270C20"/>
    <w:rsid w:val="002E09AF"/>
    <w:rsid w:val="004A016A"/>
    <w:rsid w:val="00551A4B"/>
    <w:rsid w:val="00633762"/>
    <w:rsid w:val="006B6500"/>
    <w:rsid w:val="007041C5"/>
    <w:rsid w:val="00911B26"/>
    <w:rsid w:val="00B57DE4"/>
    <w:rsid w:val="00BF0B23"/>
    <w:rsid w:val="00C451FF"/>
    <w:rsid w:val="00D227FF"/>
    <w:rsid w:val="00F12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D8CBE9"/>
  <w15:chartTrackingRefBased/>
  <w15:docId w15:val="{8DBFFB56-21FE-442B-B539-83DAA9FA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7041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041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041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041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041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041C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41C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41C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41C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7041C5"/>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7041C5"/>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7041C5"/>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7041C5"/>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7041C5"/>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7041C5"/>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7041C5"/>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7041C5"/>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7041C5"/>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7041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41C5"/>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7041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41C5"/>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7041C5"/>
    <w:pPr>
      <w:spacing w:before="160"/>
      <w:jc w:val="center"/>
    </w:pPr>
    <w:rPr>
      <w:i/>
      <w:iCs/>
      <w:color w:val="404040" w:themeColor="text1" w:themeTint="BF"/>
    </w:rPr>
  </w:style>
  <w:style w:type="character" w:customStyle="1" w:styleId="CitaCar">
    <w:name w:val="Cita Car"/>
    <w:basedOn w:val="Fuentedeprrafopredeter"/>
    <w:link w:val="Cita"/>
    <w:uiPriority w:val="29"/>
    <w:rsid w:val="007041C5"/>
    <w:rPr>
      <w:i/>
      <w:iCs/>
      <w:color w:val="404040" w:themeColor="text1" w:themeTint="BF"/>
      <w:lang w:val="es-ES_tradnl"/>
    </w:rPr>
  </w:style>
  <w:style w:type="paragraph" w:styleId="Prrafodelista">
    <w:name w:val="List Paragraph"/>
    <w:basedOn w:val="Normal"/>
    <w:uiPriority w:val="34"/>
    <w:qFormat/>
    <w:rsid w:val="007041C5"/>
    <w:pPr>
      <w:ind w:left="720"/>
      <w:contextualSpacing/>
    </w:pPr>
  </w:style>
  <w:style w:type="character" w:styleId="nfasisintenso">
    <w:name w:val="Intense Emphasis"/>
    <w:basedOn w:val="Fuentedeprrafopredeter"/>
    <w:uiPriority w:val="21"/>
    <w:qFormat/>
    <w:rsid w:val="007041C5"/>
    <w:rPr>
      <w:i/>
      <w:iCs/>
      <w:color w:val="0F4761" w:themeColor="accent1" w:themeShade="BF"/>
    </w:rPr>
  </w:style>
  <w:style w:type="paragraph" w:styleId="Citadestacada">
    <w:name w:val="Intense Quote"/>
    <w:basedOn w:val="Normal"/>
    <w:next w:val="Normal"/>
    <w:link w:val="CitadestacadaCar"/>
    <w:uiPriority w:val="30"/>
    <w:qFormat/>
    <w:rsid w:val="007041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041C5"/>
    <w:rPr>
      <w:i/>
      <w:iCs/>
      <w:color w:val="0F4761" w:themeColor="accent1" w:themeShade="BF"/>
      <w:lang w:val="es-ES_tradnl"/>
    </w:rPr>
  </w:style>
  <w:style w:type="character" w:styleId="Referenciaintensa">
    <w:name w:val="Intense Reference"/>
    <w:basedOn w:val="Fuentedeprrafopredeter"/>
    <w:uiPriority w:val="32"/>
    <w:qFormat/>
    <w:rsid w:val="007041C5"/>
    <w:rPr>
      <w:b/>
      <w:bCs/>
      <w:smallCaps/>
      <w:color w:val="0F4761" w:themeColor="accent1" w:themeShade="BF"/>
      <w:spacing w:val="5"/>
    </w:rPr>
  </w:style>
  <w:style w:type="paragraph" w:customStyle="1" w:styleId="OFI-EXPTE">
    <w:name w:val="OFI-EXPTE"/>
    <w:rsid w:val="007041C5"/>
    <w:pPr>
      <w:spacing w:before="480" w:after="0" w:line="240" w:lineRule="auto"/>
      <w:jc w:val="right"/>
    </w:pPr>
    <w:rPr>
      <w:rFonts w:ascii="Arial (W1)" w:eastAsia="Times New Roman" w:hAnsi="Arial (W1)" w:cs="Arial"/>
      <w:color w:val="5F5F5F"/>
      <w:kern w:val="0"/>
      <w:sz w:val="20"/>
      <w:szCs w:val="20"/>
      <w:lang w:eastAsia="es-ES"/>
      <w14:ligatures w14:val="none"/>
    </w:rPr>
  </w:style>
  <w:style w:type="paragraph" w:customStyle="1" w:styleId="OFI-FECHA">
    <w:name w:val="OFI-FECHA"/>
    <w:rsid w:val="007041C5"/>
    <w:pPr>
      <w:spacing w:before="600" w:after="0" w:line="240" w:lineRule="auto"/>
    </w:pPr>
    <w:rPr>
      <w:rFonts w:ascii="Arial" w:eastAsia="Times New Roman" w:hAnsi="Arial" w:cs="Times New Roman"/>
      <w:kern w:val="0"/>
      <w:sz w:val="24"/>
      <w:szCs w:val="20"/>
      <w:lang w:eastAsia="es-ES"/>
      <w14:ligatures w14:val="none"/>
    </w:rPr>
  </w:style>
  <w:style w:type="paragraph" w:customStyle="1" w:styleId="OFI-FIRMA3">
    <w:name w:val="OFI-FIRMA3"/>
    <w:rsid w:val="007041C5"/>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7041C5"/>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7041C5"/>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7041C5"/>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7041C5"/>
    <w:pPr>
      <w:spacing w:after="360" w:line="240" w:lineRule="auto"/>
      <w:jc w:val="both"/>
    </w:pPr>
    <w:rPr>
      <w:rFonts w:ascii="Arial" w:eastAsia="Times New Roman" w:hAnsi="Arial" w:cs="Times New Roman"/>
      <w:caps/>
      <w:kern w:val="0"/>
      <w:sz w:val="24"/>
      <w:szCs w:val="20"/>
      <w:lang w:eastAsia="es-ES"/>
      <w14:ligatures w14:val="none"/>
    </w:rPr>
  </w:style>
  <w:style w:type="paragraph" w:styleId="Encabezado">
    <w:name w:val="header"/>
    <w:basedOn w:val="Normal"/>
    <w:link w:val="EncabezadoCar"/>
    <w:uiPriority w:val="99"/>
    <w:unhideWhenUsed/>
    <w:rsid w:val="007041C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41C5"/>
    <w:rPr>
      <w:lang w:val="es-ES_tradnl"/>
    </w:rPr>
  </w:style>
  <w:style w:type="paragraph" w:styleId="Piedepgina">
    <w:name w:val="footer"/>
    <w:basedOn w:val="Normal"/>
    <w:link w:val="PiedepginaCar"/>
    <w:uiPriority w:val="99"/>
    <w:unhideWhenUsed/>
    <w:rsid w:val="007041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41C5"/>
    <w:rPr>
      <w:lang w:val="es-ES_tradnl"/>
    </w:rPr>
  </w:style>
  <w:style w:type="paragraph" w:customStyle="1" w:styleId="Pa3">
    <w:name w:val="Pa3"/>
    <w:basedOn w:val="Normal"/>
    <w:next w:val="Normal"/>
    <w:uiPriority w:val="99"/>
    <w:rsid w:val="00270C20"/>
    <w:pPr>
      <w:autoSpaceDE w:val="0"/>
      <w:autoSpaceDN w:val="0"/>
      <w:adjustRightInd w:val="0"/>
      <w:spacing w:after="0" w:line="211" w:lineRule="atLeast"/>
    </w:pPr>
    <w:rPr>
      <w:rFonts w:ascii="Times New Roman" w:hAnsi="Times New Roman" w:cs="Times New Roman"/>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1964</Words>
  <Characters>10805</Characters>
  <Application>Microsoft Office Word</Application>
  <DocSecurity>0</DocSecurity>
  <Lines>90</Lines>
  <Paragraphs>25</Paragraphs>
  <ScaleCrop>false</ScaleCrop>
  <Company>Parlamento Navarra</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Martin Cestao, Nerea</cp:lastModifiedBy>
  <cp:revision>5</cp:revision>
  <cp:lastPrinted>2025-06-13T11:06:00Z</cp:lastPrinted>
  <dcterms:created xsi:type="dcterms:W3CDTF">2025-06-13T11:04:00Z</dcterms:created>
  <dcterms:modified xsi:type="dcterms:W3CDTF">2025-06-16T09:32:00Z</dcterms:modified>
</cp:coreProperties>
</file>