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5067" w14:textId="331958B0" w:rsidR="00376B3B" w:rsidRPr="00CF7CB2" w:rsidRDefault="00376B3B"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25MOC-104</w:t>
      </w:r>
    </w:p>
    <w:p w14:paraId="394929B1" w14:textId="77777777" w:rsidR="00CF7CB2" w:rsidRDefault="00CF7CB2"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Nafarroako Alderdi Sozialista talde parlamentarioaren eledun Ramón Alzórriz Goñi jaunak, Legebiltzarreko Erregelamenduan ezarritakoaren babesean, honako mozio hau aurkezten du, Landa Garapeneko eta Ingurumeneko Batzordean eztabaidatzeko: Espainiako Gobernua premiatzen da Europar Batasunari eska diezaion Nekazaritzako Politika Erkide soilagoa eta landa-eremurako baliagarriagoa egin dezan, behar adina baliabide eta egitura propioa izanen dituena, eta erabakia Gobernuari eta Nafarroako nekazaritza sektoreari helaraztea.</w:t>
      </w:r>
    </w:p>
    <w:p w14:paraId="646D7239" w14:textId="77777777" w:rsidR="00CF7CB2" w:rsidRDefault="00CF7CB2"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ZIOEN AZALPENA</w:t>
      </w:r>
    </w:p>
    <w:p w14:paraId="55FC3BE9" w14:textId="77777777" w:rsidR="00CF7CB2" w:rsidRDefault="00CF7CB2"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Erromako Itunaren bidez sortu zen Nekazaritza Politika Erkidea (NPE) funtsezkoa izan da Europa eraikitzeko, Europar Batasunaren elikadura-segurtasuna, landa garapena eta lurralde-kohesioa ziurtatu duen neurrian.</w:t>
      </w:r>
      <w:r>
        <w:rPr>
          <w:color w:val="000000"/>
          <w:sz w:val="24"/>
          <w:rFonts w:asciiTheme="minorHAnsi" w:hAnsiTheme="minorHAnsi"/>
        </w:rPr>
        <w:t xml:space="preserve"> </w:t>
      </w:r>
      <w:r>
        <w:rPr>
          <w:color w:val="000000"/>
          <w:sz w:val="24"/>
          <w:rFonts w:asciiTheme="minorHAnsi" w:hAnsiTheme="minorHAnsi"/>
        </w:rPr>
        <w:t xml:space="preserve">Berriki, Alderdi Popularra buru duen Europako Batzordea aztertzen ari da, urte anitzeko hurrengo finantza esparruaren baitan, aurrekontu-programa guztiak gutun-azal nazional bakarretan sartzeko aukera, eta horrek esan nahiko luke Nekazaritza Politika Erkidea ez litzakeela politika independentea gehiago izanen.</w:t>
      </w:r>
    </w:p>
    <w:p w14:paraId="3A1CEA71" w14:textId="77777777" w:rsidR="00CF7CB2" w:rsidRDefault="00CF7CB2"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Proposamen horrek kezka handia sortu du nekazaritza-sektorean eta agintari nazionalen artean.</w:t>
      </w:r>
      <w:r>
        <w:rPr>
          <w:color w:val="000000"/>
          <w:sz w:val="24"/>
          <w:rFonts w:asciiTheme="minorHAnsi" w:hAnsiTheme="minorHAnsi"/>
        </w:rPr>
        <w:t xml:space="preserve"> </w:t>
      </w:r>
      <w:r>
        <w:rPr>
          <w:color w:val="000000"/>
          <w:sz w:val="24"/>
          <w:rFonts w:asciiTheme="minorHAnsi" w:hAnsiTheme="minorHAnsi"/>
        </w:rPr>
        <w:t xml:space="preserve">Luis Planas Espainiako Nekazaritzako ministroak defendatu du NPEk EBko gainerako funtsetatik bereizitako aurrekontu-programa izaten jarraitu behar duela, berezitasun bakarrarekin eta lehen sektoreari laguntzeko aurrekontu egokiarekin.</w:t>
      </w:r>
    </w:p>
    <w:p w14:paraId="2167CAE7" w14:textId="537B3E96" w:rsidR="00CF7CB2" w:rsidRPr="00CF7CB2" w:rsidRDefault="00CF7CB2"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Gainera, Europa osoko nekazaritza-organizazioek, hala nola ASAJAk, COAGek, UPAk eta nekazaritzako elikagaien kooperatibek, NPE funts bakarrean integratzearen aurka daudela adierazi dute, eta argudiatu dute horrek funtsa lausotuko lukeela, erantzuteko gaitasuna ahulduko lukeela eta EBko nekazaritza-sektorearen jasangarritasuna arriskuan jarriko lukeela.</w:t>
      </w:r>
      <w:r>
        <w:rPr>
          <w:color w:val="000000"/>
          <w:sz w:val="24"/>
          <w:rFonts w:asciiTheme="minorHAnsi" w:hAnsiTheme="minorHAnsi"/>
        </w:rPr>
        <w:t xml:space="preserve"> </w:t>
      </w:r>
      <w:r>
        <w:rPr>
          <w:color w:val="000000"/>
          <w:sz w:val="24"/>
          <w:rFonts w:asciiTheme="minorHAnsi" w:hAnsiTheme="minorHAnsi"/>
        </w:rPr>
        <w:t xml:space="preserve">Horregatik guztiagatik, Nafarroako Parlamentuak Espainiako Gobernua premiatzen du:</w:t>
      </w:r>
    </w:p>
    <w:p w14:paraId="6F3AA91A" w14:textId="357238BC" w:rsidR="00CF7CB2" w:rsidRDefault="00CF7CB2"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Erabaki proposamena:</w:t>
      </w:r>
    </w:p>
    <w:p w14:paraId="638C563A" w14:textId="77777777" w:rsidR="00CF7CB2" w:rsidRDefault="00CF7CB2"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1.</w:t>
      </w:r>
      <w:r>
        <w:rPr>
          <w:color w:val="000000"/>
          <w:sz w:val="24"/>
          <w:rFonts w:asciiTheme="minorHAnsi" w:hAnsiTheme="minorHAnsi"/>
        </w:rPr>
        <w:t xml:space="preserve"> </w:t>
      </w:r>
      <w:r>
        <w:rPr>
          <w:color w:val="000000"/>
          <w:sz w:val="24"/>
          <w:rFonts w:asciiTheme="minorHAnsi" w:hAnsiTheme="minorHAnsi"/>
        </w:rPr>
        <w:t xml:space="preserve">Nafarroako Parlamentuak Espainiako Gobernua premiatzen du Europar Batasunari eska diezaion Nekazaritza Politika Erkidegoa, bi zutabetan oinarritua, orain arte bezala: lehen zutabea, zuzeneko laguntzak eta merkatu-neurriak, eta bigarrena, landa-garapenera bideratua.</w:t>
      </w:r>
    </w:p>
    <w:p w14:paraId="54200D4A" w14:textId="77777777" w:rsidR="00CF7CB2" w:rsidRDefault="00CF7CB2"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2.</w:t>
      </w:r>
      <w:r>
        <w:rPr>
          <w:color w:val="000000"/>
          <w:sz w:val="24"/>
          <w:rFonts w:asciiTheme="minorHAnsi" w:hAnsiTheme="minorHAnsi"/>
        </w:rPr>
        <w:t xml:space="preserve"> </w:t>
      </w:r>
      <w:r>
        <w:rPr>
          <w:color w:val="000000"/>
          <w:sz w:val="24"/>
          <w:rFonts w:asciiTheme="minorHAnsi" w:hAnsiTheme="minorHAnsi"/>
        </w:rPr>
        <w:t xml:space="preserve">Nafarroako Parlamentuak Espainiako Gobernua premiatzen du Europar Batasunari finantza-zuzkidura nahikoa eska diezaion, Nekazaritza Politika Erkiderako nortasun juridiko eta instituzional propioarekin, EBren gainerako politiketatik bereizita.</w:t>
      </w:r>
    </w:p>
    <w:p w14:paraId="676A6CCD" w14:textId="77777777" w:rsidR="00CF7CB2" w:rsidRDefault="00CF7CB2"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3.</w:t>
      </w:r>
      <w:r>
        <w:rPr>
          <w:color w:val="000000"/>
          <w:sz w:val="24"/>
          <w:rFonts w:asciiTheme="minorHAnsi" w:hAnsiTheme="minorHAnsi"/>
        </w:rPr>
        <w:t xml:space="preserve"> </w:t>
      </w:r>
      <w:r>
        <w:rPr>
          <w:color w:val="000000"/>
          <w:sz w:val="24"/>
          <w:rFonts w:asciiTheme="minorHAnsi" w:hAnsiTheme="minorHAnsi"/>
        </w:rPr>
        <w:t xml:space="preserve">Nafarroako Parlamentuak Espainiako Gobernua premiatzen du NBE sinpletzea defenda dezan, bai eta tresna bizkor eta eraginkorrak ere, eraginkorragoa izan dadin eta nekazarien eta abeltzainen arazoetatik hurbilago egon dadin.</w:t>
      </w:r>
    </w:p>
    <w:p w14:paraId="3E9E0979" w14:textId="77777777" w:rsidR="00CF7CB2" w:rsidRDefault="00CF7CB2"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4.</w:t>
      </w:r>
      <w:r>
        <w:rPr>
          <w:color w:val="000000"/>
          <w:sz w:val="24"/>
          <w:rFonts w:asciiTheme="minorHAnsi" w:hAnsiTheme="minorHAnsi"/>
        </w:rPr>
        <w:t xml:space="preserve"> </w:t>
      </w:r>
      <w:r>
        <w:rPr>
          <w:color w:val="000000"/>
          <w:sz w:val="24"/>
          <w:rFonts w:asciiTheme="minorHAnsi" w:hAnsiTheme="minorHAnsi"/>
        </w:rPr>
        <w:t xml:space="preserve">Nafarroako Parlamentuak eskatzen du erabaki hauek Espainiako Gobernuari, UAGN eta ENHE nekazaritza-organizazioei eta Nafarroako Nekazaritzako Elikagaien Kooperatiben Batasunari helaraz dakizkien.</w:t>
      </w:r>
    </w:p>
    <w:p w14:paraId="1C20C704" w14:textId="77777777" w:rsidR="00CF7CB2" w:rsidRDefault="00CF7CB2"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Iruñean, 2025eko ekainaren 12an</w:t>
      </w:r>
    </w:p>
    <w:p w14:paraId="19ACA98C" w14:textId="2F54ACEA" w:rsidR="00900599" w:rsidRPr="00CF7CB2" w:rsidRDefault="00CF7CB2" w:rsidP="00CF7CB2">
      <w:pPr>
        <w:widowControl/>
        <w:autoSpaceDE/>
        <w:autoSpaceDN/>
        <w:spacing w:after="120" w:line="276" w:lineRule="auto"/>
        <w:ind w:firstLine="539"/>
        <w:jc w:val="both"/>
        <w:rPr>
          <w:color w:val="000000"/>
          <w:sz w:val="24"/>
          <w:szCs w:val="24"/>
          <w:rFonts w:asciiTheme="minorHAnsi" w:hAnsiTheme="minorHAnsi" w:cstheme="minorHAnsi"/>
        </w:rPr>
      </w:pPr>
      <w:r>
        <w:rPr>
          <w:color w:val="000000"/>
          <w:sz w:val="24"/>
          <w:rFonts w:asciiTheme="minorHAnsi" w:hAnsiTheme="minorHAnsi"/>
        </w:rPr>
        <w:t xml:space="preserve">Foru parlamentaria:</w:t>
      </w:r>
      <w:r>
        <w:rPr>
          <w:color w:val="000000"/>
          <w:sz w:val="24"/>
          <w:rFonts w:asciiTheme="minorHAnsi" w:hAnsiTheme="minorHAnsi"/>
        </w:rPr>
        <w:t xml:space="preserve"> </w:t>
      </w:r>
      <w:r>
        <w:rPr>
          <w:color w:val="000000"/>
          <w:sz w:val="24"/>
          <w:rFonts w:asciiTheme="minorHAnsi" w:hAnsiTheme="minorHAnsi"/>
        </w:rPr>
        <w:t xml:space="preserve">Ramón Alzórriz Goñi</w:t>
      </w:r>
    </w:p>
    <w:sectPr w:rsidR="00900599" w:rsidRPr="00CF7CB2" w:rsidSect="00CF7CB2">
      <w:pgSz w:w="11900" w:h="16840"/>
      <w:pgMar w:top="1560" w:right="1128"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6DA3" w14:textId="77777777" w:rsidR="00014343" w:rsidRDefault="00014343" w:rsidP="00014343">
      <w:r>
        <w:separator/>
      </w:r>
    </w:p>
  </w:endnote>
  <w:endnote w:type="continuationSeparator" w:id="0">
    <w:p w14:paraId="0A542899" w14:textId="77777777" w:rsidR="00014343" w:rsidRDefault="00014343" w:rsidP="0001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C42" w14:textId="77777777" w:rsidR="00014343" w:rsidRDefault="00014343" w:rsidP="00014343">
      <w:r>
        <w:separator/>
      </w:r>
    </w:p>
  </w:footnote>
  <w:footnote w:type="continuationSeparator" w:id="0">
    <w:p w14:paraId="0F178361" w14:textId="77777777" w:rsidR="00014343" w:rsidRDefault="00014343" w:rsidP="0001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386A"/>
    <w:multiLevelType w:val="hybridMultilevel"/>
    <w:tmpl w:val="C2C0CEEA"/>
    <w:lvl w:ilvl="0" w:tplc="64FEF392">
      <w:start w:val="1"/>
      <w:numFmt w:val="decimal"/>
      <w:lvlText w:val="%1."/>
      <w:lvlJc w:val="left"/>
      <w:pPr>
        <w:ind w:left="899" w:hanging="360"/>
      </w:pPr>
      <w:rPr>
        <w:rFonts w:hint="default"/>
      </w:rPr>
    </w:lvl>
    <w:lvl w:ilvl="1" w:tplc="0C0A0019" w:tentative="1">
      <w:start w:val="1"/>
      <w:numFmt w:val="lowerLetter"/>
      <w:lvlText w:val="%2."/>
      <w:lvlJc w:val="left"/>
      <w:pPr>
        <w:ind w:left="1619" w:hanging="360"/>
      </w:pPr>
    </w:lvl>
    <w:lvl w:ilvl="2" w:tplc="0C0A001B" w:tentative="1">
      <w:start w:val="1"/>
      <w:numFmt w:val="lowerRoman"/>
      <w:lvlText w:val="%3."/>
      <w:lvlJc w:val="right"/>
      <w:pPr>
        <w:ind w:left="2339" w:hanging="180"/>
      </w:pPr>
    </w:lvl>
    <w:lvl w:ilvl="3" w:tplc="0C0A000F" w:tentative="1">
      <w:start w:val="1"/>
      <w:numFmt w:val="decimal"/>
      <w:lvlText w:val="%4."/>
      <w:lvlJc w:val="left"/>
      <w:pPr>
        <w:ind w:left="3059" w:hanging="360"/>
      </w:pPr>
    </w:lvl>
    <w:lvl w:ilvl="4" w:tplc="0C0A0019" w:tentative="1">
      <w:start w:val="1"/>
      <w:numFmt w:val="lowerLetter"/>
      <w:lvlText w:val="%5."/>
      <w:lvlJc w:val="left"/>
      <w:pPr>
        <w:ind w:left="3779" w:hanging="360"/>
      </w:pPr>
    </w:lvl>
    <w:lvl w:ilvl="5" w:tplc="0C0A001B" w:tentative="1">
      <w:start w:val="1"/>
      <w:numFmt w:val="lowerRoman"/>
      <w:lvlText w:val="%6."/>
      <w:lvlJc w:val="right"/>
      <w:pPr>
        <w:ind w:left="4499" w:hanging="180"/>
      </w:pPr>
    </w:lvl>
    <w:lvl w:ilvl="6" w:tplc="0C0A000F" w:tentative="1">
      <w:start w:val="1"/>
      <w:numFmt w:val="decimal"/>
      <w:lvlText w:val="%7."/>
      <w:lvlJc w:val="left"/>
      <w:pPr>
        <w:ind w:left="5219" w:hanging="360"/>
      </w:pPr>
    </w:lvl>
    <w:lvl w:ilvl="7" w:tplc="0C0A0019" w:tentative="1">
      <w:start w:val="1"/>
      <w:numFmt w:val="lowerLetter"/>
      <w:lvlText w:val="%8."/>
      <w:lvlJc w:val="left"/>
      <w:pPr>
        <w:ind w:left="5939" w:hanging="360"/>
      </w:pPr>
    </w:lvl>
    <w:lvl w:ilvl="8" w:tplc="0C0A001B" w:tentative="1">
      <w:start w:val="1"/>
      <w:numFmt w:val="lowerRoman"/>
      <w:lvlText w:val="%9."/>
      <w:lvlJc w:val="right"/>
      <w:pPr>
        <w:ind w:left="6659" w:hanging="180"/>
      </w:pPr>
    </w:lvl>
  </w:abstractNum>
  <w:abstractNum w:abstractNumId="1" w15:restartNumberingAfterBreak="0">
    <w:nsid w:val="40F8194C"/>
    <w:multiLevelType w:val="hybridMultilevel"/>
    <w:tmpl w:val="AF7CAC5A"/>
    <w:lvl w:ilvl="0" w:tplc="C55C0888">
      <w:start w:val="5"/>
      <w:numFmt w:val="bullet"/>
      <w:lvlText w:val="–"/>
      <w:lvlJc w:val="left"/>
      <w:pPr>
        <w:ind w:left="899" w:hanging="360"/>
      </w:pPr>
      <w:rPr>
        <w:rFonts w:ascii="Calibri" w:eastAsia="Times New Roman" w:hAnsi="Calibri" w:cs="Calibri" w:hint="default"/>
      </w:rPr>
    </w:lvl>
    <w:lvl w:ilvl="1" w:tplc="0C0A0003" w:tentative="1">
      <w:start w:val="1"/>
      <w:numFmt w:val="bullet"/>
      <w:lvlText w:val="o"/>
      <w:lvlJc w:val="left"/>
      <w:pPr>
        <w:ind w:left="1619" w:hanging="360"/>
      </w:pPr>
      <w:rPr>
        <w:rFonts w:ascii="Courier New" w:hAnsi="Courier New" w:cs="Courier New" w:hint="default"/>
      </w:rPr>
    </w:lvl>
    <w:lvl w:ilvl="2" w:tplc="0C0A0005" w:tentative="1">
      <w:start w:val="1"/>
      <w:numFmt w:val="bullet"/>
      <w:lvlText w:val=""/>
      <w:lvlJc w:val="left"/>
      <w:pPr>
        <w:ind w:left="2339" w:hanging="360"/>
      </w:pPr>
      <w:rPr>
        <w:rFonts w:ascii="Wingdings" w:hAnsi="Wingdings" w:hint="default"/>
      </w:rPr>
    </w:lvl>
    <w:lvl w:ilvl="3" w:tplc="0C0A0001" w:tentative="1">
      <w:start w:val="1"/>
      <w:numFmt w:val="bullet"/>
      <w:lvlText w:val=""/>
      <w:lvlJc w:val="left"/>
      <w:pPr>
        <w:ind w:left="3059" w:hanging="360"/>
      </w:pPr>
      <w:rPr>
        <w:rFonts w:ascii="Symbol" w:hAnsi="Symbol" w:hint="default"/>
      </w:rPr>
    </w:lvl>
    <w:lvl w:ilvl="4" w:tplc="0C0A0003" w:tentative="1">
      <w:start w:val="1"/>
      <w:numFmt w:val="bullet"/>
      <w:lvlText w:val="o"/>
      <w:lvlJc w:val="left"/>
      <w:pPr>
        <w:ind w:left="3779" w:hanging="360"/>
      </w:pPr>
      <w:rPr>
        <w:rFonts w:ascii="Courier New" w:hAnsi="Courier New" w:cs="Courier New" w:hint="default"/>
      </w:rPr>
    </w:lvl>
    <w:lvl w:ilvl="5" w:tplc="0C0A0005" w:tentative="1">
      <w:start w:val="1"/>
      <w:numFmt w:val="bullet"/>
      <w:lvlText w:val=""/>
      <w:lvlJc w:val="left"/>
      <w:pPr>
        <w:ind w:left="4499" w:hanging="360"/>
      </w:pPr>
      <w:rPr>
        <w:rFonts w:ascii="Wingdings" w:hAnsi="Wingdings" w:hint="default"/>
      </w:rPr>
    </w:lvl>
    <w:lvl w:ilvl="6" w:tplc="0C0A0001" w:tentative="1">
      <w:start w:val="1"/>
      <w:numFmt w:val="bullet"/>
      <w:lvlText w:val=""/>
      <w:lvlJc w:val="left"/>
      <w:pPr>
        <w:ind w:left="5219" w:hanging="360"/>
      </w:pPr>
      <w:rPr>
        <w:rFonts w:ascii="Symbol" w:hAnsi="Symbol" w:hint="default"/>
      </w:rPr>
    </w:lvl>
    <w:lvl w:ilvl="7" w:tplc="0C0A0003" w:tentative="1">
      <w:start w:val="1"/>
      <w:numFmt w:val="bullet"/>
      <w:lvlText w:val="o"/>
      <w:lvlJc w:val="left"/>
      <w:pPr>
        <w:ind w:left="5939" w:hanging="360"/>
      </w:pPr>
      <w:rPr>
        <w:rFonts w:ascii="Courier New" w:hAnsi="Courier New" w:cs="Courier New" w:hint="default"/>
      </w:rPr>
    </w:lvl>
    <w:lvl w:ilvl="8" w:tplc="0C0A0005" w:tentative="1">
      <w:start w:val="1"/>
      <w:numFmt w:val="bullet"/>
      <w:lvlText w:val=""/>
      <w:lvlJc w:val="left"/>
      <w:pPr>
        <w:ind w:left="6659" w:hanging="360"/>
      </w:pPr>
      <w:rPr>
        <w:rFonts w:ascii="Wingdings" w:hAnsi="Wingdings" w:hint="default"/>
      </w:rPr>
    </w:lvl>
  </w:abstractNum>
  <w:abstractNum w:abstractNumId="2" w15:restartNumberingAfterBreak="0">
    <w:nsid w:val="50267CF7"/>
    <w:multiLevelType w:val="hybridMultilevel"/>
    <w:tmpl w:val="E534AAD2"/>
    <w:lvl w:ilvl="0" w:tplc="A98C0F76">
      <w:start w:val="1"/>
      <w:numFmt w:val="decimal"/>
      <w:lvlText w:val="%1."/>
      <w:lvlJc w:val="left"/>
      <w:pPr>
        <w:ind w:left="2715" w:hanging="202"/>
        <w:jc w:val="left"/>
      </w:pPr>
      <w:rPr>
        <w:rFonts w:ascii="Times New Roman" w:eastAsia="Times New Roman" w:hAnsi="Times New Roman" w:cs="Times New Roman" w:hint="default"/>
        <w:w w:val="104"/>
        <w:sz w:val="20"/>
        <w:szCs w:val="20"/>
      </w:rPr>
    </w:lvl>
    <w:lvl w:ilvl="1" w:tplc="7E2A7D04">
      <w:numFmt w:val="bullet"/>
      <w:lvlText w:val="□"/>
      <w:lvlJc w:val="left"/>
      <w:pPr>
        <w:ind w:left="3331" w:hanging="309"/>
      </w:pPr>
      <w:rPr>
        <w:rFonts w:ascii="Times New Roman" w:eastAsia="Times New Roman" w:hAnsi="Times New Roman" w:cs="Times New Roman" w:hint="default"/>
        <w:w w:val="78"/>
        <w:sz w:val="20"/>
        <w:szCs w:val="20"/>
      </w:rPr>
    </w:lvl>
    <w:lvl w:ilvl="2" w:tplc="73388A48">
      <w:numFmt w:val="bullet"/>
      <w:lvlText w:val="•"/>
      <w:lvlJc w:val="left"/>
      <w:pPr>
        <w:ind w:left="4248" w:hanging="309"/>
      </w:pPr>
      <w:rPr>
        <w:rFonts w:hint="default"/>
      </w:rPr>
    </w:lvl>
    <w:lvl w:ilvl="3" w:tplc="579A1F60">
      <w:numFmt w:val="bullet"/>
      <w:lvlText w:val="•"/>
      <w:lvlJc w:val="left"/>
      <w:pPr>
        <w:ind w:left="5157" w:hanging="309"/>
      </w:pPr>
      <w:rPr>
        <w:rFonts w:hint="default"/>
      </w:rPr>
    </w:lvl>
    <w:lvl w:ilvl="4" w:tplc="FEDA9466">
      <w:numFmt w:val="bullet"/>
      <w:lvlText w:val="•"/>
      <w:lvlJc w:val="left"/>
      <w:pPr>
        <w:ind w:left="6066" w:hanging="309"/>
      </w:pPr>
      <w:rPr>
        <w:rFonts w:hint="default"/>
      </w:rPr>
    </w:lvl>
    <w:lvl w:ilvl="5" w:tplc="A81012AE">
      <w:numFmt w:val="bullet"/>
      <w:lvlText w:val="•"/>
      <w:lvlJc w:val="left"/>
      <w:pPr>
        <w:ind w:left="6975" w:hanging="309"/>
      </w:pPr>
      <w:rPr>
        <w:rFonts w:hint="default"/>
      </w:rPr>
    </w:lvl>
    <w:lvl w:ilvl="6" w:tplc="0660E7C6">
      <w:numFmt w:val="bullet"/>
      <w:lvlText w:val="•"/>
      <w:lvlJc w:val="left"/>
      <w:pPr>
        <w:ind w:left="7884" w:hanging="309"/>
      </w:pPr>
      <w:rPr>
        <w:rFonts w:hint="default"/>
      </w:rPr>
    </w:lvl>
    <w:lvl w:ilvl="7" w:tplc="1B40E90E">
      <w:numFmt w:val="bullet"/>
      <w:lvlText w:val="•"/>
      <w:lvlJc w:val="left"/>
      <w:pPr>
        <w:ind w:left="8793" w:hanging="309"/>
      </w:pPr>
      <w:rPr>
        <w:rFonts w:hint="default"/>
      </w:rPr>
    </w:lvl>
    <w:lvl w:ilvl="8" w:tplc="58D8C822">
      <w:numFmt w:val="bullet"/>
      <w:lvlText w:val="•"/>
      <w:lvlJc w:val="left"/>
      <w:pPr>
        <w:ind w:left="9702" w:hanging="309"/>
      </w:pPr>
      <w:rPr>
        <w:rFonts w:hint="default"/>
      </w:rPr>
    </w:lvl>
  </w:abstractNum>
  <w:num w:numId="1" w16cid:durableId="532420296">
    <w:abstractNumId w:val="2"/>
  </w:num>
  <w:num w:numId="2" w16cid:durableId="1072660087">
    <w:abstractNumId w:val="1"/>
  </w:num>
  <w:num w:numId="3" w16cid:durableId="1245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00599"/>
    <w:rsid w:val="00014343"/>
    <w:rsid w:val="000C7C1F"/>
    <w:rsid w:val="00185062"/>
    <w:rsid w:val="00193C87"/>
    <w:rsid w:val="001D4A94"/>
    <w:rsid w:val="00284AA4"/>
    <w:rsid w:val="0030279B"/>
    <w:rsid w:val="00376B3B"/>
    <w:rsid w:val="004321C0"/>
    <w:rsid w:val="005C2027"/>
    <w:rsid w:val="006D3042"/>
    <w:rsid w:val="007742CC"/>
    <w:rsid w:val="007806D5"/>
    <w:rsid w:val="007848A2"/>
    <w:rsid w:val="00793E04"/>
    <w:rsid w:val="007E770E"/>
    <w:rsid w:val="00900599"/>
    <w:rsid w:val="00A11513"/>
    <w:rsid w:val="00A62EBE"/>
    <w:rsid w:val="00BF56C5"/>
    <w:rsid w:val="00BF57A5"/>
    <w:rsid w:val="00CF7CB2"/>
    <w:rsid w:val="00D32B69"/>
    <w:rsid w:val="00F45F09"/>
    <w:rsid w:val="00FB7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BA3D"/>
  <w15:docId w15:val="{F2AF097B-870E-4074-A488-506B0B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
      <w:ind w:left="2715" w:right="2124"/>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Textonotapie">
    <w:name w:val="footnote text"/>
    <w:basedOn w:val="Normal"/>
    <w:link w:val="TextonotapieCar"/>
    <w:uiPriority w:val="99"/>
    <w:semiHidden/>
    <w:unhideWhenUsed/>
    <w:rsid w:val="00014343"/>
    <w:rPr>
      <w:sz w:val="20"/>
      <w:szCs w:val="20"/>
    </w:rPr>
  </w:style>
  <w:style w:type="character" w:customStyle="1" w:styleId="TextonotapieCar">
    <w:name w:val="Texto nota pie Car"/>
    <w:basedOn w:val="Fuentedeprrafopredeter"/>
    <w:link w:val="Textonotapie"/>
    <w:uiPriority w:val="99"/>
    <w:semiHidden/>
    <w:rsid w:val="00014343"/>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014343"/>
    <w:rPr>
      <w:vertAlign w:val="superscript"/>
    </w:rPr>
  </w:style>
  <w:style w:type="character" w:styleId="Hipervnculo">
    <w:name w:val="Hyperlink"/>
    <w:basedOn w:val="Fuentedeprrafopredeter"/>
    <w:uiPriority w:val="99"/>
    <w:unhideWhenUsed/>
    <w:rsid w:val="00014343"/>
    <w:rPr>
      <w:color w:val="0000FF" w:themeColor="hyperlink"/>
      <w:u w:val="single"/>
    </w:rPr>
  </w:style>
  <w:style w:type="character" w:styleId="Mencinsinresolver">
    <w:name w:val="Unresolved Mention"/>
    <w:basedOn w:val="Fuentedeprrafopredeter"/>
    <w:uiPriority w:val="99"/>
    <w:semiHidden/>
    <w:unhideWhenUsed/>
    <w:rsid w:val="0001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FD7A-50E2-48EC-A9A1-B8BDBBCC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433</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6</cp:revision>
  <dcterms:created xsi:type="dcterms:W3CDTF">2025-06-12T12:59:00Z</dcterms:created>
  <dcterms:modified xsi:type="dcterms:W3CDTF">2025-06-12T13:03:00Z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ies>
</file>