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EC81" w14:textId="79EABFDA" w:rsidR="008432FA" w:rsidRDefault="001228B8" w:rsidP="005C5D95">
      <w:pPr>
        <w:tabs>
          <w:tab w:val="left" w:pos="709"/>
          <w:tab w:val="left" w:pos="992"/>
          <w:tab w:val="left" w:pos="1276"/>
          <w:tab w:val="center" w:pos="3827"/>
          <w:tab w:val="left" w:pos="8820"/>
        </w:tabs>
        <w:spacing w:line="360" w:lineRule="auto"/>
        <w:ind w:left="-180"/>
        <w:jc w:val="both"/>
        <w:rPr>
          <w:rFonts w:ascii="Arial" w:hAnsi="Arial" w:cs="Arial"/>
          <w:color w:val="000000"/>
          <w:sz w:val="22"/>
          <w:szCs w:val="22"/>
        </w:rPr>
      </w:pPr>
      <w:r>
        <w:rPr>
          <w:rFonts w:ascii="Arial" w:hAnsi="Arial"/>
          <w:color w:val="000000"/>
          <w:sz w:val="22"/>
        </w:rPr>
        <w:t>2025eko ekainaren 4a</w:t>
      </w:r>
    </w:p>
    <w:p w14:paraId="6DBB0AB2" w14:textId="77777777" w:rsidR="00520FD6" w:rsidRPr="0003170E" w:rsidRDefault="005C5D95" w:rsidP="0003170E">
      <w:pPr>
        <w:autoSpaceDE w:val="0"/>
        <w:autoSpaceDN w:val="0"/>
        <w:adjustRightInd w:val="0"/>
        <w:spacing w:line="360" w:lineRule="auto"/>
        <w:jc w:val="both"/>
        <w:rPr>
          <w:rFonts w:ascii="DejaVu Serif" w:hAnsi="DejaVu Serif" w:cs="Arial"/>
          <w:sz w:val="22"/>
          <w:szCs w:val="22"/>
        </w:rPr>
      </w:pPr>
      <w:r>
        <w:rPr>
          <w:rFonts w:ascii="DejaVu Serif" w:hAnsi="DejaVu Serif"/>
          <w:sz w:val="22"/>
        </w:rPr>
        <w:t xml:space="preserve">UPN talde parlamentarioari atxikitako foru parlamentari Javier </w:t>
      </w:r>
      <w:proofErr w:type="spellStart"/>
      <w:r>
        <w:rPr>
          <w:rFonts w:ascii="DejaVu Serif" w:hAnsi="DejaVu Serif"/>
          <w:sz w:val="22"/>
        </w:rPr>
        <w:t>Trigo</w:t>
      </w:r>
      <w:proofErr w:type="spellEnd"/>
      <w:r>
        <w:rPr>
          <w:rFonts w:ascii="DejaVu Serif" w:hAnsi="DejaVu Serif"/>
          <w:sz w:val="22"/>
        </w:rPr>
        <w:t xml:space="preserve"> </w:t>
      </w:r>
      <w:proofErr w:type="spellStart"/>
      <w:r>
        <w:rPr>
          <w:rFonts w:ascii="DejaVu Serif" w:hAnsi="DejaVu Serif"/>
          <w:sz w:val="22"/>
        </w:rPr>
        <w:t>Oubiña</w:t>
      </w:r>
      <w:proofErr w:type="spellEnd"/>
      <w:r>
        <w:rPr>
          <w:rFonts w:ascii="DejaVu Serif" w:hAnsi="DejaVu Serif"/>
          <w:sz w:val="22"/>
        </w:rPr>
        <w:t xml:space="preserve"> jaunak Donejakue Bideari buruzko Plan Integral berriaren gainean egindako 11-25/PES-00176 informazio-eskaerarekin lotuta, honako hau jakinarazten dut Nafarroako Gobernuko Kultura, Kirol eta Turismoko kontseilaria naizen aldetik:</w:t>
      </w:r>
    </w:p>
    <w:p w14:paraId="3B9635D7" w14:textId="77777777" w:rsidR="006B22A0" w:rsidRDefault="006B22A0" w:rsidP="006B22A0">
      <w:pPr>
        <w:autoSpaceDE w:val="0"/>
        <w:autoSpaceDN w:val="0"/>
        <w:adjustRightInd w:val="0"/>
        <w:spacing w:line="360" w:lineRule="auto"/>
        <w:jc w:val="both"/>
        <w:rPr>
          <w:rFonts w:ascii="DejaVu Serif" w:hAnsi="DejaVu Serif" w:cs="Arial"/>
          <w:sz w:val="22"/>
          <w:szCs w:val="22"/>
        </w:rPr>
      </w:pPr>
    </w:p>
    <w:p w14:paraId="0C9C5798" w14:textId="77777777" w:rsidR="00C5477D" w:rsidRDefault="00B55F37" w:rsidP="006B22A0">
      <w:pPr>
        <w:autoSpaceDE w:val="0"/>
        <w:autoSpaceDN w:val="0"/>
        <w:adjustRightInd w:val="0"/>
        <w:spacing w:line="360" w:lineRule="auto"/>
        <w:jc w:val="both"/>
        <w:rPr>
          <w:rFonts w:ascii="DejaVu Serif" w:hAnsi="DejaVu Serif" w:cs="Arial"/>
          <w:sz w:val="22"/>
          <w:szCs w:val="22"/>
        </w:rPr>
      </w:pPr>
      <w:r>
        <w:rPr>
          <w:rFonts w:ascii="DejaVu Serif" w:hAnsi="DejaVu Serif"/>
          <w:sz w:val="22"/>
        </w:rPr>
        <w:t xml:space="preserve">Kultura, Kirol eta Turismo Departamentua Donejakue Bideari buruzko Plan Integrala egiteko lanetan murgilduta dago, 2027an plangintza osorik garatzea helburu. </w:t>
      </w:r>
    </w:p>
    <w:p w14:paraId="64D91791" w14:textId="77777777" w:rsidR="006660A2" w:rsidRDefault="006660A2" w:rsidP="006B22A0">
      <w:pPr>
        <w:autoSpaceDE w:val="0"/>
        <w:autoSpaceDN w:val="0"/>
        <w:adjustRightInd w:val="0"/>
        <w:spacing w:line="360" w:lineRule="auto"/>
        <w:jc w:val="both"/>
        <w:rPr>
          <w:rFonts w:ascii="DejaVu Serif" w:hAnsi="DejaVu Serif" w:cs="Arial"/>
          <w:sz w:val="22"/>
          <w:szCs w:val="22"/>
        </w:rPr>
      </w:pPr>
    </w:p>
    <w:p w14:paraId="7769FC1A" w14:textId="77777777" w:rsidR="00B55F37" w:rsidRDefault="00B55F37" w:rsidP="006B22A0">
      <w:pPr>
        <w:autoSpaceDE w:val="0"/>
        <w:autoSpaceDN w:val="0"/>
        <w:adjustRightInd w:val="0"/>
        <w:spacing w:line="360" w:lineRule="auto"/>
        <w:jc w:val="both"/>
        <w:rPr>
          <w:rFonts w:ascii="DejaVu Serif" w:hAnsi="DejaVu Serif" w:cs="Arial"/>
          <w:sz w:val="22"/>
          <w:szCs w:val="22"/>
        </w:rPr>
      </w:pPr>
      <w:r>
        <w:rPr>
          <w:rFonts w:ascii="DejaVu Serif" w:hAnsi="DejaVu Serif"/>
          <w:sz w:val="22"/>
        </w:rPr>
        <w:t xml:space="preserve">Egiten ari diren hasierako lanak bidea bera eta ondare historikoa hobetzearekin lotuta daude, irisgarritasuna, energia-efizientzia eta ondare turistikoa eta monumentala argiztatzea xede. Tokiko erakundeek ere lanotan parte hartzea bultzatzen ari gara. Ekintzek bidearen digitalizazioa ere badute helburu, eta, horretarako, besteak beste, honako hauek hornitzea aurreikusten da: komunikazioa eta segurtasuna hobetzeko </w:t>
      </w:r>
      <w:proofErr w:type="spellStart"/>
      <w:r>
        <w:rPr>
          <w:rFonts w:ascii="DejaVu Serif" w:hAnsi="DejaVu Serif"/>
          <w:sz w:val="22"/>
        </w:rPr>
        <w:t>wifi</w:t>
      </w:r>
      <w:proofErr w:type="spellEnd"/>
      <w:r>
        <w:rPr>
          <w:rFonts w:ascii="DejaVu Serif" w:hAnsi="DejaVu Serif"/>
          <w:sz w:val="22"/>
        </w:rPr>
        <w:t xml:space="preserve"> puntuak, fluxu sentsoreak, eta erabiltzaileen jokabidearen eta ohituren informazioa emanen duten datuak eta </w:t>
      </w:r>
      <w:proofErr w:type="spellStart"/>
      <w:r>
        <w:rPr>
          <w:rFonts w:ascii="DejaVu Serif" w:hAnsi="DejaVu Serif"/>
          <w:i/>
          <w:iCs/>
          <w:sz w:val="22"/>
        </w:rPr>
        <w:t>big</w:t>
      </w:r>
      <w:proofErr w:type="spellEnd"/>
      <w:r>
        <w:rPr>
          <w:rFonts w:ascii="DejaVu Serif" w:hAnsi="DejaVu Serif"/>
          <w:i/>
          <w:iCs/>
          <w:sz w:val="22"/>
        </w:rPr>
        <w:t xml:space="preserve"> data</w:t>
      </w:r>
      <w:r>
        <w:rPr>
          <w:rFonts w:ascii="DejaVu Serif" w:hAnsi="DejaVu Serif"/>
          <w:sz w:val="22"/>
        </w:rPr>
        <w:t xml:space="preserve"> kudeatzeko sistema aurreratu bat. Donejakue bideko azpiegituretan dauden gabeziak eta puntu beltzak detektatzea eta hobetzea ere aurreikusita dago. </w:t>
      </w:r>
    </w:p>
    <w:p w14:paraId="37F956E6" w14:textId="77777777" w:rsidR="006660A2" w:rsidRDefault="006660A2" w:rsidP="006B22A0">
      <w:pPr>
        <w:autoSpaceDE w:val="0"/>
        <w:autoSpaceDN w:val="0"/>
        <w:adjustRightInd w:val="0"/>
        <w:spacing w:line="360" w:lineRule="auto"/>
        <w:jc w:val="both"/>
        <w:rPr>
          <w:rFonts w:ascii="DejaVu Serif" w:hAnsi="DejaVu Serif" w:cs="Arial"/>
          <w:sz w:val="22"/>
          <w:szCs w:val="22"/>
        </w:rPr>
      </w:pPr>
    </w:p>
    <w:p w14:paraId="73878D4B" w14:textId="77777777" w:rsidR="002A0DE0" w:rsidRDefault="006660A2" w:rsidP="002A0DE0">
      <w:pPr>
        <w:autoSpaceDE w:val="0"/>
        <w:autoSpaceDN w:val="0"/>
        <w:adjustRightInd w:val="0"/>
        <w:spacing w:line="360" w:lineRule="auto"/>
        <w:jc w:val="both"/>
        <w:rPr>
          <w:rFonts w:ascii="DejaVu Serif" w:hAnsi="DejaVu Serif" w:cs="Arial"/>
          <w:sz w:val="22"/>
          <w:szCs w:val="22"/>
        </w:rPr>
      </w:pPr>
      <w:r>
        <w:rPr>
          <w:rFonts w:ascii="DejaVu Serif" w:hAnsi="DejaVu Serif"/>
          <w:sz w:val="22"/>
        </w:rPr>
        <w:t xml:space="preserve">2027ko Done Jakueren Urte Santua prestatzeko Kultura Zuzendaritza Nagusiaren plangintzak, kultur ondarearen errestaurazioarekin eta kontserbazioarekin lotutako ekintzak ere jasotzen ditu, Nafarroako Bideko hiru monumentu gakotan esku hartuz: Lizarrako Hilobi Santuaren eliza, Vianako Andre Maria eliza, eta Zangozako Done Salbatore eliza. </w:t>
      </w:r>
    </w:p>
    <w:p w14:paraId="32446AFC" w14:textId="77777777" w:rsidR="002B09EA" w:rsidRDefault="002B09EA" w:rsidP="002A0DE0">
      <w:pPr>
        <w:autoSpaceDE w:val="0"/>
        <w:autoSpaceDN w:val="0"/>
        <w:adjustRightInd w:val="0"/>
        <w:spacing w:line="360" w:lineRule="auto"/>
        <w:jc w:val="both"/>
        <w:rPr>
          <w:rFonts w:ascii="DejaVu Serif" w:hAnsi="DejaVu Serif" w:cs="Arial"/>
          <w:sz w:val="22"/>
          <w:szCs w:val="22"/>
        </w:rPr>
      </w:pPr>
    </w:p>
    <w:p w14:paraId="05C91F64" w14:textId="77777777" w:rsidR="002A0DE0" w:rsidRDefault="00765156" w:rsidP="002A0DE0">
      <w:pPr>
        <w:autoSpaceDE w:val="0"/>
        <w:autoSpaceDN w:val="0"/>
        <w:adjustRightInd w:val="0"/>
        <w:spacing w:line="360" w:lineRule="auto"/>
        <w:jc w:val="both"/>
        <w:rPr>
          <w:rFonts w:ascii="DejaVu Serif" w:hAnsi="DejaVu Serif" w:cs="Arial"/>
          <w:sz w:val="22"/>
          <w:szCs w:val="22"/>
        </w:rPr>
      </w:pPr>
      <w:r>
        <w:rPr>
          <w:rFonts w:ascii="DejaVu Serif" w:hAnsi="DejaVu Serif"/>
          <w:sz w:val="22"/>
        </w:rPr>
        <w:t xml:space="preserve">Ondare immaterialaren arloan, Nafarroako Gobernuak Erromesen Harrera ondare immaterialaren agerpen adierazgarri gisa aitortzeko espediente berri bat martxan jartzea bultzatu du. </w:t>
      </w:r>
    </w:p>
    <w:p w14:paraId="0FC5EAA4" w14:textId="77777777" w:rsidR="00765156" w:rsidRDefault="00765156" w:rsidP="00765156">
      <w:pPr>
        <w:autoSpaceDE w:val="0"/>
        <w:autoSpaceDN w:val="0"/>
        <w:adjustRightInd w:val="0"/>
        <w:spacing w:line="360" w:lineRule="auto"/>
        <w:jc w:val="both"/>
        <w:rPr>
          <w:rFonts w:ascii="DejaVu Serif" w:hAnsi="DejaVu Serif" w:cs="Arial"/>
          <w:sz w:val="22"/>
          <w:szCs w:val="22"/>
        </w:rPr>
      </w:pPr>
    </w:p>
    <w:p w14:paraId="36C7489B" w14:textId="77777777" w:rsidR="00765156" w:rsidRDefault="00765156" w:rsidP="00765156">
      <w:pPr>
        <w:autoSpaceDE w:val="0"/>
        <w:autoSpaceDN w:val="0"/>
        <w:adjustRightInd w:val="0"/>
        <w:spacing w:line="360" w:lineRule="auto"/>
        <w:jc w:val="both"/>
        <w:rPr>
          <w:rFonts w:ascii="DejaVu Serif" w:hAnsi="DejaVu Serif" w:cs="Arial"/>
          <w:sz w:val="22"/>
          <w:szCs w:val="22"/>
        </w:rPr>
      </w:pPr>
      <w:r>
        <w:rPr>
          <w:rFonts w:ascii="DejaVu Serif" w:hAnsi="DejaVu Serif"/>
          <w:sz w:val="22"/>
        </w:rPr>
        <w:t xml:space="preserve">Aurreikusitako beste ekintzetako bat, kultur mezenasgoaren sustapena da, horretarako zerga pizgarriak berreskuratuz eta zabalduz, 2027ko Done Jakueren Urtearekin lotuta mezenasgoko marko berezi bat sortuz. </w:t>
      </w:r>
    </w:p>
    <w:p w14:paraId="16393089" w14:textId="77777777" w:rsidR="00765156" w:rsidRDefault="00765156" w:rsidP="002A0DE0">
      <w:pPr>
        <w:autoSpaceDE w:val="0"/>
        <w:autoSpaceDN w:val="0"/>
        <w:adjustRightInd w:val="0"/>
        <w:spacing w:line="360" w:lineRule="auto"/>
        <w:jc w:val="both"/>
        <w:rPr>
          <w:rFonts w:ascii="DejaVu Serif" w:hAnsi="DejaVu Serif" w:cs="Arial"/>
          <w:sz w:val="22"/>
          <w:szCs w:val="22"/>
        </w:rPr>
      </w:pPr>
    </w:p>
    <w:p w14:paraId="2B07C386" w14:textId="77777777" w:rsidR="002A0DE0" w:rsidRDefault="00F31FD7" w:rsidP="002A0DE0">
      <w:pPr>
        <w:autoSpaceDE w:val="0"/>
        <w:autoSpaceDN w:val="0"/>
        <w:adjustRightInd w:val="0"/>
        <w:spacing w:line="360" w:lineRule="auto"/>
        <w:jc w:val="both"/>
        <w:rPr>
          <w:rFonts w:ascii="DejaVu Serif" w:hAnsi="DejaVu Serif" w:cs="Arial"/>
          <w:sz w:val="22"/>
          <w:szCs w:val="22"/>
        </w:rPr>
      </w:pPr>
      <w:r>
        <w:rPr>
          <w:rFonts w:ascii="DejaVu Serif" w:hAnsi="DejaVu Serif"/>
          <w:sz w:val="22"/>
        </w:rPr>
        <w:lastRenderedPageBreak/>
        <w:t xml:space="preserve">Bien bitartean, Estatu eta Europa mailan antolatutako ekitaldi eta programa ofizialekin koordinatuta jarduteko lanean ere ari gara, bai eta Nafarroan garatu beharreko ekintzen eta jardueren programa zehatza definitzeko eta lotzeko lanetan ere. </w:t>
      </w:r>
    </w:p>
    <w:p w14:paraId="63E4B7A8" w14:textId="77777777" w:rsidR="002A0DE0" w:rsidRDefault="002A0DE0" w:rsidP="002A0DE0">
      <w:pPr>
        <w:autoSpaceDE w:val="0"/>
        <w:autoSpaceDN w:val="0"/>
        <w:adjustRightInd w:val="0"/>
        <w:spacing w:line="360" w:lineRule="auto"/>
        <w:jc w:val="both"/>
        <w:rPr>
          <w:rFonts w:ascii="DejaVu Serif" w:hAnsi="DejaVu Serif" w:cs="Arial"/>
          <w:sz w:val="22"/>
          <w:szCs w:val="22"/>
        </w:rPr>
      </w:pPr>
    </w:p>
    <w:p w14:paraId="586688EA" w14:textId="77777777" w:rsidR="00BB13D7" w:rsidRPr="00BB13D7" w:rsidRDefault="00BB13D7" w:rsidP="00BB13D7">
      <w:pPr>
        <w:autoSpaceDE w:val="0"/>
        <w:autoSpaceDN w:val="0"/>
        <w:adjustRightInd w:val="0"/>
        <w:spacing w:line="360" w:lineRule="auto"/>
        <w:rPr>
          <w:rFonts w:ascii="DejaVu Serif" w:hAnsi="DejaVu Serif" w:cs="Arial"/>
          <w:sz w:val="22"/>
          <w:szCs w:val="22"/>
        </w:rPr>
      </w:pPr>
      <w:r>
        <w:rPr>
          <w:rFonts w:ascii="DejaVu Serif" w:hAnsi="DejaVu Serif"/>
          <w:color w:val="000000"/>
          <w:sz w:val="22"/>
        </w:rPr>
        <w:t>Hori guztia jakinarazten dizut, Nafarroako Parlamentuko Erregelamenduaren 215. artikuluan xedatzen dena betez.</w:t>
      </w:r>
    </w:p>
    <w:p w14:paraId="709F4D86" w14:textId="77777777" w:rsidR="00BB13D7" w:rsidRPr="006B22A0" w:rsidRDefault="00BB13D7" w:rsidP="006B22A0">
      <w:pPr>
        <w:pStyle w:val="Default"/>
        <w:spacing w:line="360" w:lineRule="auto"/>
        <w:rPr>
          <w:rFonts w:ascii="DejaVu Serif" w:hAnsi="DejaVu Serif" w:cs="Arial"/>
          <w:b/>
          <w:bCs/>
          <w:color w:val="auto"/>
          <w:sz w:val="22"/>
          <w:szCs w:val="22"/>
        </w:rPr>
      </w:pPr>
    </w:p>
    <w:p w14:paraId="2A6E09B0" w14:textId="77777777" w:rsidR="00520FD6" w:rsidRPr="006B22A0" w:rsidRDefault="00520FD6" w:rsidP="006B22A0">
      <w:pPr>
        <w:tabs>
          <w:tab w:val="left" w:pos="709"/>
          <w:tab w:val="left" w:pos="992"/>
          <w:tab w:val="left" w:pos="1276"/>
          <w:tab w:val="center" w:pos="3827"/>
        </w:tabs>
        <w:spacing w:line="360" w:lineRule="auto"/>
        <w:ind w:left="-180" w:right="1314"/>
        <w:jc w:val="center"/>
        <w:rPr>
          <w:rFonts w:ascii="DejaVu Serif" w:hAnsi="DejaVu Serif" w:cs="Arial"/>
          <w:sz w:val="22"/>
          <w:szCs w:val="22"/>
        </w:rPr>
      </w:pPr>
    </w:p>
    <w:p w14:paraId="5A767017" w14:textId="77777777" w:rsidR="00520FD6" w:rsidRPr="006B22A0" w:rsidRDefault="00520FD6" w:rsidP="006B22A0">
      <w:pPr>
        <w:spacing w:line="360" w:lineRule="auto"/>
        <w:jc w:val="center"/>
        <w:rPr>
          <w:rFonts w:ascii="DejaVu Serif" w:hAnsi="DejaVu Serif" w:cs="Arial"/>
          <w:sz w:val="22"/>
          <w:szCs w:val="22"/>
        </w:rPr>
      </w:pPr>
    </w:p>
    <w:p w14:paraId="0CB70351" w14:textId="4A53194F" w:rsidR="005C5D95" w:rsidRDefault="00044E27" w:rsidP="006B22A0">
      <w:pPr>
        <w:spacing w:line="360" w:lineRule="auto"/>
        <w:jc w:val="center"/>
        <w:rPr>
          <w:rFonts w:ascii="DejaVu Serif" w:hAnsi="DejaVu Serif" w:cs="Arial"/>
          <w:sz w:val="22"/>
          <w:szCs w:val="22"/>
        </w:rPr>
      </w:pPr>
      <w:r>
        <w:rPr>
          <w:rFonts w:ascii="DejaVu Serif" w:hAnsi="DejaVu Serif"/>
          <w:sz w:val="22"/>
        </w:rPr>
        <w:t>Iruñean, 2025eko ekainaren 3an</w:t>
      </w:r>
    </w:p>
    <w:p w14:paraId="6406EF8C" w14:textId="77777777" w:rsidR="002B09EA" w:rsidRPr="006B22A0" w:rsidRDefault="002B09EA" w:rsidP="006B22A0">
      <w:pPr>
        <w:spacing w:line="360" w:lineRule="auto"/>
        <w:jc w:val="center"/>
        <w:rPr>
          <w:rFonts w:ascii="DejaVu Serif" w:hAnsi="DejaVu Serif" w:cs="Arial"/>
          <w:sz w:val="22"/>
          <w:szCs w:val="22"/>
        </w:rPr>
      </w:pPr>
    </w:p>
    <w:p w14:paraId="7920C5BE" w14:textId="77777777" w:rsidR="00FA171C" w:rsidRPr="006B22A0" w:rsidRDefault="005C5D95" w:rsidP="006B22A0">
      <w:pPr>
        <w:spacing w:line="360" w:lineRule="auto"/>
        <w:jc w:val="center"/>
        <w:rPr>
          <w:rFonts w:ascii="DejaVu Serif" w:hAnsi="DejaVu Serif" w:cs="Arial"/>
          <w:sz w:val="22"/>
          <w:szCs w:val="22"/>
        </w:rPr>
      </w:pPr>
      <w:r>
        <w:rPr>
          <w:rFonts w:ascii="DejaVu Serif" w:hAnsi="DejaVu Serif"/>
          <w:sz w:val="22"/>
        </w:rPr>
        <w:t>Kultura, Kirol eta Turismoko kontseilaria</w:t>
      </w:r>
    </w:p>
    <w:p w14:paraId="794EFBD6" w14:textId="77777777" w:rsidR="00D74EC4" w:rsidRPr="006B22A0" w:rsidRDefault="005C5D95" w:rsidP="006B22A0">
      <w:pPr>
        <w:spacing w:line="360" w:lineRule="auto"/>
        <w:jc w:val="center"/>
        <w:rPr>
          <w:rFonts w:ascii="DejaVu Serif" w:hAnsi="DejaVu Serif"/>
          <w:sz w:val="22"/>
          <w:szCs w:val="22"/>
        </w:rPr>
      </w:pPr>
      <w:proofErr w:type="spellStart"/>
      <w:r>
        <w:rPr>
          <w:rFonts w:ascii="DejaVu Serif" w:hAnsi="DejaVu Serif"/>
          <w:sz w:val="22"/>
        </w:rPr>
        <w:t>Rebeca</w:t>
      </w:r>
      <w:proofErr w:type="spellEnd"/>
      <w:r>
        <w:rPr>
          <w:rFonts w:ascii="DejaVu Serif" w:hAnsi="DejaVu Serif"/>
          <w:sz w:val="22"/>
        </w:rPr>
        <w:t xml:space="preserve"> Esnaola Bermejo</w:t>
      </w:r>
    </w:p>
    <w:sectPr w:rsidR="00D74EC4" w:rsidRPr="006B22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43246FA7"/>
    <w:multiLevelType w:val="hybridMultilevel"/>
    <w:tmpl w:val="D4623F4E"/>
    <w:lvl w:ilvl="0" w:tplc="96D615CE">
      <w:numFmt w:val="bullet"/>
      <w:lvlText w:val=""/>
      <w:lvlJc w:val="left"/>
      <w:pPr>
        <w:ind w:left="720" w:hanging="360"/>
      </w:pPr>
      <w:rPr>
        <w:rFonts w:ascii="DejaVu Serif" w:eastAsia="Times New Roman" w:hAnsi="DejaVu Serif"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17B5D51"/>
    <w:multiLevelType w:val="hybridMultilevel"/>
    <w:tmpl w:val="712C0A5E"/>
    <w:lvl w:ilvl="0" w:tplc="D358670A">
      <w:numFmt w:val="bullet"/>
      <w:lvlText w:val="-"/>
      <w:lvlJc w:val="left"/>
      <w:pPr>
        <w:ind w:left="435" w:hanging="360"/>
      </w:pPr>
      <w:rPr>
        <w:rFonts w:ascii="DejaVu Serif" w:eastAsia="Times New Roman" w:hAnsi="DejaVu Serif"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8"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30248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169884">
    <w:abstractNumId w:val="4"/>
  </w:num>
  <w:num w:numId="3" w16cid:durableId="2110655369">
    <w:abstractNumId w:val="0"/>
  </w:num>
  <w:num w:numId="4" w16cid:durableId="720984847">
    <w:abstractNumId w:val="2"/>
  </w:num>
  <w:num w:numId="5" w16cid:durableId="194008322">
    <w:abstractNumId w:val="8"/>
  </w:num>
  <w:num w:numId="6" w16cid:durableId="456147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143686">
    <w:abstractNumId w:val="9"/>
  </w:num>
  <w:num w:numId="8" w16cid:durableId="1670867907">
    <w:abstractNumId w:val="6"/>
  </w:num>
  <w:num w:numId="9" w16cid:durableId="441532621">
    <w:abstractNumId w:val="1"/>
  </w:num>
  <w:num w:numId="10" w16cid:durableId="1220557470">
    <w:abstractNumId w:val="7"/>
  </w:num>
  <w:num w:numId="11" w16cid:durableId="1747991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8521E"/>
    <w:rsid w:val="000B2CC9"/>
    <w:rsid w:val="000E24D0"/>
    <w:rsid w:val="001228B8"/>
    <w:rsid w:val="00145C38"/>
    <w:rsid w:val="00165C78"/>
    <w:rsid w:val="00216707"/>
    <w:rsid w:val="00257D7A"/>
    <w:rsid w:val="002601DD"/>
    <w:rsid w:val="002A0DE0"/>
    <w:rsid w:val="002B09EA"/>
    <w:rsid w:val="002B3F6C"/>
    <w:rsid w:val="002E62D5"/>
    <w:rsid w:val="003843A2"/>
    <w:rsid w:val="003E48EE"/>
    <w:rsid w:val="00436602"/>
    <w:rsid w:val="00444730"/>
    <w:rsid w:val="00461F32"/>
    <w:rsid w:val="00484F26"/>
    <w:rsid w:val="004F146C"/>
    <w:rsid w:val="00512C90"/>
    <w:rsid w:val="00520FD6"/>
    <w:rsid w:val="005234C5"/>
    <w:rsid w:val="005322EF"/>
    <w:rsid w:val="00583BDA"/>
    <w:rsid w:val="00587A69"/>
    <w:rsid w:val="005C33C7"/>
    <w:rsid w:val="005C5D95"/>
    <w:rsid w:val="005F221C"/>
    <w:rsid w:val="00662FAB"/>
    <w:rsid w:val="006660A2"/>
    <w:rsid w:val="006B22A0"/>
    <w:rsid w:val="00720B2A"/>
    <w:rsid w:val="00733746"/>
    <w:rsid w:val="0073496C"/>
    <w:rsid w:val="00736ABC"/>
    <w:rsid w:val="0075427A"/>
    <w:rsid w:val="00765156"/>
    <w:rsid w:val="00786629"/>
    <w:rsid w:val="007E509F"/>
    <w:rsid w:val="007F3173"/>
    <w:rsid w:val="0081139A"/>
    <w:rsid w:val="00842895"/>
    <w:rsid w:val="008432FA"/>
    <w:rsid w:val="008E03B3"/>
    <w:rsid w:val="00996D1B"/>
    <w:rsid w:val="009F21A0"/>
    <w:rsid w:val="00A02DDE"/>
    <w:rsid w:val="00A1031D"/>
    <w:rsid w:val="00A37707"/>
    <w:rsid w:val="00A454EF"/>
    <w:rsid w:val="00A519E6"/>
    <w:rsid w:val="00A579F8"/>
    <w:rsid w:val="00B02411"/>
    <w:rsid w:val="00B21AE8"/>
    <w:rsid w:val="00B55F37"/>
    <w:rsid w:val="00B700A2"/>
    <w:rsid w:val="00B77EAC"/>
    <w:rsid w:val="00BA1AD4"/>
    <w:rsid w:val="00BA5D83"/>
    <w:rsid w:val="00BB13D7"/>
    <w:rsid w:val="00BB4A96"/>
    <w:rsid w:val="00C04996"/>
    <w:rsid w:val="00C117C2"/>
    <w:rsid w:val="00C5477D"/>
    <w:rsid w:val="00C87D03"/>
    <w:rsid w:val="00CC68D2"/>
    <w:rsid w:val="00D1626C"/>
    <w:rsid w:val="00D20825"/>
    <w:rsid w:val="00D74EC4"/>
    <w:rsid w:val="00DE3F08"/>
    <w:rsid w:val="00E57209"/>
    <w:rsid w:val="00E76858"/>
    <w:rsid w:val="00E94BB4"/>
    <w:rsid w:val="00EA3076"/>
    <w:rsid w:val="00EC3B62"/>
    <w:rsid w:val="00F16AC7"/>
    <w:rsid w:val="00F31D35"/>
    <w:rsid w:val="00F31FD7"/>
    <w:rsid w:val="00FA171C"/>
    <w:rsid w:val="00FA6A1E"/>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F850"/>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1975938125">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0FDFE-02D2-4C08-8538-3D0F1D64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6</cp:revision>
  <cp:lastPrinted>2023-11-27T10:19:00Z</cp:lastPrinted>
  <dcterms:created xsi:type="dcterms:W3CDTF">2025-06-03T07:01:00Z</dcterms:created>
  <dcterms:modified xsi:type="dcterms:W3CDTF">2025-08-26T07:36:00Z</dcterms:modified>
</cp:coreProperties>
</file>