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E5AD" w14:textId="03D1303E" w:rsidR="00212DB3" w:rsidRDefault="00212DB3" w:rsidP="00822CE4">
      <w:pPr>
        <w:jc w:val="both"/>
      </w:pPr>
      <w:r>
        <w:t>2 de julio de 2025</w:t>
      </w:r>
    </w:p>
    <w:p w14:paraId="53AAEED5" w14:textId="69E02C6B" w:rsidR="00822CE4" w:rsidRPr="00822CE4" w:rsidRDefault="00822CE4" w:rsidP="00822CE4">
      <w:pPr>
        <w:jc w:val="both"/>
      </w:pPr>
      <w:r w:rsidRPr="00822CE4">
        <w:t xml:space="preserve">El </w:t>
      </w:r>
      <w:proofErr w:type="gramStart"/>
      <w:r w:rsidRPr="00822CE4">
        <w:t>Consejero</w:t>
      </w:r>
      <w:proofErr w:type="gramEnd"/>
      <w:r w:rsidRPr="00822CE4">
        <w:t xml:space="preserve"> de Cohesión Territorial del Gobierno de Navarra, en relación</w:t>
      </w:r>
      <w:r>
        <w:t xml:space="preserve"> </w:t>
      </w:r>
      <w:r w:rsidRPr="00822CE4">
        <w:t>con la pregunta para su contestación por escrito formulada por el</w:t>
      </w:r>
      <w:r>
        <w:t xml:space="preserve"> </w:t>
      </w:r>
      <w:r w:rsidRPr="00822CE4">
        <w:t>Parlamentaria Foral Ilmo. Sr. D. Adolfo Araiz Flamarique, adscrito al Grupo</w:t>
      </w:r>
      <w:r>
        <w:t xml:space="preserve"> </w:t>
      </w:r>
      <w:r w:rsidRPr="00822CE4">
        <w:t xml:space="preserve">Parlamentario EH </w:t>
      </w:r>
      <w:r w:rsidRPr="00822CE4">
        <w:t>Bildu Nafarroa</w:t>
      </w:r>
      <w:r w:rsidRPr="00822CE4">
        <w:t>, sobre el servicio de autobuses</w:t>
      </w:r>
      <w:r>
        <w:t xml:space="preserve"> </w:t>
      </w:r>
      <w:r w:rsidRPr="00822CE4">
        <w:t>Tierra Estella Bus/Lizarreria Bus que opera en Estella y sus alrededores</w:t>
      </w:r>
      <w:r>
        <w:t xml:space="preserve"> </w:t>
      </w:r>
      <w:r w:rsidRPr="00822CE4">
        <w:t>como transporte interurbano (11-25/PES-00246)”, informa lo siguiente:</w:t>
      </w:r>
    </w:p>
    <w:p w14:paraId="5F993AC4" w14:textId="77777777" w:rsidR="00822CE4" w:rsidRPr="00822CE4" w:rsidRDefault="00822CE4" w:rsidP="00822CE4">
      <w:pPr>
        <w:jc w:val="both"/>
        <w:rPr>
          <w:b/>
          <w:bCs/>
        </w:rPr>
      </w:pPr>
      <w:r w:rsidRPr="00822CE4">
        <w:rPr>
          <w:b/>
          <w:bCs/>
        </w:rPr>
        <w:t>1.- ¿Quién gestiona estas líneas de transporte interurbano?</w:t>
      </w:r>
    </w:p>
    <w:p w14:paraId="147065CB" w14:textId="77777777" w:rsidR="00822CE4" w:rsidRPr="00822CE4" w:rsidRDefault="00822CE4" w:rsidP="00822CE4">
      <w:pPr>
        <w:jc w:val="both"/>
      </w:pPr>
      <w:r w:rsidRPr="00822CE4">
        <w:t>Autobuses La Estellesa, S.L.</w:t>
      </w:r>
    </w:p>
    <w:p w14:paraId="45CD427A" w14:textId="391516BD" w:rsidR="00822CE4" w:rsidRPr="00822CE4" w:rsidRDefault="00822CE4" w:rsidP="00822CE4">
      <w:pPr>
        <w:jc w:val="both"/>
        <w:rPr>
          <w:b/>
          <w:bCs/>
        </w:rPr>
      </w:pPr>
      <w:r w:rsidRPr="00822CE4">
        <w:rPr>
          <w:b/>
          <w:bCs/>
        </w:rPr>
        <w:t>2.- ¿Qué competencias tiene el Departamento a la hora de organizar</w:t>
      </w:r>
      <w:r>
        <w:rPr>
          <w:b/>
          <w:bCs/>
        </w:rPr>
        <w:t xml:space="preserve"> </w:t>
      </w:r>
      <w:r w:rsidRPr="00822CE4">
        <w:rPr>
          <w:b/>
          <w:bCs/>
        </w:rPr>
        <w:t>los recorridos y las paradas?</w:t>
      </w:r>
    </w:p>
    <w:p w14:paraId="6BCA812C" w14:textId="371E9A3D" w:rsidR="00822CE4" w:rsidRPr="00822CE4" w:rsidRDefault="00822CE4" w:rsidP="00822CE4">
      <w:pPr>
        <w:jc w:val="both"/>
      </w:pPr>
      <w:r w:rsidRPr="00822CE4">
        <w:t>En ejercicio de las competencias históricas que ostenta la Comunidad Foral</w:t>
      </w:r>
      <w:r>
        <w:t xml:space="preserve"> </w:t>
      </w:r>
      <w:r w:rsidRPr="00822CE4">
        <w:t>de Navarra, vigentes en el actual marco competencial establecido en la</w:t>
      </w:r>
      <w:r>
        <w:t xml:space="preserve"> </w:t>
      </w:r>
      <w:r w:rsidRPr="00822CE4">
        <w:t>Constitución Española (artículos 148.1.5 y 149.1.21 y Disposición Adicional</w:t>
      </w:r>
      <w:r>
        <w:t xml:space="preserve"> </w:t>
      </w:r>
      <w:r w:rsidRPr="00822CE4">
        <w:t>Primera), en la Ley Orgánica 13/1982, de 10 de agosto, de Reintegración y</w:t>
      </w:r>
      <w:r>
        <w:t xml:space="preserve"> </w:t>
      </w:r>
      <w:r w:rsidRPr="00822CE4">
        <w:t>Amejoramiento del Régimen Foral de Navarra (artículo 49.1.f) y artículo 49.3) y en</w:t>
      </w:r>
      <w:r>
        <w:t xml:space="preserve"> </w:t>
      </w:r>
      <w:r w:rsidRPr="00822CE4">
        <w:t>la Ley Orgánica 5/1987, de 30 de julio, de Delegación de Facultades del Estado en</w:t>
      </w:r>
      <w:r>
        <w:t xml:space="preserve"> </w:t>
      </w:r>
      <w:r w:rsidRPr="00822CE4">
        <w:t>las Comunidades Autónomas en materia de transporte por carretera y por cable</w:t>
      </w:r>
      <w:r>
        <w:t xml:space="preserve"> </w:t>
      </w:r>
      <w:r w:rsidRPr="00822CE4">
        <w:t>(artículo 1.2 y Disposición Adicional), Navarra ostenta las competencias sobre los</w:t>
      </w:r>
      <w:r>
        <w:t xml:space="preserve"> </w:t>
      </w:r>
      <w:r w:rsidRPr="00822CE4">
        <w:t>servicios de transporte que discurren íntegramente por su territorio y sobre</w:t>
      </w:r>
      <w:r>
        <w:t xml:space="preserve"> </w:t>
      </w:r>
      <w:r w:rsidRPr="00822CE4">
        <w:t>aquellos que excediéndolo, tienen dentro del mismo, la mayor parte de su</w:t>
      </w:r>
      <w:r>
        <w:t xml:space="preserve"> </w:t>
      </w:r>
      <w:r w:rsidRPr="00822CE4">
        <w:t>recorrido.</w:t>
      </w:r>
    </w:p>
    <w:p w14:paraId="5EDB4448" w14:textId="77777777" w:rsidR="00822CE4" w:rsidRDefault="00822CE4" w:rsidP="00822CE4">
      <w:pPr>
        <w:jc w:val="both"/>
      </w:pPr>
      <w:r w:rsidRPr="00822CE4">
        <w:t>Dentro de su competencia la Administración de la Comunidad Foral de</w:t>
      </w:r>
      <w:r>
        <w:t xml:space="preserve"> </w:t>
      </w:r>
      <w:r w:rsidRPr="00822CE4">
        <w:t>Navarra realiza la planificación de los servicios previa a la licitación, la gestión de</w:t>
      </w:r>
      <w:r>
        <w:t xml:space="preserve"> </w:t>
      </w:r>
      <w:r w:rsidRPr="00822CE4">
        <w:t>los expedientes de contratación de los servicios de transporte público por carretera</w:t>
      </w:r>
      <w:r>
        <w:t xml:space="preserve"> </w:t>
      </w:r>
      <w:r w:rsidRPr="00822CE4">
        <w:t>y el seguimiento de la gestión de los servicios de transporte público por carretera.</w:t>
      </w:r>
      <w:r>
        <w:t xml:space="preserve"> </w:t>
      </w:r>
    </w:p>
    <w:p w14:paraId="360C8512" w14:textId="48F7A0A9" w:rsidR="00822CE4" w:rsidRPr="00822CE4" w:rsidRDefault="00822CE4" w:rsidP="00822CE4">
      <w:pPr>
        <w:jc w:val="both"/>
      </w:pPr>
      <w:r w:rsidRPr="00822CE4">
        <w:t>La modificación de los recorridos y las paradas una vez iniciado en el</w:t>
      </w:r>
      <w:r>
        <w:t xml:space="preserve"> </w:t>
      </w:r>
      <w:r w:rsidRPr="00822CE4">
        <w:t>contrato se regula el contrato y la normativa del sector que son la Ley 16/1987, de</w:t>
      </w:r>
      <w:r>
        <w:t xml:space="preserve"> </w:t>
      </w:r>
      <w:r w:rsidRPr="00822CE4">
        <w:t>30 de julio, de Ordenación de los Transportes Terrestres (LOTT) y el Real Decreto</w:t>
      </w:r>
      <w:r>
        <w:t xml:space="preserve"> </w:t>
      </w:r>
      <w:r w:rsidRPr="00822CE4">
        <w:t>1211/1990, de 28 de septiembre, por el que se aprueba el Reglamento de la Ley de</w:t>
      </w:r>
      <w:r>
        <w:t xml:space="preserve"> </w:t>
      </w:r>
      <w:r w:rsidRPr="00822CE4">
        <w:t>Ordenación de los Transportes Terrestres (ROTT).</w:t>
      </w:r>
    </w:p>
    <w:p w14:paraId="25A31A07" w14:textId="0D60176A" w:rsidR="00822CE4" w:rsidRPr="00822CE4" w:rsidRDefault="00822CE4" w:rsidP="00822CE4">
      <w:pPr>
        <w:jc w:val="both"/>
        <w:rPr>
          <w:b/>
          <w:bCs/>
        </w:rPr>
      </w:pPr>
      <w:r w:rsidRPr="00822CE4">
        <w:rPr>
          <w:b/>
          <w:bCs/>
        </w:rPr>
        <w:t>¿Existe alguna concesión administrativa para la gestión de estas</w:t>
      </w:r>
      <w:r>
        <w:rPr>
          <w:b/>
          <w:bCs/>
        </w:rPr>
        <w:t xml:space="preserve"> </w:t>
      </w:r>
      <w:r w:rsidRPr="00822CE4">
        <w:rPr>
          <w:b/>
          <w:bCs/>
        </w:rPr>
        <w:t>líneas de transporte?</w:t>
      </w:r>
    </w:p>
    <w:p w14:paraId="0073D754" w14:textId="578D67F7" w:rsidR="00822CE4" w:rsidRPr="00822CE4" w:rsidRDefault="00822CE4" w:rsidP="00822CE4">
      <w:pPr>
        <w:jc w:val="both"/>
      </w:pPr>
      <w:r w:rsidRPr="00822CE4">
        <w:t>Si, la concesión de los servicios de transporte publico de viajeros</w:t>
      </w:r>
      <w:r>
        <w:t xml:space="preserve"> </w:t>
      </w:r>
      <w:r w:rsidRPr="00822CE4">
        <w:t>transporte público regular de viajeros de uso general por carretera entre</w:t>
      </w:r>
      <w:r>
        <w:t xml:space="preserve"> </w:t>
      </w:r>
      <w:r w:rsidRPr="00822CE4">
        <w:t>Pamplona/Iruña- Logroño e hijuelas Aguilar de Codés-Estella, Los Arcos-</w:t>
      </w:r>
      <w:r>
        <w:t xml:space="preserve"> </w:t>
      </w:r>
      <w:r w:rsidRPr="00822CE4">
        <w:t>Otiñano-Acedo-Estella, Azagra-Calahorra-Estella, Sartaguda-Estella,</w:t>
      </w:r>
      <w:r>
        <w:t xml:space="preserve"> </w:t>
      </w:r>
      <w:r w:rsidRPr="00822CE4">
        <w:t>Mendavia-Los Arcos-Estella, Pamplona-Estella por Salinas de Oro, Arroniz-</w:t>
      </w:r>
      <w:r>
        <w:t xml:space="preserve"> </w:t>
      </w:r>
      <w:r w:rsidRPr="00822CE4">
        <w:t>Estella por Ayegui (VNA-011), que fue modificada por Orden Foral</w:t>
      </w:r>
      <w:r>
        <w:t xml:space="preserve"> </w:t>
      </w:r>
      <w:r w:rsidRPr="00822CE4">
        <w:t>719/2004, de 28 de julio, del Consejero de Obras Públicas, Transportes y</w:t>
      </w:r>
      <w:r>
        <w:t xml:space="preserve"> </w:t>
      </w:r>
      <w:r w:rsidRPr="00822CE4">
        <w:t>Comunicaciones, para establecer una intensificación de servicios entre</w:t>
      </w:r>
      <w:r>
        <w:t xml:space="preserve"> </w:t>
      </w:r>
      <w:r w:rsidRPr="00822CE4">
        <w:t>Estella-Lizarra y las poblaciones cercanas de Abárzuza, Ayegui, Oteiza,</w:t>
      </w:r>
      <w:r>
        <w:t xml:space="preserve"> </w:t>
      </w:r>
      <w:r w:rsidRPr="00822CE4">
        <w:t>Villatuerta y Bearin (Yerri), que se denominó Tierra Estella Bus.</w:t>
      </w:r>
    </w:p>
    <w:p w14:paraId="7B50026B" w14:textId="755863E8" w:rsidR="00822CE4" w:rsidRPr="00822CE4" w:rsidRDefault="00822CE4" w:rsidP="00822CE4">
      <w:pPr>
        <w:jc w:val="both"/>
        <w:rPr>
          <w:b/>
          <w:bCs/>
        </w:rPr>
      </w:pPr>
      <w:r w:rsidRPr="00822CE4">
        <w:rPr>
          <w:b/>
          <w:bCs/>
        </w:rPr>
        <w:t>3.- ¿Qué subvenciones ha recibido, en su caso, la persona jurídica que</w:t>
      </w:r>
      <w:r>
        <w:rPr>
          <w:b/>
          <w:bCs/>
        </w:rPr>
        <w:t xml:space="preserve"> </w:t>
      </w:r>
      <w:r w:rsidRPr="00822CE4">
        <w:rPr>
          <w:b/>
          <w:bCs/>
        </w:rPr>
        <w:t>gestione estas líneas de transporte interurbano desde su implantación</w:t>
      </w:r>
      <w:r>
        <w:rPr>
          <w:b/>
          <w:bCs/>
        </w:rPr>
        <w:t xml:space="preserve"> </w:t>
      </w:r>
      <w:r w:rsidRPr="00822CE4">
        <w:rPr>
          <w:b/>
          <w:bCs/>
        </w:rPr>
        <w:t>hasta la actualidad?</w:t>
      </w:r>
    </w:p>
    <w:p w14:paraId="0F3F98CB" w14:textId="596CDAE6" w:rsidR="00822CE4" w:rsidRPr="00822CE4" w:rsidRDefault="00822CE4" w:rsidP="00822CE4">
      <w:pPr>
        <w:jc w:val="both"/>
      </w:pPr>
      <w:r w:rsidRPr="00822CE4">
        <w:t xml:space="preserve">Dado que la explotación del Servicio Tierra Estella Bus era </w:t>
      </w:r>
      <w:r w:rsidR="00D73DFC" w:rsidRPr="00822CE4">
        <w:t>deficitaria,</w:t>
      </w:r>
      <w:r w:rsidRPr="00822CE4">
        <w:t xml:space="preserve"> la</w:t>
      </w:r>
      <w:r>
        <w:t xml:space="preserve"> </w:t>
      </w:r>
      <w:r w:rsidRPr="00822CE4">
        <w:t>misma estaba sujeta a la financiación por parte de las Administraciones implicadas,</w:t>
      </w:r>
      <w:r>
        <w:t xml:space="preserve"> </w:t>
      </w:r>
      <w:r w:rsidRPr="00822CE4">
        <w:t>que se instrumentó en los correspondientes Convenios de Colaboración que</w:t>
      </w:r>
      <w:r>
        <w:t xml:space="preserve"> </w:t>
      </w:r>
      <w:r w:rsidRPr="00822CE4">
        <w:t xml:space="preserve">suscribieron al efecto por el </w:t>
      </w:r>
      <w:r w:rsidRPr="00822CE4">
        <w:lastRenderedPageBreak/>
        <w:t>entonces Departamento de Obras Públicas,</w:t>
      </w:r>
      <w:r>
        <w:t xml:space="preserve"> </w:t>
      </w:r>
      <w:r w:rsidRPr="00822CE4">
        <w:t>Transportes y Comunicaciones y los Ayuntamientos implicados, que vienen</w:t>
      </w:r>
      <w:r>
        <w:t xml:space="preserve"> </w:t>
      </w:r>
      <w:r w:rsidRPr="00822CE4">
        <w:t>siendo aplicados hasta la fecha.</w:t>
      </w:r>
    </w:p>
    <w:p w14:paraId="76D3091F" w14:textId="05ED050D" w:rsidR="001822B7" w:rsidRDefault="00822CE4" w:rsidP="00822CE4">
      <w:pPr>
        <w:jc w:val="both"/>
      </w:pPr>
      <w:r w:rsidRPr="00822CE4">
        <w:t>En aplicación de los establecido en dichos Convenios, el Departamento</w:t>
      </w:r>
      <w:r>
        <w:t xml:space="preserve"> </w:t>
      </w:r>
      <w:r w:rsidRPr="00822CE4">
        <w:t>ha financiado el déficit de explotación con las siguientes cuantías:</w:t>
      </w:r>
    </w:p>
    <w:p w14:paraId="15543827" w14:textId="77777777" w:rsidR="00822CE4" w:rsidRPr="00822CE4" w:rsidRDefault="00822CE4" w:rsidP="00822CE4">
      <w:pPr>
        <w:jc w:val="both"/>
      </w:pPr>
    </w:p>
    <w:tbl>
      <w:tblPr>
        <w:tblW w:w="0" w:type="auto"/>
        <w:tblInd w:w="3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"/>
        <w:gridCol w:w="1201"/>
      </w:tblGrid>
      <w:tr w:rsidR="00822CE4" w:rsidRPr="00822CE4" w14:paraId="5C1BA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5AFAFEEB" w14:textId="77777777" w:rsidR="00822CE4" w:rsidRPr="00822CE4" w:rsidRDefault="00822CE4" w:rsidP="00822CE4">
            <w:pPr>
              <w:jc w:val="both"/>
            </w:pPr>
            <w:r w:rsidRPr="00822CE4">
              <w:rPr>
                <w:b/>
                <w:bCs/>
              </w:rPr>
              <w:t>Año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6A125389" w14:textId="77777777" w:rsidR="00822CE4" w:rsidRPr="00822CE4" w:rsidRDefault="00822CE4" w:rsidP="00822CE4">
            <w:pPr>
              <w:jc w:val="both"/>
            </w:pPr>
            <w:r w:rsidRPr="00822CE4">
              <w:rPr>
                <w:b/>
                <w:bCs/>
              </w:rPr>
              <w:t>Importe €</w:t>
            </w:r>
          </w:p>
        </w:tc>
      </w:tr>
      <w:tr w:rsidR="00822CE4" w:rsidRPr="00822CE4" w14:paraId="675B0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2C6D9FA2" w14:textId="77777777" w:rsidR="00822CE4" w:rsidRPr="00822CE4" w:rsidRDefault="00822CE4" w:rsidP="00822CE4">
            <w:pPr>
              <w:jc w:val="both"/>
            </w:pPr>
            <w:r w:rsidRPr="00822CE4">
              <w:t>2004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491C5B9" w14:textId="77777777" w:rsidR="00822CE4" w:rsidRPr="00822CE4" w:rsidRDefault="00822CE4" w:rsidP="00822CE4">
            <w:pPr>
              <w:jc w:val="both"/>
            </w:pPr>
            <w:r w:rsidRPr="00822CE4">
              <w:t>45.532,77</w:t>
            </w:r>
          </w:p>
        </w:tc>
      </w:tr>
      <w:tr w:rsidR="00822CE4" w:rsidRPr="00822CE4" w14:paraId="195AE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29838B95" w14:textId="77777777" w:rsidR="00822CE4" w:rsidRPr="00822CE4" w:rsidRDefault="00822CE4" w:rsidP="00822CE4">
            <w:pPr>
              <w:jc w:val="both"/>
            </w:pPr>
            <w:r w:rsidRPr="00822CE4">
              <w:t>2005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368EA4F4" w14:textId="77777777" w:rsidR="00822CE4" w:rsidRPr="00822CE4" w:rsidRDefault="00822CE4" w:rsidP="00822CE4">
            <w:pPr>
              <w:jc w:val="both"/>
            </w:pPr>
            <w:r w:rsidRPr="00822CE4">
              <w:t>144.815,77</w:t>
            </w:r>
          </w:p>
        </w:tc>
      </w:tr>
      <w:tr w:rsidR="00822CE4" w:rsidRPr="00822CE4" w14:paraId="282D48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4F27314B" w14:textId="77777777" w:rsidR="00822CE4" w:rsidRPr="00822CE4" w:rsidRDefault="00822CE4" w:rsidP="00822CE4">
            <w:pPr>
              <w:jc w:val="both"/>
            </w:pPr>
            <w:r w:rsidRPr="00822CE4">
              <w:t>2006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2D9AD6C0" w14:textId="77777777" w:rsidR="00822CE4" w:rsidRPr="00822CE4" w:rsidRDefault="00822CE4" w:rsidP="00822CE4">
            <w:pPr>
              <w:jc w:val="both"/>
            </w:pPr>
            <w:r w:rsidRPr="00822CE4">
              <w:t>159.130,00</w:t>
            </w:r>
          </w:p>
        </w:tc>
      </w:tr>
      <w:tr w:rsidR="00822CE4" w:rsidRPr="00822CE4" w14:paraId="2F779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6C4A3F9B" w14:textId="77777777" w:rsidR="00822CE4" w:rsidRPr="00822CE4" w:rsidRDefault="00822CE4" w:rsidP="00822CE4">
            <w:pPr>
              <w:jc w:val="both"/>
            </w:pPr>
            <w:r w:rsidRPr="00822CE4">
              <w:t>2007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77771BEF" w14:textId="77777777" w:rsidR="00822CE4" w:rsidRPr="00822CE4" w:rsidRDefault="00822CE4" w:rsidP="00822CE4">
            <w:pPr>
              <w:jc w:val="both"/>
            </w:pPr>
            <w:r w:rsidRPr="00822CE4">
              <w:t>149.880,65</w:t>
            </w:r>
          </w:p>
        </w:tc>
      </w:tr>
      <w:tr w:rsidR="00822CE4" w:rsidRPr="00822CE4" w14:paraId="39007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B207FD8" w14:textId="77777777" w:rsidR="00822CE4" w:rsidRPr="00822CE4" w:rsidRDefault="00822CE4" w:rsidP="00822CE4">
            <w:pPr>
              <w:jc w:val="both"/>
            </w:pPr>
            <w:r w:rsidRPr="00822CE4">
              <w:t>2008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48D5468D" w14:textId="77777777" w:rsidR="00822CE4" w:rsidRPr="00822CE4" w:rsidRDefault="00822CE4" w:rsidP="00822CE4">
            <w:pPr>
              <w:jc w:val="both"/>
            </w:pPr>
            <w:r w:rsidRPr="00822CE4">
              <w:t>169.369,41</w:t>
            </w:r>
          </w:p>
        </w:tc>
      </w:tr>
      <w:tr w:rsidR="00822CE4" w:rsidRPr="00822CE4" w14:paraId="3B979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6282FD30" w14:textId="77777777" w:rsidR="00822CE4" w:rsidRPr="00822CE4" w:rsidRDefault="00822CE4" w:rsidP="00822CE4">
            <w:pPr>
              <w:jc w:val="both"/>
            </w:pPr>
            <w:r w:rsidRPr="00822CE4">
              <w:t>2009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5637F3FA" w14:textId="77777777" w:rsidR="00822CE4" w:rsidRPr="00822CE4" w:rsidRDefault="00822CE4" w:rsidP="00822CE4">
            <w:pPr>
              <w:jc w:val="both"/>
            </w:pPr>
            <w:r w:rsidRPr="00822CE4">
              <w:t>204.564,52</w:t>
            </w:r>
          </w:p>
        </w:tc>
      </w:tr>
      <w:tr w:rsidR="00822CE4" w:rsidRPr="00822CE4" w14:paraId="4127F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41FB1C0F" w14:textId="77777777" w:rsidR="00822CE4" w:rsidRPr="00822CE4" w:rsidRDefault="00822CE4" w:rsidP="00822CE4">
            <w:pPr>
              <w:jc w:val="both"/>
            </w:pPr>
            <w:r w:rsidRPr="00822CE4">
              <w:t>2010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5970382D" w14:textId="77777777" w:rsidR="00822CE4" w:rsidRPr="00822CE4" w:rsidRDefault="00822CE4" w:rsidP="00822CE4">
            <w:pPr>
              <w:jc w:val="both"/>
            </w:pPr>
            <w:r w:rsidRPr="00822CE4">
              <w:t>204.863,59</w:t>
            </w:r>
          </w:p>
        </w:tc>
      </w:tr>
      <w:tr w:rsidR="00822CE4" w:rsidRPr="00822CE4" w14:paraId="072A6C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3436331C" w14:textId="77777777" w:rsidR="00822CE4" w:rsidRPr="00822CE4" w:rsidRDefault="00822CE4" w:rsidP="00822CE4">
            <w:pPr>
              <w:jc w:val="both"/>
            </w:pPr>
            <w:r w:rsidRPr="00822CE4">
              <w:t>2011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1E539290" w14:textId="77777777" w:rsidR="00822CE4" w:rsidRPr="00822CE4" w:rsidRDefault="00822CE4" w:rsidP="00822CE4">
            <w:pPr>
              <w:jc w:val="both"/>
            </w:pPr>
            <w:r w:rsidRPr="00822CE4">
              <w:t>209.282,32</w:t>
            </w:r>
          </w:p>
        </w:tc>
      </w:tr>
      <w:tr w:rsidR="00822CE4" w:rsidRPr="00822CE4" w14:paraId="04D07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0192B5E4" w14:textId="77777777" w:rsidR="00822CE4" w:rsidRPr="00822CE4" w:rsidRDefault="00822CE4" w:rsidP="00822CE4">
            <w:pPr>
              <w:jc w:val="both"/>
            </w:pPr>
            <w:r w:rsidRPr="00822CE4">
              <w:t>2012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74589170" w14:textId="77777777" w:rsidR="00822CE4" w:rsidRPr="00822CE4" w:rsidRDefault="00822CE4" w:rsidP="00822CE4">
            <w:pPr>
              <w:jc w:val="both"/>
            </w:pPr>
            <w:r w:rsidRPr="00822CE4">
              <w:t>212.415,32</w:t>
            </w:r>
          </w:p>
        </w:tc>
      </w:tr>
      <w:tr w:rsidR="00822CE4" w:rsidRPr="00822CE4" w14:paraId="1FED3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4D55BCF5" w14:textId="77777777" w:rsidR="00822CE4" w:rsidRPr="00822CE4" w:rsidRDefault="00822CE4" w:rsidP="00822CE4">
            <w:pPr>
              <w:jc w:val="both"/>
            </w:pPr>
            <w:r w:rsidRPr="00822CE4">
              <w:t>2013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6D3EDE90" w14:textId="77777777" w:rsidR="00822CE4" w:rsidRPr="00822CE4" w:rsidRDefault="00822CE4" w:rsidP="00822CE4">
            <w:pPr>
              <w:jc w:val="both"/>
            </w:pPr>
            <w:r w:rsidRPr="00822CE4">
              <w:t>215.548,11</w:t>
            </w:r>
          </w:p>
        </w:tc>
      </w:tr>
      <w:tr w:rsidR="00822CE4" w:rsidRPr="00822CE4" w14:paraId="693B4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6AB6EE07" w14:textId="77777777" w:rsidR="00822CE4" w:rsidRPr="00822CE4" w:rsidRDefault="00822CE4" w:rsidP="00822CE4">
            <w:pPr>
              <w:jc w:val="both"/>
            </w:pPr>
            <w:r w:rsidRPr="00822CE4">
              <w:t>2014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6D6605B" w14:textId="77777777" w:rsidR="00822CE4" w:rsidRPr="00822CE4" w:rsidRDefault="00822CE4" w:rsidP="00822CE4">
            <w:pPr>
              <w:jc w:val="both"/>
            </w:pPr>
            <w:r w:rsidRPr="00822CE4">
              <w:t>212.270,14</w:t>
            </w:r>
          </w:p>
        </w:tc>
      </w:tr>
      <w:tr w:rsidR="00822CE4" w:rsidRPr="00822CE4" w14:paraId="410DB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22095C07" w14:textId="77777777" w:rsidR="00822CE4" w:rsidRPr="00822CE4" w:rsidRDefault="00822CE4" w:rsidP="00822CE4">
            <w:pPr>
              <w:jc w:val="both"/>
            </w:pPr>
            <w:r w:rsidRPr="00822CE4">
              <w:t>2015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5C1C3442" w14:textId="77777777" w:rsidR="00822CE4" w:rsidRPr="00822CE4" w:rsidRDefault="00822CE4" w:rsidP="00822CE4">
            <w:pPr>
              <w:jc w:val="both"/>
            </w:pPr>
            <w:r w:rsidRPr="00822CE4">
              <w:t>169.644,68</w:t>
            </w:r>
          </w:p>
        </w:tc>
      </w:tr>
      <w:tr w:rsidR="00822CE4" w:rsidRPr="00822CE4" w14:paraId="7D46C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476F4DC6" w14:textId="77777777" w:rsidR="00822CE4" w:rsidRPr="00822CE4" w:rsidRDefault="00822CE4" w:rsidP="00822CE4">
            <w:pPr>
              <w:jc w:val="both"/>
            </w:pPr>
            <w:r w:rsidRPr="00822CE4">
              <w:t>2016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4077601" w14:textId="77777777" w:rsidR="00822CE4" w:rsidRPr="00822CE4" w:rsidRDefault="00822CE4" w:rsidP="00822CE4">
            <w:pPr>
              <w:jc w:val="both"/>
            </w:pPr>
            <w:r w:rsidRPr="00822CE4">
              <w:t>165.162,00</w:t>
            </w:r>
          </w:p>
        </w:tc>
      </w:tr>
      <w:tr w:rsidR="00822CE4" w:rsidRPr="00822CE4" w14:paraId="2A11A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201B2158" w14:textId="77777777" w:rsidR="00822CE4" w:rsidRPr="00822CE4" w:rsidRDefault="00822CE4" w:rsidP="00822CE4">
            <w:pPr>
              <w:jc w:val="both"/>
            </w:pPr>
            <w:r w:rsidRPr="00822CE4">
              <w:t>2017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4BDAF5B9" w14:textId="77777777" w:rsidR="00822CE4" w:rsidRPr="00822CE4" w:rsidRDefault="00822CE4" w:rsidP="00822CE4">
            <w:pPr>
              <w:jc w:val="both"/>
            </w:pPr>
            <w:r w:rsidRPr="00822CE4">
              <w:t>163.082,22</w:t>
            </w:r>
          </w:p>
        </w:tc>
      </w:tr>
      <w:tr w:rsidR="00822CE4" w:rsidRPr="00822CE4" w14:paraId="700256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018E6956" w14:textId="77777777" w:rsidR="00822CE4" w:rsidRPr="00822CE4" w:rsidRDefault="00822CE4" w:rsidP="00822CE4">
            <w:pPr>
              <w:jc w:val="both"/>
            </w:pPr>
            <w:r w:rsidRPr="00822CE4">
              <w:t>2018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4F6BA769" w14:textId="77777777" w:rsidR="00822CE4" w:rsidRPr="00822CE4" w:rsidRDefault="00822CE4" w:rsidP="00822CE4">
            <w:pPr>
              <w:jc w:val="both"/>
            </w:pPr>
            <w:r w:rsidRPr="00822CE4">
              <w:t>118.346,54</w:t>
            </w:r>
          </w:p>
        </w:tc>
      </w:tr>
      <w:tr w:rsidR="00822CE4" w:rsidRPr="00822CE4" w14:paraId="46A3C4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24BFBB70" w14:textId="77777777" w:rsidR="00822CE4" w:rsidRPr="00822CE4" w:rsidRDefault="00822CE4" w:rsidP="00822CE4">
            <w:pPr>
              <w:jc w:val="both"/>
            </w:pPr>
            <w:r w:rsidRPr="00822CE4">
              <w:t>2019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6A868B88" w14:textId="77777777" w:rsidR="00822CE4" w:rsidRPr="00822CE4" w:rsidRDefault="00822CE4" w:rsidP="00822CE4">
            <w:pPr>
              <w:jc w:val="both"/>
            </w:pPr>
            <w:r w:rsidRPr="00822CE4">
              <w:t>139.724,28</w:t>
            </w:r>
          </w:p>
        </w:tc>
      </w:tr>
      <w:tr w:rsidR="00822CE4" w:rsidRPr="00822CE4" w14:paraId="46DB2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3A5639F" w14:textId="77777777" w:rsidR="00822CE4" w:rsidRPr="00822CE4" w:rsidRDefault="00822CE4" w:rsidP="00822CE4">
            <w:pPr>
              <w:jc w:val="both"/>
            </w:pPr>
            <w:r w:rsidRPr="00822CE4">
              <w:t>2020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4AEB7B04" w14:textId="77777777" w:rsidR="00822CE4" w:rsidRPr="00822CE4" w:rsidRDefault="00822CE4" w:rsidP="00822CE4">
            <w:pPr>
              <w:jc w:val="both"/>
            </w:pPr>
            <w:r w:rsidRPr="00822CE4">
              <w:t>134.313,32</w:t>
            </w:r>
          </w:p>
        </w:tc>
      </w:tr>
      <w:tr w:rsidR="00822CE4" w:rsidRPr="00822CE4" w14:paraId="0B7CB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5F9CEA78" w14:textId="77777777" w:rsidR="00822CE4" w:rsidRPr="00822CE4" w:rsidRDefault="00822CE4" w:rsidP="00822CE4">
            <w:pPr>
              <w:jc w:val="both"/>
            </w:pPr>
            <w:r w:rsidRPr="00822CE4">
              <w:t>2021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21DBE213" w14:textId="77777777" w:rsidR="00822CE4" w:rsidRPr="00822CE4" w:rsidRDefault="00822CE4" w:rsidP="00822CE4">
            <w:pPr>
              <w:jc w:val="both"/>
            </w:pPr>
            <w:r w:rsidRPr="00822CE4">
              <w:t>81.929,18</w:t>
            </w:r>
          </w:p>
        </w:tc>
      </w:tr>
      <w:tr w:rsidR="00822CE4" w:rsidRPr="00822CE4" w14:paraId="73144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4B5D6280" w14:textId="77777777" w:rsidR="00822CE4" w:rsidRPr="00822CE4" w:rsidRDefault="00822CE4" w:rsidP="00822CE4">
            <w:pPr>
              <w:jc w:val="both"/>
            </w:pPr>
            <w:r w:rsidRPr="00822CE4">
              <w:t>2022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5898A58F" w14:textId="77777777" w:rsidR="00822CE4" w:rsidRPr="00822CE4" w:rsidRDefault="00822CE4" w:rsidP="00822CE4">
            <w:pPr>
              <w:jc w:val="both"/>
            </w:pPr>
            <w:r w:rsidRPr="00822CE4">
              <w:t>111.541,21</w:t>
            </w:r>
          </w:p>
        </w:tc>
      </w:tr>
      <w:tr w:rsidR="00822CE4" w:rsidRPr="00822CE4" w14:paraId="19A60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14:paraId="6D43077A" w14:textId="77777777" w:rsidR="00822CE4" w:rsidRPr="00822CE4" w:rsidRDefault="00822CE4" w:rsidP="00822CE4">
            <w:pPr>
              <w:jc w:val="both"/>
            </w:pPr>
            <w:r w:rsidRPr="00822CE4">
              <w:t>2023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1F1F1"/>
          </w:tcPr>
          <w:p w14:paraId="3F82D805" w14:textId="77777777" w:rsidR="00822CE4" w:rsidRPr="00822CE4" w:rsidRDefault="00822CE4" w:rsidP="00822CE4">
            <w:pPr>
              <w:jc w:val="both"/>
            </w:pPr>
            <w:r w:rsidRPr="00822CE4">
              <w:t>122.026,44</w:t>
            </w:r>
          </w:p>
        </w:tc>
      </w:tr>
      <w:tr w:rsidR="00822CE4" w:rsidRPr="00822CE4" w14:paraId="71FCB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1344066" w14:textId="77777777" w:rsidR="00822CE4" w:rsidRPr="00822CE4" w:rsidRDefault="00822CE4" w:rsidP="00822CE4">
            <w:pPr>
              <w:jc w:val="both"/>
            </w:pPr>
            <w:r w:rsidRPr="00822CE4">
              <w:t>2024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C974347" w14:textId="77777777" w:rsidR="00822CE4" w:rsidRPr="00822CE4" w:rsidRDefault="00822CE4" w:rsidP="00822CE4">
            <w:pPr>
              <w:jc w:val="both"/>
            </w:pPr>
            <w:r w:rsidRPr="00822CE4">
              <w:t>125.908,81</w:t>
            </w:r>
          </w:p>
        </w:tc>
      </w:tr>
      <w:tr w:rsidR="00822CE4" w:rsidRPr="00822CE4" w14:paraId="3AB60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02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auto" w:fill="F1F1F1"/>
          </w:tcPr>
          <w:p w14:paraId="067CB5D2" w14:textId="77777777" w:rsidR="00822CE4" w:rsidRPr="00822CE4" w:rsidRDefault="00822CE4" w:rsidP="00822CE4">
            <w:pPr>
              <w:jc w:val="both"/>
            </w:pPr>
            <w:r w:rsidRPr="00822CE4">
              <w:t>2025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57DC94" w14:textId="77777777" w:rsidR="00822CE4" w:rsidRPr="00822CE4" w:rsidRDefault="00822CE4" w:rsidP="00822CE4">
            <w:pPr>
              <w:jc w:val="both"/>
            </w:pPr>
            <w:r w:rsidRPr="00822CE4">
              <w:t>64.096,79</w:t>
            </w:r>
          </w:p>
        </w:tc>
      </w:tr>
    </w:tbl>
    <w:p w14:paraId="3B960939" w14:textId="77777777" w:rsidR="00555FA0" w:rsidRDefault="00555FA0" w:rsidP="00822CE4">
      <w:pPr>
        <w:jc w:val="both"/>
        <w:rPr>
          <w:b/>
          <w:bCs/>
        </w:rPr>
      </w:pPr>
    </w:p>
    <w:p w14:paraId="63341166" w14:textId="77777777" w:rsidR="00555FA0" w:rsidRDefault="00555FA0">
      <w:pPr>
        <w:rPr>
          <w:b/>
          <w:bCs/>
        </w:rPr>
      </w:pPr>
      <w:r>
        <w:rPr>
          <w:b/>
          <w:bCs/>
        </w:rPr>
        <w:br w:type="page"/>
      </w:r>
    </w:p>
    <w:p w14:paraId="7E3374EE" w14:textId="05ECA9A0" w:rsidR="00822CE4" w:rsidRDefault="00822CE4" w:rsidP="00822CE4">
      <w:pPr>
        <w:jc w:val="both"/>
        <w:rPr>
          <w:b/>
          <w:bCs/>
        </w:rPr>
      </w:pPr>
      <w:r w:rsidRPr="00822CE4">
        <w:rPr>
          <w:b/>
          <w:bCs/>
        </w:rPr>
        <w:lastRenderedPageBreak/>
        <w:t>4.- ¿Por qué no fue atendida en 2020 la petición formulada por los</w:t>
      </w:r>
      <w:r>
        <w:rPr>
          <w:b/>
          <w:bCs/>
        </w:rPr>
        <w:t xml:space="preserve"> </w:t>
      </w:r>
      <w:r w:rsidRPr="00822CE4">
        <w:rPr>
          <w:b/>
          <w:bCs/>
        </w:rPr>
        <w:t>ayuntamientos de Ancín/Antzin, Legaria, Oco, Olejua, Abaigar, Murieta,</w:t>
      </w:r>
      <w:r>
        <w:rPr>
          <w:b/>
          <w:bCs/>
        </w:rPr>
        <w:t xml:space="preserve"> </w:t>
      </w:r>
      <w:r w:rsidRPr="00822CE4">
        <w:rPr>
          <w:b/>
          <w:bCs/>
        </w:rPr>
        <w:t>Metauten y los concejos de Acedo, Zubielqui y Arbeiza -avalada también</w:t>
      </w:r>
      <w:r>
        <w:rPr>
          <w:b/>
          <w:bCs/>
        </w:rPr>
        <w:t xml:space="preserve"> </w:t>
      </w:r>
      <w:r w:rsidRPr="00822CE4">
        <w:rPr>
          <w:b/>
          <w:bCs/>
        </w:rPr>
        <w:t>por la Alcaldía de Estella/Lizarra- para incorporar a Tierra Estella</w:t>
      </w:r>
      <w:r>
        <w:rPr>
          <w:b/>
          <w:bCs/>
        </w:rPr>
        <w:t xml:space="preserve"> </w:t>
      </w:r>
      <w:r w:rsidRPr="00822CE4">
        <w:rPr>
          <w:b/>
          <w:bCs/>
        </w:rPr>
        <w:t>Bus/Lizarrerria Bus una línea de transporte interurbano que uniera Estella</w:t>
      </w:r>
      <w:r>
        <w:rPr>
          <w:b/>
          <w:bCs/>
        </w:rPr>
        <w:t xml:space="preserve"> </w:t>
      </w:r>
      <w:r w:rsidRPr="00822CE4">
        <w:rPr>
          <w:b/>
          <w:bCs/>
        </w:rPr>
        <w:t>con esas localidades?</w:t>
      </w:r>
    </w:p>
    <w:p w14:paraId="1B52EF34" w14:textId="0FDA957B" w:rsidR="00822CE4" w:rsidRPr="00822CE4" w:rsidRDefault="00822CE4" w:rsidP="00822CE4">
      <w:pPr>
        <w:jc w:val="both"/>
      </w:pPr>
      <w:r w:rsidRPr="00822CE4">
        <w:t>Dado que se trataba de una concesión cuyo plazo de vigencia había finalizado</w:t>
      </w:r>
      <w:r>
        <w:t xml:space="preserve"> </w:t>
      </w:r>
      <w:r w:rsidRPr="00822CE4">
        <w:t>y que la empresa continuaba prestando el servicio de manera transitoria</w:t>
      </w:r>
      <w:r>
        <w:t xml:space="preserve"> </w:t>
      </w:r>
      <w:r w:rsidRPr="00822CE4">
        <w:t>atendiendo a un requerimiento de prolongación de la gestión realizado por la</w:t>
      </w:r>
      <w:r>
        <w:t xml:space="preserve"> </w:t>
      </w:r>
      <w:r w:rsidRPr="00822CE4">
        <w:t>Administración, la prestación del servicio debía realizarse en las mismas</w:t>
      </w:r>
      <w:r>
        <w:t xml:space="preserve"> </w:t>
      </w:r>
      <w:r w:rsidRPr="00822CE4">
        <w:t>condiciones establecidas para la concesión extinta, lo que impedía que en ese</w:t>
      </w:r>
      <w:r>
        <w:t xml:space="preserve"> </w:t>
      </w:r>
      <w:r w:rsidRPr="00822CE4">
        <w:t>momento pudieran incorporarse nuevas poblaciones.</w:t>
      </w:r>
    </w:p>
    <w:p w14:paraId="7F262224" w14:textId="13F7BE15" w:rsidR="00822CE4" w:rsidRPr="00822CE4" w:rsidRDefault="00822CE4" w:rsidP="00822CE4">
      <w:pPr>
        <w:jc w:val="both"/>
        <w:rPr>
          <w:b/>
          <w:bCs/>
        </w:rPr>
      </w:pPr>
      <w:r w:rsidRPr="00822CE4">
        <w:rPr>
          <w:b/>
          <w:bCs/>
        </w:rPr>
        <w:t>5.- ¿Qué solución plantea el Departamento para unir estas</w:t>
      </w:r>
      <w:r>
        <w:rPr>
          <w:b/>
          <w:bCs/>
        </w:rPr>
        <w:t xml:space="preserve"> </w:t>
      </w:r>
      <w:r w:rsidRPr="00822CE4">
        <w:rPr>
          <w:b/>
          <w:bCs/>
        </w:rPr>
        <w:t>localidades que están en grave riesgo de despoblación con Estella -</w:t>
      </w:r>
      <w:r>
        <w:rPr>
          <w:b/>
          <w:bCs/>
        </w:rPr>
        <w:t xml:space="preserve"> </w:t>
      </w:r>
      <w:r w:rsidRPr="00822CE4">
        <w:rPr>
          <w:b/>
          <w:bCs/>
        </w:rPr>
        <w:t>especialmente con el Hospital- si no se crea una nueva línea dentro de</w:t>
      </w:r>
      <w:r>
        <w:rPr>
          <w:b/>
          <w:bCs/>
        </w:rPr>
        <w:t xml:space="preserve"> </w:t>
      </w:r>
      <w:r w:rsidRPr="00822CE4">
        <w:rPr>
          <w:b/>
          <w:bCs/>
        </w:rPr>
        <w:t>Tierra Estella Bus/Lizarrerria Bus?</w:t>
      </w:r>
    </w:p>
    <w:p w14:paraId="2D6D9463" w14:textId="1ACC3687" w:rsidR="00822CE4" w:rsidRPr="00822CE4" w:rsidRDefault="00822CE4" w:rsidP="00822CE4">
      <w:pPr>
        <w:jc w:val="both"/>
      </w:pPr>
      <w:r w:rsidRPr="00822CE4">
        <w:t xml:space="preserve">Por Resolución 89/2025, de 10 de abril, de la </w:t>
      </w:r>
      <w:proofErr w:type="gramStart"/>
      <w:r w:rsidRPr="00822CE4">
        <w:t>Directora General</w:t>
      </w:r>
      <w:proofErr w:type="gramEnd"/>
      <w:r w:rsidRPr="00822CE4">
        <w:t xml:space="preserve"> de</w:t>
      </w:r>
      <w:r>
        <w:t xml:space="preserve"> </w:t>
      </w:r>
      <w:r w:rsidRPr="00822CE4">
        <w:t>Transportes y Movilidad Sostenible, se ha adjudicado el “Servicio de asesoramiento</w:t>
      </w:r>
      <w:r>
        <w:t xml:space="preserve"> </w:t>
      </w:r>
      <w:r w:rsidRPr="00822CE4">
        <w:t>integral para la elaboración de los proyectos y redacción de los Pliegos reguladores</w:t>
      </w:r>
      <w:r>
        <w:t xml:space="preserve"> </w:t>
      </w:r>
      <w:r w:rsidRPr="00822CE4">
        <w:t>de la contratación de las concesiones de servicios de transporte público</w:t>
      </w:r>
      <w:r>
        <w:t xml:space="preserve"> </w:t>
      </w:r>
      <w:r w:rsidRPr="00822CE4">
        <w:t>interurbano regular de uso general de personas viajeras por carretera en la</w:t>
      </w:r>
      <w:r>
        <w:t xml:space="preserve"> </w:t>
      </w:r>
      <w:r w:rsidRPr="00822CE4">
        <w:t>Comunidad Foral de Navarra Pamplona/Iruña - Estella-Lizarra – Logroño -</w:t>
      </w:r>
      <w:r>
        <w:t xml:space="preserve"> </w:t>
      </w:r>
      <w:r w:rsidRPr="00822CE4">
        <w:t>Donostia/San Sebastián. Zona Estella y Ribera Alta (NAV-008)”, concesión en la se</w:t>
      </w:r>
      <w:r>
        <w:t xml:space="preserve"> </w:t>
      </w:r>
      <w:r w:rsidRPr="00822CE4">
        <w:t>analizará el servicio necesario para las localidades indicadas en el apartado 4.</w:t>
      </w:r>
    </w:p>
    <w:p w14:paraId="20F4EB8A" w14:textId="49E9DC45" w:rsidR="00822CE4" w:rsidRDefault="00822CE4" w:rsidP="00822CE4">
      <w:pPr>
        <w:jc w:val="both"/>
        <w:rPr>
          <w:b/>
          <w:bCs/>
        </w:rPr>
      </w:pPr>
      <w:r w:rsidRPr="00822CE4">
        <w:rPr>
          <w:b/>
          <w:bCs/>
        </w:rPr>
        <w:t>6.- ¿No considera el Departamento que estos más de 1700 habitantes</w:t>
      </w:r>
      <w:r>
        <w:rPr>
          <w:b/>
          <w:bCs/>
        </w:rPr>
        <w:t xml:space="preserve"> </w:t>
      </w:r>
      <w:r w:rsidRPr="00822CE4">
        <w:rPr>
          <w:b/>
          <w:bCs/>
        </w:rPr>
        <w:t>de estas poblaciones tienen derecho a un servicio de transporte</w:t>
      </w:r>
      <w:r>
        <w:rPr>
          <w:b/>
          <w:bCs/>
        </w:rPr>
        <w:t xml:space="preserve"> </w:t>
      </w:r>
      <w:r w:rsidRPr="00822CE4">
        <w:rPr>
          <w:b/>
          <w:bCs/>
        </w:rPr>
        <w:t>interurbano como lo tienen las otras por donde ya discurre el Tierra Estella</w:t>
      </w:r>
      <w:r>
        <w:rPr>
          <w:b/>
          <w:bCs/>
        </w:rPr>
        <w:t xml:space="preserve"> </w:t>
      </w:r>
      <w:r w:rsidRPr="00822CE4">
        <w:rPr>
          <w:b/>
          <w:bCs/>
        </w:rPr>
        <w:t>Bus/Lizarrerria Bus?</w:t>
      </w:r>
    </w:p>
    <w:p w14:paraId="73283A7E" w14:textId="07CD2ACD" w:rsidR="00822CE4" w:rsidRPr="00822CE4" w:rsidRDefault="00822CE4" w:rsidP="00822CE4">
      <w:pPr>
        <w:jc w:val="both"/>
      </w:pPr>
      <w:r w:rsidRPr="00822CE4">
        <w:t>El Departamento de Cohesión Territorial considera que deben de tener</w:t>
      </w:r>
      <w:r>
        <w:t xml:space="preserve"> </w:t>
      </w:r>
      <w:r w:rsidRPr="00822CE4">
        <w:t xml:space="preserve">servicio de transporte todos los ciudadanos navarros. Es por eso </w:t>
      </w:r>
      <w:r w:rsidR="00D73DFC" w:rsidRPr="00822CE4">
        <w:t>por lo que</w:t>
      </w:r>
      <w:r w:rsidRPr="00822CE4">
        <w:t xml:space="preserve"> la concesión</w:t>
      </w:r>
      <w:r>
        <w:t xml:space="preserve"> </w:t>
      </w:r>
      <w:r w:rsidRPr="00822CE4">
        <w:t>de Baztán, actualmente en proceso de adjudicación, va a atender a prácticamente</w:t>
      </w:r>
      <w:r>
        <w:t xml:space="preserve"> </w:t>
      </w:r>
      <w:r w:rsidRPr="00822CE4">
        <w:t>el 100% de la población. Siendo el 25% de la misma atendida con servicios de</w:t>
      </w:r>
      <w:r>
        <w:t xml:space="preserve"> </w:t>
      </w:r>
      <w:r w:rsidRPr="00822CE4">
        <w:t>transporte a la demanda. El mismo criterio se ha seguido con la concesión de los</w:t>
      </w:r>
      <w:r>
        <w:t xml:space="preserve"> </w:t>
      </w:r>
      <w:r w:rsidRPr="00822CE4">
        <w:t>Pirineos cuyo proyecto de explotación está muy avanzado. En lo que respecta al</w:t>
      </w:r>
      <w:r>
        <w:t xml:space="preserve"> </w:t>
      </w:r>
      <w:r w:rsidRPr="00822CE4">
        <w:t>ámbito de la zona de Estella, se está trabajando en la próxima licitación de la</w:t>
      </w:r>
      <w:r>
        <w:t xml:space="preserve"> </w:t>
      </w:r>
      <w:r w:rsidRPr="00822CE4">
        <w:t>concesión Pamplona/Iruña - Estella-Lizarra – Logroño - Donostia/San Sebastián.</w:t>
      </w:r>
      <w:r>
        <w:t xml:space="preserve"> </w:t>
      </w:r>
      <w:r w:rsidRPr="00822CE4">
        <w:t>Zona Estella y Ribera Alta (NAV-008), donde se analizará la problemática de</w:t>
      </w:r>
      <w:r>
        <w:t xml:space="preserve"> </w:t>
      </w:r>
      <w:r w:rsidRPr="00822CE4">
        <w:t>transporte de los ayuntamientos de Ancín/Antzin, Legaria, Oco, Olejua, Abaigar,</w:t>
      </w:r>
      <w:r>
        <w:t xml:space="preserve"> </w:t>
      </w:r>
      <w:r w:rsidRPr="00822CE4">
        <w:t xml:space="preserve">Murieta, Metauten y los concejos de Acedo, Zubielqui y </w:t>
      </w:r>
      <w:proofErr w:type="gramStart"/>
      <w:r w:rsidRPr="00822CE4">
        <w:t>Arbeiza</w:t>
      </w:r>
      <w:proofErr w:type="gramEnd"/>
      <w:r w:rsidRPr="00822CE4">
        <w:t xml:space="preserve"> así como las</w:t>
      </w:r>
      <w:r>
        <w:t xml:space="preserve"> </w:t>
      </w:r>
      <w:r w:rsidRPr="00822CE4">
        <w:t>distintas problemáticas del resto de localidades de Tierra Estella-Lizarraldea y su</w:t>
      </w:r>
      <w:r>
        <w:t xml:space="preserve"> </w:t>
      </w:r>
      <w:r w:rsidRPr="00822CE4">
        <w:t>conexión con la cabecera de comarca, Estella-Lizarra.</w:t>
      </w:r>
    </w:p>
    <w:p w14:paraId="15B402A3" w14:textId="3F41E662" w:rsidR="00822CE4" w:rsidRPr="00822CE4" w:rsidRDefault="00822CE4" w:rsidP="00822CE4">
      <w:pPr>
        <w:jc w:val="both"/>
      </w:pPr>
      <w:r w:rsidRPr="00822CE4">
        <w:t>Es todo cuanto tengo que informar en relación con el asunto de referencia, lo</w:t>
      </w:r>
      <w:r>
        <w:t xml:space="preserve"> </w:t>
      </w:r>
      <w:r w:rsidRPr="00822CE4">
        <w:t>que pongo en su conocimiento a los efectos oportunos.</w:t>
      </w:r>
    </w:p>
    <w:p w14:paraId="2E2CFB4A" w14:textId="38BDD2E2" w:rsidR="00822CE4" w:rsidRPr="00822CE4" w:rsidRDefault="00822CE4" w:rsidP="00822CE4">
      <w:pPr>
        <w:jc w:val="both"/>
      </w:pPr>
      <w:r w:rsidRPr="00822CE4">
        <w:t>Es cuanto informo en cumplimiento de lo dispuesto en el artículo 215 del</w:t>
      </w:r>
      <w:r>
        <w:t xml:space="preserve"> </w:t>
      </w:r>
      <w:r w:rsidRPr="00822CE4">
        <w:t>Reglamento del Parlamento de Navarra, señalando que, en virtud de lo</w:t>
      </w:r>
      <w:r>
        <w:t xml:space="preserve"> </w:t>
      </w:r>
      <w:r w:rsidRPr="00822CE4">
        <w:t>establecido en la legislación de protección de datos, únicamente se podrá</w:t>
      </w:r>
      <w:r>
        <w:t xml:space="preserve"> </w:t>
      </w:r>
      <w:r w:rsidRPr="00822CE4">
        <w:t>utilizar el contenido que le ha sido entregado, para los fines previstos en el</w:t>
      </w:r>
      <w:r>
        <w:t xml:space="preserve"> </w:t>
      </w:r>
      <w:r w:rsidRPr="00822CE4">
        <w:t>artículo 14 del Reglamento del Parlamento de Navarra, estando obligado a</w:t>
      </w:r>
      <w:r>
        <w:t xml:space="preserve"> </w:t>
      </w:r>
      <w:r w:rsidRPr="00822CE4">
        <w:t>la observancia de lo establecido en la Ley Orgánica 3/2018, de 5 de</w:t>
      </w:r>
      <w:r>
        <w:t xml:space="preserve"> </w:t>
      </w:r>
      <w:r w:rsidRPr="00822CE4">
        <w:t>diciembre de protección de datos personales y garantía de los derechos</w:t>
      </w:r>
      <w:r>
        <w:t xml:space="preserve"> </w:t>
      </w:r>
      <w:r w:rsidRPr="00822CE4">
        <w:t>digitales</w:t>
      </w:r>
      <w:r>
        <w:t>.</w:t>
      </w:r>
    </w:p>
    <w:p w14:paraId="0EB112D6" w14:textId="77777777" w:rsidR="00822CE4" w:rsidRPr="00822CE4" w:rsidRDefault="00822CE4" w:rsidP="00822CE4">
      <w:pPr>
        <w:jc w:val="both"/>
      </w:pPr>
      <w:r w:rsidRPr="00822CE4">
        <w:t>Pamplona-Iruñea, 1 de julio de 2025</w:t>
      </w:r>
    </w:p>
    <w:p w14:paraId="198895CF" w14:textId="6B99B53F" w:rsidR="00822CE4" w:rsidRPr="001827D9" w:rsidRDefault="00822CE4" w:rsidP="00822CE4">
      <w:pPr>
        <w:jc w:val="both"/>
      </w:pPr>
      <w:r w:rsidRPr="00822CE4">
        <w:t xml:space="preserve">El </w:t>
      </w:r>
      <w:proofErr w:type="gramStart"/>
      <w:r w:rsidRPr="00822CE4">
        <w:t>Consejero</w:t>
      </w:r>
      <w:proofErr w:type="gramEnd"/>
      <w:r w:rsidRPr="00822CE4">
        <w:t xml:space="preserve"> de Cohesión Territorial</w:t>
      </w:r>
      <w:r>
        <w:t xml:space="preserve">: </w:t>
      </w:r>
      <w:r w:rsidRPr="00822CE4">
        <w:t>Óscar Chivite Cornago</w:t>
      </w:r>
    </w:p>
    <w:sectPr w:rsidR="00822CE4" w:rsidRPr="001827D9" w:rsidSect="00F7593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12DB3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55FA0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7A48EC"/>
    <w:rsid w:val="00822CE4"/>
    <w:rsid w:val="008A419B"/>
    <w:rsid w:val="008C666C"/>
    <w:rsid w:val="008E408E"/>
    <w:rsid w:val="00911504"/>
    <w:rsid w:val="0094372D"/>
    <w:rsid w:val="00984068"/>
    <w:rsid w:val="00A0421D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D73DFC"/>
    <w:rsid w:val="00E62334"/>
    <w:rsid w:val="00E62EC0"/>
    <w:rsid w:val="00EB2EE8"/>
    <w:rsid w:val="00F326C3"/>
    <w:rsid w:val="00F75937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1173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19</cp:revision>
  <dcterms:created xsi:type="dcterms:W3CDTF">2025-06-17T06:41:00Z</dcterms:created>
  <dcterms:modified xsi:type="dcterms:W3CDTF">2025-07-04T07:50:00Z</dcterms:modified>
</cp:coreProperties>
</file>