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09B1" w14:textId="77777777" w:rsidR="00097D43" w:rsidRDefault="00097D43" w:rsidP="00323423">
      <w:pPr>
        <w:rPr>
          <w:rFonts w:cs="Arial"/>
          <w:color w:val="000000"/>
          <w:szCs w:val="24"/>
        </w:rPr>
      </w:pPr>
    </w:p>
    <w:p w14:paraId="751079AE" w14:textId="77777777" w:rsidR="00097D43" w:rsidRDefault="00097D43" w:rsidP="00323423">
      <w:pPr>
        <w:rPr>
          <w:rFonts w:cs="Arial"/>
          <w:color w:val="000000"/>
          <w:szCs w:val="24"/>
        </w:rPr>
      </w:pPr>
    </w:p>
    <w:p w14:paraId="1418F2C3" w14:textId="77777777" w:rsidR="00097D43" w:rsidRDefault="00097D43" w:rsidP="00097D43">
      <w:pPr>
        <w:ind w:firstLine="708"/>
        <w:rPr>
          <w:rFonts w:cs="Arial"/>
          <w:color w:val="000000"/>
          <w:szCs w:val="24"/>
        </w:rPr>
      </w:pPr>
      <w:r w:rsidRPr="00097D43">
        <w:rPr>
          <w:rFonts w:cs="Arial"/>
          <w:color w:val="000000"/>
          <w:szCs w:val="24"/>
        </w:rPr>
        <w:t>El Consejero de Desarrollo Rural y Medio Ambiente, en relación a la pregunta escrita 11-25/PES-00310 solicitada por el Parlamentario Foral Ilmo. Sr. don Miguel Bujanda Cirauqui, adscrito al Grupo Parlamentario UPN, sobre fondos europeos, tiene el honor de informar lo siguiente.</w:t>
      </w:r>
    </w:p>
    <w:p w14:paraId="1C25E1B5" w14:textId="77777777" w:rsidR="00097D43" w:rsidRDefault="00097D43" w:rsidP="00323423">
      <w:pPr>
        <w:rPr>
          <w:rFonts w:cs="Arial"/>
          <w:color w:val="000000"/>
          <w:szCs w:val="24"/>
        </w:rPr>
      </w:pPr>
    </w:p>
    <w:p w14:paraId="74509F70" w14:textId="77777777" w:rsidR="00DE58D5" w:rsidRDefault="00C6194B" w:rsidP="00323423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Con fecha </w:t>
      </w:r>
      <w:r w:rsidR="00DE58D5">
        <w:rPr>
          <w:rFonts w:cs="Arial"/>
          <w:color w:val="000000"/>
          <w:szCs w:val="24"/>
        </w:rPr>
        <w:t>25</w:t>
      </w:r>
      <w:r w:rsidR="00323423">
        <w:rPr>
          <w:rFonts w:cs="Arial"/>
          <w:color w:val="000000"/>
          <w:szCs w:val="24"/>
        </w:rPr>
        <w:t>/08</w:t>
      </w:r>
      <w:r>
        <w:rPr>
          <w:rFonts w:cs="Arial"/>
          <w:color w:val="000000"/>
          <w:szCs w:val="24"/>
        </w:rPr>
        <w:t>/202</w:t>
      </w:r>
      <w:r w:rsidR="00323423">
        <w:rPr>
          <w:rFonts w:cs="Arial"/>
          <w:color w:val="000000"/>
          <w:szCs w:val="24"/>
        </w:rPr>
        <w:t>5</w:t>
      </w:r>
      <w:r>
        <w:rPr>
          <w:rFonts w:cs="Arial"/>
          <w:color w:val="000000"/>
          <w:szCs w:val="24"/>
        </w:rPr>
        <w:t xml:space="preserve">, </w:t>
      </w:r>
      <w:r w:rsidR="00323423" w:rsidRPr="00323423">
        <w:rPr>
          <w:rFonts w:cs="Arial"/>
          <w:color w:val="000000"/>
          <w:szCs w:val="24"/>
        </w:rPr>
        <w:t>Don Miguel Bujanda Cirauqui, miembro de las Cortes de Navarra,</w:t>
      </w:r>
      <w:r w:rsidR="00323423">
        <w:rPr>
          <w:rFonts w:cs="Arial"/>
          <w:color w:val="000000"/>
          <w:szCs w:val="24"/>
        </w:rPr>
        <w:t xml:space="preserve"> </w:t>
      </w:r>
      <w:r w:rsidR="00323423" w:rsidRPr="00323423">
        <w:rPr>
          <w:rFonts w:cs="Arial"/>
          <w:color w:val="000000"/>
          <w:szCs w:val="24"/>
        </w:rPr>
        <w:t>miembro del Grupo Parlamentario de Unión del Pueblo Navarro</w:t>
      </w:r>
      <w:r w:rsidR="00323423">
        <w:rPr>
          <w:rFonts w:cs="Arial"/>
          <w:color w:val="000000"/>
          <w:szCs w:val="24"/>
        </w:rPr>
        <w:t xml:space="preserve"> </w:t>
      </w:r>
      <w:r w:rsidR="00323423" w:rsidRPr="00323423">
        <w:rPr>
          <w:rFonts w:cs="Arial"/>
          <w:color w:val="000000"/>
          <w:szCs w:val="24"/>
        </w:rPr>
        <w:t>(UPN), al amparo de lo dispuesto en el Reglamento</w:t>
      </w:r>
      <w:r w:rsidR="00323423">
        <w:rPr>
          <w:rFonts w:cs="Arial"/>
          <w:color w:val="000000"/>
          <w:szCs w:val="24"/>
        </w:rPr>
        <w:t xml:space="preserve"> </w:t>
      </w:r>
      <w:r w:rsidR="00323423" w:rsidRPr="00323423">
        <w:rPr>
          <w:rFonts w:cs="Arial"/>
          <w:color w:val="000000"/>
          <w:szCs w:val="24"/>
        </w:rPr>
        <w:t xml:space="preserve">de la Cámara, </w:t>
      </w:r>
      <w:r w:rsidR="00DE58D5">
        <w:rPr>
          <w:rFonts w:cs="Arial"/>
          <w:color w:val="000000"/>
          <w:szCs w:val="24"/>
        </w:rPr>
        <w:t>realiza la siguiente pregunta escrita al Gobierno de Navarra:</w:t>
      </w:r>
    </w:p>
    <w:p w14:paraId="54017EDA" w14:textId="77777777" w:rsidR="00DE58D5" w:rsidRDefault="00DE58D5" w:rsidP="00323423">
      <w:pPr>
        <w:rPr>
          <w:rFonts w:cs="Arial"/>
          <w:i/>
          <w:color w:val="000000"/>
          <w:szCs w:val="24"/>
        </w:rPr>
      </w:pPr>
    </w:p>
    <w:p w14:paraId="586C5214" w14:textId="77777777" w:rsidR="00DE58D5" w:rsidRPr="00DE58D5" w:rsidRDefault="00DE58D5" w:rsidP="00DE58D5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DE58D5">
        <w:rPr>
          <w:rFonts w:cs="Arial"/>
          <w:i/>
          <w:color w:val="000000"/>
        </w:rPr>
        <w:t xml:space="preserve">¿Qué cantidad exacta de fondos europeos (Next </w:t>
      </w:r>
      <w:proofErr w:type="spellStart"/>
      <w:r w:rsidRPr="00DE58D5">
        <w:rPr>
          <w:rFonts w:cs="Arial"/>
          <w:i/>
          <w:color w:val="000000"/>
        </w:rPr>
        <w:t>Generation</w:t>
      </w:r>
      <w:proofErr w:type="spellEnd"/>
      <w:r w:rsidRPr="00DE58D5">
        <w:rPr>
          <w:rFonts w:cs="Arial"/>
          <w:i/>
          <w:color w:val="000000"/>
        </w:rPr>
        <w:t>, LIFE, INTERREG, PEPAC, u otros programas de la UE) ha captado el Gobierno de Navarra desde 2021 para actuaciones de gestión forestal sostenible, restauración de ecosistemas, bioeconomía forestal y lucha contra incendios?</w:t>
      </w:r>
    </w:p>
    <w:p w14:paraId="4E959DC9" w14:textId="77777777" w:rsidR="00DE58D5" w:rsidRDefault="00DE58D5" w:rsidP="00DE58D5">
      <w:pPr>
        <w:pStyle w:val="Prrafodelista"/>
        <w:ind w:left="750"/>
        <w:jc w:val="both"/>
        <w:rPr>
          <w:rFonts w:cs="Arial"/>
          <w:i/>
          <w:color w:val="000000"/>
        </w:rPr>
      </w:pPr>
    </w:p>
    <w:p w14:paraId="5CD2FDA9" w14:textId="77777777" w:rsidR="00DE58D5" w:rsidRPr="00DE58D5" w:rsidRDefault="00DE58D5" w:rsidP="00DE58D5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DE58D5">
        <w:rPr>
          <w:rFonts w:cs="Arial"/>
          <w:i/>
          <w:color w:val="000000"/>
        </w:rPr>
        <w:t>¿Qué parte de dichos fondos ha sido efectivamente ejecutada y pagada hasta la fecha, detallando porcentajes de ejecución sobre lo presupuestado, y no solo obligaciones reconocidas?</w:t>
      </w:r>
    </w:p>
    <w:p w14:paraId="255A2DD7" w14:textId="77777777" w:rsidR="00DE58D5" w:rsidRPr="00DE58D5" w:rsidRDefault="00DE58D5" w:rsidP="00DE58D5">
      <w:pPr>
        <w:pStyle w:val="Prrafodelista"/>
        <w:jc w:val="both"/>
        <w:rPr>
          <w:rFonts w:cs="Arial"/>
          <w:i/>
          <w:color w:val="000000"/>
        </w:rPr>
      </w:pPr>
    </w:p>
    <w:p w14:paraId="0F9D44BC" w14:textId="77777777" w:rsidR="00DE58D5" w:rsidRPr="00DE58D5" w:rsidRDefault="00DE58D5" w:rsidP="00DE58D5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DE58D5">
        <w:rPr>
          <w:rFonts w:cs="Arial"/>
          <w:i/>
          <w:color w:val="000000"/>
        </w:rPr>
        <w:t>¿Puede confirmar el Gobierno de Navarra si, al igual que ocurre con el Ministerio para la Transición Ecológica, más del 90% de los fondos europeos comprometidos permanecen sin ejecutar al inicio de la campaña de incendios, cuando más necesarios resultan?</w:t>
      </w:r>
    </w:p>
    <w:p w14:paraId="1F62998B" w14:textId="77777777" w:rsidR="00DE58D5" w:rsidRPr="00DE58D5" w:rsidRDefault="00DE58D5" w:rsidP="00DE58D5">
      <w:pPr>
        <w:pStyle w:val="Prrafodelista"/>
        <w:jc w:val="both"/>
        <w:rPr>
          <w:rFonts w:cs="Arial"/>
          <w:i/>
          <w:color w:val="000000"/>
        </w:rPr>
      </w:pPr>
    </w:p>
    <w:p w14:paraId="24A93AA5" w14:textId="77777777" w:rsidR="00DE58D5" w:rsidRPr="00DE58D5" w:rsidRDefault="00DE58D5" w:rsidP="00DE58D5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DE58D5">
        <w:rPr>
          <w:rFonts w:cs="Arial"/>
          <w:i/>
          <w:color w:val="000000"/>
        </w:rPr>
        <w:t>¿Qué razones justifican este retraso o ineficacia en la ejecución de unos fondos europeos que, precisamente, deberían destinarse a evitar incendios, reforzar la gestión forestal y fijar población en el medio rural?</w:t>
      </w:r>
    </w:p>
    <w:p w14:paraId="0B3B9AEB" w14:textId="77777777" w:rsidR="00DE58D5" w:rsidRPr="00DE58D5" w:rsidRDefault="00DE58D5" w:rsidP="00DE58D5">
      <w:pPr>
        <w:pStyle w:val="Prrafodelista"/>
        <w:jc w:val="both"/>
        <w:rPr>
          <w:rFonts w:cs="Arial"/>
          <w:i/>
          <w:color w:val="000000"/>
        </w:rPr>
      </w:pPr>
    </w:p>
    <w:p w14:paraId="67A02279" w14:textId="76322DE7" w:rsidR="00323423" w:rsidRPr="00BE2C44" w:rsidRDefault="00DE58D5" w:rsidP="00407F22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BE2C44">
        <w:rPr>
          <w:rFonts w:cs="Arial"/>
          <w:i/>
          <w:color w:val="000000"/>
        </w:rPr>
        <w:t xml:space="preserve">¿Piensa el Gobierno de Navarra reclamar o exigir al Gobierno central un mayor grado de ejecución real, o va a resignarse a que el dinero quede </w:t>
      </w:r>
      <w:r w:rsidRPr="00BE2C44">
        <w:rPr>
          <w:rFonts w:cs="Arial"/>
          <w:i/>
          <w:color w:val="000000"/>
        </w:rPr>
        <w:lastRenderedPageBreak/>
        <w:t xml:space="preserve">bloqueado en la burocracia ministerial mientras Navarra sufre incendios forestales y despoblación rural? </w:t>
      </w:r>
    </w:p>
    <w:p w14:paraId="055769BB" w14:textId="77777777" w:rsidR="00DE58D5" w:rsidRPr="00DE58D5" w:rsidRDefault="00DE58D5" w:rsidP="00DE58D5">
      <w:pPr>
        <w:pStyle w:val="Prrafodelista"/>
        <w:jc w:val="both"/>
        <w:rPr>
          <w:rFonts w:cs="Arial"/>
          <w:i/>
          <w:color w:val="000000"/>
        </w:rPr>
      </w:pPr>
    </w:p>
    <w:p w14:paraId="057FE262" w14:textId="77777777" w:rsidR="00DE58D5" w:rsidRDefault="00DE58D5" w:rsidP="00DD1718">
      <w:pPr>
        <w:pStyle w:val="Prrafodelista"/>
        <w:numPr>
          <w:ilvl w:val="0"/>
          <w:numId w:val="21"/>
        </w:numPr>
        <w:jc w:val="both"/>
        <w:rPr>
          <w:rFonts w:cs="Arial"/>
          <w:i/>
          <w:color w:val="000000"/>
        </w:rPr>
      </w:pPr>
      <w:r w:rsidRPr="00DE58D5">
        <w:rPr>
          <w:rFonts w:cs="Arial"/>
          <w:i/>
          <w:color w:val="000000"/>
        </w:rPr>
        <w:t>¿Puede el Gobierno de Navarra remitir un desglose detallado de las</w:t>
      </w:r>
      <w:r>
        <w:rPr>
          <w:rFonts w:cs="Arial"/>
          <w:i/>
          <w:color w:val="000000"/>
        </w:rPr>
        <w:t xml:space="preserve"> </w:t>
      </w:r>
      <w:r w:rsidRPr="00DE58D5">
        <w:rPr>
          <w:rFonts w:cs="Arial"/>
          <w:i/>
          <w:color w:val="000000"/>
        </w:rPr>
        <w:t>partidas forestales de los fondos europeos captados, con diferenciación</w:t>
      </w:r>
      <w:r>
        <w:rPr>
          <w:rFonts w:cs="Arial"/>
          <w:i/>
          <w:color w:val="000000"/>
        </w:rPr>
        <w:t xml:space="preserve"> </w:t>
      </w:r>
      <w:r w:rsidRPr="00DE58D5">
        <w:rPr>
          <w:rFonts w:cs="Arial"/>
          <w:i/>
          <w:color w:val="000000"/>
        </w:rPr>
        <w:t>entre cantidades asignadas, comprometidas, reconocidas y</w:t>
      </w:r>
      <w:r>
        <w:rPr>
          <w:rFonts w:cs="Arial"/>
          <w:i/>
          <w:color w:val="000000"/>
        </w:rPr>
        <w:t xml:space="preserve"> </w:t>
      </w:r>
      <w:r w:rsidRPr="00DE58D5">
        <w:rPr>
          <w:rFonts w:cs="Arial"/>
          <w:i/>
          <w:color w:val="000000"/>
        </w:rPr>
        <w:t>efectivamente abonadas en Navarra desde 2021?</w:t>
      </w:r>
    </w:p>
    <w:p w14:paraId="161C8CF7" w14:textId="77777777" w:rsidR="00097D43" w:rsidRPr="00097D43" w:rsidRDefault="00097D43" w:rsidP="00097D43">
      <w:pPr>
        <w:pStyle w:val="Prrafodelista"/>
        <w:rPr>
          <w:rFonts w:cs="Arial"/>
          <w:i/>
          <w:color w:val="000000"/>
        </w:rPr>
      </w:pPr>
    </w:p>
    <w:p w14:paraId="60589E85" w14:textId="77777777" w:rsidR="00097D43" w:rsidRPr="00097D43" w:rsidRDefault="00097D43" w:rsidP="00097D43">
      <w:pPr>
        <w:rPr>
          <w:rFonts w:cs="Arial"/>
          <w:i/>
          <w:color w:val="000000"/>
        </w:rPr>
      </w:pPr>
    </w:p>
    <w:p w14:paraId="42C63666" w14:textId="77777777" w:rsidR="000B4556" w:rsidRDefault="00235E6E" w:rsidP="00323423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</w:t>
      </w:r>
      <w:r w:rsidR="00323423">
        <w:rPr>
          <w:rFonts w:cs="Arial"/>
          <w:color w:val="000000"/>
          <w:szCs w:val="24"/>
        </w:rPr>
        <w:t>l Servicio Forestal y Gestión Cinegética, unidad adscrita a la Dirección General de Medio Ambiente</w:t>
      </w:r>
      <w:r w:rsidR="00933A30">
        <w:rPr>
          <w:rFonts w:cs="Arial"/>
          <w:color w:val="000000"/>
          <w:szCs w:val="24"/>
        </w:rPr>
        <w:t>,</w:t>
      </w:r>
      <w:r w:rsidR="00323423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en su ámbito competencial</w:t>
      </w:r>
      <w:r w:rsidR="000B4556">
        <w:rPr>
          <w:rFonts w:cs="Arial"/>
          <w:color w:val="000000"/>
          <w:szCs w:val="24"/>
        </w:rPr>
        <w:t xml:space="preserve">, y en relación a las actuaciones de gestión forestal sostenible, restauración de ecosistemas, </w:t>
      </w:r>
      <w:r w:rsidR="00857A1C">
        <w:rPr>
          <w:rFonts w:cs="Arial"/>
          <w:color w:val="000000"/>
          <w:szCs w:val="24"/>
        </w:rPr>
        <w:t>bioeconomía fo</w:t>
      </w:r>
      <w:r w:rsidR="00933A30">
        <w:rPr>
          <w:rFonts w:cs="Arial"/>
          <w:color w:val="000000"/>
          <w:szCs w:val="24"/>
        </w:rPr>
        <w:t xml:space="preserve">restal y lucha contra incendios, ha recibido fondos </w:t>
      </w:r>
      <w:r w:rsidR="00857A1C">
        <w:rPr>
          <w:rFonts w:cs="Arial"/>
          <w:color w:val="000000"/>
          <w:szCs w:val="24"/>
        </w:rPr>
        <w:t xml:space="preserve">europeos asociados al Programa de Desarrollo Rural, Fondos FEADER (PDR FEADER 2014-2020 prorrogado) y (PEPAC FEADER 2023-2027 y al Mecanismo de Recuperación y Resiliencia de la UE (Fondos MRR). </w:t>
      </w:r>
    </w:p>
    <w:p w14:paraId="4921B7FA" w14:textId="77777777" w:rsidR="00933A30" w:rsidRDefault="00933A30" w:rsidP="00323423">
      <w:pPr>
        <w:rPr>
          <w:rFonts w:cs="Arial"/>
          <w:color w:val="000000"/>
          <w:szCs w:val="24"/>
        </w:rPr>
      </w:pPr>
    </w:p>
    <w:p w14:paraId="2D9BD241" w14:textId="7AE89816" w:rsidR="00097D43" w:rsidRDefault="00857A1C" w:rsidP="00323423">
      <w:pPr>
        <w:rPr>
          <w:rFonts w:cs="Arial"/>
          <w:color w:val="000000"/>
          <w:szCs w:val="24"/>
        </w:rPr>
      </w:pPr>
      <w:r w:rsidRPr="00A87B2F">
        <w:rPr>
          <w:rFonts w:cs="Arial"/>
          <w:b/>
          <w:color w:val="000000"/>
          <w:szCs w:val="24"/>
        </w:rPr>
        <w:t>En el ámbito de los fondos FEADER</w:t>
      </w:r>
      <w:r w:rsidRPr="00A87B2F">
        <w:rPr>
          <w:rFonts w:cs="Arial"/>
          <w:color w:val="000000"/>
          <w:szCs w:val="24"/>
        </w:rPr>
        <w:t xml:space="preserve">, el porcentaje global de ejecución del Programa de Desarrollo Rural de Navarra 2014-2020 a fecha 08-09-2025, </w:t>
      </w:r>
      <w:r w:rsidR="00933A30" w:rsidRPr="00A87B2F">
        <w:rPr>
          <w:rFonts w:cs="Arial"/>
          <w:color w:val="000000"/>
          <w:szCs w:val="24"/>
        </w:rPr>
        <w:t>es del 89,12</w:t>
      </w:r>
      <w:r w:rsidR="004367B3">
        <w:rPr>
          <w:rFonts w:cs="Arial"/>
          <w:color w:val="000000"/>
          <w:szCs w:val="24"/>
        </w:rPr>
        <w:t> </w:t>
      </w:r>
      <w:r w:rsidR="00933A30" w:rsidRPr="00A87B2F">
        <w:rPr>
          <w:rFonts w:cs="Arial"/>
          <w:color w:val="000000"/>
          <w:szCs w:val="24"/>
        </w:rPr>
        <w:t xml:space="preserve">%. El dato asociado a cada una de las medidas del programa </w:t>
      </w:r>
      <w:r w:rsidRPr="00A87B2F">
        <w:rPr>
          <w:rFonts w:cs="Arial"/>
          <w:color w:val="000000"/>
          <w:szCs w:val="24"/>
        </w:rPr>
        <w:t>se indica en la siguiente tabla.</w:t>
      </w:r>
      <w:r>
        <w:rPr>
          <w:rFonts w:cs="Arial"/>
          <w:color w:val="000000"/>
          <w:szCs w:val="24"/>
        </w:rPr>
        <w:t xml:space="preserve"> </w:t>
      </w:r>
    </w:p>
    <w:p w14:paraId="4DDDD8AF" w14:textId="77777777" w:rsidR="00097D43" w:rsidRDefault="00097D43">
      <w:pPr>
        <w:spacing w:line="240" w:lineRule="auto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14:paraId="52CE9FF1" w14:textId="77777777" w:rsidR="00933A30" w:rsidRDefault="00933A30" w:rsidP="00323423">
      <w:pPr>
        <w:rPr>
          <w:rFonts w:cs="Arial"/>
          <w:color w:val="000000"/>
          <w:szCs w:val="24"/>
        </w:rPr>
      </w:pPr>
    </w:p>
    <w:p w14:paraId="5BDACFBE" w14:textId="77777777" w:rsidR="00097D43" w:rsidRDefault="00097D43" w:rsidP="00323423">
      <w:pPr>
        <w:rPr>
          <w:rFonts w:cs="Arial"/>
          <w:color w:val="000000"/>
          <w:szCs w:val="24"/>
        </w:rPr>
      </w:pPr>
    </w:p>
    <w:p w14:paraId="74609B24" w14:textId="77777777" w:rsidR="00857A1C" w:rsidRDefault="00857A1C" w:rsidP="00323423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No se disponen de datos de desglose anual por medidas. </w:t>
      </w:r>
    </w:p>
    <w:p w14:paraId="392C9C3B" w14:textId="77777777" w:rsidR="00933A30" w:rsidRDefault="00933A30" w:rsidP="00323423">
      <w:pPr>
        <w:rPr>
          <w:rFonts w:cs="Arial"/>
          <w:color w:val="000000"/>
          <w:szCs w:val="24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341"/>
        <w:gridCol w:w="2022"/>
      </w:tblGrid>
      <w:tr w:rsidR="00857A1C" w:rsidRPr="00857A1C" w14:paraId="6E4CC82D" w14:textId="77777777" w:rsidTr="00933A30">
        <w:trPr>
          <w:trHeight w:val="615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497D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857A1C">
              <w:rPr>
                <w:rFonts w:cs="Arial"/>
                <w:b/>
                <w:bCs/>
                <w:color w:val="000000"/>
                <w:sz w:val="20"/>
              </w:rPr>
              <w:t>Medida PROGRAMA DESARROLLO RURAL 2014-2020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3A3E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857A1C">
              <w:rPr>
                <w:rFonts w:cs="Arial"/>
                <w:b/>
                <w:bCs/>
                <w:color w:val="000000"/>
                <w:sz w:val="20"/>
              </w:rPr>
              <w:t>Codificación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3DA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% ejecución a 08-09-2025 </w:t>
            </w:r>
          </w:p>
        </w:tc>
      </w:tr>
      <w:tr w:rsidR="00857A1C" w:rsidRPr="00857A1C" w14:paraId="09030A28" w14:textId="77777777" w:rsidTr="00933A30">
        <w:trPr>
          <w:trHeight w:val="533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5937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bCs/>
                <w:color w:val="000000"/>
                <w:sz w:val="20"/>
                <w:highlight w:val="yellow"/>
              </w:rPr>
            </w:pPr>
            <w:r w:rsidRPr="00A87B2F">
              <w:rPr>
                <w:rFonts w:cs="Arial"/>
                <w:bCs/>
                <w:color w:val="000000"/>
                <w:sz w:val="20"/>
              </w:rPr>
              <w:t>Ejecución del Programa de desarrollo rural 2014-2020 (fondo FEADER) E1:Q1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57FD" w14:textId="77777777" w:rsidR="00857A1C" w:rsidRPr="00A87B2F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A87B2F">
              <w:rPr>
                <w:rFonts w:cs="Arial"/>
                <w:color w:val="000000"/>
                <w:sz w:val="20"/>
              </w:rPr>
              <w:t>04.03.04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9E9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89,12 </w:t>
            </w:r>
          </w:p>
        </w:tc>
      </w:tr>
      <w:tr w:rsidR="00857A1C" w:rsidRPr="00857A1C" w14:paraId="7F149DD0" w14:textId="77777777" w:rsidTr="00933A30">
        <w:trPr>
          <w:trHeight w:val="27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5355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Inversiones en infraestructuras forestales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C38F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04.03.04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36E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</w:p>
        </w:tc>
      </w:tr>
      <w:tr w:rsidR="00857A1C" w:rsidRPr="00857A1C" w14:paraId="18C06F0C" w14:textId="77777777" w:rsidTr="00933A30">
        <w:trPr>
          <w:trHeight w:val="275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2002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Forestación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D8DA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08.01.01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DACA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100,00 </w:t>
            </w:r>
          </w:p>
        </w:tc>
      </w:tr>
      <w:tr w:rsidR="00857A1C" w:rsidRPr="00857A1C" w14:paraId="22FFB24C" w14:textId="77777777" w:rsidTr="00933A30">
        <w:trPr>
          <w:trHeight w:val="565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D5FC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Inversiones en la recuperación de valor medioambiental de los ecosistemas </w:t>
            </w:r>
            <w:proofErr w:type="spellStart"/>
            <w:r w:rsidRPr="00857A1C">
              <w:rPr>
                <w:rFonts w:cs="Arial"/>
                <w:color w:val="000000"/>
                <w:sz w:val="20"/>
              </w:rPr>
              <w:t>forastales</w:t>
            </w:r>
            <w:proofErr w:type="spellEnd"/>
            <w:r w:rsidRPr="00857A1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E7FB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08.05.01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744E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92,87 </w:t>
            </w:r>
          </w:p>
        </w:tc>
      </w:tr>
      <w:tr w:rsidR="00857A1C" w:rsidRPr="00857A1C" w14:paraId="12D3E1BC" w14:textId="77777777" w:rsidTr="00933A30">
        <w:trPr>
          <w:trHeight w:val="70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EE8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Inversiones en la recuperación de valor medioambiental de los ecosistemas </w:t>
            </w:r>
            <w:proofErr w:type="spellStart"/>
            <w:r w:rsidRPr="00857A1C">
              <w:rPr>
                <w:rFonts w:cs="Arial"/>
                <w:color w:val="000000"/>
                <w:sz w:val="20"/>
              </w:rPr>
              <w:t>forastales</w:t>
            </w:r>
            <w:proofErr w:type="spellEnd"/>
            <w:r w:rsidRPr="00857A1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4732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08.05.01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05A2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</w:p>
        </w:tc>
      </w:tr>
      <w:tr w:rsidR="00857A1C" w:rsidRPr="00857A1C" w14:paraId="6867A59A" w14:textId="77777777" w:rsidTr="00933A30">
        <w:trPr>
          <w:trHeight w:val="682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A084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Inversiones en la recuperación de valor medioambiental de los ecosistemas forestales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E323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08.05.01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80DF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</w:p>
        </w:tc>
      </w:tr>
      <w:tr w:rsidR="00857A1C" w:rsidRPr="00857A1C" w14:paraId="4980E9E1" w14:textId="77777777" w:rsidTr="00933A30">
        <w:trPr>
          <w:trHeight w:val="564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6CB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Inversiones en la transformación y comercialización primaria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1A1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08.06.01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BF4F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122,02 </w:t>
            </w:r>
          </w:p>
        </w:tc>
      </w:tr>
      <w:tr w:rsidR="00857A1C" w:rsidRPr="00857A1C" w14:paraId="5280E712" w14:textId="77777777" w:rsidTr="00933A30">
        <w:trPr>
          <w:trHeight w:val="41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2EB5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933A30">
              <w:rPr>
                <w:rFonts w:cs="Arial"/>
                <w:color w:val="000000"/>
                <w:sz w:val="20"/>
              </w:rPr>
              <w:t xml:space="preserve">Elaboración de planes </w:t>
            </w:r>
            <w:r w:rsidRPr="00857A1C">
              <w:rPr>
                <w:rFonts w:cs="Arial"/>
                <w:color w:val="000000"/>
                <w:sz w:val="20"/>
              </w:rPr>
              <w:t>de gestión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CB05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16.08.01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3CA3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96,06 </w:t>
            </w:r>
          </w:p>
        </w:tc>
      </w:tr>
      <w:tr w:rsidR="00857A1C" w:rsidRPr="00857A1C" w14:paraId="7051A986" w14:textId="77777777" w:rsidTr="00933A30">
        <w:trPr>
          <w:trHeight w:val="30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7DAC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933A30">
              <w:rPr>
                <w:rFonts w:cs="Arial"/>
                <w:color w:val="000000"/>
                <w:sz w:val="20"/>
              </w:rPr>
              <w:t>Elaboración de planes</w:t>
            </w:r>
            <w:r w:rsidRPr="00857A1C">
              <w:rPr>
                <w:rFonts w:cs="Arial"/>
                <w:color w:val="000000"/>
                <w:sz w:val="20"/>
              </w:rPr>
              <w:t xml:space="preserve"> de gestión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0B0D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16.08.01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A3DA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</w:p>
        </w:tc>
      </w:tr>
      <w:tr w:rsidR="00857A1C" w:rsidRPr="00857A1C" w14:paraId="1C6D0EF2" w14:textId="77777777" w:rsidTr="00933A30">
        <w:trPr>
          <w:trHeight w:val="52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76E3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Reparación de los daños forestales por incendios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AA05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08.04.01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6D91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92,57 </w:t>
            </w:r>
          </w:p>
        </w:tc>
      </w:tr>
      <w:tr w:rsidR="00857A1C" w:rsidRPr="00857A1C" w14:paraId="04EF54EB" w14:textId="77777777" w:rsidTr="00933A30">
        <w:trPr>
          <w:trHeight w:val="57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2764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Prevención de los daños forestales por incendios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A21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08.03.01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6C74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101,10 </w:t>
            </w:r>
          </w:p>
        </w:tc>
      </w:tr>
      <w:tr w:rsidR="00857A1C" w:rsidRPr="00857A1C" w14:paraId="67F466CB" w14:textId="77777777" w:rsidTr="00933A30">
        <w:trPr>
          <w:trHeight w:val="274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6661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 Inversiones Patrimonio rural. Convenios para la conservación del patrimonio natural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7B1E" w14:textId="77777777" w:rsidR="00857A1C" w:rsidRPr="00857A1C" w:rsidRDefault="00857A1C" w:rsidP="00857A1C">
            <w:pPr>
              <w:spacing w:line="240" w:lineRule="auto"/>
              <w:jc w:val="left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>07.08.01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0CAF" w14:textId="77777777" w:rsidR="00857A1C" w:rsidRPr="00857A1C" w:rsidRDefault="00857A1C" w:rsidP="00857A1C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857A1C">
              <w:rPr>
                <w:rFonts w:cs="Arial"/>
                <w:color w:val="000000"/>
                <w:sz w:val="20"/>
              </w:rPr>
              <w:t xml:space="preserve">91,21 </w:t>
            </w:r>
          </w:p>
        </w:tc>
      </w:tr>
    </w:tbl>
    <w:p w14:paraId="2618760E" w14:textId="77777777" w:rsidR="000B4556" w:rsidRDefault="000B4556" w:rsidP="00323423">
      <w:pPr>
        <w:rPr>
          <w:rFonts w:cs="Arial"/>
          <w:color w:val="000000"/>
          <w:szCs w:val="24"/>
        </w:rPr>
      </w:pPr>
    </w:p>
    <w:p w14:paraId="1375B7AD" w14:textId="77777777" w:rsidR="000B4556" w:rsidRDefault="000B4556" w:rsidP="00323423">
      <w:pPr>
        <w:rPr>
          <w:rFonts w:cs="Arial"/>
          <w:color w:val="000000"/>
          <w:szCs w:val="24"/>
        </w:rPr>
      </w:pPr>
    </w:p>
    <w:p w14:paraId="2614315B" w14:textId="77777777" w:rsidR="00FB639F" w:rsidRDefault="00933A30" w:rsidP="00857A1C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Para aportar un mayor detalle por anualidades se ha recurrido a las partidas presupuestarias de cada anualidad a la que se cargan los gastos asociados a las medidas anteriormente indicadas</w:t>
      </w:r>
      <w:r w:rsidR="00FB639F">
        <w:rPr>
          <w:rFonts w:cs="Arial"/>
          <w:color w:val="000000"/>
          <w:szCs w:val="24"/>
        </w:rPr>
        <w:t>.</w:t>
      </w:r>
    </w:p>
    <w:p w14:paraId="6FB62ACD" w14:textId="77777777" w:rsidR="002C6161" w:rsidRDefault="002C6161" w:rsidP="00857A1C">
      <w:pPr>
        <w:rPr>
          <w:rFonts w:cs="Arial"/>
          <w:color w:val="000000"/>
          <w:szCs w:val="24"/>
        </w:rPr>
      </w:pPr>
    </w:p>
    <w:p w14:paraId="3A94E3E6" w14:textId="77777777" w:rsidR="0080169C" w:rsidRDefault="0080169C" w:rsidP="00857A1C">
      <w:pPr>
        <w:rPr>
          <w:rFonts w:cs="Arial"/>
          <w:color w:val="000000"/>
          <w:szCs w:val="24"/>
        </w:rPr>
        <w:sectPr w:rsidR="0080169C" w:rsidSect="00097D43">
          <w:footerReference w:type="even" r:id="rId7"/>
          <w:pgSz w:w="11906" w:h="16838" w:code="9"/>
          <w:pgMar w:top="1985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rFonts w:cs="Arial"/>
          <w:color w:val="000000"/>
          <w:szCs w:val="24"/>
        </w:rPr>
        <w:t>Los pagos de 2025 se computarán a fin del ejercicio contable.</w:t>
      </w:r>
    </w:p>
    <w:p w14:paraId="7CF7B7E8" w14:textId="77777777" w:rsidR="00933A30" w:rsidRDefault="00933A30" w:rsidP="00857A1C">
      <w:pPr>
        <w:rPr>
          <w:rFonts w:cs="Arial"/>
          <w:color w:val="000000"/>
          <w:szCs w:val="24"/>
        </w:rPr>
      </w:pPr>
    </w:p>
    <w:p w14:paraId="465738D1" w14:textId="77777777" w:rsidR="00FB639F" w:rsidRDefault="00FB639F">
      <w:pPr>
        <w:spacing w:line="240" w:lineRule="auto"/>
        <w:jc w:val="left"/>
        <w:rPr>
          <w:rFonts w:cs="Arial"/>
          <w:i/>
          <w:color w:val="000000"/>
          <w:u w:val="single"/>
        </w:rPr>
      </w:pPr>
      <w:r w:rsidRPr="00FB639F">
        <w:rPr>
          <w:noProof/>
        </w:rPr>
        <w:drawing>
          <wp:inline distT="0" distB="0" distL="0" distR="0" wp14:anchorId="5CCFEE61" wp14:editId="2FF8F1F4">
            <wp:extent cx="8531225" cy="3876703"/>
            <wp:effectExtent l="0" t="0" r="317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225" cy="38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562" w14:textId="77777777" w:rsidR="00FB639F" w:rsidRDefault="00FB639F">
      <w:pPr>
        <w:spacing w:line="240" w:lineRule="auto"/>
        <w:jc w:val="left"/>
        <w:rPr>
          <w:rFonts w:cs="Arial"/>
          <w:i/>
          <w:color w:val="000000"/>
          <w:u w:val="single"/>
        </w:rPr>
      </w:pPr>
    </w:p>
    <w:p w14:paraId="6D42E0B4" w14:textId="77777777" w:rsidR="00FB639F" w:rsidRDefault="00FB639F">
      <w:pPr>
        <w:spacing w:line="240" w:lineRule="auto"/>
        <w:jc w:val="left"/>
        <w:rPr>
          <w:rFonts w:cs="Arial"/>
          <w:i/>
          <w:color w:val="000000"/>
          <w:u w:val="single"/>
        </w:rPr>
      </w:pPr>
    </w:p>
    <w:p w14:paraId="39B34AC2" w14:textId="77777777" w:rsidR="00FB639F" w:rsidRDefault="00FB639F">
      <w:pPr>
        <w:spacing w:line="240" w:lineRule="auto"/>
        <w:jc w:val="left"/>
        <w:rPr>
          <w:rFonts w:cs="Arial"/>
          <w:i/>
          <w:color w:val="000000"/>
          <w:szCs w:val="24"/>
          <w:u w:val="single"/>
        </w:rPr>
        <w:sectPr w:rsidR="00FB639F" w:rsidSect="00FB639F">
          <w:pgSz w:w="16838" w:h="11906" w:orient="landscape" w:code="9"/>
          <w:pgMar w:top="1701" w:right="2663" w:bottom="1701" w:left="709" w:header="709" w:footer="709" w:gutter="0"/>
          <w:pgNumType w:start="1"/>
          <w:cols w:space="708"/>
          <w:docGrid w:linePitch="360"/>
        </w:sectPr>
      </w:pPr>
      <w:r>
        <w:rPr>
          <w:rFonts w:cs="Arial"/>
          <w:i/>
          <w:color w:val="000000"/>
          <w:szCs w:val="24"/>
          <w:u w:val="single"/>
        </w:rPr>
        <w:br w:type="page"/>
      </w:r>
    </w:p>
    <w:p w14:paraId="2E47C793" w14:textId="77777777" w:rsidR="00FB639F" w:rsidRDefault="00FB639F">
      <w:pPr>
        <w:spacing w:line="240" w:lineRule="auto"/>
        <w:jc w:val="left"/>
        <w:rPr>
          <w:rFonts w:cs="Arial"/>
          <w:i/>
          <w:color w:val="000000"/>
          <w:szCs w:val="24"/>
          <w:u w:val="single"/>
        </w:rPr>
      </w:pPr>
    </w:p>
    <w:p w14:paraId="12C016BD" w14:textId="77777777" w:rsidR="00097D43" w:rsidRDefault="00097D43">
      <w:pPr>
        <w:spacing w:line="240" w:lineRule="auto"/>
        <w:jc w:val="left"/>
        <w:rPr>
          <w:rFonts w:cs="Arial"/>
          <w:i/>
          <w:color w:val="000000"/>
          <w:szCs w:val="24"/>
          <w:u w:val="single"/>
        </w:rPr>
      </w:pPr>
    </w:p>
    <w:p w14:paraId="6E351D4F" w14:textId="77777777" w:rsidR="002C6161" w:rsidRDefault="00814824" w:rsidP="002C6161">
      <w:pPr>
        <w:rPr>
          <w:rFonts w:cs="Arial"/>
          <w:color w:val="000000"/>
          <w:szCs w:val="24"/>
        </w:rPr>
      </w:pPr>
      <w:r w:rsidRPr="002C6161">
        <w:rPr>
          <w:rFonts w:cs="Arial"/>
          <w:b/>
          <w:color w:val="000000"/>
          <w:szCs w:val="24"/>
        </w:rPr>
        <w:t>En relación a los fondos asociados al Mecanismo de Recuperación y Resiliencia de la UE</w:t>
      </w:r>
      <w:r w:rsidR="002C6161">
        <w:rPr>
          <w:rFonts w:cs="Arial"/>
          <w:color w:val="000000"/>
          <w:szCs w:val="24"/>
        </w:rPr>
        <w:t xml:space="preserve"> y vinculados a las acciones señaladas en la pregunta, los mismos fueron aprobados en</w:t>
      </w:r>
      <w:r>
        <w:rPr>
          <w:rFonts w:cs="Arial"/>
          <w:color w:val="000000"/>
          <w:szCs w:val="24"/>
        </w:rPr>
        <w:t xml:space="preserve"> </w:t>
      </w:r>
      <w:r w:rsidR="002C6161">
        <w:rPr>
          <w:rFonts w:cs="Arial"/>
          <w:color w:val="000000"/>
          <w:szCs w:val="24"/>
        </w:rPr>
        <w:t>la</w:t>
      </w:r>
      <w:r w:rsidR="002C6161" w:rsidRPr="002C6161">
        <w:rPr>
          <w:rFonts w:cs="Arial"/>
          <w:color w:val="000000"/>
          <w:szCs w:val="24"/>
        </w:rPr>
        <w:t xml:space="preserve"> Sesión de la Conferencia Sectorial de Medio Ambiente celebrada en la</w:t>
      </w:r>
      <w:r w:rsidR="002C6161">
        <w:rPr>
          <w:rFonts w:cs="Arial"/>
          <w:color w:val="000000"/>
          <w:szCs w:val="24"/>
        </w:rPr>
        <w:t xml:space="preserve"> </w:t>
      </w:r>
      <w:r w:rsidR="002C6161" w:rsidRPr="002C6161">
        <w:rPr>
          <w:rFonts w:cs="Arial"/>
          <w:color w:val="000000"/>
          <w:szCs w:val="24"/>
        </w:rPr>
        <w:t xml:space="preserve">fecha de 15 de diciembre de 2021, </w:t>
      </w:r>
      <w:r w:rsidR="002C6161">
        <w:rPr>
          <w:rFonts w:cs="Arial"/>
          <w:color w:val="000000"/>
          <w:szCs w:val="24"/>
        </w:rPr>
        <w:t>de aprobación del</w:t>
      </w:r>
      <w:r w:rsidR="002C6161" w:rsidRPr="002C6161">
        <w:rPr>
          <w:rFonts w:cs="Arial"/>
          <w:color w:val="000000"/>
          <w:szCs w:val="24"/>
        </w:rPr>
        <w:t xml:space="preserve"> “Acuerdo por el que se aprueba la segunda distribución de créditos relativos al componente 4 “Conservación y restauración de ecosistemas y su biodiversidad” del Plan de Recuperación,</w:t>
      </w:r>
      <w:r w:rsidR="002C6161">
        <w:rPr>
          <w:rFonts w:cs="Arial"/>
          <w:color w:val="000000"/>
          <w:szCs w:val="24"/>
        </w:rPr>
        <w:t xml:space="preserve"> </w:t>
      </w:r>
      <w:r w:rsidR="002C6161" w:rsidRPr="002C6161">
        <w:rPr>
          <w:rFonts w:cs="Arial"/>
          <w:color w:val="000000"/>
          <w:szCs w:val="24"/>
        </w:rPr>
        <w:t>Transformación y Resiliencia, según los criterios aprobados el 9 de julio</w:t>
      </w:r>
      <w:r w:rsidR="002C6161">
        <w:rPr>
          <w:rFonts w:cs="Arial"/>
          <w:color w:val="000000"/>
          <w:szCs w:val="24"/>
        </w:rPr>
        <w:t>.</w:t>
      </w:r>
    </w:p>
    <w:p w14:paraId="06B258F0" w14:textId="77777777" w:rsidR="002C6161" w:rsidRPr="002C6161" w:rsidRDefault="002C6161" w:rsidP="002C6161">
      <w:pPr>
        <w:rPr>
          <w:rFonts w:cs="Arial"/>
          <w:color w:val="000000"/>
          <w:szCs w:val="24"/>
        </w:rPr>
      </w:pPr>
      <w:r w:rsidRPr="002C6161">
        <w:rPr>
          <w:rFonts w:cs="Arial"/>
          <w:color w:val="000000"/>
          <w:szCs w:val="24"/>
        </w:rPr>
        <w:t xml:space="preserve"> </w:t>
      </w:r>
    </w:p>
    <w:p w14:paraId="030A9EC5" w14:textId="77777777" w:rsidR="002C6161" w:rsidRDefault="002C6161" w:rsidP="002C6161">
      <w:pPr>
        <w:rPr>
          <w:rFonts w:cs="Arial"/>
          <w:color w:val="000000"/>
          <w:szCs w:val="24"/>
        </w:rPr>
      </w:pPr>
      <w:r w:rsidRPr="002C6161">
        <w:rPr>
          <w:rFonts w:cs="Arial"/>
          <w:color w:val="000000"/>
          <w:szCs w:val="24"/>
        </w:rPr>
        <w:t>Entre las diversas actuaciones que corresponden a la Comunidad Foral de</w:t>
      </w:r>
      <w:r>
        <w:rPr>
          <w:rFonts w:cs="Arial"/>
          <w:color w:val="000000"/>
          <w:szCs w:val="24"/>
        </w:rPr>
        <w:t xml:space="preserve"> </w:t>
      </w:r>
      <w:r w:rsidRPr="002C6161">
        <w:rPr>
          <w:rFonts w:cs="Arial"/>
          <w:color w:val="000000"/>
          <w:szCs w:val="24"/>
        </w:rPr>
        <w:t>Navarra se encuentra</w:t>
      </w:r>
      <w:r>
        <w:rPr>
          <w:rFonts w:cs="Arial"/>
          <w:color w:val="000000"/>
          <w:szCs w:val="24"/>
        </w:rPr>
        <w:t>n las siguientes</w:t>
      </w:r>
      <w:r w:rsidR="00683CD1">
        <w:rPr>
          <w:rFonts w:cs="Arial"/>
          <w:color w:val="000000"/>
          <w:szCs w:val="24"/>
        </w:rPr>
        <w:t xml:space="preserve"> que son las que se consideran relacionadas con las materias objeto de consulta.</w:t>
      </w:r>
    </w:p>
    <w:p w14:paraId="4979AC28" w14:textId="77777777" w:rsidR="002C6161" w:rsidRDefault="002C6161" w:rsidP="00683CD1">
      <w:pPr>
        <w:pStyle w:val="Prrafodelista"/>
        <w:numPr>
          <w:ilvl w:val="0"/>
          <w:numId w:val="24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Mejora de masas forestales en fincas del Patrimonio Forestal de Navarra</w:t>
      </w:r>
      <w:r w:rsidR="00683CD1">
        <w:rPr>
          <w:rFonts w:cs="Arial"/>
          <w:color w:val="000000"/>
        </w:rPr>
        <w:t>. 600.000 €</w:t>
      </w:r>
    </w:p>
    <w:p w14:paraId="5BCE4409" w14:textId="77777777" w:rsidR="002C6161" w:rsidRDefault="002C6161" w:rsidP="00683CD1">
      <w:pPr>
        <w:pStyle w:val="Prrafodelista"/>
        <w:numPr>
          <w:ilvl w:val="0"/>
          <w:numId w:val="24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Restauración de zonas afectadas por plagas, enfermedades e incendios</w:t>
      </w:r>
      <w:r w:rsidR="00683CD1">
        <w:rPr>
          <w:rFonts w:cs="Arial"/>
          <w:color w:val="000000"/>
        </w:rPr>
        <w:t>. 1.200.000 €</w:t>
      </w:r>
    </w:p>
    <w:p w14:paraId="13150562" w14:textId="77777777" w:rsidR="002C6161" w:rsidRDefault="002C6161" w:rsidP="00683CD1">
      <w:pPr>
        <w:pStyle w:val="Prrafodelista"/>
        <w:numPr>
          <w:ilvl w:val="0"/>
          <w:numId w:val="24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Fomento de una gestión territorial preventiva</w:t>
      </w:r>
      <w:r w:rsidR="00683CD1">
        <w:rPr>
          <w:rFonts w:cs="Arial"/>
          <w:color w:val="000000"/>
        </w:rPr>
        <w:t>, prevención de incendios basada fundamentalmente en el fomento de la ganadería extensiva en la zona media de Navarra. 450.000 €</w:t>
      </w:r>
    </w:p>
    <w:p w14:paraId="287C3A99" w14:textId="77777777" w:rsidR="00683CD1" w:rsidRDefault="00683CD1" w:rsidP="00683CD1">
      <w:pPr>
        <w:pStyle w:val="Prrafodelista"/>
        <w:numPr>
          <w:ilvl w:val="0"/>
          <w:numId w:val="24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Gestión forestal, ganadería extensiva y prevención de incendios en la comarca de Pamplona. 600.000 €</w:t>
      </w:r>
      <w:r w:rsidR="008F3D22">
        <w:rPr>
          <w:rFonts w:cs="Arial"/>
          <w:color w:val="000000"/>
        </w:rPr>
        <w:t>. Incrementado en 2022 hasta la cantidad de 774.580 €</w:t>
      </w:r>
    </w:p>
    <w:p w14:paraId="40E0C9B0" w14:textId="77777777" w:rsidR="00683CD1" w:rsidRPr="002C6161" w:rsidRDefault="00683CD1" w:rsidP="00683CD1">
      <w:pPr>
        <w:pStyle w:val="Prrafodelista"/>
        <w:numPr>
          <w:ilvl w:val="0"/>
          <w:numId w:val="24"/>
        </w:num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Adquisición de material informático y vehículos terrestres para incendios. 1.200.000 €</w:t>
      </w:r>
    </w:p>
    <w:p w14:paraId="0AA63111" w14:textId="77777777" w:rsidR="002C6161" w:rsidRDefault="002C6161" w:rsidP="002C6161">
      <w:pPr>
        <w:rPr>
          <w:rFonts w:cs="Arial"/>
          <w:color w:val="000000"/>
          <w:szCs w:val="24"/>
        </w:rPr>
      </w:pPr>
    </w:p>
    <w:p w14:paraId="24B521A2" w14:textId="77777777" w:rsidR="00683CD1" w:rsidRDefault="00683CD1" w:rsidP="002C616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Se adjunta tabla resumen del grado de ejecución por anualidades de cada una de estas actuaciones.</w:t>
      </w:r>
      <w:r w:rsidR="00F767BB">
        <w:rPr>
          <w:rFonts w:cs="Arial"/>
          <w:color w:val="000000"/>
          <w:szCs w:val="24"/>
        </w:rPr>
        <w:t xml:space="preserve"> El grado de ejecución en el momento actual se sitúa en un 84,49%</w:t>
      </w:r>
    </w:p>
    <w:p w14:paraId="53D81021" w14:textId="77777777" w:rsidR="00F767BB" w:rsidRDefault="00F767BB" w:rsidP="002C6161">
      <w:pPr>
        <w:rPr>
          <w:rFonts w:cs="Arial"/>
          <w:color w:val="000000"/>
          <w:szCs w:val="24"/>
        </w:rPr>
      </w:pPr>
    </w:p>
    <w:p w14:paraId="22EF9862" w14:textId="77777777" w:rsidR="0080169C" w:rsidRDefault="0080169C" w:rsidP="002C616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Los pagos de 2025 se computarán a fin de ejercicio contable.</w:t>
      </w:r>
    </w:p>
    <w:p w14:paraId="5CB5ABA3" w14:textId="77777777" w:rsidR="00683CD1" w:rsidRDefault="00683CD1" w:rsidP="002C6161">
      <w:pPr>
        <w:rPr>
          <w:rFonts w:cs="Arial"/>
          <w:color w:val="000000"/>
          <w:szCs w:val="24"/>
        </w:rPr>
      </w:pPr>
    </w:p>
    <w:p w14:paraId="4086635B" w14:textId="77777777" w:rsidR="00097D43" w:rsidRDefault="00097D43" w:rsidP="002C6161">
      <w:pPr>
        <w:rPr>
          <w:rFonts w:cs="Arial"/>
          <w:color w:val="000000"/>
          <w:szCs w:val="24"/>
        </w:rPr>
      </w:pPr>
    </w:p>
    <w:p w14:paraId="7E9E7D69" w14:textId="77777777" w:rsidR="00097D43" w:rsidRDefault="00097D43" w:rsidP="002C6161">
      <w:pPr>
        <w:rPr>
          <w:rFonts w:cs="Arial"/>
          <w:color w:val="000000"/>
          <w:szCs w:val="24"/>
        </w:rPr>
      </w:pPr>
    </w:p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3046"/>
        <w:gridCol w:w="1217"/>
        <w:gridCol w:w="1217"/>
        <w:gridCol w:w="1217"/>
        <w:gridCol w:w="1945"/>
      </w:tblGrid>
      <w:tr w:rsidR="00484D84" w14:paraId="5BE164D7" w14:textId="77777777" w:rsidTr="003F150F">
        <w:trPr>
          <w:jc w:val="center"/>
        </w:trPr>
        <w:tc>
          <w:tcPr>
            <w:tcW w:w="3046" w:type="dxa"/>
          </w:tcPr>
          <w:p w14:paraId="213E1FCE" w14:textId="77777777" w:rsidR="00484D84" w:rsidRPr="00683CD1" w:rsidRDefault="00484D84" w:rsidP="00683CD1">
            <w:pPr>
              <w:jc w:val="center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3CD1">
              <w:rPr>
                <w:rFonts w:cs="Arial"/>
                <w:b/>
                <w:color w:val="000000"/>
                <w:sz w:val="20"/>
                <w:u w:val="single"/>
              </w:rPr>
              <w:t>Actuación</w:t>
            </w:r>
          </w:p>
        </w:tc>
        <w:tc>
          <w:tcPr>
            <w:tcW w:w="1217" w:type="dxa"/>
          </w:tcPr>
          <w:p w14:paraId="6756E2A6" w14:textId="77777777" w:rsidR="00484D84" w:rsidRPr="00683CD1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683CD1">
              <w:rPr>
                <w:rFonts w:cs="Arial"/>
                <w:b/>
                <w:color w:val="000000"/>
                <w:sz w:val="20"/>
              </w:rPr>
              <w:t>2022</w:t>
            </w:r>
          </w:p>
        </w:tc>
        <w:tc>
          <w:tcPr>
            <w:tcW w:w="1217" w:type="dxa"/>
          </w:tcPr>
          <w:p w14:paraId="0B41D8B8" w14:textId="77777777" w:rsidR="00484D84" w:rsidRPr="00683CD1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683CD1">
              <w:rPr>
                <w:rFonts w:cs="Arial"/>
                <w:b/>
                <w:color w:val="000000"/>
                <w:sz w:val="20"/>
              </w:rPr>
              <w:t>2023</w:t>
            </w:r>
          </w:p>
        </w:tc>
        <w:tc>
          <w:tcPr>
            <w:tcW w:w="1217" w:type="dxa"/>
          </w:tcPr>
          <w:p w14:paraId="7823B939" w14:textId="77777777" w:rsidR="00484D84" w:rsidRPr="00683CD1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683CD1">
              <w:rPr>
                <w:rFonts w:cs="Arial"/>
                <w:b/>
                <w:color w:val="000000"/>
                <w:sz w:val="20"/>
              </w:rPr>
              <w:t>2024</w:t>
            </w:r>
          </w:p>
        </w:tc>
        <w:tc>
          <w:tcPr>
            <w:tcW w:w="1945" w:type="dxa"/>
          </w:tcPr>
          <w:p w14:paraId="0D85AA42" w14:textId="77777777" w:rsidR="00484D84" w:rsidRPr="00683CD1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Total</w:t>
            </w:r>
          </w:p>
        </w:tc>
      </w:tr>
      <w:tr w:rsidR="00484D84" w14:paraId="3E656C41" w14:textId="77777777" w:rsidTr="003F150F">
        <w:trPr>
          <w:jc w:val="center"/>
        </w:trPr>
        <w:tc>
          <w:tcPr>
            <w:tcW w:w="3046" w:type="dxa"/>
            <w:vAlign w:val="center"/>
          </w:tcPr>
          <w:p w14:paraId="70E67527" w14:textId="77777777" w:rsidR="00484D84" w:rsidRPr="00683CD1" w:rsidRDefault="00484D84" w:rsidP="00683CD1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Mejora masas fincas PFN</w:t>
            </w:r>
          </w:p>
        </w:tc>
        <w:tc>
          <w:tcPr>
            <w:tcW w:w="1217" w:type="dxa"/>
            <w:vAlign w:val="center"/>
          </w:tcPr>
          <w:p w14:paraId="54294C55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4F6239C3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961,95</w:t>
            </w:r>
          </w:p>
        </w:tc>
        <w:tc>
          <w:tcPr>
            <w:tcW w:w="1217" w:type="dxa"/>
            <w:vAlign w:val="center"/>
          </w:tcPr>
          <w:p w14:paraId="064EC25D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46.222</w:t>
            </w:r>
          </w:p>
        </w:tc>
        <w:tc>
          <w:tcPr>
            <w:tcW w:w="1945" w:type="dxa"/>
            <w:vAlign w:val="center"/>
          </w:tcPr>
          <w:p w14:paraId="16831911" w14:textId="77777777" w:rsidR="00484D84" w:rsidRPr="00C91464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C91464">
              <w:rPr>
                <w:rFonts w:cs="Arial"/>
                <w:b/>
                <w:color w:val="000000"/>
                <w:sz w:val="20"/>
              </w:rPr>
              <w:t>47.183,95 €</w:t>
            </w:r>
          </w:p>
        </w:tc>
      </w:tr>
      <w:tr w:rsidR="00484D84" w14:paraId="19CB6D36" w14:textId="77777777" w:rsidTr="003F150F">
        <w:trPr>
          <w:jc w:val="center"/>
        </w:trPr>
        <w:tc>
          <w:tcPr>
            <w:tcW w:w="3046" w:type="dxa"/>
            <w:vAlign w:val="center"/>
          </w:tcPr>
          <w:p w14:paraId="53F6D39A" w14:textId="77777777" w:rsidR="00484D84" w:rsidRPr="00683CD1" w:rsidRDefault="00484D84" w:rsidP="00683CD1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Restauración zonas afectadas</w:t>
            </w:r>
          </w:p>
        </w:tc>
        <w:tc>
          <w:tcPr>
            <w:tcW w:w="1217" w:type="dxa"/>
            <w:vAlign w:val="center"/>
          </w:tcPr>
          <w:p w14:paraId="3F209A8E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60D60ABB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400.002,81</w:t>
            </w:r>
          </w:p>
        </w:tc>
        <w:tc>
          <w:tcPr>
            <w:tcW w:w="1217" w:type="dxa"/>
            <w:vAlign w:val="center"/>
          </w:tcPr>
          <w:p w14:paraId="0E669D46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628.727,31</w:t>
            </w:r>
          </w:p>
        </w:tc>
        <w:tc>
          <w:tcPr>
            <w:tcW w:w="1945" w:type="dxa"/>
            <w:vAlign w:val="center"/>
          </w:tcPr>
          <w:p w14:paraId="11AC4B24" w14:textId="77777777" w:rsidR="00484D84" w:rsidRPr="00C91464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C91464">
              <w:rPr>
                <w:rFonts w:cs="Arial"/>
                <w:b/>
                <w:color w:val="000000"/>
                <w:sz w:val="20"/>
              </w:rPr>
              <w:t>1.028.730,12 €</w:t>
            </w:r>
          </w:p>
        </w:tc>
      </w:tr>
      <w:tr w:rsidR="00484D84" w14:paraId="7F04E1BF" w14:textId="77777777" w:rsidTr="003F150F">
        <w:trPr>
          <w:jc w:val="center"/>
        </w:trPr>
        <w:tc>
          <w:tcPr>
            <w:tcW w:w="3046" w:type="dxa"/>
            <w:vAlign w:val="center"/>
          </w:tcPr>
          <w:p w14:paraId="2C296EE2" w14:textId="77777777" w:rsidR="00484D84" w:rsidRPr="00683CD1" w:rsidRDefault="00484D84" w:rsidP="00683CD1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Fomento gestión zona media</w:t>
            </w:r>
          </w:p>
        </w:tc>
        <w:tc>
          <w:tcPr>
            <w:tcW w:w="1217" w:type="dxa"/>
            <w:vAlign w:val="center"/>
          </w:tcPr>
          <w:p w14:paraId="4C8FABC4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49.296,63</w:t>
            </w:r>
          </w:p>
        </w:tc>
        <w:tc>
          <w:tcPr>
            <w:tcW w:w="1217" w:type="dxa"/>
            <w:vAlign w:val="center"/>
          </w:tcPr>
          <w:p w14:paraId="3EBD6BF9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406.990,35</w:t>
            </w:r>
          </w:p>
        </w:tc>
        <w:tc>
          <w:tcPr>
            <w:tcW w:w="1217" w:type="dxa"/>
            <w:vAlign w:val="center"/>
          </w:tcPr>
          <w:p w14:paraId="03E40D45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945" w:type="dxa"/>
            <w:vAlign w:val="center"/>
          </w:tcPr>
          <w:p w14:paraId="5EDDD36D" w14:textId="77777777" w:rsidR="00484D84" w:rsidRPr="00C91464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C91464">
              <w:rPr>
                <w:rFonts w:cs="Arial"/>
                <w:b/>
                <w:color w:val="000000"/>
                <w:sz w:val="20"/>
              </w:rPr>
              <w:t>456.286,98 €</w:t>
            </w:r>
          </w:p>
        </w:tc>
      </w:tr>
      <w:tr w:rsidR="00484D84" w14:paraId="4CE17814" w14:textId="77777777" w:rsidTr="003F150F">
        <w:trPr>
          <w:jc w:val="center"/>
        </w:trPr>
        <w:tc>
          <w:tcPr>
            <w:tcW w:w="3046" w:type="dxa"/>
            <w:vAlign w:val="center"/>
          </w:tcPr>
          <w:p w14:paraId="795564D4" w14:textId="77777777" w:rsidR="00484D84" w:rsidRPr="00683CD1" w:rsidRDefault="00484D84" w:rsidP="00683CD1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Fomento gestión comarca Pamplona</w:t>
            </w:r>
          </w:p>
        </w:tc>
        <w:tc>
          <w:tcPr>
            <w:tcW w:w="1217" w:type="dxa"/>
            <w:vAlign w:val="center"/>
          </w:tcPr>
          <w:p w14:paraId="5C0A1060" w14:textId="77777777" w:rsidR="00484D84" w:rsidRPr="00683CD1" w:rsidRDefault="00C9146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152.314,77</w:t>
            </w:r>
          </w:p>
        </w:tc>
        <w:tc>
          <w:tcPr>
            <w:tcW w:w="1217" w:type="dxa"/>
            <w:vAlign w:val="center"/>
          </w:tcPr>
          <w:p w14:paraId="09231A5B" w14:textId="77777777" w:rsidR="00484D84" w:rsidRPr="00683CD1" w:rsidRDefault="00C9146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759.580,27</w:t>
            </w:r>
          </w:p>
        </w:tc>
        <w:tc>
          <w:tcPr>
            <w:tcW w:w="1217" w:type="dxa"/>
            <w:vAlign w:val="center"/>
          </w:tcPr>
          <w:p w14:paraId="22B6C29E" w14:textId="77777777" w:rsidR="00484D84" w:rsidRPr="00683CD1" w:rsidRDefault="00C91464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945" w:type="dxa"/>
            <w:vAlign w:val="center"/>
          </w:tcPr>
          <w:p w14:paraId="5854EBA8" w14:textId="77777777" w:rsidR="00484D84" w:rsidRPr="00C91464" w:rsidRDefault="00C9146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911.895,04 €</w:t>
            </w:r>
          </w:p>
        </w:tc>
      </w:tr>
      <w:tr w:rsidR="00484D84" w14:paraId="65627EC8" w14:textId="77777777" w:rsidTr="003F150F">
        <w:trPr>
          <w:jc w:val="center"/>
        </w:trPr>
        <w:tc>
          <w:tcPr>
            <w:tcW w:w="3046" w:type="dxa"/>
            <w:vAlign w:val="center"/>
          </w:tcPr>
          <w:p w14:paraId="00C86E43" w14:textId="77777777" w:rsidR="00484D84" w:rsidRPr="00683CD1" w:rsidRDefault="00484D84" w:rsidP="00683CD1">
            <w:pPr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Adquisición vehículos</w:t>
            </w:r>
            <w:r w:rsidR="008F3D22">
              <w:rPr>
                <w:rFonts w:cs="Arial"/>
                <w:color w:val="000000"/>
                <w:sz w:val="20"/>
              </w:rPr>
              <w:t xml:space="preserve"> (</w:t>
            </w:r>
            <w:proofErr w:type="spellStart"/>
            <w:r w:rsidR="008F3D22">
              <w:rPr>
                <w:rFonts w:cs="Arial"/>
                <w:color w:val="000000"/>
                <w:sz w:val="20"/>
              </w:rPr>
              <w:t>DGInterior</w:t>
            </w:r>
            <w:proofErr w:type="spellEnd"/>
            <w:r w:rsidR="008F3D22"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217" w:type="dxa"/>
            <w:vAlign w:val="center"/>
          </w:tcPr>
          <w:p w14:paraId="243AAF66" w14:textId="77777777" w:rsidR="00484D84" w:rsidRPr="00683CD1" w:rsidRDefault="003F150F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7A67923A" w14:textId="77777777" w:rsidR="00484D84" w:rsidRPr="00683CD1" w:rsidRDefault="003F150F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1.125.227</w:t>
            </w:r>
          </w:p>
        </w:tc>
        <w:tc>
          <w:tcPr>
            <w:tcW w:w="1217" w:type="dxa"/>
            <w:vAlign w:val="center"/>
          </w:tcPr>
          <w:p w14:paraId="7261ACEC" w14:textId="77777777" w:rsidR="00484D84" w:rsidRPr="00683CD1" w:rsidRDefault="003F150F" w:rsidP="00683CD1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945" w:type="dxa"/>
            <w:vAlign w:val="center"/>
          </w:tcPr>
          <w:p w14:paraId="2833C6E8" w14:textId="77777777" w:rsidR="00484D84" w:rsidRPr="00C91464" w:rsidRDefault="003F150F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1.125.227,00 €</w:t>
            </w:r>
          </w:p>
        </w:tc>
      </w:tr>
      <w:tr w:rsidR="00484D84" w14:paraId="0FFC2BBA" w14:textId="77777777" w:rsidTr="003F150F">
        <w:trPr>
          <w:jc w:val="center"/>
        </w:trPr>
        <w:tc>
          <w:tcPr>
            <w:tcW w:w="3046" w:type="dxa"/>
            <w:vAlign w:val="center"/>
          </w:tcPr>
          <w:p w14:paraId="0EA6A9F5" w14:textId="77777777" w:rsidR="00484D84" w:rsidRPr="00683CD1" w:rsidRDefault="00484D84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683CD1">
              <w:rPr>
                <w:rFonts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217" w:type="dxa"/>
            <w:vAlign w:val="center"/>
          </w:tcPr>
          <w:p w14:paraId="2AD2D3AD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750F6C1C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6BB36D53" w14:textId="77777777" w:rsidR="00484D84" w:rsidRPr="00683CD1" w:rsidRDefault="00484D84" w:rsidP="00683CD1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5" w:type="dxa"/>
            <w:vAlign w:val="center"/>
          </w:tcPr>
          <w:p w14:paraId="5D75EC6E" w14:textId="77777777" w:rsidR="00484D84" w:rsidRPr="00C91464" w:rsidRDefault="003F150F" w:rsidP="00683CD1">
            <w:pPr>
              <w:jc w:val="right"/>
              <w:rPr>
                <w:rFonts w:cs="Arial"/>
                <w:b/>
                <w:color w:val="000000"/>
                <w:sz w:val="20"/>
              </w:rPr>
            </w:pPr>
            <w:r w:rsidRPr="003F150F">
              <w:rPr>
                <w:rFonts w:cs="Arial"/>
                <w:b/>
                <w:color w:val="000000"/>
                <w:sz w:val="20"/>
              </w:rPr>
              <w:t>3.569.323,09</w:t>
            </w:r>
            <w:r>
              <w:rPr>
                <w:rFonts w:cs="Arial"/>
                <w:b/>
                <w:color w:val="000000"/>
                <w:sz w:val="20"/>
              </w:rPr>
              <w:t>,00 €</w:t>
            </w:r>
          </w:p>
        </w:tc>
      </w:tr>
    </w:tbl>
    <w:p w14:paraId="58264A66" w14:textId="77777777" w:rsidR="00683CD1" w:rsidRDefault="00683CD1" w:rsidP="002C6161">
      <w:pPr>
        <w:rPr>
          <w:rFonts w:cs="Arial"/>
          <w:color w:val="000000"/>
          <w:szCs w:val="24"/>
        </w:rPr>
      </w:pPr>
    </w:p>
    <w:p w14:paraId="5000FE00" w14:textId="77777777" w:rsidR="00CA474A" w:rsidRDefault="00CA474A" w:rsidP="000423B4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Finalmente indicar, </w:t>
      </w:r>
      <w:r w:rsidR="000423B4">
        <w:rPr>
          <w:rFonts w:cs="Arial"/>
          <w:color w:val="000000"/>
          <w:szCs w:val="24"/>
        </w:rPr>
        <w:t xml:space="preserve">que, adicionalmente y </w:t>
      </w:r>
      <w:r>
        <w:rPr>
          <w:rFonts w:cs="Arial"/>
          <w:color w:val="000000"/>
          <w:szCs w:val="24"/>
        </w:rPr>
        <w:t xml:space="preserve">mediante </w:t>
      </w:r>
      <w:r w:rsidR="000423B4">
        <w:rPr>
          <w:rFonts w:cs="Arial"/>
          <w:color w:val="000000"/>
          <w:szCs w:val="24"/>
        </w:rPr>
        <w:t xml:space="preserve">Acuerdo de Conferencia Sectorial de Medio Ambiente de julio de 2025, se aprobaron créditos objetivos de reparto </w:t>
      </w:r>
      <w:r w:rsidR="000423B4" w:rsidRPr="000423B4">
        <w:rPr>
          <w:rFonts w:cs="Arial"/>
          <w:color w:val="000000"/>
          <w:szCs w:val="24"/>
        </w:rPr>
        <w:t>y la distribución territorial de los créditos</w:t>
      </w:r>
      <w:r w:rsidR="000423B4">
        <w:rPr>
          <w:rFonts w:cs="Arial"/>
          <w:color w:val="000000"/>
          <w:szCs w:val="24"/>
        </w:rPr>
        <w:t xml:space="preserve"> </w:t>
      </w:r>
      <w:r w:rsidR="000423B4" w:rsidRPr="000423B4">
        <w:rPr>
          <w:rFonts w:cs="Arial"/>
          <w:color w:val="000000"/>
          <w:szCs w:val="24"/>
        </w:rPr>
        <w:t>relativos al componente 4 “Conservación y restauración de ecosistemas y su biodiversidad” del Plan de</w:t>
      </w:r>
      <w:r w:rsidR="000423B4">
        <w:rPr>
          <w:rFonts w:cs="Arial"/>
          <w:color w:val="000000"/>
          <w:szCs w:val="24"/>
        </w:rPr>
        <w:t xml:space="preserve"> </w:t>
      </w:r>
      <w:r w:rsidR="000423B4" w:rsidRPr="000423B4">
        <w:rPr>
          <w:rFonts w:cs="Arial"/>
          <w:color w:val="000000"/>
          <w:szCs w:val="24"/>
        </w:rPr>
        <w:t>Recuperación, Transformación y Resiliencia, destinado a la financiación de actuaciones para la restauración de masas forestales en</w:t>
      </w:r>
      <w:r w:rsidR="000423B4">
        <w:rPr>
          <w:rFonts w:cs="Arial"/>
          <w:color w:val="000000"/>
          <w:szCs w:val="24"/>
        </w:rPr>
        <w:t xml:space="preserve"> </w:t>
      </w:r>
      <w:r w:rsidR="000423B4" w:rsidRPr="000423B4">
        <w:rPr>
          <w:rFonts w:cs="Arial"/>
          <w:color w:val="000000"/>
          <w:szCs w:val="24"/>
        </w:rPr>
        <w:t>fases avanzadas de decaimiento o con</w:t>
      </w:r>
      <w:r w:rsidR="000423B4">
        <w:rPr>
          <w:rFonts w:cs="Arial"/>
          <w:color w:val="000000"/>
          <w:szCs w:val="24"/>
        </w:rPr>
        <w:t xml:space="preserve"> alto riesgo de desertificación, correspondiéndole a Navarra la cantidad de 348.500,25 € que, hasta junio de 2026, deberán ser destinados a tal fin.</w:t>
      </w:r>
    </w:p>
    <w:p w14:paraId="511D22C3" w14:textId="77777777" w:rsidR="000423B4" w:rsidRDefault="000423B4" w:rsidP="000423B4">
      <w:pPr>
        <w:rPr>
          <w:rFonts w:cs="Arial"/>
          <w:color w:val="000000"/>
          <w:szCs w:val="24"/>
        </w:rPr>
      </w:pPr>
    </w:p>
    <w:p w14:paraId="65CB67BB" w14:textId="26C1C0CA" w:rsidR="00CA474A" w:rsidRDefault="000423B4" w:rsidP="002C616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Por otra parte, y en el ámbito concreto de las actuaciones de bioeconomía forestal, se recibieron 1.192.194 € que han sido destinados a convocatoria de ayudas </w:t>
      </w:r>
      <w:r w:rsidR="00C1202C">
        <w:rPr>
          <w:rFonts w:cs="Arial"/>
          <w:color w:val="000000"/>
          <w:szCs w:val="24"/>
        </w:rPr>
        <w:t xml:space="preserve">para el fomento de la bioeconomía forestal </w:t>
      </w:r>
      <w:r>
        <w:rPr>
          <w:rFonts w:cs="Arial"/>
          <w:color w:val="000000"/>
          <w:szCs w:val="24"/>
        </w:rPr>
        <w:t xml:space="preserve">2025, </w:t>
      </w:r>
      <w:r w:rsidR="00C1202C">
        <w:rPr>
          <w:rFonts w:cs="Arial"/>
          <w:color w:val="000000"/>
          <w:szCs w:val="24"/>
        </w:rPr>
        <w:t xml:space="preserve">concedida por </w:t>
      </w:r>
      <w:r w:rsidR="004367B3" w:rsidRPr="00C1202C">
        <w:rPr>
          <w:rFonts w:cs="Arial"/>
          <w:color w:val="000000"/>
          <w:szCs w:val="24"/>
        </w:rPr>
        <w:t xml:space="preserve">Resolución </w:t>
      </w:r>
      <w:r w:rsidR="00C1202C" w:rsidRPr="00C1202C">
        <w:rPr>
          <w:rFonts w:cs="Arial"/>
          <w:color w:val="000000"/>
          <w:szCs w:val="24"/>
        </w:rPr>
        <w:t>52/2025, de 19 de junio de 2025, de la Directora General de Medio Ambiente</w:t>
      </w:r>
      <w:r w:rsidR="00C1202C">
        <w:rPr>
          <w:rFonts w:cs="Arial"/>
          <w:color w:val="000000"/>
          <w:szCs w:val="24"/>
        </w:rPr>
        <w:t xml:space="preserve"> por la totalidad de los fondos recibidos.</w:t>
      </w:r>
    </w:p>
    <w:p w14:paraId="4757696B" w14:textId="77777777" w:rsidR="00097D43" w:rsidRDefault="00097D43">
      <w:pPr>
        <w:spacing w:line="240" w:lineRule="auto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14:paraId="7F740AB4" w14:textId="77777777" w:rsidR="00933A30" w:rsidRDefault="00933A30" w:rsidP="007D29EA">
      <w:pPr>
        <w:rPr>
          <w:rFonts w:cs="Arial"/>
          <w:i/>
          <w:color w:val="000000"/>
          <w:u w:val="single"/>
        </w:rPr>
      </w:pPr>
    </w:p>
    <w:p w14:paraId="21CB9D9E" w14:textId="77777777" w:rsidR="00097D43" w:rsidRDefault="00097D43" w:rsidP="007D29EA">
      <w:pPr>
        <w:rPr>
          <w:rFonts w:cs="Arial"/>
          <w:i/>
          <w:color w:val="000000"/>
          <w:u w:val="single"/>
        </w:rPr>
      </w:pPr>
    </w:p>
    <w:p w14:paraId="1B6A848D" w14:textId="77777777" w:rsidR="00097D43" w:rsidRPr="00097D43" w:rsidRDefault="00097D43" w:rsidP="00097D43">
      <w:pPr>
        <w:rPr>
          <w:rFonts w:cs="Arial"/>
          <w:color w:val="000000"/>
          <w:szCs w:val="24"/>
        </w:rPr>
      </w:pPr>
      <w:r w:rsidRPr="00097D43">
        <w:rPr>
          <w:rFonts w:cs="Arial"/>
          <w:color w:val="000000"/>
          <w:szCs w:val="24"/>
        </w:rPr>
        <w:t>Es cuanto tengo el honor de informar a V.E., en cumplimiento del artículo 215 del Reglamento del Parlamento de Navarra</w:t>
      </w:r>
    </w:p>
    <w:p w14:paraId="606BDA01" w14:textId="77777777" w:rsidR="00097D43" w:rsidRPr="00097D43" w:rsidRDefault="00097D43" w:rsidP="00097D43">
      <w:pPr>
        <w:rPr>
          <w:rFonts w:cs="Arial"/>
          <w:color w:val="000000"/>
          <w:szCs w:val="24"/>
        </w:rPr>
      </w:pPr>
    </w:p>
    <w:p w14:paraId="24974ED4" w14:textId="18C3C0A5" w:rsidR="002B4D7B" w:rsidRDefault="002B4D7B" w:rsidP="002B4D7B">
      <w:pPr>
        <w:spacing w:before="120" w:after="240"/>
        <w:jc w:val="center"/>
        <w:rPr>
          <w:rFonts w:cs="Arial"/>
          <w:szCs w:val="24"/>
        </w:rPr>
      </w:pPr>
      <w:r w:rsidRPr="007A380B">
        <w:rPr>
          <w:rFonts w:cs="Arial"/>
          <w:szCs w:val="24"/>
        </w:rPr>
        <w:t>En Pamplona, 2</w:t>
      </w:r>
      <w:r>
        <w:rPr>
          <w:rFonts w:cs="Arial"/>
          <w:szCs w:val="24"/>
        </w:rPr>
        <w:t>3</w:t>
      </w:r>
      <w:r w:rsidRPr="007A380B">
        <w:rPr>
          <w:rFonts w:cs="Arial"/>
          <w:szCs w:val="24"/>
        </w:rPr>
        <w:t xml:space="preserve"> de septiembre de 2025</w:t>
      </w:r>
    </w:p>
    <w:p w14:paraId="5BB7D529" w14:textId="77777777" w:rsidR="00097D43" w:rsidRPr="00097D43" w:rsidRDefault="00097D43" w:rsidP="00097D43">
      <w:pPr>
        <w:rPr>
          <w:rFonts w:cs="Arial"/>
          <w:color w:val="000000"/>
          <w:szCs w:val="24"/>
        </w:rPr>
      </w:pPr>
    </w:p>
    <w:p w14:paraId="36795DF0" w14:textId="77777777" w:rsidR="00097D43" w:rsidRPr="00097D43" w:rsidRDefault="00097D43" w:rsidP="00097D43">
      <w:pPr>
        <w:rPr>
          <w:rFonts w:cs="Arial"/>
          <w:color w:val="000000"/>
          <w:szCs w:val="24"/>
        </w:rPr>
      </w:pPr>
    </w:p>
    <w:p w14:paraId="36F7D5C0" w14:textId="3D612D13" w:rsidR="00EF7412" w:rsidRDefault="00552179" w:rsidP="00097D43">
      <w:pPr>
        <w:jc w:val="center"/>
        <w:rPr>
          <w:rFonts w:cs="Arial"/>
          <w:color w:val="000000"/>
          <w:szCs w:val="24"/>
        </w:rPr>
      </w:pPr>
      <w:r w:rsidRPr="00097D43">
        <w:rPr>
          <w:rFonts w:cs="Arial"/>
          <w:color w:val="000000"/>
          <w:szCs w:val="24"/>
        </w:rPr>
        <w:t>El Consejero de Desarrollo Rural y Medio Ambiente</w:t>
      </w:r>
      <w:r>
        <w:rPr>
          <w:rFonts w:cs="Arial"/>
          <w:color w:val="000000"/>
          <w:szCs w:val="24"/>
        </w:rPr>
        <w:t xml:space="preserve">: </w:t>
      </w:r>
      <w:r w:rsidR="00097D43" w:rsidRPr="00097D43">
        <w:rPr>
          <w:rFonts w:cs="Arial"/>
          <w:color w:val="000000"/>
          <w:szCs w:val="24"/>
        </w:rPr>
        <w:t xml:space="preserve">José María </w:t>
      </w:r>
      <w:proofErr w:type="spellStart"/>
      <w:r w:rsidR="00097D43" w:rsidRPr="00097D43">
        <w:rPr>
          <w:rFonts w:cs="Arial"/>
          <w:color w:val="000000"/>
          <w:szCs w:val="24"/>
        </w:rPr>
        <w:t>Aierdi</w:t>
      </w:r>
      <w:proofErr w:type="spellEnd"/>
      <w:r w:rsidR="00097D43" w:rsidRPr="00097D43">
        <w:rPr>
          <w:rFonts w:cs="Arial"/>
          <w:color w:val="000000"/>
          <w:szCs w:val="24"/>
        </w:rPr>
        <w:t xml:space="preserve"> Fernández de Barrena</w:t>
      </w:r>
    </w:p>
    <w:sectPr w:rsidR="00EF7412" w:rsidSect="00FB639F">
      <w:pgSz w:w="11906" w:h="16838" w:code="9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FEAE" w14:textId="77777777" w:rsidR="007E50D4" w:rsidRDefault="007E50D4" w:rsidP="00381BB8">
      <w:pPr>
        <w:pStyle w:val="Encabezado"/>
      </w:pPr>
      <w:r>
        <w:separator/>
      </w:r>
    </w:p>
  </w:endnote>
  <w:endnote w:type="continuationSeparator" w:id="0">
    <w:p w14:paraId="558E3187" w14:textId="77777777" w:rsidR="007E50D4" w:rsidRDefault="007E50D4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B367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9E0202">
      <w:rPr>
        <w:rStyle w:val="Nmerodepgina"/>
        <w:rFonts w:cs="Arial"/>
        <w:noProof/>
      </w:rPr>
      <w:t>6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548" w14:textId="77777777" w:rsidR="007E50D4" w:rsidRDefault="007E50D4" w:rsidP="00381BB8">
      <w:pPr>
        <w:pStyle w:val="Encabezado"/>
      </w:pPr>
      <w:r>
        <w:separator/>
      </w:r>
    </w:p>
  </w:footnote>
  <w:footnote w:type="continuationSeparator" w:id="0">
    <w:p w14:paraId="0EEEC268" w14:textId="77777777" w:rsidR="007E50D4" w:rsidRDefault="007E50D4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BC2D90"/>
    <w:multiLevelType w:val="hybridMultilevel"/>
    <w:tmpl w:val="6BD0A69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6" w15:restartNumberingAfterBreak="0">
    <w:nsid w:val="1259142A"/>
    <w:multiLevelType w:val="hybridMultilevel"/>
    <w:tmpl w:val="BA1E9B0C"/>
    <w:lvl w:ilvl="0" w:tplc="335EE9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669F0"/>
    <w:multiLevelType w:val="hybridMultilevel"/>
    <w:tmpl w:val="AD147954"/>
    <w:lvl w:ilvl="0" w:tplc="2A78C8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9653A"/>
    <w:multiLevelType w:val="hybridMultilevel"/>
    <w:tmpl w:val="BCA222A4"/>
    <w:lvl w:ilvl="0" w:tplc="6B589B4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1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90DC2"/>
    <w:multiLevelType w:val="hybridMultilevel"/>
    <w:tmpl w:val="718C6854"/>
    <w:lvl w:ilvl="0" w:tplc="11D8D1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5F555DE"/>
    <w:multiLevelType w:val="hybridMultilevel"/>
    <w:tmpl w:val="BE94A916"/>
    <w:lvl w:ilvl="0" w:tplc="6B589B4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83B74"/>
    <w:multiLevelType w:val="hybridMultilevel"/>
    <w:tmpl w:val="81168A82"/>
    <w:lvl w:ilvl="0" w:tplc="91504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21605870">
    <w:abstractNumId w:val="11"/>
  </w:num>
  <w:num w:numId="2" w16cid:durableId="1736466896">
    <w:abstractNumId w:val="3"/>
  </w:num>
  <w:num w:numId="3" w16cid:durableId="1117674488">
    <w:abstractNumId w:val="12"/>
  </w:num>
  <w:num w:numId="4" w16cid:durableId="142964721">
    <w:abstractNumId w:val="21"/>
  </w:num>
  <w:num w:numId="5" w16cid:durableId="1739940756">
    <w:abstractNumId w:val="1"/>
  </w:num>
  <w:num w:numId="6" w16cid:durableId="518737202">
    <w:abstractNumId w:val="20"/>
  </w:num>
  <w:num w:numId="7" w16cid:durableId="1375886553">
    <w:abstractNumId w:val="8"/>
  </w:num>
  <w:num w:numId="8" w16cid:durableId="236523391">
    <w:abstractNumId w:val="4"/>
  </w:num>
  <w:num w:numId="9" w16cid:durableId="1517112995">
    <w:abstractNumId w:val="10"/>
  </w:num>
  <w:num w:numId="10" w16cid:durableId="12738992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9493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122678">
    <w:abstractNumId w:val="22"/>
  </w:num>
  <w:num w:numId="13" w16cid:durableId="1341467565">
    <w:abstractNumId w:val="2"/>
  </w:num>
  <w:num w:numId="14" w16cid:durableId="676152324">
    <w:abstractNumId w:val="18"/>
  </w:num>
  <w:num w:numId="15" w16cid:durableId="997028634">
    <w:abstractNumId w:val="0"/>
  </w:num>
  <w:num w:numId="16" w16cid:durableId="1126318153">
    <w:abstractNumId w:val="13"/>
  </w:num>
  <w:num w:numId="17" w16cid:durableId="966620082">
    <w:abstractNumId w:val="16"/>
  </w:num>
  <w:num w:numId="18" w16cid:durableId="424419090">
    <w:abstractNumId w:val="15"/>
  </w:num>
  <w:num w:numId="19" w16cid:durableId="1933969321">
    <w:abstractNumId w:val="6"/>
  </w:num>
  <w:num w:numId="20" w16cid:durableId="980504289">
    <w:abstractNumId w:val="5"/>
  </w:num>
  <w:num w:numId="21" w16cid:durableId="604339962">
    <w:abstractNumId w:val="9"/>
  </w:num>
  <w:num w:numId="22" w16cid:durableId="1249466534">
    <w:abstractNumId w:val="17"/>
  </w:num>
  <w:num w:numId="23" w16cid:durableId="1973905445">
    <w:abstractNumId w:val="7"/>
  </w:num>
  <w:num w:numId="24" w16cid:durableId="18107810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51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3B4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60A7"/>
    <w:rsid w:val="00067297"/>
    <w:rsid w:val="0007239A"/>
    <w:rsid w:val="00072F4E"/>
    <w:rsid w:val="00072F80"/>
    <w:rsid w:val="0007305B"/>
    <w:rsid w:val="00073E50"/>
    <w:rsid w:val="000740DC"/>
    <w:rsid w:val="000741AF"/>
    <w:rsid w:val="00075AEF"/>
    <w:rsid w:val="000765B1"/>
    <w:rsid w:val="0007683C"/>
    <w:rsid w:val="00076CBD"/>
    <w:rsid w:val="00077387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97D43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4556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58A"/>
    <w:rsid w:val="001B0A55"/>
    <w:rsid w:val="001B0AEC"/>
    <w:rsid w:val="001B21F3"/>
    <w:rsid w:val="001B2FCF"/>
    <w:rsid w:val="001B34E2"/>
    <w:rsid w:val="001B3C97"/>
    <w:rsid w:val="001B648A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07FDF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5E6E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4AAE"/>
    <w:rsid w:val="002879C7"/>
    <w:rsid w:val="00287CCF"/>
    <w:rsid w:val="00287D2B"/>
    <w:rsid w:val="00294B8D"/>
    <w:rsid w:val="0029574C"/>
    <w:rsid w:val="00295E71"/>
    <w:rsid w:val="0029695A"/>
    <w:rsid w:val="00296E14"/>
    <w:rsid w:val="002A00F2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4D7B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6161"/>
    <w:rsid w:val="002C7A39"/>
    <w:rsid w:val="002D010B"/>
    <w:rsid w:val="002D021F"/>
    <w:rsid w:val="002D151C"/>
    <w:rsid w:val="002D29AC"/>
    <w:rsid w:val="002D2F20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3423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2D1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1A9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17AC"/>
    <w:rsid w:val="003C18B5"/>
    <w:rsid w:val="003C2E50"/>
    <w:rsid w:val="003C4661"/>
    <w:rsid w:val="003C4C8D"/>
    <w:rsid w:val="003C5867"/>
    <w:rsid w:val="003C5D78"/>
    <w:rsid w:val="003C6283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A55"/>
    <w:rsid w:val="003E7C4C"/>
    <w:rsid w:val="003F12F1"/>
    <w:rsid w:val="003F150F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A1B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67B3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53E8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4D84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2B63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37CBB"/>
    <w:rsid w:val="00541594"/>
    <w:rsid w:val="005424B2"/>
    <w:rsid w:val="00543BBE"/>
    <w:rsid w:val="005463A4"/>
    <w:rsid w:val="005464E0"/>
    <w:rsid w:val="00552179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61F5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AE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49E6"/>
    <w:rsid w:val="006062D2"/>
    <w:rsid w:val="0060640D"/>
    <w:rsid w:val="00606752"/>
    <w:rsid w:val="00607FED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3CD1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07"/>
    <w:rsid w:val="006966B0"/>
    <w:rsid w:val="006974A0"/>
    <w:rsid w:val="0069775E"/>
    <w:rsid w:val="00697CA3"/>
    <w:rsid w:val="006A0343"/>
    <w:rsid w:val="006A0D94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5D13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65C0"/>
    <w:rsid w:val="007868E8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A7A98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29EA"/>
    <w:rsid w:val="007D48BE"/>
    <w:rsid w:val="007D4D40"/>
    <w:rsid w:val="007E0034"/>
    <w:rsid w:val="007E0861"/>
    <w:rsid w:val="007E345F"/>
    <w:rsid w:val="007E50D4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69C"/>
    <w:rsid w:val="00801EFC"/>
    <w:rsid w:val="008034FF"/>
    <w:rsid w:val="00804445"/>
    <w:rsid w:val="00805FDB"/>
    <w:rsid w:val="0080651B"/>
    <w:rsid w:val="008065B7"/>
    <w:rsid w:val="00806A00"/>
    <w:rsid w:val="00810879"/>
    <w:rsid w:val="00810B44"/>
    <w:rsid w:val="00810DF3"/>
    <w:rsid w:val="008116C3"/>
    <w:rsid w:val="00812E1A"/>
    <w:rsid w:val="00814824"/>
    <w:rsid w:val="008157E8"/>
    <w:rsid w:val="00815B60"/>
    <w:rsid w:val="008160D7"/>
    <w:rsid w:val="00817B73"/>
    <w:rsid w:val="00821665"/>
    <w:rsid w:val="008220B2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57A1C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B782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42D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3D2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24DA2"/>
    <w:rsid w:val="00930F81"/>
    <w:rsid w:val="0093273F"/>
    <w:rsid w:val="0093312E"/>
    <w:rsid w:val="00933A30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2FCF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0DE6"/>
    <w:rsid w:val="009D1EB8"/>
    <w:rsid w:val="009D36E0"/>
    <w:rsid w:val="009D474A"/>
    <w:rsid w:val="009D5B3D"/>
    <w:rsid w:val="009D660D"/>
    <w:rsid w:val="009D796F"/>
    <w:rsid w:val="009D7F6B"/>
    <w:rsid w:val="009E0202"/>
    <w:rsid w:val="009E0396"/>
    <w:rsid w:val="009E1283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565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5EAC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87B2F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0EFB"/>
    <w:rsid w:val="00B03CC0"/>
    <w:rsid w:val="00B04E08"/>
    <w:rsid w:val="00B051BF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0BBD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AB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2C44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202C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5E51"/>
    <w:rsid w:val="00C56F72"/>
    <w:rsid w:val="00C57986"/>
    <w:rsid w:val="00C6194B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1464"/>
    <w:rsid w:val="00C94344"/>
    <w:rsid w:val="00C944F4"/>
    <w:rsid w:val="00C95C51"/>
    <w:rsid w:val="00C97318"/>
    <w:rsid w:val="00C975CE"/>
    <w:rsid w:val="00C9770B"/>
    <w:rsid w:val="00C9799B"/>
    <w:rsid w:val="00CA1D37"/>
    <w:rsid w:val="00CA2237"/>
    <w:rsid w:val="00CA23B5"/>
    <w:rsid w:val="00CA2830"/>
    <w:rsid w:val="00CA3570"/>
    <w:rsid w:val="00CA474A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17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3F1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225C"/>
    <w:rsid w:val="00D562CE"/>
    <w:rsid w:val="00D61671"/>
    <w:rsid w:val="00D61F69"/>
    <w:rsid w:val="00D622EF"/>
    <w:rsid w:val="00D625C7"/>
    <w:rsid w:val="00D62F97"/>
    <w:rsid w:val="00D63D2F"/>
    <w:rsid w:val="00D65545"/>
    <w:rsid w:val="00D70FE6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192B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718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8D5"/>
    <w:rsid w:val="00DE5D2D"/>
    <w:rsid w:val="00DE6910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687A"/>
    <w:rsid w:val="00E07A7D"/>
    <w:rsid w:val="00E11DD3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412"/>
    <w:rsid w:val="00EF752D"/>
    <w:rsid w:val="00EF7BE2"/>
    <w:rsid w:val="00F00015"/>
    <w:rsid w:val="00F006CC"/>
    <w:rsid w:val="00F00903"/>
    <w:rsid w:val="00F00B20"/>
    <w:rsid w:val="00F00D56"/>
    <w:rsid w:val="00F0169C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3F30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16C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65B62"/>
    <w:rsid w:val="00F70501"/>
    <w:rsid w:val="00F70BCB"/>
    <w:rsid w:val="00F71C33"/>
    <w:rsid w:val="00F7469B"/>
    <w:rsid w:val="00F74D4B"/>
    <w:rsid w:val="00F7634F"/>
    <w:rsid w:val="00F76599"/>
    <w:rsid w:val="00F767BB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B639F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61E57E"/>
  <w15:chartTrackingRefBased/>
  <w15:docId w15:val="{FFED567F-A3CF-409C-944B-728D5C4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097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PEI</Template>
  <TotalTime>6</TotalTime>
  <Pages>9</Pages>
  <Words>1072</Words>
  <Characters>6100</Characters>
  <Application>Microsoft Office Word</Application>
  <DocSecurity>0</DocSecurity>
  <Lines>677</Lines>
  <Paragraphs>651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Martin Cestao, Nerea</cp:lastModifiedBy>
  <cp:revision>8</cp:revision>
  <cp:lastPrinted>2025-09-15T12:08:00Z</cp:lastPrinted>
  <dcterms:created xsi:type="dcterms:W3CDTF">2025-09-23T09:09:00Z</dcterms:created>
  <dcterms:modified xsi:type="dcterms:W3CDTF">2025-10-15T10:08:00Z</dcterms:modified>
</cp:coreProperties>
</file>