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7D4EE" w14:textId="17715ACB" w:rsidR="00934199" w:rsidRPr="007E07FE" w:rsidRDefault="00B07455" w:rsidP="007E07FE">
      <w:pPr>
        <w:spacing w:after="120" w:line="276" w:lineRule="auto"/>
        <w:rPr>
          <w:color w:val="000000"/>
          <w:sz w:val="22"/>
          <w:szCs w:val="22"/>
          <w:rFonts w:asciiTheme="minorHAnsi" w:hAnsiTheme="minorHAnsi" w:cstheme="minorHAnsi"/>
        </w:rPr>
      </w:pPr>
      <w:r>
        <w:rPr>
          <w:sz w:val="22"/>
          <w:color w:val="000000"/>
          <w:rFonts w:asciiTheme="minorHAnsi" w:hAnsiTheme="minorHAnsi"/>
        </w:rPr>
        <w:t xml:space="preserve">UPN talde parlamentarioari atxikitako foru parlamentari</w:t>
      </w:r>
      <w:r>
        <w:rPr>
          <w:sz w:val="22"/>
          <w:color w:val="000000"/>
          <w:rFonts w:asciiTheme="minorHAnsi" w:hAnsiTheme="minorHAnsi"/>
        </w:rPr>
        <w:t xml:space="preserve"> Miguel Bujanda Cirauqui </w:t>
      </w:r>
      <w:r>
        <w:rPr>
          <w:sz w:val="22"/>
          <w:rFonts w:asciiTheme="minorHAnsi" w:hAnsiTheme="minorHAnsi"/>
        </w:rPr>
        <w:t xml:space="preserve">jaunak 11-25/PES-00420 galdera idatzia egin du, Nafarroan 2023ko urtarrilaren 1etik aurkeztutako ingurumen-baimen integratuei (IBI) buruz. Honako hau jakinarazten dio Landa Garapeneko eta Ingurumeneko kontseilariak, planteatu zaizkion galderei erantzunez:</w:t>
      </w:r>
    </w:p>
    <w:p w14:paraId="040F8364" w14:textId="77777777" w:rsidR="0004001B" w:rsidRPr="007E07FE" w:rsidRDefault="0004001B" w:rsidP="007E07FE">
      <w:pPr>
        <w:spacing w:after="120" w:line="276" w:lineRule="auto"/>
        <w:rPr>
          <w:b/>
          <w:sz w:val="22"/>
          <w:szCs w:val="22"/>
          <w:rFonts w:asciiTheme="minorHAnsi" w:hAnsiTheme="minorHAnsi" w:cstheme="minorHAnsi"/>
        </w:rPr>
      </w:pPr>
      <w:r>
        <w:rPr>
          <w:b/>
          <w:sz w:val="22"/>
          <w:rFonts w:asciiTheme="minorHAnsi" w:hAnsiTheme="minorHAnsi"/>
        </w:rPr>
        <w:t xml:space="preserve">Ingurumen-baimen integratuaren zenbat eskaera aurkeztu dira Nafarroan 2023ko urtarrilaren 1etik?</w:t>
      </w:r>
      <w:r>
        <w:rPr>
          <w:b/>
          <w:sz w:val="22"/>
          <w:rFonts w:asciiTheme="minorHAnsi" w:hAnsiTheme="minorHAnsi"/>
        </w:rPr>
        <w:t xml:space="preserve"> </w:t>
      </w:r>
      <w:r>
        <w:rPr>
          <w:b/>
          <w:sz w:val="22"/>
          <w:rFonts w:asciiTheme="minorHAnsi" w:hAnsiTheme="minorHAnsi"/>
        </w:rPr>
        <w:t xml:space="preserve">Horietako zenbatek gainditu dute ebazteko legezko epea?</w:t>
      </w:r>
    </w:p>
    <w:p w14:paraId="62303E1C" w14:textId="73B255B6" w:rsidR="0004001B" w:rsidRPr="007E07FE" w:rsidRDefault="00410DC3" w:rsidP="007E07FE">
      <w:pPr>
        <w:spacing w:after="120" w:line="276" w:lineRule="auto"/>
        <w:rPr>
          <w:sz w:val="22"/>
          <w:szCs w:val="22"/>
          <w:rFonts w:asciiTheme="minorHAnsi" w:hAnsiTheme="minorHAnsi" w:cstheme="minorHAnsi"/>
        </w:rPr>
      </w:pPr>
      <w:r>
        <w:rPr>
          <w:sz w:val="22"/>
          <w:rFonts w:asciiTheme="minorHAnsi" w:hAnsiTheme="minorHAnsi"/>
        </w:rPr>
        <w:t xml:space="preserve">2023ko urtarrilaren 1etik, ingurumen-baimen bateratua (IBI) emateko 27 eskaera jaso dira.</w:t>
      </w:r>
    </w:p>
    <w:p w14:paraId="6FCBAD82" w14:textId="77777777" w:rsidR="00284E0A" w:rsidRPr="007E07FE" w:rsidRDefault="00284E0A" w:rsidP="007E07FE">
      <w:pPr>
        <w:spacing w:after="120" w:line="276" w:lineRule="auto"/>
        <w:rPr>
          <w:sz w:val="22"/>
          <w:szCs w:val="22"/>
          <w:rFonts w:asciiTheme="minorHAnsi" w:hAnsiTheme="minorHAnsi" w:cstheme="minorHAnsi"/>
        </w:rPr>
      </w:pPr>
      <w:r>
        <w:rPr>
          <w:sz w:val="22"/>
          <w:rFonts w:asciiTheme="minorHAnsi" w:hAnsiTheme="minorHAnsi"/>
        </w:rPr>
        <w:t xml:space="preserve">2025eko abenduaren 9an, 16 espedientek gainditu dute ebazteko legezko epea.</w:t>
      </w:r>
    </w:p>
    <w:p w14:paraId="73CC3F4C" w14:textId="77777777" w:rsidR="00284E0A" w:rsidRPr="007E07FE" w:rsidRDefault="00284E0A" w:rsidP="007E07FE">
      <w:pPr>
        <w:spacing w:after="120" w:line="276" w:lineRule="auto"/>
        <w:rPr>
          <w:sz w:val="22"/>
          <w:szCs w:val="22"/>
          <w:rFonts w:asciiTheme="minorHAnsi" w:hAnsiTheme="minorHAnsi" w:cstheme="minorHAnsi"/>
        </w:rPr>
      </w:pPr>
      <w:r>
        <w:rPr>
          <w:sz w:val="22"/>
          <w:rFonts w:asciiTheme="minorHAnsi" w:hAnsiTheme="minorHAnsi"/>
        </w:rPr>
        <w:t xml:space="preserve">27 eskaera horietatik, 9 ebatzi egin dira eta 18 izapidean daude gaur egun.</w:t>
      </w:r>
    </w:p>
    <w:p w14:paraId="7DA5362D" w14:textId="77777777" w:rsidR="00284E0A" w:rsidRPr="007E07FE" w:rsidRDefault="00284E0A" w:rsidP="007E07FE">
      <w:pPr>
        <w:spacing w:after="120" w:line="276" w:lineRule="auto"/>
        <w:rPr>
          <w:b/>
          <w:sz w:val="22"/>
          <w:szCs w:val="22"/>
          <w:rFonts w:asciiTheme="minorHAnsi" w:hAnsiTheme="minorHAnsi" w:cstheme="minorHAnsi"/>
        </w:rPr>
      </w:pPr>
      <w:r>
        <w:rPr>
          <w:sz w:val="22"/>
          <w:rFonts w:asciiTheme="minorHAnsi" w:hAnsiTheme="minorHAnsi"/>
        </w:rPr>
        <w:t xml:space="preserve">Zehaztu behar da legezko epearen zenbaketa eten egiten dela zuzentzeko eta hobetzeko errekerimenduen aldietan.</w:t>
      </w:r>
      <w:r>
        <w:rPr>
          <w:sz w:val="22"/>
          <w:rFonts w:asciiTheme="minorHAnsi" w:hAnsiTheme="minorHAnsi"/>
        </w:rPr>
        <w:t xml:space="preserve"> </w:t>
      </w:r>
      <w:r>
        <w:rPr>
          <w:sz w:val="22"/>
          <w:rFonts w:asciiTheme="minorHAnsi" w:hAnsiTheme="minorHAnsi"/>
        </w:rPr>
        <w:t xml:space="preserve">Kalkulua egiteko, banan-banan aztertu behar izan da espediente bakoitza.</w:t>
      </w:r>
    </w:p>
    <w:p w14:paraId="4603C268" w14:textId="257B60CA" w:rsidR="0004001B" w:rsidRPr="007E07FE" w:rsidRDefault="0004001B" w:rsidP="007E07FE">
      <w:pPr>
        <w:spacing w:after="120" w:line="276" w:lineRule="auto"/>
        <w:rPr>
          <w:b/>
          <w:sz w:val="22"/>
          <w:szCs w:val="22"/>
          <w:rFonts w:asciiTheme="minorHAnsi" w:hAnsiTheme="minorHAnsi" w:cstheme="minorHAnsi"/>
        </w:rPr>
      </w:pPr>
      <w:r>
        <w:rPr>
          <w:b/>
          <w:sz w:val="22"/>
          <w:rFonts w:asciiTheme="minorHAnsi" w:hAnsiTheme="minorHAnsi"/>
        </w:rPr>
        <w:t xml:space="preserve">Zein dira izapidea atzeratzeko arrazoi nagusiak? Bereizi ingurumen baimen integratuak (IBI), ingurumen-baimen bateratuak (IBB) eta ingurumen-ebaluazioak.</w:t>
      </w:r>
    </w:p>
    <w:p w14:paraId="1945DA6A" w14:textId="77777777" w:rsidR="00587D50" w:rsidRPr="007E07FE" w:rsidRDefault="00284E0A" w:rsidP="007E07FE">
      <w:pPr>
        <w:spacing w:after="120" w:line="276" w:lineRule="auto"/>
        <w:rPr>
          <w:sz w:val="22"/>
          <w:szCs w:val="22"/>
          <w:rFonts w:asciiTheme="minorHAnsi" w:hAnsiTheme="minorHAnsi" w:cstheme="minorHAnsi"/>
        </w:rPr>
      </w:pPr>
      <w:r>
        <w:rPr>
          <w:sz w:val="22"/>
          <w:rFonts w:asciiTheme="minorHAnsi" w:hAnsiTheme="minorHAnsi"/>
        </w:rPr>
        <w:t xml:space="preserve">IBIak eta IBBak emateko prozedurak integratzaileak eta sektore anitzekoak izaten dira, eta hori da izapidetzeko epeetan eragina duen faktore nagusia; izan ere, organo substantiboak hainbat administrazio-unitaterekin eta kanpoko eragilerekin koordinatu behar izaten du ondorioz.</w:t>
      </w:r>
    </w:p>
    <w:p w14:paraId="27D8C4B0" w14:textId="77777777" w:rsidR="00284E0A" w:rsidRPr="007E07FE" w:rsidRDefault="00284E0A" w:rsidP="007E07FE">
      <w:pPr>
        <w:spacing w:after="120" w:line="276" w:lineRule="auto"/>
        <w:ind w:firstLine="540"/>
        <w:rPr>
          <w:sz w:val="22"/>
          <w:szCs w:val="22"/>
          <w:rFonts w:asciiTheme="minorHAnsi" w:hAnsiTheme="minorHAnsi" w:cstheme="minorHAnsi"/>
        </w:rPr>
      </w:pPr>
      <w:r>
        <w:rPr>
          <w:sz w:val="22"/>
          <w:rFonts w:asciiTheme="minorHAnsi" w:hAnsiTheme="minorHAnsi"/>
        </w:rPr>
        <w:t xml:space="preserve">Epeak luzarazten dituzten faktore espezifikoak honako hauek dira:</w:t>
      </w:r>
    </w:p>
    <w:p w14:paraId="41FE65E9" w14:textId="77777777" w:rsidR="00284E0A" w:rsidRPr="007E07FE" w:rsidRDefault="004A742E" w:rsidP="007E07FE">
      <w:pPr>
        <w:pStyle w:val="Prrafodelista"/>
        <w:numPr>
          <w:ilvl w:val="0"/>
          <w:numId w:val="18"/>
        </w:numPr>
        <w:spacing w:after="120" w:line="276" w:lineRule="auto"/>
        <w:jc w:val="both"/>
        <w:rPr>
          <w:sz w:val="22"/>
          <w:szCs w:val="22"/>
          <w:rFonts w:asciiTheme="minorHAnsi" w:hAnsiTheme="minorHAnsi" w:cstheme="minorHAnsi"/>
        </w:rPr>
      </w:pPr>
      <w:r>
        <w:rPr>
          <w:sz w:val="22"/>
          <w:rFonts w:asciiTheme="minorHAnsi" w:hAnsiTheme="minorHAnsi"/>
        </w:rPr>
        <w:t xml:space="preserve">Zuzentzeko eta hobetzeko errekerimenduak.</w:t>
      </w:r>
    </w:p>
    <w:p w14:paraId="57986A8B" w14:textId="77777777" w:rsidR="00062532" w:rsidRPr="007E07FE" w:rsidRDefault="00062532" w:rsidP="007E07FE">
      <w:pPr>
        <w:pStyle w:val="Prrafodelista"/>
        <w:numPr>
          <w:ilvl w:val="0"/>
          <w:numId w:val="18"/>
        </w:numPr>
        <w:spacing w:after="120" w:line="276" w:lineRule="auto"/>
        <w:jc w:val="both"/>
        <w:rPr>
          <w:sz w:val="22"/>
          <w:szCs w:val="22"/>
          <w:rFonts w:asciiTheme="minorHAnsi" w:hAnsiTheme="minorHAnsi" w:cstheme="minorHAnsi"/>
        </w:rPr>
      </w:pPr>
      <w:r>
        <w:rPr>
          <w:sz w:val="22"/>
          <w:rFonts w:asciiTheme="minorHAnsi" w:hAnsiTheme="minorHAnsi"/>
        </w:rPr>
        <w:t xml:space="preserve">Proiektuaren konplexutasun teknikoa.</w:t>
      </w:r>
    </w:p>
    <w:p w14:paraId="0D3C3A9B" w14:textId="77777777" w:rsidR="00284E0A" w:rsidRPr="007E07FE" w:rsidRDefault="00284E0A" w:rsidP="007E07FE">
      <w:pPr>
        <w:pStyle w:val="Prrafodelista"/>
        <w:numPr>
          <w:ilvl w:val="0"/>
          <w:numId w:val="18"/>
        </w:numPr>
        <w:spacing w:after="120" w:line="276" w:lineRule="auto"/>
        <w:jc w:val="both"/>
        <w:rPr>
          <w:sz w:val="22"/>
          <w:szCs w:val="22"/>
          <w:rFonts w:asciiTheme="minorHAnsi" w:hAnsiTheme="minorHAnsi" w:cstheme="minorHAnsi"/>
        </w:rPr>
      </w:pPr>
      <w:r>
        <w:rPr>
          <w:sz w:val="22"/>
          <w:rFonts w:asciiTheme="minorHAnsi" w:hAnsiTheme="minorHAnsi"/>
        </w:rPr>
        <w:t xml:space="preserve">Nahitaezko sektore-txostenak egitea.</w:t>
      </w:r>
    </w:p>
    <w:p w14:paraId="5AA0F332" w14:textId="77777777" w:rsidR="00284E0A" w:rsidRPr="007E07FE" w:rsidRDefault="00B7200D" w:rsidP="007E07FE">
      <w:pPr>
        <w:pStyle w:val="Prrafodelista"/>
        <w:numPr>
          <w:ilvl w:val="0"/>
          <w:numId w:val="18"/>
        </w:numPr>
        <w:spacing w:after="120" w:line="276" w:lineRule="auto"/>
        <w:jc w:val="both"/>
        <w:rPr>
          <w:sz w:val="22"/>
          <w:szCs w:val="22"/>
          <w:rFonts w:asciiTheme="minorHAnsi" w:hAnsiTheme="minorHAnsi" w:cstheme="minorHAnsi"/>
        </w:rPr>
      </w:pPr>
      <w:r>
        <w:rPr>
          <w:sz w:val="22"/>
          <w:rFonts w:asciiTheme="minorHAnsi" w:hAnsiTheme="minorHAnsi"/>
        </w:rPr>
        <w:t xml:space="preserve">Jendaurreko informazioaren ondoko udal txostena, batzuetan.</w:t>
      </w:r>
    </w:p>
    <w:p w14:paraId="40D6490F" w14:textId="77777777" w:rsidR="0004001B" w:rsidRPr="007E07FE" w:rsidRDefault="0004001B" w:rsidP="007E07FE">
      <w:pPr>
        <w:spacing w:after="120" w:line="276" w:lineRule="auto"/>
        <w:rPr>
          <w:b/>
          <w:sz w:val="22"/>
          <w:szCs w:val="22"/>
          <w:rFonts w:asciiTheme="minorHAnsi" w:hAnsiTheme="minorHAnsi" w:cstheme="minorHAnsi"/>
        </w:rPr>
      </w:pPr>
      <w:r>
        <w:rPr>
          <w:b/>
          <w:sz w:val="22"/>
          <w:rFonts w:asciiTheme="minorHAnsi" w:hAnsiTheme="minorHAnsi"/>
        </w:rPr>
        <w:t xml:space="preserve">Landa Garapeneko eta Ingurumeneko Departamentuak zergatik izapidetu edo baimendu ditu biometanizazio makroplanten proiektuak, premien plangintza argirik eta legeria espezifikorik gabe?</w:t>
      </w:r>
    </w:p>
    <w:p w14:paraId="40C48AAD" w14:textId="77777777" w:rsidR="0004001B" w:rsidRPr="007E07FE" w:rsidRDefault="0004001B" w:rsidP="007E07FE">
      <w:pPr>
        <w:spacing w:after="120" w:line="276" w:lineRule="auto"/>
        <w:rPr>
          <w:b/>
          <w:sz w:val="22"/>
          <w:szCs w:val="22"/>
          <w:rFonts w:asciiTheme="minorHAnsi" w:hAnsiTheme="minorHAnsi" w:cstheme="minorHAnsi"/>
        </w:rPr>
      </w:pPr>
      <w:r>
        <w:rPr>
          <w:b/>
          <w:sz w:val="22"/>
          <w:rFonts w:asciiTheme="minorHAnsi" w:hAnsiTheme="minorHAnsi"/>
        </w:rPr>
        <w:t xml:space="preserve">Landa Garapeneko eta Ingurumeneko Departamentuak zergatik ez zuen bultzatu edo gidatu Nafarroako Foru Komunitatean «ingurumenean eragina duten jarduerak» arautzen dituen abenduaren 16ko 17/2020 Foru Legearen aldaketa bat, Nafarroako biometanizazio plantetarako luzamendu adostua eta juridikoki blindatua ezarri ahal izateko?</w:t>
      </w:r>
    </w:p>
    <w:p w14:paraId="227A8921" w14:textId="77777777" w:rsidR="0037547B" w:rsidRPr="007E07FE" w:rsidRDefault="0004001B" w:rsidP="007E07FE">
      <w:pPr>
        <w:spacing w:after="120" w:line="276" w:lineRule="auto"/>
        <w:rPr>
          <w:b/>
          <w:sz w:val="22"/>
          <w:szCs w:val="22"/>
          <w:rFonts w:asciiTheme="minorHAnsi" w:hAnsiTheme="minorHAnsi" w:cstheme="minorHAnsi"/>
        </w:rPr>
      </w:pPr>
      <w:r>
        <w:rPr>
          <w:b/>
          <w:sz w:val="22"/>
          <w:rFonts w:asciiTheme="minorHAnsi" w:hAnsiTheme="minorHAnsi"/>
        </w:rPr>
        <w:t xml:space="preserve">Abenduaren 16ko 17/2020 Foru Legearen aldaketaren arabera, legea indarrean jarri eta hamabi hilabeteko epean arauak onetsi behar dira, bermatze aldera Nafarroako biogas eta biometano planten instalazioa lurralde-plangintzarekin, parte-hartze sozialarekin eta segurtasun juridiko osoarekin eginen dela. Landa Garapeneko eta Ingurumeneko Departamentuak gehieneko zer epe darabil gogoan hori egiteko?</w:t>
      </w:r>
    </w:p>
    <w:p w14:paraId="546DAEB4" w14:textId="77777777" w:rsidR="00D32E7F" w:rsidRPr="007E07FE" w:rsidRDefault="00D32E7F" w:rsidP="007E07FE">
      <w:pPr>
        <w:spacing w:after="120" w:line="276" w:lineRule="auto"/>
        <w:rPr>
          <w:sz w:val="22"/>
          <w:szCs w:val="22"/>
          <w:rFonts w:asciiTheme="minorHAnsi" w:hAnsiTheme="minorHAnsi" w:cstheme="minorHAnsi"/>
        </w:rPr>
      </w:pPr>
      <w:r>
        <w:rPr>
          <w:sz w:val="22"/>
          <w:rFonts w:asciiTheme="minorHAnsi" w:hAnsiTheme="minorHAnsi"/>
        </w:rPr>
        <w:t xml:space="preserve">Planteatutako azken hiru gaiei dagokienez, jakinarazi behar da Landa Garapeneko eta Ingurumeneko Departamentua 2007tik ari dela biometanizazio planten proiektu batzuen eskaerak izapidetzen, eta, ingurumen-baimen integratua (IBI) eman duela araudiak eskatutako ingurumen-baldintzak betetzen zirenean; izan ere, nahitaez bete behar ditu 1/2016 Legegintzako Errege Dekretua eta 26/2022 Foru Dekretua, 26/2020 Foru Legea garatzeko erregelamendua onartzen duena.</w:t>
      </w:r>
    </w:p>
    <w:p w14:paraId="0ED4221C" w14:textId="77777777" w:rsidR="00D32E7F" w:rsidRPr="007E07FE" w:rsidRDefault="00D32E7F" w:rsidP="007E07FE">
      <w:pPr>
        <w:spacing w:after="120" w:line="276" w:lineRule="auto"/>
        <w:rPr>
          <w:sz w:val="22"/>
          <w:szCs w:val="22"/>
          <w:rFonts w:asciiTheme="minorHAnsi" w:hAnsiTheme="minorHAnsi" w:cstheme="minorHAnsi"/>
        </w:rPr>
      </w:pPr>
      <w:r>
        <w:rPr>
          <w:sz w:val="22"/>
          <w:rFonts w:asciiTheme="minorHAnsi" w:hAnsiTheme="minorHAnsi"/>
        </w:rPr>
        <w:t xml:space="preserve">Azken urtean, 2024tik, nabarmen handitu dira horrelako instalazioetarako IBIen eskaerak eta, ondorioz, halako inplantazioak antolatu eta arautuko dituen dekretu espezifiko baten izapidea abiaraztea pentsatu du Departamentu honetako Ingurumen Zuzendaritza Nagusiak. Dekretua ohiko epeetan helaraziko zaio Gobernu Kontseiluari, departamentu arteko nahitaezko informazio sektorialeko prozesuaren ondotik.</w:t>
      </w:r>
      <w:r>
        <w:rPr>
          <w:sz w:val="22"/>
          <w:rFonts w:asciiTheme="minorHAnsi" w:hAnsiTheme="minorHAnsi"/>
        </w:rPr>
        <w:t xml:space="preserve"> </w:t>
      </w:r>
      <w:r>
        <w:rPr>
          <w:sz w:val="22"/>
          <w:rFonts w:asciiTheme="minorHAnsi" w:hAnsiTheme="minorHAnsi"/>
        </w:rPr>
        <w:t xml:space="preserve">Inguruabar hori tarteko, Nafarroako Parlamentuak 14/2025 Foru Legea izapidetu eta onetsi du berriki, izapide-fasean dauden espedienteak 2026ko irailera arte kautelaz etetea ezartzen duena, legeak berak ezartzen dituen baldintzak betetzen dituztenak salbu.</w:t>
      </w:r>
    </w:p>
    <w:p w14:paraId="1276AEE7" w14:textId="589A999A" w:rsidR="00A56CCF" w:rsidRPr="007E07FE" w:rsidRDefault="00A56CCF" w:rsidP="007E07FE">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Hori guztia jakinarazten dizut, Nafarroako Parlamentuko Erregelamenduaren 215. artikuluan xedatzen dena betez.</w:t>
      </w:r>
    </w:p>
    <w:p w14:paraId="70A0C33E" w14:textId="30F46F8D" w:rsidR="00934199" w:rsidRPr="007E07FE" w:rsidRDefault="00A56CCF" w:rsidP="007E07FE">
      <w:pPr>
        <w:spacing w:after="120" w:line="276" w:lineRule="auto"/>
        <w:rPr>
          <w:color w:val="000000"/>
          <w:sz w:val="22"/>
          <w:szCs w:val="22"/>
          <w:rFonts w:asciiTheme="minorHAnsi" w:hAnsiTheme="minorHAnsi" w:cstheme="minorHAnsi"/>
        </w:rPr>
      </w:pPr>
      <w:r>
        <w:rPr>
          <w:color w:val="000000"/>
          <w:sz w:val="22"/>
          <w:rFonts w:asciiTheme="minorHAnsi" w:hAnsiTheme="minorHAnsi"/>
        </w:rPr>
        <w:t xml:space="preserve">Iruñean, 2025eko abenduaren 11n</w:t>
      </w:r>
    </w:p>
    <w:p w14:paraId="691A8316" w14:textId="7615567A" w:rsidR="00D77C2F" w:rsidRPr="007E07FE" w:rsidRDefault="009C4934" w:rsidP="007E07FE">
      <w:pPr>
        <w:spacing w:after="120" w:line="276" w:lineRule="auto"/>
        <w:outlineLvl w:val="0"/>
        <w:rPr>
          <w:color w:val="000000"/>
          <w:sz w:val="22"/>
          <w:szCs w:val="22"/>
          <w:rFonts w:asciiTheme="minorHAnsi" w:hAnsiTheme="minorHAnsi" w:cstheme="minorHAnsi"/>
        </w:rPr>
      </w:pPr>
      <w:r>
        <w:rPr>
          <w:sz w:val="22"/>
          <w:rFonts w:asciiTheme="minorHAnsi" w:hAnsiTheme="minorHAnsi"/>
        </w:rPr>
        <w:t xml:space="preserve">Landa Garapeneko eta Ingurumeneko kontseilaria: </w:t>
      </w:r>
      <w:r>
        <w:rPr>
          <w:sz w:val="22"/>
          <w:color w:val="000000"/>
          <w:rFonts w:asciiTheme="minorHAnsi" w:hAnsiTheme="minorHAnsi"/>
        </w:rPr>
        <w:t xml:space="preserve">José María Aierdi Fernández de Barrena</w:t>
      </w:r>
      <w:r>
        <w:rPr>
          <w:sz w:val="22"/>
          <w:rFonts w:asciiTheme="minorHAnsi" w:hAnsiTheme="minorHAnsi"/>
        </w:rPr>
        <w:t xml:space="preserve"> </w:t>
      </w:r>
      <w:r>
        <w:rPr>
          <w:sz w:val="22"/>
          <w:color w:val="000000"/>
          <w:rFonts w:asciiTheme="minorHAnsi" w:hAnsiTheme="minorHAnsi"/>
        </w:rPr>
        <w:t xml:space="preserve"> </w:t>
      </w:r>
    </w:p>
    <w:sectPr w:rsidR="00D77C2F" w:rsidRPr="007E07FE" w:rsidSect="007E07FE">
      <w:headerReference w:type="default" r:id="rId7"/>
      <w:footerReference w:type="even" r:id="rId8"/>
      <w:footerReference w:type="default" r:id="rId9"/>
      <w:pgSz w:w="11906" w:h="16838" w:code="9"/>
      <w:pgMar w:top="1560"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CBA92" w14:textId="77777777" w:rsidR="00BD07FD" w:rsidRDefault="00BD07FD" w:rsidP="00381BB8">
      <w:pPr>
        <w:pStyle w:val="Encabezado"/>
      </w:pPr>
      <w:r>
        <w:separator/>
      </w:r>
    </w:p>
  </w:endnote>
  <w:endnote w:type="continuationSeparator" w:id="0">
    <w:p w14:paraId="0771D47D" w14:textId="77777777" w:rsidR="00BD07FD" w:rsidRDefault="00BD07FD"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DBC3" w14:textId="77777777" w:rsidR="004A742E" w:rsidRDefault="004A742E">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Pr>
        <w:rStyle w:val="Nmerodepgina"/>
        <w:rFonts w:cs="Arial"/>
      </w:rPr>
      <w:t>2</w:t>
    </w:r>
    <w:r w:rsidRPr="00514ED6">
      <w:rPr>
        <w:rStyle w:val="Nmerodepgina"/>
        <w:rFonts w:cs="Arial"/>
      </w:rPr>
      <w:fldChar w:fldCharType="end"/>
    </w:r>
    <w:r>
      <w:rPr>
        <w:rStyle w:val="Nmerodepgina"/>
      </w:rPr>
      <w:t xml:space="preserve">/</w:t>
    </w:r>
    <w:r w:rsidRPr="00514ED6">
      <w:rPr>
        <w:rStyle w:val="Nmerodepgina"/>
        <w:rFonts w:cs="Arial"/>
      </w:rPr>
      <w:fldChar w:fldCharType="begin" w:dirty="true"/>
    </w:r>
    <w:r w:rsidRPr="00514ED6">
      <w:rPr>
        <w:rStyle w:val="Nmerodepgina"/>
        <w:rFonts w:cs="Arial"/>
      </w:rPr>
      <w:instrText xml:space="preserve"> NUMPAGES </w:instrText>
    </w:r>
    <w:r w:rsidRPr="00514ED6">
      <w:rPr>
        <w:rStyle w:val="Nmerodepgina"/>
        <w:rFonts w:cs="Arial"/>
      </w:rPr>
      <w:fldChar w:fldCharType="separate"/>
    </w:r>
    <w:r>
      <w:rPr>
        <w:rStyle w:val="Nmerodepgina"/>
        <w:rFonts w:cs="Arial"/>
      </w:rPr>
      <w:t>1</w:t>
    </w:r>
    <w:r w:rsidRPr="00514ED6">
      <w:rPr>
        <w:rStyle w:val="Nmerodepgina"/>
        <w:rFonts w:cs="Arial"/>
      </w:rPr>
      <w:fldChar w:fldCharType="end"/>
    </w:r>
    <w:r>
      <w:rPr>
        <w:rStyle w:val="Nmerodepgina"/>
      </w:rPr>
      <w:t xml:space="preserve"> </w:t>
    </w:r>
    <w:r>
      <w:rPr>
        <w:rStyle w:val="Nmerodepgina"/>
      </w:rPr>
      <w:tab/>
    </w:r>
    <w:r>
      <w:rPr>
        <w:rStyle w:val="Nmerodepgina"/>
      </w:rPr>
      <w:tab/>
    </w:r>
    <w:r>
      <w:rPr>
        <w:rStyle w:val="Nmerodepgina"/>
      </w:rPr>
      <w:t xml:space="preserve">Q19/</w:t>
    </w:r>
    <w:r>
      <w:rPr>
        <w:rStyle w:val="Nmerodepgina"/>
        <w:highlight w:val="yellow"/>
      </w:rPr>
      <w:t xml:space="preserve">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597B3" w14:textId="0321ED04" w:rsidR="004A742E" w:rsidRPr="003158C1" w:rsidRDefault="004A742E" w:rsidP="003158C1">
    <w:pPr>
      <w:pStyle w:val="Piedepgina"/>
      <w:spacing w:before="120"/>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3C85F" w14:textId="77777777" w:rsidR="00BD07FD" w:rsidRDefault="00BD07FD" w:rsidP="00381BB8">
      <w:pPr>
        <w:pStyle w:val="Encabezado"/>
      </w:pPr>
      <w:r>
        <w:separator/>
      </w:r>
    </w:p>
  </w:footnote>
  <w:footnote w:type="continuationSeparator" w:id="0">
    <w:p w14:paraId="7793C445" w14:textId="77777777" w:rsidR="00BD07FD" w:rsidRDefault="00BD07FD"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39EE" w14:textId="4E0A85F4" w:rsidR="004A742E" w:rsidRDefault="004A742E"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5A85AF3"/>
    <w:multiLevelType w:val="hybridMultilevel"/>
    <w:tmpl w:val="776CE18E"/>
    <w:lvl w:ilvl="0" w:tplc="CE286E06">
      <w:start w:val="27"/>
      <w:numFmt w:val="bullet"/>
      <w:lvlText w:val="-"/>
      <w:lvlJc w:val="left"/>
      <w:pPr>
        <w:ind w:left="900" w:hanging="360"/>
      </w:pPr>
      <w:rPr>
        <w:rFonts w:ascii="Arial" w:eastAsia="Times New Roman" w:hAnsi="Arial" w:cs="Aria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7"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8"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1"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8"/>
  </w:num>
  <w:num w:numId="2">
    <w:abstractNumId w:val="3"/>
  </w:num>
  <w:num w:numId="3">
    <w:abstractNumId w:val="9"/>
  </w:num>
  <w:num w:numId="4">
    <w:abstractNumId w:val="15"/>
  </w:num>
  <w:num w:numId="5">
    <w:abstractNumId w:val="1"/>
  </w:num>
  <w:num w:numId="6">
    <w:abstractNumId w:val="14"/>
  </w:num>
  <w:num w:numId="7">
    <w:abstractNumId w:val="5"/>
  </w:num>
  <w:num w:numId="8">
    <w:abstractNumId w:val="4"/>
  </w:num>
  <w:num w:numId="9">
    <w:abstractNumId w:val="7"/>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
  </w:num>
  <w:num w:numId="14">
    <w:abstractNumId w:val="13"/>
  </w:num>
  <w:num w:numId="15">
    <w:abstractNumId w:val="0"/>
  </w:num>
  <w:num w:numId="16">
    <w:abstractNumId w:val="10"/>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01B"/>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01B"/>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2532"/>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9A3"/>
    <w:rsid w:val="00281AFA"/>
    <w:rsid w:val="002830C4"/>
    <w:rsid w:val="00283154"/>
    <w:rsid w:val="00283757"/>
    <w:rsid w:val="00283919"/>
    <w:rsid w:val="00283A08"/>
    <w:rsid w:val="0028473A"/>
    <w:rsid w:val="002847C9"/>
    <w:rsid w:val="00284E0A"/>
    <w:rsid w:val="002879C7"/>
    <w:rsid w:val="00287CCF"/>
    <w:rsid w:val="00287D2B"/>
    <w:rsid w:val="00294B8D"/>
    <w:rsid w:val="0029574C"/>
    <w:rsid w:val="00295E71"/>
    <w:rsid w:val="0029695A"/>
    <w:rsid w:val="00296E14"/>
    <w:rsid w:val="002A0B45"/>
    <w:rsid w:val="002A229C"/>
    <w:rsid w:val="002A303C"/>
    <w:rsid w:val="002A39DE"/>
    <w:rsid w:val="002A3B2D"/>
    <w:rsid w:val="002A4298"/>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274EB"/>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DC3"/>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2E"/>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55497"/>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87D50"/>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7FE"/>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5663"/>
    <w:rsid w:val="00B577B7"/>
    <w:rsid w:val="00B579B2"/>
    <w:rsid w:val="00B57EDE"/>
    <w:rsid w:val="00B60635"/>
    <w:rsid w:val="00B64249"/>
    <w:rsid w:val="00B70A91"/>
    <w:rsid w:val="00B712A8"/>
    <w:rsid w:val="00B7200D"/>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7FD"/>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5E37"/>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0F26"/>
    <w:rsid w:val="00CE1F40"/>
    <w:rsid w:val="00CE2D58"/>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16EC"/>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2E7F"/>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2FC"/>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6F1E"/>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BE2B0E"/>
  <w15:chartTrackingRefBased/>
  <w15:docId w15:val="{6B8E356B-A87B-482D-BAE0-79665908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u-ES"/>
    </w:rPr>
  </w:style>
  <w:style w:type="paragraph" w:styleId="Sangra2detindependiente">
    <w:name w:val="Body Text Indent 2"/>
    <w:basedOn w:val="Normal"/>
    <w:rsid w:val="00085EEC"/>
    <w:pPr>
      <w:spacing w:line="360" w:lineRule="atLeast"/>
      <w:ind w:left="426" w:hanging="426"/>
    </w:pPr>
    <w:rPr>
      <w:lang w:val="eu-ES"/>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 w:id="202678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4</TotalTime>
  <Pages>2</Pages>
  <Words>657</Words>
  <Characters>3591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Fernández Pérez, Beatriz</cp:lastModifiedBy>
  <cp:revision>4</cp:revision>
  <cp:lastPrinted>2018-10-15T10:28:00Z</cp:lastPrinted>
  <dcterms:created xsi:type="dcterms:W3CDTF">2025-12-11T12:35:00Z</dcterms:created>
  <dcterms:modified xsi:type="dcterms:W3CDTF">2026-01-07T08:33:00Z</dcterms:modified>
</cp:coreProperties>
</file>