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04E9" w14:textId="77777777" w:rsidR="00975A08" w:rsidRDefault="00975A08">
      <w:pPr>
        <w:pStyle w:val="DICTA-TEXTO"/>
      </w:pPr>
    </w:p>
    <w:p w14:paraId="6A174020" w14:textId="77777777" w:rsidR="00975A08" w:rsidRDefault="00975A08">
      <w:pPr>
        <w:pStyle w:val="DICTA-TEXTO"/>
        <w:sectPr w:rsidR="00975A08" w:rsidSect="006139C3">
          <w:headerReference w:type="first" r:id="rId8"/>
          <w:pgSz w:w="11907" w:h="16840" w:code="9"/>
          <w:pgMar w:top="2268" w:right="1418" w:bottom="1418" w:left="2268" w:header="568" w:footer="1134" w:gutter="0"/>
          <w:paperSrc w:first="1" w:other="1"/>
          <w:cols w:space="720"/>
          <w:titlePg/>
          <w:docGrid w:linePitch="354"/>
        </w:sectPr>
      </w:pPr>
    </w:p>
    <w:p w14:paraId="1903F188" w14:textId="61B2E3C7" w:rsidR="00420C59" w:rsidRDefault="006F1D2E" w:rsidP="002521FD">
      <w:pPr>
        <w:pStyle w:val="DICTA-TITULO"/>
      </w:pPr>
      <w:r>
        <w:t xml:space="preserve">Foru Legea, itunpeko unitateak luzatzeari eta funts publikoz sostengatutako ikastetxeetako eskola-unitate bakoitzeko gehieneko ikasle-ratioa oro har jaisteari buruzkoa</w:t>
      </w:r>
    </w:p>
    <w:p w14:paraId="575AABCB" w14:textId="09E09B51" w:rsidR="00F375C9" w:rsidRPr="00F375C9" w:rsidRDefault="00F375C9" w:rsidP="006F55CB">
      <w:pPr>
        <w:pStyle w:val="DICTA-TEXTO"/>
      </w:pPr>
      <w:r>
        <w:rPr>
          <w:b/>
        </w:rPr>
        <w:t xml:space="preserve">1. artikulua.</w:t>
      </w:r>
      <w:r>
        <w:t xml:space="preserve"> </w:t>
      </w:r>
      <w:r>
        <w:t xml:space="preserve">Itunak berritzeko irizpideak planifikatzea.</w:t>
      </w:r>
      <w:r>
        <w:t xml:space="preserve"> </w:t>
      </w:r>
    </w:p>
    <w:p w14:paraId="6EF67174" w14:textId="479BB45F" w:rsidR="008326B9" w:rsidRPr="008326B9" w:rsidRDefault="008326B9" w:rsidP="008326B9">
      <w:pPr>
        <w:pStyle w:val="DICTA-TEXTO"/>
      </w:pPr>
      <w:r>
        <w:t xml:space="preserve">1.</w:t>
      </w:r>
      <w:r>
        <w:t xml:space="preserve"> </w:t>
      </w:r>
      <w:r>
        <w:t xml:space="preserve">Hezkuntza Departamentuak zehaztuko ditu, maila guztietako hezkuntza-itunak amaitzen diren ikasturtearen hasieran, berritzeko eskaerak ebazteko aplikatuko dituen irizpide zehatzak, bereziki kontuan hartuta familiek beren seme-alabentzako nahi duten hezkuntza aukeratzeko duten askatasuna bermatzen duten horiek.</w:t>
      </w:r>
    </w:p>
    <w:p w14:paraId="6237FC5D" w14:textId="635DC5C2" w:rsidR="00F375C9" w:rsidRDefault="008326B9" w:rsidP="008326B9">
      <w:pPr>
        <w:pStyle w:val="DICTA-TEXTO"/>
      </w:pPr>
      <w:r>
        <w:t xml:space="preserve">2.</w:t>
      </w:r>
      <w:r>
        <w:t xml:space="preserve"> </w:t>
      </w:r>
      <w:r>
        <w:t xml:space="preserve">Hezkuntza-unitateak ikasle-kopuruaren aldaketetara egokitzeko, itunpeko ikastetxeek Hezkuntza Departamentuak ezarritako irizpideez bestelako proposamenak aurkeztu ahal izanen dizkiote Hezkuntza Departamentuari, honako arlo hauetan, besteak beste: hezkuntza-inklusioa, ikasleen beharrak, berrikuntza pedagogikoa, esku-hartze soziala edo egokitzat jotzen duten beste edozein alderdi. Itun Batzorde eskudunak nahitaez baloratu beharko ditu proposamen horiek, itunpeko unitateen kopurua aitortze aldera.</w:t>
      </w:r>
    </w:p>
    <w:p w14:paraId="38D3F4C6" w14:textId="77777777" w:rsidR="008326B9" w:rsidRPr="008326B9" w:rsidRDefault="008326B9" w:rsidP="008326B9">
      <w:pPr>
        <w:pStyle w:val="DICTA-TEXTO"/>
      </w:pPr>
      <w:r>
        <w:rPr>
          <w:b/>
        </w:rPr>
        <w:t xml:space="preserve">2. artikulua.</w:t>
      </w:r>
      <w:r>
        <w:t xml:space="preserve"> </w:t>
      </w:r>
      <w:r>
        <w:t xml:space="preserve">Hezkuntza publikoan eta itunduan ratioak murrizteko irizpideak.</w:t>
      </w:r>
    </w:p>
    <w:p w14:paraId="36621850" w14:textId="77777777" w:rsidR="008326B9" w:rsidRPr="008326B9" w:rsidRDefault="008326B9" w:rsidP="008326B9">
      <w:pPr>
        <w:pStyle w:val="DICTA-TEXTO"/>
      </w:pPr>
      <w:r>
        <w:t xml:space="preserve">Eskola publikorako onesten diren ratio- eta unitate-murrizketarako irizpide berak aplikatuko dira irakaskuntza itunduan.</w:t>
      </w:r>
    </w:p>
    <w:p w14:paraId="6C4B915F" w14:textId="11B64D8A" w:rsidR="008326B9" w:rsidRPr="008326B9" w:rsidRDefault="008326B9" w:rsidP="008326B9">
      <w:pPr>
        <w:pStyle w:val="DICTA-TEXTO"/>
      </w:pPr>
      <w:r>
        <w:rPr>
          <w:b/>
        </w:rPr>
        <w:t xml:space="preserve">Xedapen iragankor bakarra.</w:t>
      </w:r>
      <w:r>
        <w:t xml:space="preserve"> </w:t>
      </w:r>
    </w:p>
    <w:p w14:paraId="69AF8715" w14:textId="08B3327E" w:rsidR="00040EB7" w:rsidRPr="00040EB7" w:rsidRDefault="00040EB7" w:rsidP="002521FD">
      <w:pPr>
        <w:pStyle w:val="DICTA-TEXTO"/>
      </w:pPr>
      <w:r>
        <w:t xml:space="preserve">1.</w:t>
      </w:r>
      <w:r>
        <w:t xml:space="preserve"> </w:t>
      </w:r>
      <w:r>
        <w:t xml:space="preserve">Indarrean dauden hezkuntza-itunen eta ikastetxe publikoetako ikasgela-kopuruaren luzamendua 2026/2027ko ikasturterako.</w:t>
      </w:r>
    </w:p>
    <w:p w14:paraId="1845764D" w14:textId="37432A10" w:rsidR="00040EB7" w:rsidRPr="00040EB7" w:rsidRDefault="00040EB7" w:rsidP="00040EB7">
      <w:pPr>
        <w:pStyle w:val="DICTA-TEXTO"/>
      </w:pPr>
      <w:r>
        <w:t xml:space="preserve">Segurtasun juridikoa bermatze eta foru-lege honetan xedatutakoa behar bezala aplikatze aldera, urtebeteko luzamendua ezartzen da 2026/2027ko ikasturterako eguneratu beharrekoak diren hezkuntza-itunak berritzean eta aldatzean eta ikastetxe publikoetako ikasgela-kopurua planifikatzean  ikasgela-murrizketak aplikatzeko; hori horrela, aipatutako ikasturte horretan, gaur egun dauden unitate publikoak eta itunduak mantenduko dira itunen eraginpean dauden ikasmailetan.</w:t>
      </w:r>
    </w:p>
    <w:p w14:paraId="3BD828DC" w14:textId="29E341C7" w:rsidR="00040EB7" w:rsidRPr="00040EB7" w:rsidRDefault="00040EB7" w:rsidP="00040EB7">
      <w:pPr>
        <w:pStyle w:val="DICTA-TEXTO"/>
      </w:pPr>
      <w:r>
        <w:t xml:space="preserve">2.</w:t>
      </w:r>
      <w:r>
        <w:t xml:space="preserve"> </w:t>
      </w:r>
      <w:r>
        <w:t xml:space="preserve">2026-2027 ikasturterako onarpen-prozesuan izanen dituen eraginak.</w:t>
      </w:r>
    </w:p>
    <w:p w14:paraId="33CF0B99" w14:textId="650784A0" w:rsidR="00040EB7" w:rsidRPr="00040EB7" w:rsidRDefault="00040EB7" w:rsidP="00040EB7">
      <w:pPr>
        <w:pStyle w:val="DICTA-TEXTO"/>
      </w:pPr>
      <w:r>
        <w:t xml:space="preserve">Ikasleen onarpen-prozesuaren ondorioetarako, 2027/2028 ikasturtetik aurrera aplikatuko dira gehieneko ikasle/ikasgela ratioen murrizketak, itunpeko irakaskuntzan eskaini beharreko plaza hutsak murriztuz.</w:t>
      </w:r>
    </w:p>
    <w:p w14:paraId="7E14F1B5" w14:textId="77777777" w:rsidR="008326B9" w:rsidRPr="008326B9" w:rsidRDefault="008326B9" w:rsidP="008326B9">
      <w:pPr>
        <w:pStyle w:val="DICTA-TEXTO"/>
      </w:pPr>
      <w:r>
        <w:rPr>
          <w:b/>
        </w:rPr>
        <w:t xml:space="preserve">Xedapen indargabetzaile bakarra.</w:t>
      </w:r>
      <w:r>
        <w:t xml:space="preserve"> </w:t>
      </w:r>
      <w:r>
        <w:t xml:space="preserve">Arau-indargabetzea.</w:t>
      </w:r>
    </w:p>
    <w:p w14:paraId="6E944544" w14:textId="26B17225" w:rsidR="008326B9" w:rsidRPr="00F375C9" w:rsidRDefault="005812FB" w:rsidP="002521FD">
      <w:pPr>
        <w:pStyle w:val="DICTA-TEXTO"/>
      </w:pPr>
      <w:r>
        <w:t xml:space="preserve">Indargabetu egiten dira foru-lege honetan xedatutakoaren kontrakoak diren maila bereko edo beheragoko xedapen guztiak, eta, zehazki, Langileriaren zuzendari nagusiaren apirilaren 10eko 26/2026 Ebazpena, zeinaren bidez ebazten baita Nafarroako Foru Komunitateko ikastetxeetan 2026/2027 ikasturtetik aurrera Haur Hezkuntzako bigarren zikloko eta Batxilergoko unitateen hezkuntza-ituna berritzeko prozedura.</w:t>
      </w:r>
    </w:p>
    <w:p w14:paraId="18D96F41" w14:textId="77777777" w:rsidR="00F375C9" w:rsidRPr="00F375C9" w:rsidRDefault="00F375C9" w:rsidP="00AD5256">
      <w:pPr>
        <w:pStyle w:val="DICTA-TEXTO"/>
      </w:pPr>
      <w:r>
        <w:rPr>
          <w:b/>
        </w:rPr>
        <w:t xml:space="preserve">Azken xedapena.</w:t>
      </w:r>
      <w:r>
        <w:t xml:space="preserve"> </w:t>
      </w:r>
      <w:r>
        <w:t xml:space="preserve">Indarra hartzea.</w:t>
      </w:r>
    </w:p>
    <w:p w14:paraId="6D964C15" w14:textId="324DD25C" w:rsidR="00975A08" w:rsidRDefault="00F375C9" w:rsidP="00AD5256">
      <w:pPr>
        <w:pStyle w:val="DICTA-TEXTO"/>
      </w:pPr>
      <w:r>
        <w:t xml:space="preserve">Foru-lege honek Nafarroako Aldizkari Ofizialean argitaratu eta biharamunean hartuko du indarra.</w:t>
      </w:r>
    </w:p>
    <w:sectPr w:rsidR="00975A08" w:rsidSect="006139C3">
      <w:headerReference w:type="default" r:id="rId9"/>
      <w:type w:val="continuous"/>
      <w:pgSz w:w="11907" w:h="16840" w:code="9"/>
      <w:pgMar w:top="2268" w:right="1418" w:bottom="1418" w:left="2268" w:header="568" w:footer="1134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D163" w14:textId="77777777" w:rsidR="00101925" w:rsidRDefault="00101925">
      <w:r>
        <w:separator/>
      </w:r>
    </w:p>
  </w:endnote>
  <w:endnote w:type="continuationSeparator" w:id="0">
    <w:p w14:paraId="216C2ACB" w14:textId="77777777" w:rsidR="00101925" w:rsidRDefault="0010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5A3E" w14:textId="77777777" w:rsidR="00101925" w:rsidRDefault="00101925">
      <w:r>
        <w:separator/>
      </w:r>
    </w:p>
  </w:footnote>
  <w:footnote w:type="continuationSeparator" w:id="0">
    <w:p w14:paraId="14D19232" w14:textId="77777777" w:rsidR="00101925" w:rsidRDefault="0010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CC08" w14:textId="77777777" w:rsidR="00975A08" w:rsidRPr="006139C3" w:rsidRDefault="006139C3" w:rsidP="006139C3">
    <w:pPr>
      <w:pStyle w:val="Encabezado"/>
      <w:ind w:left="-1134" w:hanging="284"/>
    </w:pPr>
    <w:r>
      <w:drawing>
        <wp:inline distT="0" distB="0" distL="0" distR="0" wp14:anchorId="1A8E6369" wp14:editId="6388692A">
          <wp:extent cx="1577340" cy="1226820"/>
          <wp:effectExtent l="0" t="0" r="381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51C4A" w14:textId="77777777" w:rsidR="00975A08" w:rsidRDefault="00975A08">
    <w:pPr>
      <w:pStyle w:val="Encabezado"/>
      <w:jc w:val="right"/>
      <w:rPr>
        <w:sz w:val="22"/>
        <w:rFonts w:ascii="Arial" w:hAnsi="Arial" w:cs="Arial"/>
      </w:rPr>
    </w:pPr>
    <w:r>
      <w:rPr>
        <w:rStyle w:val="Nmerodepgina"/>
        <w:sz w:val="22"/>
        <w:rFonts w:ascii="Arial" w:hAnsi="Arial" w:cs="Arial"/>
      </w:rPr>
      <w:fldChar w:fldCharType="begin"/>
    </w:r>
    <w:r>
      <w:rPr>
        <w:rStyle w:val="Nmerodepgina"/>
        <w:sz w:val="22"/>
        <w:rFonts w:ascii="Arial" w:hAnsi="Arial" w:cs="Arial"/>
      </w:rPr>
      <w:instrText xml:space="preserve"> PAGE </w:instrText>
    </w:r>
    <w:r>
      <w:rPr>
        <w:rStyle w:val="Nmerodepgina"/>
        <w:sz w:val="22"/>
        <w:rFonts w:ascii="Arial" w:hAnsi="Arial" w:cs="Arial"/>
      </w:rPr>
      <w:fldChar w:fldCharType="separate"/>
    </w:r>
    <w:r w:rsidR="00420C59">
      <w:rPr>
        <w:rStyle w:val="Nmerodepgina"/>
        <w:sz w:val="22"/>
        <w:rFonts w:ascii="Arial" w:hAnsi="Arial" w:cs="Arial"/>
      </w:rPr>
      <w:t>2</w:t>
    </w:r>
    <w:r>
      <w:rPr>
        <w:rStyle w:val="Nmerodepgina"/>
        <w:sz w:val="22"/>
        <w:rFonts w:ascii="Arial" w:hAnsi="Arial" w:cs="Arial"/>
      </w:rPr>
      <w:fldChar w:fldCharType="end"/>
    </w:r>
    <w:r>
      <w:rPr>
        <w:rStyle w:val="Nmerodepgina"/>
        <w:sz w:val="22"/>
        <w:rFonts w:ascii="Arial" w:hAnsi="Arial"/>
      </w:rPr>
      <w:t xml:space="preserve"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57FF"/>
    <w:multiLevelType w:val="hybridMultilevel"/>
    <w:tmpl w:val="BF56E2EA"/>
    <w:lvl w:ilvl="0" w:tplc="D5F010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942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C3"/>
    <w:rsid w:val="00040EB7"/>
    <w:rsid w:val="000475DC"/>
    <w:rsid w:val="00056AD9"/>
    <w:rsid w:val="000701A9"/>
    <w:rsid w:val="000A63C5"/>
    <w:rsid w:val="000C1D7C"/>
    <w:rsid w:val="00101925"/>
    <w:rsid w:val="00136D67"/>
    <w:rsid w:val="001D5B6E"/>
    <w:rsid w:val="001D608A"/>
    <w:rsid w:val="001F2E11"/>
    <w:rsid w:val="00244EEB"/>
    <w:rsid w:val="002521FD"/>
    <w:rsid w:val="00287D23"/>
    <w:rsid w:val="00300DAC"/>
    <w:rsid w:val="003A7A05"/>
    <w:rsid w:val="003C2731"/>
    <w:rsid w:val="003E21F4"/>
    <w:rsid w:val="00413856"/>
    <w:rsid w:val="00420C59"/>
    <w:rsid w:val="00461354"/>
    <w:rsid w:val="004626B9"/>
    <w:rsid w:val="00525C14"/>
    <w:rsid w:val="005440D9"/>
    <w:rsid w:val="005812FB"/>
    <w:rsid w:val="0059787B"/>
    <w:rsid w:val="005A152A"/>
    <w:rsid w:val="006139C3"/>
    <w:rsid w:val="006F1D2E"/>
    <w:rsid w:val="006F55CB"/>
    <w:rsid w:val="007378A6"/>
    <w:rsid w:val="00773739"/>
    <w:rsid w:val="00774B67"/>
    <w:rsid w:val="007E0E42"/>
    <w:rsid w:val="008326B9"/>
    <w:rsid w:val="00842028"/>
    <w:rsid w:val="00861B4C"/>
    <w:rsid w:val="00881B60"/>
    <w:rsid w:val="00975A08"/>
    <w:rsid w:val="009D5EBF"/>
    <w:rsid w:val="009F1C76"/>
    <w:rsid w:val="00A30435"/>
    <w:rsid w:val="00A60C90"/>
    <w:rsid w:val="00A704E3"/>
    <w:rsid w:val="00AD5256"/>
    <w:rsid w:val="00AF73A3"/>
    <w:rsid w:val="00B34896"/>
    <w:rsid w:val="00B53C44"/>
    <w:rsid w:val="00B775B8"/>
    <w:rsid w:val="00B87540"/>
    <w:rsid w:val="00B942AB"/>
    <w:rsid w:val="00BA07EB"/>
    <w:rsid w:val="00BA1DB4"/>
    <w:rsid w:val="00C27A5B"/>
    <w:rsid w:val="00C27D52"/>
    <w:rsid w:val="00C80A14"/>
    <w:rsid w:val="00C82FAF"/>
    <w:rsid w:val="00D31C7C"/>
    <w:rsid w:val="00E021FA"/>
    <w:rsid w:val="00E22D46"/>
    <w:rsid w:val="00EB64C6"/>
    <w:rsid w:val="00F375C9"/>
    <w:rsid w:val="00F405E4"/>
    <w:rsid w:val="00F40C3B"/>
    <w:rsid w:val="00F63DD9"/>
    <w:rsid w:val="00FA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B9300"/>
  <w15:docId w15:val="{002D4682-F382-4EE2-9596-C18A47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pPr>
      <w:tabs>
        <w:tab w:val="left" w:pos="936"/>
      </w:tabs>
      <w:overflowPunct w:val="0"/>
      <w:autoSpaceDE w:val="0"/>
      <w:autoSpaceDN w:val="0"/>
      <w:adjustRightInd w:val="0"/>
      <w:spacing w:after="300" w:line="380" w:lineRule="exact"/>
      <w:ind w:firstLine="567"/>
      <w:jc w:val="both"/>
      <w:textAlignment w:val="baseline"/>
    </w:pPr>
    <w:rPr>
      <w:sz w:val="26"/>
      <w:szCs w:val="20"/>
      <w:lang w:val="eu-ES"/>
    </w:rPr>
  </w:style>
  <w:style w:type="paragraph" w:customStyle="1" w:styleId="DICTAMEN">
    <w:name w:val="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TITULO">
    <w:name w:val="DICTA-TITULO"/>
    <w:pPr>
      <w:spacing w:after="84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  <w:lang w:val="eu-ES"/>
    </w:rPr>
  </w:style>
  <w:style w:type="character" w:styleId="Nmerodepgina">
    <w:name w:val="page number"/>
    <w:basedOn w:val="Fuentedeprrafopredeter"/>
    <w:semiHidden/>
  </w:style>
  <w:style w:type="paragraph" w:customStyle="1" w:styleId="OFI-FECHA1">
    <w:name w:val="OFI-FECHA1"/>
    <w:pPr>
      <w:jc w:val="center"/>
    </w:pPr>
    <w:rPr>
      <w:rFonts w:ascii="Arial" w:hAnsi="Arial"/>
      <w:sz w:val="24"/>
    </w:rPr>
  </w:style>
  <w:style w:type="paragraph" w:customStyle="1" w:styleId="OFI-FIRMA1">
    <w:name w:val="OFI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OFI-FIRMA2">
    <w:name w:val="OFI-FIRMA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  <w:lang w:val="eu-ES"/>
    </w:rPr>
  </w:style>
  <w:style w:type="paragraph" w:customStyle="1" w:styleId="OFI-FIRMA5">
    <w:name w:val="OFI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OFI-FIRMA6">
    <w:name w:val="OFI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ENMIENDA">
    <w:name w:val="DICTA-ENMIENDA"/>
    <w:basedOn w:val="Normal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Cs w:val="20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139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39C3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3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354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5440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48FF-3173-46CD-B3C3-C204C695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La Mesa de la      en virtud de lo establecido en el artículo 136</vt:lpstr>
      <vt:lpstr>La Mesa de la      en virtud de lo establecido en el artículo 136</vt:lpstr>
    </vt:vector>
  </TitlesOfParts>
  <Company>Hewlett-Packard Company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Mesa de la      en virtud de lo establecido en el artículo 136</dc:title>
  <dc:creator>Eduardo</dc:creator>
  <cp:lastModifiedBy>Aizkorbe Esain, Rogelio</cp:lastModifiedBy>
  <cp:revision>20</cp:revision>
  <cp:lastPrinted>2026-02-09T09:04:00Z</cp:lastPrinted>
  <dcterms:created xsi:type="dcterms:W3CDTF">2026-02-12T08:58:00Z</dcterms:created>
  <dcterms:modified xsi:type="dcterms:W3CDTF">2026-05-19T06:10:00Z</dcterms:modified>
</cp:coreProperties>
</file>