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BC22" w14:textId="3C8F7EE2" w:rsidR="00934199" w:rsidRPr="00427888" w:rsidRDefault="00B07455" w:rsidP="00427888">
      <w:pPr>
        <w:spacing w:before="120" w:after="120" w:line="276" w:lineRule="auto"/>
        <w:ind w:firstLine="540"/>
        <w:rPr>
          <w:rFonts w:asciiTheme="minorHAnsi" w:hAnsiTheme="minorHAnsi" w:cstheme="minorHAnsi"/>
          <w:color w:val="000000"/>
          <w:sz w:val="22"/>
          <w:szCs w:val="22"/>
        </w:rPr>
      </w:pPr>
      <w:r w:rsidRPr="00427888">
        <w:rPr>
          <w:rFonts w:asciiTheme="minorHAnsi" w:hAnsiTheme="minorHAnsi" w:cstheme="minorHAnsi"/>
          <w:color w:val="000000"/>
          <w:sz w:val="22"/>
          <w:szCs w:val="22"/>
        </w:rPr>
        <w:t xml:space="preserve">El Consejero de Desarrollo Rural y Medio Ambiente, </w:t>
      </w:r>
      <w:r w:rsidR="00427888" w:rsidRPr="00427888">
        <w:rPr>
          <w:rFonts w:asciiTheme="minorHAnsi" w:hAnsiTheme="minorHAnsi" w:cstheme="minorHAnsi"/>
          <w:color w:val="000000"/>
          <w:sz w:val="22"/>
          <w:szCs w:val="22"/>
        </w:rPr>
        <w:t>con relación a</w:t>
      </w:r>
      <w:r w:rsidRPr="00427888">
        <w:rPr>
          <w:rFonts w:asciiTheme="minorHAnsi" w:hAnsiTheme="minorHAnsi" w:cstheme="minorHAnsi"/>
          <w:color w:val="000000"/>
          <w:sz w:val="22"/>
          <w:szCs w:val="22"/>
        </w:rPr>
        <w:t xml:space="preserve"> la </w:t>
      </w:r>
      <w:r w:rsidR="002F227B" w:rsidRPr="00427888">
        <w:rPr>
          <w:rFonts w:asciiTheme="minorHAnsi" w:hAnsiTheme="minorHAnsi" w:cstheme="minorHAnsi"/>
          <w:color w:val="000000"/>
          <w:sz w:val="22"/>
          <w:szCs w:val="22"/>
        </w:rPr>
        <w:t xml:space="preserve">pregunta escrita </w:t>
      </w:r>
      <w:r w:rsidRPr="00427888">
        <w:rPr>
          <w:rFonts w:asciiTheme="minorHAnsi" w:hAnsiTheme="minorHAnsi" w:cstheme="minorHAnsi"/>
          <w:sz w:val="22"/>
          <w:szCs w:val="22"/>
        </w:rPr>
        <w:t>11-2</w:t>
      </w:r>
      <w:r w:rsidR="00012EE8" w:rsidRPr="00427888">
        <w:rPr>
          <w:rFonts w:asciiTheme="minorHAnsi" w:hAnsiTheme="minorHAnsi" w:cstheme="minorHAnsi"/>
          <w:sz w:val="22"/>
          <w:szCs w:val="22"/>
        </w:rPr>
        <w:t>6</w:t>
      </w:r>
      <w:r w:rsidRPr="00427888">
        <w:rPr>
          <w:rFonts w:asciiTheme="minorHAnsi" w:hAnsiTheme="minorHAnsi" w:cstheme="minorHAnsi"/>
          <w:sz w:val="22"/>
          <w:szCs w:val="22"/>
        </w:rPr>
        <w:t>/</w:t>
      </w:r>
      <w:r w:rsidR="002E2482" w:rsidRPr="00427888">
        <w:rPr>
          <w:rFonts w:asciiTheme="minorHAnsi" w:hAnsiTheme="minorHAnsi" w:cstheme="minorHAnsi"/>
          <w:sz w:val="22"/>
          <w:szCs w:val="22"/>
        </w:rPr>
        <w:t>PES</w:t>
      </w:r>
      <w:r w:rsidR="00410497" w:rsidRPr="00427888">
        <w:rPr>
          <w:rFonts w:asciiTheme="minorHAnsi" w:hAnsiTheme="minorHAnsi" w:cstheme="minorHAnsi"/>
          <w:sz w:val="22"/>
          <w:szCs w:val="22"/>
        </w:rPr>
        <w:t>-00128</w:t>
      </w:r>
      <w:r w:rsidRPr="00427888">
        <w:rPr>
          <w:rFonts w:asciiTheme="minorHAnsi" w:hAnsiTheme="minorHAnsi" w:cstheme="minorHAnsi"/>
          <w:sz w:val="22"/>
          <w:szCs w:val="22"/>
        </w:rPr>
        <w:t xml:space="preserve"> solicitada por el Parlamentario Foral Ilmo. Sr. </w:t>
      </w:r>
      <w:r w:rsidR="00427888" w:rsidRPr="00427888">
        <w:rPr>
          <w:rFonts w:asciiTheme="minorHAnsi" w:hAnsiTheme="minorHAnsi" w:cstheme="minorHAnsi"/>
          <w:color w:val="000000"/>
          <w:sz w:val="22"/>
          <w:szCs w:val="22"/>
        </w:rPr>
        <w:t xml:space="preserve">don </w:t>
      </w:r>
      <w:r w:rsidR="00410497" w:rsidRPr="00427888">
        <w:rPr>
          <w:rFonts w:asciiTheme="minorHAnsi" w:hAnsiTheme="minorHAnsi" w:cstheme="minorHAnsi"/>
          <w:color w:val="000000"/>
          <w:sz w:val="22"/>
          <w:szCs w:val="22"/>
        </w:rPr>
        <w:t>Félix Zapatero Soria</w:t>
      </w:r>
      <w:r w:rsidR="00BC3A3A" w:rsidRPr="00427888">
        <w:rPr>
          <w:rFonts w:asciiTheme="minorHAnsi" w:hAnsiTheme="minorHAnsi" w:cstheme="minorHAnsi"/>
          <w:color w:val="000000"/>
          <w:sz w:val="22"/>
          <w:szCs w:val="22"/>
        </w:rPr>
        <w:t>,</w:t>
      </w:r>
      <w:r w:rsidR="00BC3A3A" w:rsidRPr="00427888">
        <w:rPr>
          <w:rFonts w:asciiTheme="minorHAnsi" w:hAnsiTheme="minorHAnsi" w:cstheme="minorHAnsi"/>
          <w:sz w:val="22"/>
          <w:szCs w:val="22"/>
        </w:rPr>
        <w:t xml:space="preserve"> adscrito al Grupo Parlamentario</w:t>
      </w:r>
      <w:r w:rsidR="00410497" w:rsidRPr="00427888">
        <w:rPr>
          <w:rFonts w:asciiTheme="minorHAnsi" w:hAnsiTheme="minorHAnsi" w:cstheme="minorHAnsi"/>
          <w:sz w:val="22"/>
          <w:szCs w:val="22"/>
        </w:rPr>
        <w:t xml:space="preserve"> UPN</w:t>
      </w:r>
      <w:r w:rsidR="00BC3A3A" w:rsidRPr="00427888">
        <w:rPr>
          <w:rFonts w:asciiTheme="minorHAnsi" w:hAnsiTheme="minorHAnsi" w:cstheme="minorHAnsi"/>
          <w:sz w:val="22"/>
          <w:szCs w:val="22"/>
        </w:rPr>
        <w:t xml:space="preserve">, </w:t>
      </w:r>
      <w:r w:rsidR="001C2E8E" w:rsidRPr="00427888">
        <w:rPr>
          <w:rFonts w:asciiTheme="minorHAnsi" w:hAnsiTheme="minorHAnsi" w:cstheme="minorHAnsi"/>
          <w:sz w:val="22"/>
          <w:szCs w:val="22"/>
        </w:rPr>
        <w:t>sobre</w:t>
      </w:r>
      <w:r w:rsidR="00410497" w:rsidRPr="00427888">
        <w:rPr>
          <w:rFonts w:asciiTheme="minorHAnsi" w:hAnsiTheme="minorHAnsi" w:cstheme="minorHAnsi"/>
          <w:sz w:val="22"/>
          <w:szCs w:val="22"/>
        </w:rPr>
        <w:t xml:space="preserve"> la prórroga de los Planes de Ordenación Cinegética,</w:t>
      </w:r>
      <w:r w:rsidR="001C2E8E" w:rsidRPr="00427888">
        <w:rPr>
          <w:rFonts w:asciiTheme="minorHAnsi" w:hAnsiTheme="minorHAnsi" w:cstheme="minorHAnsi"/>
          <w:sz w:val="22"/>
          <w:szCs w:val="22"/>
        </w:rPr>
        <w:t xml:space="preserve"> </w:t>
      </w:r>
      <w:r w:rsidR="00BC3A3A" w:rsidRPr="00427888">
        <w:rPr>
          <w:rFonts w:asciiTheme="minorHAnsi" w:hAnsiTheme="minorHAnsi" w:cstheme="minorHAnsi"/>
          <w:sz w:val="22"/>
          <w:szCs w:val="22"/>
        </w:rPr>
        <w:t xml:space="preserve">tiene el honor de </w:t>
      </w:r>
      <w:r w:rsidR="007C4F2E" w:rsidRPr="00427888">
        <w:rPr>
          <w:rFonts w:asciiTheme="minorHAnsi" w:hAnsiTheme="minorHAnsi" w:cstheme="minorHAnsi"/>
          <w:sz w:val="22"/>
          <w:szCs w:val="22"/>
        </w:rPr>
        <w:t>responder a las preguntas planteadas</w:t>
      </w:r>
      <w:r w:rsidRPr="00427888">
        <w:rPr>
          <w:rFonts w:asciiTheme="minorHAnsi" w:hAnsiTheme="minorHAnsi" w:cstheme="minorHAnsi"/>
          <w:sz w:val="22"/>
          <w:szCs w:val="22"/>
        </w:rPr>
        <w:t>:</w:t>
      </w:r>
    </w:p>
    <w:p w14:paraId="242A6A07" w14:textId="77777777" w:rsidR="007C4F2E" w:rsidRPr="00427888" w:rsidRDefault="007C4F2E" w:rsidP="00427888">
      <w:pPr>
        <w:spacing w:before="120" w:after="120" w:line="276" w:lineRule="auto"/>
        <w:ind w:firstLine="709"/>
        <w:rPr>
          <w:rFonts w:asciiTheme="minorHAnsi" w:hAnsiTheme="minorHAnsi" w:cstheme="minorHAnsi"/>
          <w:b/>
          <w:i/>
          <w:sz w:val="22"/>
          <w:szCs w:val="22"/>
        </w:rPr>
      </w:pPr>
      <w:r w:rsidRPr="00427888">
        <w:rPr>
          <w:rFonts w:asciiTheme="minorHAnsi" w:hAnsiTheme="minorHAnsi" w:cstheme="minorHAnsi"/>
          <w:b/>
          <w:i/>
          <w:sz w:val="22"/>
          <w:szCs w:val="22"/>
        </w:rPr>
        <w:t xml:space="preserve">¿Considera el Departamento de Desarrollo Rural y Medio Ambiente jurídicamente viable acordar una prórroga generalizada de los actuales Planes de Ordenación Cinegética vigentes hasta la aprobación y entrada en vigor de una futura Ley Foral de Caza o Gestión Cinegética y de su normativa de desarrollo? En caso afirmativo, indíquese la cobertura normativa concreta en la que se ampararía dicha decisión. </w:t>
      </w:r>
    </w:p>
    <w:p w14:paraId="0A3243D2" w14:textId="77777777"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La normativa actual que regula la vigencia de los Planes de Ordenación Cinegética es la siguiente:</w:t>
      </w:r>
    </w:p>
    <w:p w14:paraId="45608862" w14:textId="77777777"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 xml:space="preserve">• Ley Foral 17/2005, de 22 de diciembre, de caza de Navarra (BON </w:t>
      </w:r>
      <w:proofErr w:type="spellStart"/>
      <w:r w:rsidRPr="00427888">
        <w:rPr>
          <w:rFonts w:asciiTheme="minorHAnsi" w:hAnsiTheme="minorHAnsi" w:cstheme="minorHAnsi"/>
          <w:sz w:val="22"/>
          <w:szCs w:val="22"/>
        </w:rPr>
        <w:t>nº</w:t>
      </w:r>
      <w:proofErr w:type="spellEnd"/>
      <w:r w:rsidRPr="00427888">
        <w:rPr>
          <w:rFonts w:asciiTheme="minorHAnsi" w:hAnsiTheme="minorHAnsi" w:cstheme="minorHAnsi"/>
          <w:sz w:val="22"/>
          <w:szCs w:val="22"/>
        </w:rPr>
        <w:t>. 155, de fecha 28/12/2005).</w:t>
      </w:r>
    </w:p>
    <w:p w14:paraId="235D012D" w14:textId="1C6B2507"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 xml:space="preserve">• El Decreto Foral 48/2007, de 11 de junio, por el que se aprueba el reglamento para el desarrollo y ejecución de la Ley Foral 17/2005, de 22 de diciembre, de caza y pesca de Navarra (BON </w:t>
      </w:r>
      <w:proofErr w:type="spellStart"/>
      <w:r w:rsidRPr="00427888">
        <w:rPr>
          <w:rFonts w:asciiTheme="minorHAnsi" w:hAnsiTheme="minorHAnsi" w:cstheme="minorHAnsi"/>
          <w:sz w:val="22"/>
          <w:szCs w:val="22"/>
        </w:rPr>
        <w:t>nº</w:t>
      </w:r>
      <w:proofErr w:type="spellEnd"/>
      <w:r w:rsidRPr="00427888">
        <w:rPr>
          <w:rFonts w:asciiTheme="minorHAnsi" w:hAnsiTheme="minorHAnsi" w:cstheme="minorHAnsi"/>
          <w:sz w:val="22"/>
          <w:szCs w:val="22"/>
        </w:rPr>
        <w:t>. 87, de fecha 16/07/2007)</w:t>
      </w:r>
      <w:r w:rsidR="003527C7">
        <w:rPr>
          <w:rFonts w:asciiTheme="minorHAnsi" w:hAnsiTheme="minorHAnsi" w:cstheme="minorHAnsi"/>
          <w:sz w:val="22"/>
          <w:szCs w:val="22"/>
        </w:rPr>
        <w:t>.</w:t>
      </w:r>
    </w:p>
    <w:p w14:paraId="4202F290" w14:textId="55784D6A"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 xml:space="preserve">• Resolución 7/2022, de 25 de febrero, del director general de Medio Ambiente, por la que se actualiza el pliego de condiciones y el formulario técnico para la elaboración de los planes de ordenación cinegética en Navarra, aprobados por Resolución 125/2012, de 26 de enero, del director general de Medio Ambiente y Agua. (BON </w:t>
      </w:r>
      <w:proofErr w:type="spellStart"/>
      <w:r w:rsidRPr="00427888">
        <w:rPr>
          <w:rFonts w:asciiTheme="minorHAnsi" w:hAnsiTheme="minorHAnsi" w:cstheme="minorHAnsi"/>
          <w:sz w:val="22"/>
          <w:szCs w:val="22"/>
        </w:rPr>
        <w:t>nº</w:t>
      </w:r>
      <w:proofErr w:type="spellEnd"/>
      <w:r w:rsidRPr="00427888">
        <w:rPr>
          <w:rFonts w:asciiTheme="minorHAnsi" w:hAnsiTheme="minorHAnsi" w:cstheme="minorHAnsi"/>
          <w:sz w:val="22"/>
          <w:szCs w:val="22"/>
        </w:rPr>
        <w:t xml:space="preserve"> 28, de fecha 22/03/2022)</w:t>
      </w:r>
      <w:r w:rsidR="003527C7">
        <w:rPr>
          <w:rFonts w:asciiTheme="minorHAnsi" w:hAnsiTheme="minorHAnsi" w:cstheme="minorHAnsi"/>
          <w:sz w:val="22"/>
          <w:szCs w:val="22"/>
        </w:rPr>
        <w:t>.</w:t>
      </w:r>
    </w:p>
    <w:p w14:paraId="245B0564" w14:textId="3CEBEB4A" w:rsidR="007C4F2E" w:rsidRPr="00427888" w:rsidRDefault="00427888"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En relación con</w:t>
      </w:r>
      <w:r w:rsidR="007C4F2E" w:rsidRPr="00427888">
        <w:rPr>
          <w:rFonts w:asciiTheme="minorHAnsi" w:hAnsiTheme="minorHAnsi" w:cstheme="minorHAnsi"/>
          <w:sz w:val="22"/>
          <w:szCs w:val="22"/>
        </w:rPr>
        <w:t xml:space="preserve"> la vigencia de los Planes de Ordenación Cinegética (POC), el artículo 36 de la citada </w:t>
      </w:r>
      <w:r w:rsidR="00D8705C" w:rsidRPr="00427888">
        <w:rPr>
          <w:rFonts w:asciiTheme="minorHAnsi" w:hAnsiTheme="minorHAnsi" w:cstheme="minorHAnsi"/>
          <w:sz w:val="22"/>
          <w:szCs w:val="22"/>
        </w:rPr>
        <w:t>Ley Foral 17/2005, de 22 de diciembre, de caza de Navarra</w:t>
      </w:r>
      <w:r w:rsidR="007C4F2E" w:rsidRPr="00427888">
        <w:rPr>
          <w:rFonts w:asciiTheme="minorHAnsi" w:hAnsiTheme="minorHAnsi" w:cstheme="minorHAnsi"/>
          <w:sz w:val="22"/>
          <w:szCs w:val="22"/>
        </w:rPr>
        <w:t>, establece dos supuestos en los que se puede prorrogar la vigencia del POC:</w:t>
      </w:r>
    </w:p>
    <w:p w14:paraId="52EA8E71" w14:textId="77777777" w:rsidR="007C4F2E" w:rsidRPr="00427888" w:rsidRDefault="007C4F2E" w:rsidP="00427888">
      <w:pPr>
        <w:spacing w:before="120" w:after="120" w:line="276" w:lineRule="auto"/>
        <w:ind w:left="708" w:firstLine="709"/>
        <w:rPr>
          <w:rFonts w:asciiTheme="minorHAnsi" w:hAnsiTheme="minorHAnsi" w:cstheme="minorHAnsi"/>
          <w:i/>
          <w:sz w:val="22"/>
          <w:szCs w:val="22"/>
        </w:rPr>
      </w:pPr>
      <w:r w:rsidRPr="00427888">
        <w:rPr>
          <w:rFonts w:asciiTheme="minorHAnsi" w:hAnsiTheme="minorHAnsi" w:cstheme="minorHAnsi"/>
          <w:i/>
          <w:sz w:val="22"/>
          <w:szCs w:val="22"/>
        </w:rPr>
        <w:t>“La vigencia máxima de los Planes de Ordenación Cinegética será de cinco años o, en su caso, hasta la finalización del coto o de la zona de caza controlada, si la vigencia de éstos fuera inferior. Si caducado el Plan de Ordenación Cinegética faltase como máximo dos años para la extinción del coto, la vigencia del Plan podrá prorrogarse hasta su extinción.</w:t>
      </w:r>
    </w:p>
    <w:p w14:paraId="0B6758F9" w14:textId="57B977EE" w:rsidR="007C4F2E" w:rsidRPr="00427888" w:rsidRDefault="007C4F2E" w:rsidP="00427888">
      <w:pPr>
        <w:spacing w:before="120" w:after="120" w:line="276" w:lineRule="auto"/>
        <w:ind w:left="708" w:firstLine="709"/>
        <w:rPr>
          <w:rFonts w:asciiTheme="minorHAnsi" w:hAnsiTheme="minorHAnsi" w:cstheme="minorHAnsi"/>
          <w:i/>
          <w:sz w:val="22"/>
          <w:szCs w:val="22"/>
        </w:rPr>
      </w:pPr>
      <w:r w:rsidRPr="00427888">
        <w:rPr>
          <w:rFonts w:asciiTheme="minorHAnsi" w:hAnsiTheme="minorHAnsi" w:cstheme="minorHAnsi"/>
          <w:i/>
          <w:sz w:val="22"/>
          <w:szCs w:val="22"/>
        </w:rPr>
        <w:t>En el caso de no aprobación del Plan de Ordenación Cinegética presentado, conforme al apartado 2 del artículo 35, quedará prorrogada automáticamente la vigencia del Plan anterior durante un período máximo de un año”</w:t>
      </w:r>
      <w:r w:rsidR="00427888">
        <w:rPr>
          <w:rFonts w:asciiTheme="minorHAnsi" w:hAnsiTheme="minorHAnsi" w:cstheme="minorHAnsi"/>
          <w:i/>
          <w:sz w:val="22"/>
          <w:szCs w:val="22"/>
        </w:rPr>
        <w:t>.</w:t>
      </w:r>
    </w:p>
    <w:p w14:paraId="16CD0CB8" w14:textId="77777777"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 xml:space="preserve">Además, el artículo 33 del </w:t>
      </w:r>
      <w:r w:rsidR="00D8705C" w:rsidRPr="00427888">
        <w:rPr>
          <w:rFonts w:asciiTheme="minorHAnsi" w:hAnsiTheme="minorHAnsi" w:cstheme="minorHAnsi"/>
          <w:sz w:val="22"/>
          <w:szCs w:val="22"/>
        </w:rPr>
        <w:t xml:space="preserve">reglamento para el desarrollo y ejecución de la Ley Foral 17/2005, de 22 de diciembre, de caza de Navarra aprobado por </w:t>
      </w:r>
      <w:r w:rsidRPr="00427888">
        <w:rPr>
          <w:rFonts w:asciiTheme="minorHAnsi" w:hAnsiTheme="minorHAnsi" w:cstheme="minorHAnsi"/>
          <w:sz w:val="22"/>
          <w:szCs w:val="22"/>
        </w:rPr>
        <w:t xml:space="preserve">Decreto Foral 48/2007, de 11 de </w:t>
      </w:r>
      <w:r w:rsidR="00D8705C" w:rsidRPr="00427888">
        <w:rPr>
          <w:rFonts w:asciiTheme="minorHAnsi" w:hAnsiTheme="minorHAnsi" w:cstheme="minorHAnsi"/>
          <w:sz w:val="22"/>
          <w:szCs w:val="22"/>
        </w:rPr>
        <w:t>junio, establece:</w:t>
      </w:r>
    </w:p>
    <w:p w14:paraId="536DB487" w14:textId="77777777" w:rsidR="007C4F2E" w:rsidRPr="00427888" w:rsidRDefault="007C4F2E" w:rsidP="00427888">
      <w:pPr>
        <w:spacing w:before="120" w:after="120" w:line="276" w:lineRule="auto"/>
        <w:ind w:left="708" w:firstLine="709"/>
        <w:rPr>
          <w:rFonts w:asciiTheme="minorHAnsi" w:hAnsiTheme="minorHAnsi" w:cstheme="minorHAnsi"/>
          <w:i/>
          <w:sz w:val="22"/>
          <w:szCs w:val="22"/>
        </w:rPr>
      </w:pPr>
      <w:r w:rsidRPr="00427888">
        <w:rPr>
          <w:rFonts w:asciiTheme="minorHAnsi" w:hAnsiTheme="minorHAnsi" w:cstheme="minorHAnsi"/>
          <w:i/>
          <w:sz w:val="22"/>
          <w:szCs w:val="22"/>
        </w:rPr>
        <w:t>“1. La vigencia máxima de los Planes de Ordenación Cinegética será de cinco años o, en su caso, hasta la finalización del coto o de la zona de la caza controlada si la vigencia de éstos fuera inferior. Si caducado el Plan de Ordenación Cinegética faltase como máximo dos años para la extinción del coto, la vigencia del Plan podrá prorrogarse hasta su extinción.</w:t>
      </w:r>
    </w:p>
    <w:p w14:paraId="32B37609" w14:textId="77777777" w:rsidR="007C4F2E" w:rsidRPr="00427888" w:rsidRDefault="007C4F2E" w:rsidP="00427888">
      <w:pPr>
        <w:spacing w:before="120" w:after="120" w:line="276" w:lineRule="auto"/>
        <w:ind w:left="708" w:firstLine="709"/>
        <w:rPr>
          <w:rFonts w:asciiTheme="minorHAnsi" w:hAnsiTheme="minorHAnsi" w:cstheme="minorHAnsi"/>
          <w:i/>
          <w:sz w:val="22"/>
          <w:szCs w:val="22"/>
        </w:rPr>
      </w:pPr>
      <w:r w:rsidRPr="00427888">
        <w:rPr>
          <w:rFonts w:asciiTheme="minorHAnsi" w:hAnsiTheme="minorHAnsi" w:cstheme="minorHAnsi"/>
          <w:i/>
          <w:sz w:val="22"/>
          <w:szCs w:val="22"/>
        </w:rPr>
        <w:lastRenderedPageBreak/>
        <w:t>2. En el caso de no aprobación del Plan de Ordenación Cinegética presentado quedará prorrogada automáticamente la vigencia del Plan anterior durante un período máximo de un año a contar desde la fecha de finalización del Plan caducado.</w:t>
      </w:r>
    </w:p>
    <w:p w14:paraId="29C40CB1" w14:textId="3EC480E6" w:rsidR="007C4F2E" w:rsidRPr="00427888" w:rsidRDefault="007C4F2E" w:rsidP="00427888">
      <w:pPr>
        <w:spacing w:before="120" w:after="120" w:line="276" w:lineRule="auto"/>
        <w:ind w:left="708" w:firstLine="709"/>
        <w:rPr>
          <w:rFonts w:asciiTheme="minorHAnsi" w:hAnsiTheme="minorHAnsi" w:cstheme="minorHAnsi"/>
          <w:i/>
          <w:sz w:val="22"/>
          <w:szCs w:val="22"/>
        </w:rPr>
      </w:pPr>
      <w:r w:rsidRPr="00427888">
        <w:rPr>
          <w:rFonts w:asciiTheme="minorHAnsi" w:hAnsiTheme="minorHAnsi" w:cstheme="minorHAnsi"/>
          <w:i/>
          <w:sz w:val="22"/>
          <w:szCs w:val="22"/>
        </w:rPr>
        <w:t>3. No podrá prorrogarse la vigencia del Plan de Ordenación Cinegética cuando ya se hubiera prorrogado dicho Plan para ajustar su finalización con la finalización del acotado”</w:t>
      </w:r>
      <w:r w:rsidR="00427888">
        <w:rPr>
          <w:rFonts w:asciiTheme="minorHAnsi" w:hAnsiTheme="minorHAnsi" w:cstheme="minorHAnsi"/>
          <w:i/>
          <w:sz w:val="22"/>
          <w:szCs w:val="22"/>
        </w:rPr>
        <w:t>.</w:t>
      </w:r>
    </w:p>
    <w:p w14:paraId="61279879" w14:textId="77777777"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Tomando en consideración lo anterior:</w:t>
      </w:r>
    </w:p>
    <w:p w14:paraId="4711404F" w14:textId="77777777"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1. Desde inicios de 2026 se ha estado informado a los titulares de gestión y/o de aprovechamiento de cotos cuya vigencia caduca al término de la presente temporada de caza 2025-2026 de la necesidad de renovar el POC o constituir un nuevo coto y aprobar el correspondiente POC para poder cazar la próxima temporada de caza.</w:t>
      </w:r>
    </w:p>
    <w:p w14:paraId="7BDCF52E" w14:textId="53D78AB5"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 xml:space="preserve">2. En este momento estamos en periodo de trámite para la renovación de 26 POC que caducan al término de esta temporada de caza y cuyo coto está en vigor. En estas renovaciones, en caso de no aprobación del POC presentado quedará prorrogada automáticamente la vigencia del Plan anterior durante un período máximo de un año a contar desde la fecha de finalización del Plan caducado. </w:t>
      </w:r>
    </w:p>
    <w:p w14:paraId="66B6E7C9" w14:textId="0EFB256D" w:rsidR="007C4F2E" w:rsidRPr="00427888" w:rsidRDefault="007C4F2E" w:rsidP="00427888">
      <w:pPr>
        <w:spacing w:before="120" w:after="120" w:line="276" w:lineRule="auto"/>
        <w:ind w:firstLine="709"/>
        <w:rPr>
          <w:rFonts w:asciiTheme="minorHAnsi" w:hAnsiTheme="minorHAnsi" w:cstheme="minorHAnsi"/>
          <w:sz w:val="22"/>
          <w:szCs w:val="22"/>
        </w:rPr>
      </w:pPr>
      <w:r w:rsidRPr="00427888">
        <w:rPr>
          <w:rFonts w:asciiTheme="minorHAnsi" w:hAnsiTheme="minorHAnsi" w:cstheme="minorHAnsi"/>
          <w:sz w:val="22"/>
          <w:szCs w:val="22"/>
        </w:rPr>
        <w:t>3. Para el resto de los POC que caducan coincidiendo con el fin de la vigencia de los cotos, una vez que se constituyan los cotos, si se mantienen circunstancias similares a las que dieron lugar al anterior POC, podrán presentarse y ser validados tras las actualizaciones que procedan.</w:t>
      </w:r>
    </w:p>
    <w:p w14:paraId="11E6F073" w14:textId="77777777" w:rsidR="0037547B" w:rsidRPr="00427888" w:rsidRDefault="007C4F2E" w:rsidP="00427888">
      <w:pPr>
        <w:spacing w:after="120" w:line="276" w:lineRule="auto"/>
        <w:ind w:firstLine="709"/>
        <w:rPr>
          <w:rFonts w:asciiTheme="minorHAnsi" w:hAnsiTheme="minorHAnsi" w:cstheme="minorHAnsi"/>
          <w:b/>
          <w:i/>
          <w:sz w:val="22"/>
          <w:szCs w:val="22"/>
        </w:rPr>
      </w:pPr>
      <w:r w:rsidRPr="00427888">
        <w:rPr>
          <w:rFonts w:asciiTheme="minorHAnsi" w:hAnsiTheme="minorHAnsi" w:cstheme="minorHAnsi"/>
          <w:b/>
          <w:i/>
          <w:sz w:val="22"/>
          <w:szCs w:val="22"/>
        </w:rPr>
        <w:t>¿Qué efectos jurídicos tendría una eventual prórroga de los Planes de Ordenación Cinegética en aquellos cotos cuya vigencia administrativa, adjudicación, arrendamiento o título habilitante finalice también durante 2026?</w:t>
      </w:r>
    </w:p>
    <w:p w14:paraId="63A32ADD" w14:textId="77777777" w:rsidR="00A56CCF" w:rsidRPr="00427888" w:rsidRDefault="007D191A" w:rsidP="00427888">
      <w:pPr>
        <w:spacing w:after="120" w:line="276" w:lineRule="auto"/>
        <w:ind w:firstLine="709"/>
        <w:rPr>
          <w:rFonts w:asciiTheme="minorHAnsi" w:hAnsiTheme="minorHAnsi" w:cstheme="minorHAnsi"/>
          <w:color w:val="000000"/>
          <w:sz w:val="22"/>
          <w:szCs w:val="22"/>
        </w:rPr>
      </w:pPr>
      <w:r w:rsidRPr="00427888">
        <w:rPr>
          <w:rFonts w:asciiTheme="minorHAnsi" w:hAnsiTheme="minorHAnsi" w:cstheme="minorHAnsi"/>
          <w:color w:val="000000"/>
          <w:sz w:val="22"/>
          <w:szCs w:val="22"/>
        </w:rPr>
        <w:t>Se informa que los efectos jurídicos serían los correspondientes a los de tener un Plan de Ordenación Cinegética en vigor durante el periodo de vigor de la prórroga.</w:t>
      </w:r>
    </w:p>
    <w:p w14:paraId="3E165FF6" w14:textId="1391BB71" w:rsidR="00A56CCF" w:rsidRPr="00427888" w:rsidRDefault="00A56CCF" w:rsidP="00427888">
      <w:pPr>
        <w:spacing w:after="120" w:line="276" w:lineRule="auto"/>
        <w:ind w:firstLine="540"/>
        <w:rPr>
          <w:rFonts w:asciiTheme="minorHAnsi" w:hAnsiTheme="minorHAnsi" w:cstheme="minorHAnsi"/>
          <w:color w:val="000000"/>
          <w:sz w:val="22"/>
          <w:szCs w:val="22"/>
        </w:rPr>
      </w:pPr>
      <w:r w:rsidRPr="00427888">
        <w:rPr>
          <w:rFonts w:asciiTheme="minorHAnsi" w:hAnsiTheme="minorHAnsi" w:cstheme="minorHAnsi"/>
          <w:color w:val="000000"/>
          <w:sz w:val="22"/>
          <w:szCs w:val="22"/>
        </w:rPr>
        <w:t>Es cuanto tengo el honor de informar a V.E.</w:t>
      </w:r>
      <w:r w:rsidR="00BF37AF" w:rsidRPr="00427888">
        <w:rPr>
          <w:rFonts w:asciiTheme="minorHAnsi" w:hAnsiTheme="minorHAnsi" w:cstheme="minorHAnsi"/>
          <w:color w:val="000000"/>
          <w:sz w:val="22"/>
          <w:szCs w:val="22"/>
        </w:rPr>
        <w:t>, en cumplimiento del artículo 215</w:t>
      </w:r>
      <w:r w:rsidRPr="00427888">
        <w:rPr>
          <w:rFonts w:asciiTheme="minorHAnsi" w:hAnsiTheme="minorHAnsi" w:cstheme="minorHAnsi"/>
          <w:color w:val="000000"/>
          <w:sz w:val="22"/>
          <w:szCs w:val="22"/>
        </w:rPr>
        <w:t xml:space="preserve"> del Reglamento del Parlamento de Navarra</w:t>
      </w:r>
      <w:r w:rsidR="00427888">
        <w:rPr>
          <w:rFonts w:asciiTheme="minorHAnsi" w:hAnsiTheme="minorHAnsi" w:cstheme="minorHAnsi"/>
          <w:color w:val="000000"/>
          <w:sz w:val="22"/>
          <w:szCs w:val="22"/>
        </w:rPr>
        <w:t>.</w:t>
      </w:r>
    </w:p>
    <w:p w14:paraId="7E7B3D88" w14:textId="2F846F2A" w:rsidR="00731898" w:rsidRPr="00427888" w:rsidRDefault="00731898" w:rsidP="00427888">
      <w:pPr>
        <w:spacing w:after="120" w:line="276" w:lineRule="auto"/>
        <w:ind w:firstLine="540"/>
        <w:rPr>
          <w:rFonts w:asciiTheme="minorHAnsi" w:hAnsiTheme="minorHAnsi" w:cstheme="minorHAnsi"/>
          <w:color w:val="000000"/>
          <w:sz w:val="22"/>
          <w:szCs w:val="22"/>
        </w:rPr>
      </w:pPr>
      <w:r w:rsidRPr="00427888">
        <w:rPr>
          <w:rFonts w:asciiTheme="minorHAnsi" w:hAnsiTheme="minorHAnsi" w:cstheme="minorHAnsi"/>
          <w:color w:val="000000"/>
          <w:sz w:val="22"/>
          <w:szCs w:val="22"/>
        </w:rPr>
        <w:t xml:space="preserve">En Pamplona, </w:t>
      </w:r>
      <w:r w:rsidR="00427888">
        <w:rPr>
          <w:rFonts w:asciiTheme="minorHAnsi" w:hAnsiTheme="minorHAnsi" w:cstheme="minorHAnsi"/>
          <w:color w:val="000000"/>
          <w:sz w:val="22"/>
          <w:szCs w:val="22"/>
        </w:rPr>
        <w:t xml:space="preserve">a </w:t>
      </w:r>
      <w:r w:rsidRPr="00427888">
        <w:rPr>
          <w:rFonts w:asciiTheme="minorHAnsi" w:hAnsiTheme="minorHAnsi" w:cstheme="minorHAnsi"/>
          <w:color w:val="000000"/>
          <w:sz w:val="22"/>
          <w:szCs w:val="22"/>
        </w:rPr>
        <w:t>1 de junio de 2026</w:t>
      </w:r>
    </w:p>
    <w:p w14:paraId="3ED037D7" w14:textId="51EEEA02" w:rsidR="00D77C2F" w:rsidRPr="00427888" w:rsidRDefault="00427888" w:rsidP="00427888">
      <w:pPr>
        <w:spacing w:after="120" w:line="276" w:lineRule="auto"/>
        <w:outlineLvl w:val="0"/>
        <w:rPr>
          <w:rFonts w:asciiTheme="minorHAnsi" w:hAnsiTheme="minorHAnsi" w:cstheme="minorHAnsi"/>
          <w:sz w:val="22"/>
          <w:szCs w:val="22"/>
        </w:rPr>
      </w:pPr>
      <w:r w:rsidRPr="00427888">
        <w:rPr>
          <w:rFonts w:asciiTheme="minorHAnsi" w:hAnsiTheme="minorHAnsi" w:cstheme="minorHAnsi"/>
          <w:sz w:val="22"/>
          <w:szCs w:val="22"/>
        </w:rPr>
        <w:t>El Consejero de Desarrollo Rural y Medio Ambiente</w:t>
      </w:r>
      <w:r>
        <w:rPr>
          <w:rFonts w:asciiTheme="minorHAnsi" w:hAnsiTheme="minorHAnsi" w:cstheme="minorHAnsi"/>
          <w:sz w:val="22"/>
          <w:szCs w:val="22"/>
        </w:rPr>
        <w:t xml:space="preserve">: </w:t>
      </w:r>
      <w:r w:rsidR="0083638A" w:rsidRPr="00427888">
        <w:rPr>
          <w:rFonts w:asciiTheme="minorHAnsi" w:hAnsiTheme="minorHAnsi" w:cstheme="minorHAnsi"/>
          <w:color w:val="000000"/>
          <w:sz w:val="22"/>
          <w:szCs w:val="22"/>
        </w:rPr>
        <w:t>José María Aierdi Fernández de Barrena</w:t>
      </w:r>
    </w:p>
    <w:sectPr w:rsidR="00D77C2F" w:rsidRPr="00427888" w:rsidSect="00427888">
      <w:headerReference w:type="default" r:id="rId7"/>
      <w:footerReference w:type="even" r:id="rId8"/>
      <w:footerReference w:type="default" r:id="rId9"/>
      <w:pgSz w:w="11906" w:h="16838" w:code="9"/>
      <w:pgMar w:top="1843"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A1C3" w14:textId="77777777" w:rsidR="004F68BB" w:rsidRDefault="004F68BB" w:rsidP="00381BB8">
      <w:pPr>
        <w:pStyle w:val="Encabezado"/>
      </w:pPr>
      <w:r>
        <w:separator/>
      </w:r>
    </w:p>
  </w:endnote>
  <w:endnote w:type="continuationSeparator" w:id="0">
    <w:p w14:paraId="34D56B23" w14:textId="77777777" w:rsidR="004F68BB" w:rsidRDefault="004F68B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C164"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410497">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E62A" w14:textId="7E0436E4"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651C" w14:textId="77777777" w:rsidR="004F68BB" w:rsidRDefault="004F68BB" w:rsidP="00381BB8">
      <w:pPr>
        <w:pStyle w:val="Encabezado"/>
      </w:pPr>
      <w:r>
        <w:separator/>
      </w:r>
    </w:p>
  </w:footnote>
  <w:footnote w:type="continuationSeparator" w:id="0">
    <w:p w14:paraId="5E516E39" w14:textId="77777777" w:rsidR="004F68BB" w:rsidRDefault="004F68B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39C4" w14:textId="60DB6474"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4"/>
  </w:num>
  <w:num w:numId="5">
    <w:abstractNumId w:val="1"/>
  </w:num>
  <w:num w:numId="6">
    <w:abstractNumId w:val="13"/>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2"/>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9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27C7"/>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497"/>
    <w:rsid w:val="00410A47"/>
    <w:rsid w:val="00410F35"/>
    <w:rsid w:val="00412EB7"/>
    <w:rsid w:val="004137D6"/>
    <w:rsid w:val="004148B3"/>
    <w:rsid w:val="004151FA"/>
    <w:rsid w:val="00415CB1"/>
    <w:rsid w:val="0041642D"/>
    <w:rsid w:val="00417309"/>
    <w:rsid w:val="00420B84"/>
    <w:rsid w:val="0042685B"/>
    <w:rsid w:val="00427888"/>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68BB"/>
    <w:rsid w:val="004F7529"/>
    <w:rsid w:val="004F7F98"/>
    <w:rsid w:val="00500B38"/>
    <w:rsid w:val="00503A49"/>
    <w:rsid w:val="005074D0"/>
    <w:rsid w:val="00507EE6"/>
    <w:rsid w:val="005125D2"/>
    <w:rsid w:val="00514140"/>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1898"/>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4F2E"/>
    <w:rsid w:val="007C58F7"/>
    <w:rsid w:val="007C5B0A"/>
    <w:rsid w:val="007C5EF9"/>
    <w:rsid w:val="007C6186"/>
    <w:rsid w:val="007C7035"/>
    <w:rsid w:val="007D03E6"/>
    <w:rsid w:val="007D191A"/>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6781C"/>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D53"/>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05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71EE"/>
  <w15:chartTrackingRefBased/>
  <w15:docId w15:val="{D1BD739D-F65B-441C-9CBE-93917CE3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19</TotalTime>
  <Pages>2</Pages>
  <Words>817</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D167402</dc:creator>
  <cp:keywords/>
  <cp:lastModifiedBy>Fernández Pérez, Beatriz</cp:lastModifiedBy>
  <cp:revision>5</cp:revision>
  <cp:lastPrinted>2018-10-15T10:28:00Z</cp:lastPrinted>
  <dcterms:created xsi:type="dcterms:W3CDTF">2026-06-01T12:40:00Z</dcterms:created>
  <dcterms:modified xsi:type="dcterms:W3CDTF">2026-06-23T07:25:00Z</dcterms:modified>
</cp:coreProperties>
</file>