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4EEB10" w14:textId="0EEA91C9" w:rsidR="00E01A8C" w:rsidRPr="00C7737D" w:rsidRDefault="00C7737D" w:rsidP="00C7737D">
      <w:pPr>
        <w:spacing w:line="360" w:lineRule="auto"/>
        <w:jc w:val="both"/>
        <w:rPr>
          <w:sz w:val="22"/>
          <w:szCs w:val="22"/>
          <w:rFonts w:asciiTheme="minorHAnsi" w:eastAsia="Cambria" w:hAnsiTheme="minorHAnsi" w:cstheme="minorHAnsi"/>
        </w:rPr>
      </w:pPr>
      <w:r>
        <w:rPr>
          <w:sz w:val="22"/>
          <w:rFonts w:asciiTheme="minorHAnsi" w:hAnsiTheme="minorHAnsi"/>
        </w:rPr>
        <w:t xml:space="preserve">Nafarroako Alderdi Sozialista talde parlamentarioak aurkeztutako 11-26-PES-00126 idatzizko galderarekin lotuta, honako hau jakinarazten dut Hezkuntzako kontseilaria naizen aldetik:</w:t>
      </w:r>
      <w:r>
        <w:rPr>
          <w:sz w:val="22"/>
          <w:rFonts w:asciiTheme="minorHAnsi" w:hAnsiTheme="minorHAnsi"/>
        </w:rPr>
        <w:t xml:space="preserve"> </w:t>
      </w:r>
    </w:p>
    <w:p w14:paraId="25BFD794" w14:textId="77777777" w:rsidR="00F27501" w:rsidRPr="00C7737D" w:rsidRDefault="00F27501" w:rsidP="00F27501">
      <w:pPr>
        <w:pStyle w:val="Prrafodelista"/>
        <w:numPr>
          <w:ilvl w:val="0"/>
          <w:numId w:val="4"/>
        </w:numPr>
        <w:spacing w:after="160" w:line="259" w:lineRule="auto"/>
        <w:jc w:val="both"/>
        <w:rPr>
          <w:b/>
          <w:rFonts w:asciiTheme="minorHAnsi" w:hAnsiTheme="minorHAnsi" w:cstheme="minorHAnsi"/>
        </w:rPr>
      </w:pPr>
      <w:r>
        <w:rPr>
          <w:b/>
          <w:rFonts w:asciiTheme="minorHAnsi" w:hAnsiTheme="minorHAnsi"/>
        </w:rPr>
        <w:t xml:space="preserve">AURREKARIAK</w:t>
      </w:r>
    </w:p>
    <w:p w14:paraId="5323A0F4" w14:textId="77777777" w:rsidR="00F27501" w:rsidRPr="00C7737D" w:rsidRDefault="00C7347E" w:rsidP="00F27501">
      <w:pPr>
        <w:spacing w:line="360" w:lineRule="auto"/>
        <w:ind w:firstLine="709"/>
        <w:jc w:val="both"/>
        <w:rPr>
          <w:sz w:val="22"/>
          <w:szCs w:val="22"/>
          <w:rFonts w:asciiTheme="minorHAnsi" w:eastAsia="Cambria" w:hAnsiTheme="minorHAnsi" w:cstheme="minorHAnsi"/>
        </w:rPr>
      </w:pPr>
      <w:r>
        <w:rPr>
          <w:sz w:val="22"/>
          <w:rFonts w:asciiTheme="minorHAnsi" w:hAnsiTheme="minorHAnsi"/>
        </w:rPr>
        <w:t xml:space="preserve">a) 2020ra arte, Hezkuntza Departamentuari atxikitako zaintzaileak D mailan bilduta zeuden, eta nola sartzeko hala aldi baterako kontratatzeko, eskola graduatuaren titulua edo baliokidea zutela egiaztatu behar zen.</w:t>
      </w:r>
    </w:p>
    <w:p w14:paraId="45BF242A" w14:textId="77777777" w:rsidR="00F27501" w:rsidRPr="00C7737D" w:rsidRDefault="00C7347E" w:rsidP="00F27501">
      <w:pPr>
        <w:spacing w:line="360" w:lineRule="auto"/>
        <w:ind w:firstLine="709"/>
        <w:jc w:val="both"/>
        <w:rPr>
          <w:sz w:val="22"/>
          <w:szCs w:val="22"/>
          <w:rFonts w:asciiTheme="minorHAnsi" w:eastAsia="Cambria" w:hAnsiTheme="minorHAnsi" w:cstheme="minorHAnsi"/>
        </w:rPr>
      </w:pPr>
      <w:r>
        <w:rPr>
          <w:sz w:val="22"/>
          <w:rFonts w:asciiTheme="minorHAnsi" w:hAnsiTheme="minorHAnsi"/>
        </w:rPr>
        <w:t xml:space="preserve">2018ko martxoaren 9an akordio bat sinatu zen Nafarroako Foru Komunitateko Administrazioaren eta haren erakunde autonomoen eta LAB, CCOO eta UGT sindikatuen artean, Enplegu publikoa eta lan baldintzak hobetzeko Gobernuaren eta sindikatuen arteko II. Akordioaren lehen atalak ezartzen duena aplikatzeari buruzkoa.</w:t>
      </w:r>
    </w:p>
    <w:p w14:paraId="07FEA52B" w14:textId="77777777" w:rsidR="00F27501" w:rsidRPr="00C7737D" w:rsidRDefault="00F27501" w:rsidP="00F27501">
      <w:pPr>
        <w:spacing w:line="360" w:lineRule="auto"/>
        <w:ind w:firstLine="709"/>
        <w:jc w:val="both"/>
        <w:rPr>
          <w:sz w:val="22"/>
          <w:szCs w:val="22"/>
          <w:rFonts w:asciiTheme="minorHAnsi" w:eastAsia="Cambria" w:hAnsiTheme="minorHAnsi" w:cstheme="minorHAnsi"/>
        </w:rPr>
      </w:pPr>
      <w:r>
        <w:rPr>
          <w:sz w:val="22"/>
          <w:rFonts w:asciiTheme="minorHAnsi" w:hAnsiTheme="minorHAnsi"/>
        </w:rPr>
        <w:t xml:space="preserve">Urte anitzeko akordio horretan, 2020an, Hezkuntza Departamentuari atxikitako zaintzaileei buruz lortutako akordioa jasotzen da, honela:</w:t>
      </w:r>
    </w:p>
    <w:p w14:paraId="29CAD430" w14:textId="77777777" w:rsidR="00F27501" w:rsidRPr="00C7737D" w:rsidRDefault="00F27501" w:rsidP="00F27501">
      <w:pPr>
        <w:spacing w:line="360" w:lineRule="auto"/>
        <w:ind w:firstLine="709"/>
        <w:jc w:val="both"/>
        <w:rPr>
          <w:i/>
          <w:sz w:val="22"/>
          <w:szCs w:val="22"/>
          <w:rFonts w:asciiTheme="minorHAnsi" w:eastAsia="Cambria" w:hAnsiTheme="minorHAnsi" w:cstheme="minorHAnsi"/>
        </w:rPr>
      </w:pPr>
      <w:r>
        <w:rPr>
          <w:sz w:val="22"/>
          <w:rFonts w:asciiTheme="minorHAnsi" w:hAnsiTheme="minorHAnsi"/>
        </w:rPr>
        <w:t xml:space="preserve">"</w:t>
      </w:r>
      <w:r>
        <w:rPr>
          <w:sz w:val="22"/>
          <w:i/>
          <w:rFonts w:asciiTheme="minorHAnsi" w:hAnsiTheme="minorHAnsi"/>
        </w:rPr>
        <w:t xml:space="preserve">2.- Hezkuntza Departamentuari atxikitako zaintzaileak.</w:t>
      </w:r>
    </w:p>
    <w:p w14:paraId="22E60993" w14:textId="77777777" w:rsidR="00F27501" w:rsidRPr="00C7737D" w:rsidRDefault="00F27501" w:rsidP="00F27501">
      <w:pPr>
        <w:spacing w:line="360" w:lineRule="auto"/>
        <w:ind w:firstLine="709"/>
        <w:jc w:val="both"/>
        <w:rPr>
          <w:i/>
          <w:sz w:val="22"/>
          <w:szCs w:val="22"/>
          <w:rFonts w:asciiTheme="minorHAnsi" w:eastAsia="Cambria" w:hAnsiTheme="minorHAnsi" w:cstheme="minorHAnsi"/>
        </w:rPr>
      </w:pPr>
      <w:r>
        <w:rPr>
          <w:i/>
          <w:sz w:val="22"/>
          <w:rFonts w:asciiTheme="minorHAnsi" w:hAnsiTheme="minorHAnsi"/>
        </w:rPr>
        <w:t xml:space="preserve">2020an, Hezkuntza Departamentuari atxikitako zaintzailearen lanpostuaren kokapenaren C mailara/taldera igotzea erabaki da.</w:t>
      </w:r>
      <w:r>
        <w:rPr>
          <w:i/>
          <w:sz w:val="22"/>
          <w:rFonts w:asciiTheme="minorHAnsi" w:hAnsiTheme="minorHAnsi"/>
        </w:rPr>
        <w:t xml:space="preserve"> </w:t>
      </w:r>
      <w:r>
        <w:rPr>
          <w:i/>
          <w:sz w:val="22"/>
          <w:rFonts w:asciiTheme="minorHAnsi" w:hAnsiTheme="minorHAnsi"/>
        </w:rPr>
        <w:t xml:space="preserve">Horretarako, 2019an zehar, Hezkuntza Departamentuak aztertu egin beharko du zaintzaile lanpostuan sartzeko eskatzen ahal den titulazioaren betekizuna, lanpostu horren gaitasun profesionalak kontuan hartuta.</w:t>
      </w:r>
    </w:p>
    <w:p w14:paraId="6E0A129C" w14:textId="04DE9052" w:rsidR="00F27501" w:rsidRPr="00C7737D" w:rsidRDefault="00F27501" w:rsidP="00F27501">
      <w:pPr>
        <w:spacing w:line="360" w:lineRule="auto"/>
        <w:ind w:firstLine="709"/>
        <w:jc w:val="both"/>
        <w:rPr>
          <w:i/>
          <w:sz w:val="22"/>
          <w:szCs w:val="22"/>
          <w:rFonts w:asciiTheme="minorHAnsi" w:eastAsia="Cambria" w:hAnsiTheme="minorHAnsi" w:cstheme="minorHAnsi"/>
        </w:rPr>
      </w:pPr>
      <w:r>
        <w:rPr>
          <w:i/>
          <w:sz w:val="22"/>
          <w:rFonts w:asciiTheme="minorHAnsi" w:hAnsiTheme="minorHAnsi"/>
        </w:rPr>
        <w:t xml:space="preserve">C mailan/taldean kokatu bai, baina zaintzaileen lanpostuak gaur egun Nafarroako Foru Komunitateko Administrazioaren eta haren erakunde autonomoen plantilla organikoan esleiturik dituen ordainsari osagarrien ehunekoak mantenduko dira".</w:t>
      </w:r>
    </w:p>
    <w:p w14:paraId="1C39FA34" w14:textId="77777777" w:rsidR="00F27501" w:rsidRPr="00C7737D" w:rsidRDefault="00F27501" w:rsidP="00F27501">
      <w:pPr>
        <w:spacing w:line="360" w:lineRule="auto"/>
        <w:ind w:firstLine="709"/>
        <w:jc w:val="both"/>
        <w:rPr>
          <w:sz w:val="22"/>
          <w:szCs w:val="22"/>
          <w:rFonts w:asciiTheme="minorHAnsi" w:eastAsia="Cambria" w:hAnsiTheme="minorHAnsi" w:cstheme="minorHAnsi"/>
        </w:rPr>
      </w:pPr>
      <w:r>
        <w:rPr>
          <w:sz w:val="22"/>
          <w:rFonts w:asciiTheme="minorHAnsi" w:hAnsiTheme="minorHAnsi"/>
        </w:rPr>
        <w:t xml:space="preserve">c) Aurreko apartatuan adierazitako Akordioan ezarritakoa betez, irailaren 16ko 10/2020 Foru Lege Dekretuaren –zeinaren bidez neurri batzuk onesten baitira Nafarroako Foru Komunitateko Administrazioaren eta haren erakunde autonomoen zerbitzuko langileen arlokoak– bitartez, zaintzaileak mailan kokatu ziren, eta izena aldatu zitzaion Inklusiorako Laguntzako teknikariaren izendapenari, eta eskatu beharreko titulazioa zehaztu zen.</w:t>
      </w:r>
      <w:r>
        <w:rPr>
          <w:sz w:val="22"/>
          <w:rFonts w:asciiTheme="minorHAnsi" w:hAnsiTheme="minorHAnsi"/>
        </w:rPr>
        <w:t xml:space="preserve"> </w:t>
      </w:r>
      <w:r>
        <w:rPr>
          <w:sz w:val="22"/>
          <w:rFonts w:asciiTheme="minorHAnsi" w:hAnsiTheme="minorHAnsi"/>
        </w:rPr>
        <w:t xml:space="preserve">Era berean, Hezkuntza Departamentuak eskatuta, 5 urteko aldi iragankorra ezarri zen titulazio berria eskatzeko.</w:t>
      </w:r>
    </w:p>
    <w:p w14:paraId="7A240EA3" w14:textId="77777777" w:rsidR="00F27501" w:rsidRPr="00C7737D" w:rsidRDefault="00F27501" w:rsidP="005F5DC7">
      <w:pPr>
        <w:spacing w:line="360" w:lineRule="auto"/>
        <w:jc w:val="both"/>
        <w:rPr>
          <w:b/>
          <w:i/>
          <w:sz w:val="22"/>
          <w:szCs w:val="22"/>
          <w:rFonts w:asciiTheme="minorHAnsi" w:eastAsia="Cambria" w:hAnsiTheme="minorHAnsi" w:cstheme="minorHAnsi"/>
        </w:rPr>
      </w:pPr>
      <w:r>
        <w:rPr>
          <w:b/>
          <w:i/>
          <w:sz w:val="22"/>
          <w:rFonts w:asciiTheme="minorHAnsi" w:hAnsiTheme="minorHAnsi"/>
        </w:rPr>
        <w:t xml:space="preserve">“2. artikulua.</w:t>
      </w:r>
      <w:r>
        <w:rPr>
          <w:b/>
          <w:i/>
          <w:sz w:val="22"/>
          <w:rFonts w:asciiTheme="minorHAnsi" w:hAnsiTheme="minorHAnsi"/>
        </w:rPr>
        <w:t xml:space="preserve"> </w:t>
      </w:r>
      <w:r>
        <w:rPr>
          <w:b/>
          <w:i/>
          <w:sz w:val="22"/>
          <w:rFonts w:asciiTheme="minorHAnsi" w:hAnsiTheme="minorHAnsi"/>
        </w:rPr>
        <w:t xml:space="preserve">Hezkuntza Departamentuari atxikitako zaintzaileak.</w:t>
      </w:r>
      <w:r>
        <w:rPr>
          <w:b/>
          <w:i/>
          <w:sz w:val="22"/>
          <w:rFonts w:asciiTheme="minorHAnsi" w:hAnsiTheme="minorHAnsi"/>
        </w:rPr>
        <w:t xml:space="preserve"> </w:t>
      </w:r>
      <w:r>
        <w:rPr>
          <w:b/>
          <w:i/>
          <w:sz w:val="22"/>
          <w:rFonts w:asciiTheme="minorHAnsi" w:hAnsiTheme="minorHAnsi"/>
        </w:rPr>
        <w:t xml:space="preserve">Inklusiorako Laguntzako teknikari bihurtzea eta C mailan/taldean sartzea.</w:t>
      </w:r>
    </w:p>
    <w:p w14:paraId="78DF5BC6" w14:textId="77777777" w:rsidR="00F27501" w:rsidRPr="00C7737D" w:rsidRDefault="00C7347E" w:rsidP="00C7347E">
      <w:pPr>
        <w:spacing w:line="360" w:lineRule="auto"/>
        <w:jc w:val="both"/>
        <w:rPr>
          <w:i/>
          <w:sz w:val="22"/>
          <w:szCs w:val="22"/>
          <w:rFonts w:asciiTheme="minorHAnsi" w:eastAsia="Cambria" w:hAnsiTheme="minorHAnsi" w:cstheme="minorHAnsi"/>
        </w:rPr>
      </w:pPr>
      <w:r>
        <w:rPr>
          <w:i/>
          <w:sz w:val="22"/>
          <w:rFonts w:asciiTheme="minorHAnsi" w:hAnsiTheme="minorHAnsi"/>
        </w:rPr>
        <w:t xml:space="preserve">1. Inklusiorako Laguntzako teknikarien lanpostua sortzen da, C mailan/taldean sartzen dena.</w:t>
      </w:r>
    </w:p>
    <w:p w14:paraId="02BEAC7C" w14:textId="77777777" w:rsidR="00F27501" w:rsidRPr="00C7737D" w:rsidRDefault="00F27501" w:rsidP="00C7347E">
      <w:pPr>
        <w:spacing w:line="360" w:lineRule="auto"/>
        <w:jc w:val="both"/>
        <w:rPr>
          <w:i/>
          <w:sz w:val="22"/>
          <w:szCs w:val="22"/>
          <w:rFonts w:asciiTheme="minorHAnsi" w:eastAsia="Cambria" w:hAnsiTheme="minorHAnsi" w:cstheme="minorHAnsi"/>
        </w:rPr>
      </w:pPr>
      <w:r>
        <w:rPr>
          <w:i/>
          <w:sz w:val="22"/>
          <w:rFonts w:asciiTheme="minorHAnsi" w:hAnsiTheme="minorHAnsi"/>
        </w:rPr>
        <w:t xml:space="preserve">2.</w:t>
      </w:r>
      <w:r>
        <w:rPr>
          <w:i/>
          <w:sz w:val="22"/>
          <w:rFonts w:asciiTheme="minorHAnsi" w:hAnsiTheme="minorHAnsi"/>
        </w:rPr>
        <w:t xml:space="preserve"> </w:t>
      </w:r>
      <w:r>
        <w:rPr>
          <w:i/>
          <w:sz w:val="22"/>
          <w:rFonts w:asciiTheme="minorHAnsi" w:hAnsiTheme="minorHAnsi"/>
        </w:rPr>
        <w:t xml:space="preserve">Hezkuntza Departamentuari atxikitako zaintzaileen lanpostuaren izena eta lanpostua bera aldatzen dira; izan ere, hemendik aurrera, Inklusiorako Laguntzako teknikarien lanpostua izanen da. C mailan/taldean sartzen da, eta zaintzaileen lanpostuak egun Nafarroako Foru Komunitateko Administrazioaren eta haren erakunde autonomoen plantilla organikoan esleiturik dituen ordainsarien ehunekoak mantenduko dira.</w:t>
      </w:r>
    </w:p>
    <w:p w14:paraId="5863D6EF" w14:textId="77777777" w:rsidR="00F27501" w:rsidRPr="00C7737D" w:rsidRDefault="00C7347E" w:rsidP="00C7347E">
      <w:pPr>
        <w:spacing w:line="360" w:lineRule="auto"/>
        <w:jc w:val="both"/>
        <w:rPr>
          <w:i/>
          <w:sz w:val="22"/>
          <w:szCs w:val="22"/>
          <w:rFonts w:asciiTheme="minorHAnsi" w:eastAsia="Cambria" w:hAnsiTheme="minorHAnsi" w:cstheme="minorHAnsi"/>
        </w:rPr>
      </w:pPr>
      <w:r>
        <w:rPr>
          <w:i/>
          <w:sz w:val="22"/>
          <w:rFonts w:asciiTheme="minorHAnsi" w:hAnsiTheme="minorHAnsi"/>
        </w:rPr>
        <w:t xml:space="preserve">3. Inklusiorako Laguntzako teknikarien lanpostuetan sartzeko, Gizarte integrazioko goi mailako teknikari titulu berariazkoa izan beharko da; edo, bestela, Batxilergoko titulua edo baliokidea eta hezkuntza-premia bereziak dituzten ikasleen arretaren profesionaltasun ziurtagiria.</w:t>
      </w:r>
      <w:r>
        <w:rPr>
          <w:i/>
          <w:sz w:val="22"/>
          <w:rFonts w:asciiTheme="minorHAnsi" w:hAnsiTheme="minorHAnsi"/>
        </w:rPr>
        <w:t xml:space="preserve"> </w:t>
      </w:r>
      <w:r>
        <w:rPr>
          <w:i/>
          <w:sz w:val="22"/>
          <w:rFonts w:asciiTheme="minorHAnsi" w:hAnsiTheme="minorHAnsi"/>
        </w:rPr>
        <w:t xml:space="preserve">Aipatutako titulua eskatuko da lanpostu horiek eskuratzeko lehen deialdian eta foru lege-dekretu honek indarra hartzen duenetik aurrera onesten direnetan.</w:t>
      </w:r>
    </w:p>
    <w:p w14:paraId="54C8F804" w14:textId="77777777" w:rsidR="00C7737D" w:rsidRDefault="00F27501" w:rsidP="00610C66">
      <w:pPr>
        <w:spacing w:line="360" w:lineRule="auto"/>
        <w:jc w:val="both"/>
        <w:rPr>
          <w:i/>
          <w:sz w:val="22"/>
          <w:szCs w:val="22"/>
          <w:rFonts w:asciiTheme="minorHAnsi" w:eastAsia="Cambria" w:hAnsiTheme="minorHAnsi" w:cstheme="minorHAnsi"/>
        </w:rPr>
      </w:pPr>
      <w:r>
        <w:rPr>
          <w:i/>
          <w:sz w:val="22"/>
          <w:rFonts w:asciiTheme="minorHAnsi" w:hAnsiTheme="minorHAnsi"/>
        </w:rPr>
        <w:t xml:space="preserve">4.</w:t>
      </w:r>
      <w:r>
        <w:rPr>
          <w:i/>
          <w:sz w:val="22"/>
          <w:rFonts w:asciiTheme="minorHAnsi" w:hAnsiTheme="minorHAnsi"/>
        </w:rPr>
        <w:t xml:space="preserve"> </w:t>
      </w:r>
      <w:r>
        <w:rPr>
          <w:i/>
          <w:sz w:val="22"/>
          <w:rFonts w:asciiTheme="minorHAnsi" w:hAnsiTheme="minorHAnsi"/>
        </w:rPr>
        <w:t xml:space="preserve">Aurreko atalean adierazitakoa gorabehera, bost urteko bitarteko aldia ezartzen da, lege dekretu honek indarra hartzen duenetik aurrera, aipatutako titulu berariazkoa eskatzeko, Inklusiorako Laguntzako teknikarien lanpostuak aldi baterako betetzen direnean. Aldi horretan, C mailako/taldeko lanpostuak betetzeko eskatzen den titulu orokorra duten izangaiek betetzen ahalko dituzte lanpostu horiek aldi baterako.</w:t>
      </w:r>
    </w:p>
    <w:p w14:paraId="7C53FDB3" w14:textId="667F72F6" w:rsidR="00F27501" w:rsidRPr="00C7737D" w:rsidRDefault="00F27501" w:rsidP="00610C66">
      <w:pPr>
        <w:spacing w:line="360" w:lineRule="auto"/>
        <w:jc w:val="both"/>
        <w:rPr>
          <w:i/>
          <w:sz w:val="22"/>
          <w:szCs w:val="22"/>
          <w:rFonts w:asciiTheme="minorHAnsi" w:eastAsia="Cambria" w:hAnsiTheme="minorHAnsi" w:cstheme="minorHAnsi"/>
        </w:rPr>
      </w:pPr>
      <w:r>
        <w:rPr>
          <w:i/>
          <w:sz w:val="22"/>
          <w:rFonts w:asciiTheme="minorHAnsi" w:hAnsiTheme="minorHAnsi"/>
        </w:rPr>
        <w:t xml:space="preserve">Atal honetan aurreikusitako bitarteko aldian, ez da Inklusiorako Laguntzako teknikarien lanposturik sartuko lan publikoaren eskaintzetan, langile finkoek betetzekoetan”.</w:t>
      </w:r>
    </w:p>
    <w:p w14:paraId="4443B90F" w14:textId="77777777" w:rsidR="00F27501" w:rsidRPr="00C7737D" w:rsidRDefault="00F27501" w:rsidP="00C7737D">
      <w:pPr>
        <w:spacing w:line="360" w:lineRule="auto"/>
        <w:jc w:val="both"/>
        <w:rPr>
          <w:sz w:val="22"/>
          <w:szCs w:val="22"/>
          <w:rFonts w:asciiTheme="minorHAnsi" w:eastAsia="Cambria" w:hAnsiTheme="minorHAnsi" w:cstheme="minorHAnsi"/>
        </w:rPr>
      </w:pPr>
      <w:r>
        <w:rPr>
          <w:sz w:val="22"/>
          <w:rFonts w:asciiTheme="minorHAnsi" w:hAnsiTheme="minorHAnsi"/>
        </w:rPr>
        <w:t xml:space="preserve">Artikulu horren idazketa aldatu egin zen abenduaren 29ko 20/2020 Foru Legean; zehazki, hezkuntza-laguntzako espezialistak (HLE), izena hartu zuten, eta ezarri egin zen hezkuntza-laguntzako espezialistaren lanpostuan sartzeko lehen hautespen prozesua (titulazio espezifiko berria eskatzen da) 2023ko maiatza amaitu baino lehen deituko dela.</w:t>
      </w:r>
    </w:p>
    <w:p w14:paraId="4F4D048F" w14:textId="5E410E5B" w:rsidR="00F27501" w:rsidRPr="00C7737D" w:rsidRDefault="00F27501" w:rsidP="005F5DC7">
      <w:pPr>
        <w:spacing w:line="360" w:lineRule="auto"/>
        <w:jc w:val="both"/>
        <w:rPr>
          <w:sz w:val="22"/>
          <w:szCs w:val="22"/>
          <w:rFonts w:asciiTheme="minorHAnsi" w:eastAsia="Cambria" w:hAnsiTheme="minorHAnsi" w:cstheme="minorHAnsi"/>
        </w:rPr>
      </w:pPr>
      <w:r>
        <w:rPr>
          <w:sz w:val="22"/>
          <w:rFonts w:asciiTheme="minorHAnsi" w:hAnsiTheme="minorHAnsi"/>
        </w:rPr>
        <w:t xml:space="preserve">Arau horien arabera, C mailako titulazio generikoa (Batxilergoa edo baliokidea) zuten HLEak kontratatzen jarraitzeko aldi iragankorra 2025eko irailaren 22an amaitzen zen.</w:t>
      </w:r>
    </w:p>
    <w:p w14:paraId="2ADF6BAC" w14:textId="77777777" w:rsidR="00F27501" w:rsidRPr="00C7737D" w:rsidRDefault="00C7347E" w:rsidP="00F27501">
      <w:pPr>
        <w:spacing w:line="360" w:lineRule="auto"/>
        <w:ind w:firstLine="709"/>
        <w:jc w:val="both"/>
        <w:rPr>
          <w:sz w:val="22"/>
          <w:szCs w:val="22"/>
          <w:rFonts w:asciiTheme="minorHAnsi" w:eastAsia="Cambria" w:hAnsiTheme="minorHAnsi" w:cstheme="minorHAnsi"/>
        </w:rPr>
      </w:pPr>
      <w:r>
        <w:rPr>
          <w:sz w:val="22"/>
          <w:rFonts w:asciiTheme="minorHAnsi" w:hAnsiTheme="minorHAnsi"/>
        </w:rPr>
        <w:t xml:space="preserve">d) Ikusirik 2025erako Nafarroako Aurrekontu Orokorrei buruzko Legearen aurreproiektua egin zenean hezkuntza-laguntzako espezialisten premiak nabarmen handitu zirela eta arestian aipatutako araudian eskatutako titulazio espezifikoa zuten hautagai gutxi zeudela, Hezkuntza Departamentuak proposatu zuen 20/2020 Foru Legean aurreikusitako iragankortasuna ezabatzea, C mailako titulazio orokorra duten HLE langileak kontratatzeko aukera egoten jarrai zezan, betiere bermatuz lehenetsi eginen direla arestian aipatutako foru legean eskatutako titulazio espezifikoa duten pertsona, kontratazioari dagokionez.</w:t>
      </w:r>
    </w:p>
    <w:p w14:paraId="24B89FE9" w14:textId="77777777" w:rsidR="00F27501" w:rsidRPr="00C7737D" w:rsidRDefault="00F27501" w:rsidP="00C7737D">
      <w:pPr>
        <w:spacing w:line="360" w:lineRule="auto"/>
        <w:jc w:val="both"/>
        <w:rPr>
          <w:sz w:val="22"/>
          <w:szCs w:val="22"/>
          <w:rFonts w:asciiTheme="minorHAnsi" w:eastAsia="Cambria" w:hAnsiTheme="minorHAnsi" w:cstheme="minorHAnsi"/>
        </w:rPr>
      </w:pPr>
      <w:r>
        <w:rPr>
          <w:sz w:val="22"/>
          <w:rFonts w:asciiTheme="minorHAnsi" w:hAnsiTheme="minorHAnsi"/>
        </w:rPr>
        <w:t xml:space="preserve">Azkenik, NAOFLren 2025erako 32. artikuluak honako idazketa hau jasotzen du, eta Hezkuntzaren proposamena 2026ko abenduaren 31ra mugatzen du:</w:t>
      </w:r>
    </w:p>
    <w:p w14:paraId="555F77ED" w14:textId="52EA6F8E" w:rsidR="00F27501" w:rsidRPr="00C7737D" w:rsidRDefault="00F27501" w:rsidP="00F27501">
      <w:pPr>
        <w:spacing w:line="360" w:lineRule="auto"/>
        <w:ind w:firstLine="709"/>
        <w:jc w:val="both"/>
        <w:rPr>
          <w:sz w:val="22"/>
          <w:szCs w:val="22"/>
          <w:rFonts w:asciiTheme="minorHAnsi" w:eastAsia="Cambria" w:hAnsiTheme="minorHAnsi" w:cstheme="minorHAnsi"/>
        </w:rPr>
      </w:pPr>
      <w:r>
        <w:rPr>
          <w:sz w:val="22"/>
          <w:rFonts w:asciiTheme="minorHAnsi" w:hAnsiTheme="minorHAnsi"/>
        </w:rPr>
        <w:t xml:space="preserve">“</w:t>
      </w:r>
      <w:r>
        <w:rPr>
          <w:sz w:val="22"/>
          <w:i/>
          <w:rFonts w:asciiTheme="minorHAnsi" w:hAnsiTheme="minorHAnsi"/>
        </w:rPr>
        <w:t xml:space="preserve">Nafarroako Foru Komunitateko Administrazioaren eta haren erakunde autonomoen zerbitzupeko langileen arloko neurriak onesten dituen irailaren 16ko 10/2020 Foru Lege Dekretuaren 2.4 artikuluan aipatzen den iragankortasun-aldia igarota, 2026ko abenduaren 31ra arte, hezkuntza-laguntzako espezialisten lanpostua aldi baterako betetzen ahalko dute C mailako/taldeko lanpostuetara sartzeko eskatzen den titulazio generikoa duten izangaiek. Nolanahi ere, lehentasuna izanen dute Gizarteratzeko Goi Mailako teknikari titulua dutenek edo, kasua bada, Batxilergo titulua edo baliokidea dutenek, hezkuntza-premia bereziak dituzten ikasleen arretarako profesionaltasun-ziurtagiria izanez gero</w:t>
      </w:r>
      <w:r>
        <w:rPr>
          <w:sz w:val="22"/>
          <w:rFonts w:asciiTheme="minorHAnsi" w:hAnsiTheme="minorHAnsi"/>
        </w:rPr>
        <w:t xml:space="preserve">”.</w:t>
      </w:r>
    </w:p>
    <w:p w14:paraId="7634B749" w14:textId="06C678A0" w:rsidR="00F27501" w:rsidRPr="00C7737D" w:rsidRDefault="00F27501" w:rsidP="00F27501">
      <w:pPr>
        <w:spacing w:line="360" w:lineRule="auto"/>
        <w:ind w:firstLine="709"/>
        <w:jc w:val="both"/>
        <w:rPr>
          <w:sz w:val="22"/>
          <w:szCs w:val="22"/>
          <w:rFonts w:asciiTheme="minorHAnsi" w:eastAsia="Cambria" w:hAnsiTheme="minorHAnsi" w:cstheme="minorHAnsi"/>
        </w:rPr>
      </w:pPr>
      <w:r>
        <w:rPr>
          <w:sz w:val="22"/>
          <w:rFonts w:asciiTheme="minorHAnsi" w:hAnsiTheme="minorHAnsi"/>
        </w:rPr>
        <w:t xml:space="preserve">2026rako Nafarroako Aurrekontu Orokorrei buruzko Foru Legeak epemuga berari eusten dio C mailako titulazio orokorra duten langileak modu subsidiarioan kontratatu ahal izateko.</w:t>
      </w:r>
    </w:p>
    <w:p w14:paraId="4432E75E" w14:textId="77777777" w:rsidR="00F27501" w:rsidRPr="00C7737D" w:rsidRDefault="00C7347E" w:rsidP="00F27501">
      <w:pPr>
        <w:spacing w:line="360" w:lineRule="auto"/>
        <w:ind w:firstLine="709"/>
        <w:jc w:val="both"/>
        <w:rPr>
          <w:sz w:val="22"/>
          <w:szCs w:val="22"/>
          <w:rFonts w:asciiTheme="minorHAnsi" w:eastAsia="Cambria" w:hAnsiTheme="minorHAnsi" w:cstheme="minorHAnsi"/>
        </w:rPr>
      </w:pPr>
      <w:r>
        <w:rPr>
          <w:sz w:val="22"/>
          <w:rFonts w:asciiTheme="minorHAnsi" w:hAnsiTheme="minorHAnsi"/>
        </w:rPr>
        <w:t xml:space="preserve">e) 20/2020 Foru Legean aurreikusitako aldi iragankorra amaitzearen eta 2025erako Aurrekontu Orokorrei buruzko Foru Legearen aurreikuspenaren ondorioz, Hezkuntza Departamentuak deialdi bat onartu zuen 2025eko urtarrilean, HLE gisa kontratatzeko bi izangairen zerrenda eratzeko, lehentasunezkoa bata eta subsidiarioa bestea.</w:t>
      </w:r>
      <w:r>
        <w:rPr>
          <w:sz w:val="22"/>
          <w:rFonts w:asciiTheme="minorHAnsi" w:hAnsiTheme="minorHAnsi"/>
        </w:rPr>
        <w:t xml:space="preserve"> </w:t>
      </w:r>
      <w:r>
        <w:rPr>
          <w:sz w:val="22"/>
          <w:rFonts w:asciiTheme="minorHAnsi" w:hAnsiTheme="minorHAnsi"/>
        </w:rPr>
        <w:t xml:space="preserve">Era berean, bi zerrendatan bereizi zituen (lehentasunezkoa eta subsidiarioa) egonkortze prozesuan sartzeko deialdiko aldi baterako kontrataziorako hautagaiak, aurkeztu zuten titulazioaren arabera.</w:t>
      </w:r>
    </w:p>
    <w:p w14:paraId="6D178C28" w14:textId="77777777" w:rsidR="00F27501" w:rsidRPr="00C7737D" w:rsidRDefault="00F27501" w:rsidP="00F27501">
      <w:pPr>
        <w:spacing w:line="360" w:lineRule="auto"/>
        <w:ind w:firstLine="709"/>
        <w:jc w:val="both"/>
        <w:rPr>
          <w:sz w:val="22"/>
          <w:szCs w:val="22"/>
          <w:rFonts w:asciiTheme="minorHAnsi" w:eastAsia="Cambria" w:hAnsiTheme="minorHAnsi" w:cstheme="minorHAnsi"/>
        </w:rPr>
      </w:pPr>
      <w:r>
        <w:rPr>
          <w:sz w:val="22"/>
          <w:rFonts w:asciiTheme="minorHAnsi" w:hAnsiTheme="minorHAnsi"/>
        </w:rPr>
        <w:t xml:space="preserve">Egungo araudiarekin, zerrenda subsidiarioek 2026ko abenduaren 31n indarrean egoteari utziko diote.</w:t>
      </w:r>
    </w:p>
    <w:p w14:paraId="3F827CB8" w14:textId="77777777" w:rsidR="00F27501" w:rsidRPr="00C7737D" w:rsidRDefault="00F27501" w:rsidP="00C7347E">
      <w:pPr>
        <w:numPr>
          <w:ilvl w:val="0"/>
          <w:numId w:val="4"/>
        </w:numPr>
        <w:spacing w:line="360" w:lineRule="auto"/>
        <w:jc w:val="both"/>
        <w:rPr>
          <w:b/>
          <w:sz w:val="22"/>
          <w:szCs w:val="22"/>
          <w:rFonts w:asciiTheme="minorHAnsi" w:eastAsia="Cambria" w:hAnsiTheme="minorHAnsi" w:cstheme="minorHAnsi"/>
        </w:rPr>
      </w:pPr>
      <w:r>
        <w:rPr>
          <w:b/>
          <w:sz w:val="22"/>
          <w:rFonts w:asciiTheme="minorHAnsi" w:hAnsiTheme="minorHAnsi"/>
        </w:rPr>
        <w:t xml:space="preserve">HEZKUNTZA-LAGUNTZAKO ESPEZIALISTEN HORNIDURAREN AZTERKETA ETA KONTRATAZIOAREN BILAKAERA</w:t>
      </w:r>
    </w:p>
    <w:p w14:paraId="2E20174B" w14:textId="070E4408" w:rsidR="00F27501" w:rsidRPr="00C7737D" w:rsidRDefault="00F27501" w:rsidP="00F27501">
      <w:pPr>
        <w:spacing w:line="360" w:lineRule="auto"/>
        <w:ind w:firstLine="709"/>
        <w:jc w:val="both"/>
        <w:rPr>
          <w:sz w:val="22"/>
          <w:szCs w:val="22"/>
          <w:rFonts w:asciiTheme="minorHAnsi" w:eastAsia="Cambria" w:hAnsiTheme="minorHAnsi" w:cstheme="minorHAnsi"/>
        </w:rPr>
      </w:pPr>
      <w:r>
        <w:rPr>
          <w:sz w:val="22"/>
          <w:rFonts w:asciiTheme="minorHAnsi" w:hAnsiTheme="minorHAnsi"/>
        </w:rPr>
        <w:t xml:space="preserve">Hezkuntza-laguntzako espezialisten arreta behar duten ikasleen kopuruak nabarmen egin du gora, eta, horren ondorioz, halako langileen kopurua nabarmen handitu da zuzkiduran: 2016-2017 ikasturtean 199 HLE izatetik 2025-2026 ikasturtean 528 HLE izatera.</w:t>
      </w:r>
      <w:r>
        <w:rPr>
          <w:sz w:val="22"/>
          <w:rFonts w:asciiTheme="minorHAnsi" w:hAnsiTheme="minorHAnsi"/>
        </w:rPr>
        <w:t xml:space="preserve"> </w:t>
      </w:r>
      <w:r>
        <w:rPr>
          <w:sz w:val="22"/>
          <w:rFonts w:asciiTheme="minorHAnsi" w:hAnsiTheme="minorHAnsi"/>
        </w:rPr>
        <w:t xml:space="preserve">Hau da, halako langileen kopurua % 165 igo da aldi horretan.</w:t>
      </w:r>
    </w:p>
    <w:p w14:paraId="1553BF98" w14:textId="77777777" w:rsidR="00F27501" w:rsidRPr="00C7737D" w:rsidRDefault="00F27501" w:rsidP="00F27501">
      <w:pPr>
        <w:spacing w:line="360" w:lineRule="auto"/>
        <w:ind w:firstLine="709"/>
        <w:jc w:val="both"/>
        <w:rPr>
          <w:sz w:val="22"/>
          <w:szCs w:val="22"/>
          <w:rFonts w:asciiTheme="minorHAnsi" w:eastAsia="Cambria" w:hAnsiTheme="minorHAnsi" w:cstheme="minorHAnsi"/>
        </w:rPr>
      </w:pPr>
      <w:r>
        <w:rPr>
          <w:sz w:val="22"/>
          <w:rFonts w:asciiTheme="minorHAnsi" w:hAnsiTheme="minorHAnsi"/>
        </w:rPr>
        <w:t xml:space="preserve">Hazkunde horren ondorioz, hezkuntza-laguntzako espezialisten kontratazioen bilakaerak goranzko joera bera erakusten du, logikoa den bezala:</w:t>
      </w:r>
      <w:r>
        <w:rPr>
          <w:sz w:val="22"/>
          <w:rFonts w:asciiTheme="minorHAnsi" w:hAnsiTheme="minorHAnsi"/>
        </w:rPr>
        <w:t xml:space="preserve"> </w:t>
      </w:r>
    </w:p>
    <w:p w14:paraId="4E1EB084" w14:textId="77777777" w:rsidR="00F27501" w:rsidRPr="00C7737D" w:rsidRDefault="00F27501" w:rsidP="00F27501">
      <w:pPr>
        <w:spacing w:line="360" w:lineRule="auto"/>
        <w:ind w:firstLine="709"/>
        <w:jc w:val="both"/>
        <w:rPr>
          <w:sz w:val="22"/>
          <w:szCs w:val="22"/>
          <w:rFonts w:asciiTheme="minorHAnsi" w:eastAsia="Cambria" w:hAnsiTheme="minorHAnsi" w:cstheme="minorHAnsi"/>
        </w:rPr>
      </w:pPr>
      <w:r>
        <w:rPr>
          <w:sz w:val="22"/>
          <w:rFonts w:asciiTheme="minorHAnsi" w:hAnsiTheme="minorHAnsi"/>
        </w:rPr>
        <w:t xml:space="preserve">Horrela, 2024-2025 ikasturtean 320 HLE kontratatu ziren ikasturtearen hasierako beharrei erantzuteko, 800 ordezkapen kontratuz gainera, hainbat arrazoirengatik.</w:t>
      </w:r>
    </w:p>
    <w:p w14:paraId="1F7D61AF" w14:textId="77777777" w:rsidR="00F27501" w:rsidRPr="00C7737D" w:rsidRDefault="00F27501" w:rsidP="00F27501">
      <w:pPr>
        <w:spacing w:line="360" w:lineRule="auto"/>
        <w:ind w:firstLine="709"/>
        <w:jc w:val="both"/>
        <w:rPr>
          <w:sz w:val="22"/>
          <w:szCs w:val="22"/>
          <w:rFonts w:asciiTheme="minorHAnsi" w:eastAsia="Cambria" w:hAnsiTheme="minorHAnsi" w:cstheme="minorHAnsi"/>
        </w:rPr>
      </w:pPr>
      <w:r>
        <w:rPr>
          <w:sz w:val="22"/>
          <w:rFonts w:asciiTheme="minorHAnsi" w:hAnsiTheme="minorHAnsi"/>
        </w:rPr>
        <w:t xml:space="preserve">Ikasturte honetan (2025-2026), 343 langile kontratatu dira ikasturtearen hasierako beharrei erantzuteko, eta gaur egun 734 ordezkapen egin dira. Horrek agerian uzten du oso litekeena dela aurreko ikasturteko kontratazio zifrak gainditzea (horrek langile gehiago kontratatzea eskatuko luke).</w:t>
      </w:r>
    </w:p>
    <w:p w14:paraId="20218ED7" w14:textId="77777777" w:rsidR="00F27501" w:rsidRPr="00C7737D" w:rsidRDefault="00F27501" w:rsidP="00293602">
      <w:pPr>
        <w:numPr>
          <w:ilvl w:val="0"/>
          <w:numId w:val="4"/>
        </w:numPr>
        <w:spacing w:line="360" w:lineRule="auto"/>
        <w:jc w:val="both"/>
        <w:rPr>
          <w:b/>
          <w:sz w:val="22"/>
          <w:szCs w:val="22"/>
          <w:rFonts w:asciiTheme="minorHAnsi" w:eastAsia="Cambria" w:hAnsiTheme="minorHAnsi" w:cstheme="minorHAnsi"/>
        </w:rPr>
      </w:pPr>
      <w:r>
        <w:rPr>
          <w:b/>
          <w:sz w:val="22"/>
          <w:rFonts w:asciiTheme="minorHAnsi" w:hAnsiTheme="minorHAnsi"/>
        </w:rPr>
        <w:t xml:space="preserve">EGUNGO ZERRENDEN EGOERA</w:t>
      </w:r>
    </w:p>
    <w:p w14:paraId="1734866D" w14:textId="49549955" w:rsidR="00F27501" w:rsidRPr="00C7737D" w:rsidRDefault="00F27501" w:rsidP="00F27501">
      <w:pPr>
        <w:spacing w:line="360" w:lineRule="auto"/>
        <w:ind w:firstLine="709"/>
        <w:jc w:val="both"/>
        <w:rPr>
          <w:sz w:val="22"/>
          <w:szCs w:val="22"/>
          <w:rFonts w:asciiTheme="minorHAnsi" w:eastAsia="Cambria" w:hAnsiTheme="minorHAnsi" w:cstheme="minorHAnsi"/>
        </w:rPr>
      </w:pPr>
      <w:r>
        <w:rPr>
          <w:sz w:val="22"/>
          <w:rFonts w:asciiTheme="minorHAnsi" w:hAnsiTheme="minorHAnsi"/>
        </w:rPr>
        <w:t xml:space="preserve">Lehen aipatutako araudia kontuan hartuta, hezkuntza-laguntzako espezialista gisa kontratatzeko izangaien zerrendak honako zerrenda hauez osatuta daude:</w:t>
      </w:r>
    </w:p>
    <w:p w14:paraId="3D1765D5" w14:textId="77777777" w:rsidR="00F27501" w:rsidRPr="00C7737D" w:rsidRDefault="00293602" w:rsidP="00F27501">
      <w:pPr>
        <w:spacing w:line="360" w:lineRule="auto"/>
        <w:ind w:firstLine="709"/>
        <w:jc w:val="both"/>
        <w:rPr>
          <w:sz w:val="22"/>
          <w:szCs w:val="22"/>
          <w:rFonts w:asciiTheme="minorHAnsi" w:eastAsia="Cambria" w:hAnsiTheme="minorHAnsi" w:cstheme="minorHAnsi"/>
        </w:rPr>
      </w:pPr>
      <w:r>
        <w:rPr>
          <w:sz w:val="22"/>
          <w:b/>
          <w:rFonts w:asciiTheme="minorHAnsi" w:hAnsiTheme="minorHAnsi"/>
        </w:rPr>
        <w:t xml:space="preserve">-Lehentasunezko zerrendak</w:t>
      </w:r>
      <w:r>
        <w:rPr>
          <w:sz w:val="22"/>
          <w:rFonts w:asciiTheme="minorHAnsi" w:hAnsiTheme="minorHAnsi"/>
        </w:rPr>
        <w:t xml:space="preserve">, egonkortzeko oposizio-lehiaketan nahiz 2025ean egindako aldi baterakoen proban berariazko titulazioa egiaztatu duten izangaiez osatuak.</w:t>
      </w:r>
    </w:p>
    <w:p w14:paraId="45AA7E03" w14:textId="77777777" w:rsidR="00F27501" w:rsidRPr="00C7737D" w:rsidRDefault="00293602" w:rsidP="00F27501">
      <w:pPr>
        <w:spacing w:line="360" w:lineRule="auto"/>
        <w:ind w:firstLine="709"/>
        <w:jc w:val="both"/>
        <w:rPr>
          <w:sz w:val="22"/>
          <w:szCs w:val="22"/>
          <w:rFonts w:asciiTheme="minorHAnsi" w:eastAsia="Cambria" w:hAnsiTheme="minorHAnsi" w:cstheme="minorHAnsi"/>
        </w:rPr>
      </w:pPr>
      <w:r>
        <w:rPr>
          <w:sz w:val="22"/>
          <w:b/>
          <w:rFonts w:asciiTheme="minorHAnsi" w:hAnsiTheme="minorHAnsi"/>
        </w:rPr>
        <w:t xml:space="preserve">-Zerrenda subsidiarioak</w:t>
      </w:r>
      <w:r>
        <w:rPr>
          <w:sz w:val="22"/>
          <w:rFonts w:asciiTheme="minorHAnsi" w:hAnsiTheme="minorHAnsi"/>
        </w:rPr>
        <w:t xml:space="preserve">, batxilergoa dutela egiaztatu duten izangaiez osatuak (C mailako titulazio generikoa), bai egonkortzeko oposizio-lehiaketan, bai 2025ean egindako aldi baterakoen proban.</w:t>
      </w:r>
    </w:p>
    <w:p w14:paraId="7A55BB78" w14:textId="77777777" w:rsidR="00F27501" w:rsidRPr="00C7737D" w:rsidRDefault="00F27501" w:rsidP="00F27501">
      <w:pPr>
        <w:spacing w:line="360" w:lineRule="auto"/>
        <w:ind w:firstLine="709"/>
        <w:jc w:val="both"/>
        <w:rPr>
          <w:sz w:val="22"/>
          <w:szCs w:val="22"/>
          <w:rFonts w:asciiTheme="minorHAnsi" w:eastAsia="Cambria" w:hAnsiTheme="minorHAnsi" w:cstheme="minorHAnsi"/>
        </w:rPr>
      </w:pPr>
      <w:r>
        <w:rPr>
          <w:sz w:val="22"/>
          <w:rFonts w:asciiTheme="minorHAnsi" w:hAnsiTheme="minorHAnsi"/>
        </w:rPr>
        <w:t xml:space="preserve">Zerrenda horiek, era berean, zonakatze sistema baten, hizkuntzaren (gaztelania eta euskara) eta lanaldi motaren (lanaldi osoak edo mota guztiak bakarrik) arabera sailkatzen dituzte izangaiak, eta deialdian izena ematean zehazten ditu datu horiek izangaiek. Hori dela-eta, oso zaila da horien kudeaketa, deiak telefonoz egiten direla kontuan harturik.</w:t>
      </w:r>
      <w:r>
        <w:rPr>
          <w:sz w:val="22"/>
          <w:rFonts w:asciiTheme="minorHAnsi" w:hAnsiTheme="minorHAnsi"/>
        </w:rPr>
        <w:t xml:space="preserve"> </w:t>
      </w:r>
    </w:p>
    <w:p w14:paraId="6A66D8CA" w14:textId="77777777" w:rsidR="00F27501" w:rsidRPr="00C7737D" w:rsidRDefault="00F27501" w:rsidP="00F27501">
      <w:pPr>
        <w:spacing w:line="360" w:lineRule="auto"/>
        <w:ind w:firstLine="709"/>
        <w:jc w:val="both"/>
        <w:rPr>
          <w:sz w:val="22"/>
          <w:szCs w:val="22"/>
          <w:rFonts w:asciiTheme="minorHAnsi" w:eastAsia="Cambria" w:hAnsiTheme="minorHAnsi" w:cstheme="minorHAnsi"/>
        </w:rPr>
      </w:pPr>
      <w:r>
        <w:rPr>
          <w:sz w:val="22"/>
          <w:rFonts w:asciiTheme="minorHAnsi" w:hAnsiTheme="minorHAnsi"/>
        </w:rPr>
        <w:t xml:space="preserve">Era berean, oso korapilatsua da izangaien erabilgarritasunari buruzko datu errealak lortzea; izan ere, zerrenda bakarra ez denez, izangai bakoitzaren egoera baliteke desberdina izatea, zerrenda motaren eta eremuaren arabera.</w:t>
      </w:r>
    </w:p>
    <w:p w14:paraId="050C23C8" w14:textId="77777777" w:rsidR="00F27501" w:rsidRPr="00C7737D" w:rsidRDefault="00F27501" w:rsidP="00F27501">
      <w:pPr>
        <w:spacing w:line="360" w:lineRule="auto"/>
        <w:ind w:firstLine="709"/>
        <w:jc w:val="both"/>
        <w:rPr>
          <w:sz w:val="22"/>
          <w:szCs w:val="22"/>
          <w:rFonts w:asciiTheme="minorHAnsi" w:eastAsia="Cambria" w:hAnsiTheme="minorHAnsi" w:cstheme="minorHAnsi"/>
        </w:rPr>
      </w:pPr>
      <w:r>
        <w:rPr>
          <w:sz w:val="22"/>
          <w:rFonts w:asciiTheme="minorHAnsi" w:hAnsiTheme="minorHAnsi"/>
        </w:rPr>
        <w:t xml:space="preserve">Nolanahi ere, datu hauek nabarmendu behar dira:</w:t>
      </w:r>
    </w:p>
    <w:p w14:paraId="5933B89E" w14:textId="72F6B85D" w:rsidR="00F27501" w:rsidRPr="00C7737D" w:rsidRDefault="00C7737D" w:rsidP="00293602">
      <w:pPr>
        <w:spacing w:line="360" w:lineRule="auto"/>
        <w:jc w:val="both"/>
        <w:rPr>
          <w:sz w:val="22"/>
          <w:szCs w:val="22"/>
          <w:rFonts w:asciiTheme="minorHAnsi" w:eastAsia="Cambria" w:hAnsiTheme="minorHAnsi" w:cstheme="minorHAnsi"/>
        </w:rPr>
      </w:pPr>
      <w:r>
        <w:rPr>
          <w:sz w:val="22"/>
          <w:rFonts w:asciiTheme="minorHAnsi" w:hAnsiTheme="minorHAnsi"/>
        </w:rPr>
        <w:t xml:space="preserve">– Lehentasunezko zerrendan 697 hautagai daude guztira, horietako 362 kontratatuta egonik gaur egun.</w:t>
      </w:r>
      <w:r>
        <w:rPr>
          <w:sz w:val="22"/>
          <w:rFonts w:asciiTheme="minorHAnsi" w:hAnsiTheme="minorHAnsi"/>
        </w:rPr>
        <w:t xml:space="preserve"> </w:t>
      </w:r>
      <w:r>
        <w:rPr>
          <w:sz w:val="22"/>
          <w:rFonts w:asciiTheme="minorHAnsi" w:hAnsiTheme="minorHAnsi"/>
        </w:rPr>
        <w:t xml:space="preserve">Kontratuei uko egin dieten edo aurkitu ez diren hautagaiak 335 izan dira.</w:t>
      </w:r>
      <w:r>
        <w:rPr>
          <w:sz w:val="22"/>
          <w:rFonts w:asciiTheme="minorHAnsi" w:hAnsiTheme="minorHAnsi"/>
        </w:rPr>
        <w:t xml:space="preserve"> </w:t>
      </w:r>
      <w:r>
        <w:rPr>
          <w:sz w:val="22"/>
          <w:rFonts w:asciiTheme="minorHAnsi" w:hAnsiTheme="minorHAnsi"/>
        </w:rPr>
        <w:t xml:space="preserve">Beraz, zerrenda hori agortuta dagoela kontuan hartuta, % 51,94ko eraginkortasuna du kontrataziorako.</w:t>
      </w:r>
    </w:p>
    <w:p w14:paraId="63E11871" w14:textId="75405E5E" w:rsidR="00F27501" w:rsidRPr="00C7737D" w:rsidRDefault="00C7737D" w:rsidP="00293602">
      <w:pPr>
        <w:spacing w:line="360" w:lineRule="auto"/>
        <w:jc w:val="both"/>
        <w:rPr>
          <w:sz w:val="22"/>
          <w:szCs w:val="22"/>
          <w:rFonts w:asciiTheme="minorHAnsi" w:eastAsia="Cambria" w:hAnsiTheme="minorHAnsi" w:cstheme="minorHAnsi"/>
        </w:rPr>
      </w:pPr>
      <w:r>
        <w:rPr>
          <w:sz w:val="22"/>
          <w:rFonts w:asciiTheme="minorHAnsi" w:hAnsiTheme="minorHAnsi"/>
        </w:rPr>
        <w:t xml:space="preserve">– Zerrenda subsidiarioan 820 hautagai daude guztira, eta horietako106k aurtengo ikasturtean hartu dute kontratua.</w:t>
      </w:r>
      <w:r>
        <w:rPr>
          <w:sz w:val="22"/>
          <w:rFonts w:asciiTheme="minorHAnsi" w:hAnsiTheme="minorHAnsi"/>
        </w:rPr>
        <w:t xml:space="preserve"> </w:t>
      </w:r>
      <w:r>
        <w:rPr>
          <w:sz w:val="22"/>
          <w:rFonts w:asciiTheme="minorHAnsi" w:hAnsiTheme="minorHAnsi"/>
        </w:rPr>
        <w:t xml:space="preserve">Gaur egun, 417 hautagai daude, eta 297 pertsonak uko egin diete kontratuei.</w:t>
      </w:r>
    </w:p>
    <w:p w14:paraId="66F8B066" w14:textId="77777777" w:rsidR="00F27501" w:rsidRPr="00C7737D" w:rsidRDefault="00F27501" w:rsidP="00C7737D">
      <w:pPr>
        <w:spacing w:line="360" w:lineRule="auto"/>
        <w:jc w:val="both"/>
        <w:rPr>
          <w:sz w:val="22"/>
          <w:szCs w:val="22"/>
          <w:rFonts w:asciiTheme="minorHAnsi" w:eastAsia="Cambria" w:hAnsiTheme="minorHAnsi" w:cstheme="minorHAnsi"/>
        </w:rPr>
      </w:pPr>
      <w:r>
        <w:rPr>
          <w:sz w:val="22"/>
          <w:rFonts w:asciiTheme="minorHAnsi" w:hAnsiTheme="minorHAnsi"/>
        </w:rPr>
        <w:t xml:space="preserve">Adierazi behar da ikasturtearen hasierako 343 eskaintzetatik 75 zerrenda subsidiarioko pertsonekin bete zirela, eta, unean-unean izangairen bat prest jartzen ahal bada ere, lehentasunezko zerrenda ikasturtearen hasieratik agortu zela.</w:t>
      </w:r>
      <w:r>
        <w:rPr>
          <w:sz w:val="22"/>
          <w:rFonts w:asciiTheme="minorHAnsi" w:hAnsiTheme="minorHAnsi"/>
        </w:rPr>
        <w:t xml:space="preserve"> </w:t>
      </w:r>
    </w:p>
    <w:p w14:paraId="66B3B532" w14:textId="77777777" w:rsidR="00F27501" w:rsidRPr="00C7737D" w:rsidRDefault="00F27501" w:rsidP="00C7737D">
      <w:pPr>
        <w:spacing w:line="360" w:lineRule="auto"/>
        <w:jc w:val="both"/>
        <w:rPr>
          <w:sz w:val="22"/>
          <w:szCs w:val="22"/>
          <w:rFonts w:asciiTheme="minorHAnsi" w:eastAsia="Cambria" w:hAnsiTheme="minorHAnsi" w:cstheme="minorHAnsi"/>
        </w:rPr>
      </w:pPr>
      <w:r>
        <w:rPr>
          <w:sz w:val="22"/>
          <w:rFonts w:asciiTheme="minorHAnsi" w:hAnsiTheme="minorHAnsi"/>
        </w:rPr>
        <w:t xml:space="preserve">Azkenik, nabarmentzekoak dira Integrazio Sozialeko goi mailako teknikariaren eta Batxilergoko titulazioa izanik Hezkuntza Premia Bereziak dituzten Ikasleei Arreta emateko profesionaltasun ziurtagiria duten langileak gaitzeko egindako ahaleginak.</w:t>
      </w:r>
      <w:r>
        <w:rPr>
          <w:sz w:val="22"/>
          <w:rFonts w:asciiTheme="minorHAnsi" w:hAnsiTheme="minorHAnsi"/>
        </w:rPr>
        <w:t xml:space="preserve"> </w:t>
      </w:r>
      <w:r>
        <w:rPr>
          <w:sz w:val="22"/>
          <w:rFonts w:asciiTheme="minorHAnsi" w:hAnsiTheme="minorHAnsi"/>
        </w:rPr>
        <w:t xml:space="preserve">Ildo horretan, 2021ean Integrazio Sozialeko goi mailako teknikariaren urteko tituludunak 72 izatetik 2026an 126 izatera igaro dira, ziklo hori zentro gehiagotan ezartzeagatik.</w:t>
      </w:r>
      <w:r>
        <w:rPr>
          <w:sz w:val="22"/>
          <w:rFonts w:asciiTheme="minorHAnsi" w:hAnsiTheme="minorHAnsi"/>
        </w:rPr>
        <w:t xml:space="preserve"> </w:t>
      </w:r>
      <w:r>
        <w:rPr>
          <w:sz w:val="22"/>
          <w:rFonts w:asciiTheme="minorHAnsi" w:hAnsiTheme="minorHAnsi"/>
        </w:rPr>
        <w:t xml:space="preserve">Aldi horretan 414 egresatu egon ziren guztira.</w:t>
      </w:r>
      <w:r>
        <w:rPr>
          <w:sz w:val="22"/>
          <w:rFonts w:asciiTheme="minorHAnsi" w:hAnsiTheme="minorHAnsi"/>
        </w:rPr>
        <w:t xml:space="preserve"> </w:t>
      </w:r>
      <w:r>
        <w:rPr>
          <w:sz w:val="22"/>
          <w:rFonts w:asciiTheme="minorHAnsi" w:hAnsiTheme="minorHAnsi"/>
        </w:rPr>
        <w:t xml:space="preserve">Hezkuntza Premia Bereziak dituzten Ikasleei Arreta emateko profesionaltasun ziurtagiriari dagokionez, 2020tik egin diren deialdietan (2026rako aurreikuspena barne) 628 pertsona daude.</w:t>
      </w:r>
    </w:p>
    <w:p w14:paraId="5323B70D" w14:textId="3DE5CF9F" w:rsidR="00F27501" w:rsidRPr="00C7737D" w:rsidRDefault="00F27501" w:rsidP="00C7737D">
      <w:pPr>
        <w:spacing w:line="360" w:lineRule="auto"/>
        <w:jc w:val="both"/>
        <w:rPr>
          <w:sz w:val="22"/>
          <w:szCs w:val="22"/>
          <w:rFonts w:asciiTheme="minorHAnsi" w:eastAsia="Cambria" w:hAnsiTheme="minorHAnsi" w:cstheme="minorHAnsi"/>
        </w:rPr>
      </w:pPr>
      <w:r>
        <w:rPr>
          <w:sz w:val="22"/>
          <w:rFonts w:asciiTheme="minorHAnsi" w:hAnsiTheme="minorHAnsi"/>
        </w:rPr>
        <w:t xml:space="preserve">Hau da, 2020az geroztik, ia mila pertsonak izaten ahal dute lehentasunezko zerrenda osatzeko aukera; izan ere, ikusi dugu ia 700 pertsonak osatzen dutela (697), eta ikusi dugu, halaber, kontratazioari begira duten eraginkortasuna ehuneko 50 baino gehixeagokoa dela; izan ere, 697 pertsona horietatik 362k hartu dute kontratua.</w:t>
      </w:r>
    </w:p>
    <w:p w14:paraId="4E5DC317" w14:textId="77777777" w:rsidR="00F27501" w:rsidRPr="00C7737D" w:rsidRDefault="00F27501" w:rsidP="00C7737D">
      <w:pPr>
        <w:spacing w:line="360" w:lineRule="auto"/>
        <w:jc w:val="both"/>
        <w:rPr>
          <w:sz w:val="22"/>
          <w:szCs w:val="22"/>
          <w:rFonts w:asciiTheme="minorHAnsi" w:eastAsia="Cambria" w:hAnsiTheme="minorHAnsi" w:cstheme="minorHAnsi"/>
        </w:rPr>
      </w:pPr>
      <w:r>
        <w:rPr>
          <w:sz w:val="22"/>
          <w:rFonts w:asciiTheme="minorHAnsi" w:hAnsiTheme="minorHAnsi"/>
        </w:rPr>
        <w:t xml:space="preserve">Azaldutako datu guztiak eta kontratazio premia gero eta handiagoak ikusita, ez Integrazio Sozialeko goi mailako teknikariaren ikasketen matrikulak, ezta Hezkuntza Premia Bereziak dituzten Ikasleei Arreta emateko profesionaltasun ziurtagiriek ere, titulazio hori duten langileekin eskaria betetzen ahalko dela aurreikusten da, eta, beraz, beharrezkoa da </w:t>
      </w:r>
      <w:r>
        <w:rPr>
          <w:sz w:val="22"/>
          <w:i/>
          <w:iCs/>
          <w:rFonts w:asciiTheme="minorHAnsi" w:hAnsiTheme="minorHAnsi"/>
        </w:rPr>
        <w:t xml:space="preserve">sine die</w:t>
      </w:r>
      <w:r>
        <w:rPr>
          <w:sz w:val="22"/>
          <w:rFonts w:asciiTheme="minorHAnsi" w:hAnsiTheme="minorHAnsi"/>
        </w:rPr>
        <w:t xml:space="preserve"> baimentzea aldi baterako sartzeko aurreikuspena Batxilergoko titulazioarekin, Lanbide Heziketako erdi mailako teknikariaren tituluaren edo titulazio baliokidearekin, kontuan hartuta aldi baterako sarbide horretarako beti babesten dela Integrazio Sozialeko goi mailako teknikariaren titulazioa duten izangaien lehentasuna, edo, hala badagokio, Batxilergoko titulua edo baliokidea, hezkuntza premia bereziak dituzten ikasleei arreta emateko profesionaltasun ziurtagiria izanik.</w:t>
      </w:r>
    </w:p>
    <w:p w14:paraId="19054507" w14:textId="77777777" w:rsidR="00F27501" w:rsidRPr="00C7737D" w:rsidRDefault="00293602" w:rsidP="00F27501">
      <w:pPr>
        <w:spacing w:line="360" w:lineRule="auto"/>
        <w:ind w:firstLine="709"/>
        <w:jc w:val="both"/>
        <w:rPr>
          <w:b/>
          <w:sz w:val="22"/>
          <w:szCs w:val="22"/>
          <w:rFonts w:asciiTheme="minorHAnsi" w:eastAsia="Cambria" w:hAnsiTheme="minorHAnsi" w:cstheme="minorHAnsi"/>
        </w:rPr>
      </w:pPr>
      <w:r>
        <w:rPr>
          <w:b/>
          <w:sz w:val="22"/>
          <w:rFonts w:asciiTheme="minorHAnsi" w:hAnsiTheme="minorHAnsi"/>
        </w:rPr>
        <w:t xml:space="preserve">4-KONKLUSIOAK</w:t>
      </w:r>
    </w:p>
    <w:p w14:paraId="00695E6B" w14:textId="77777777" w:rsidR="00F27501" w:rsidRPr="00C7737D" w:rsidRDefault="00F27501" w:rsidP="00C7737D">
      <w:pPr>
        <w:spacing w:line="360" w:lineRule="auto"/>
        <w:jc w:val="both"/>
        <w:rPr>
          <w:sz w:val="22"/>
          <w:szCs w:val="22"/>
          <w:rFonts w:asciiTheme="minorHAnsi" w:eastAsia="Cambria" w:hAnsiTheme="minorHAnsi" w:cstheme="minorHAnsi"/>
        </w:rPr>
      </w:pPr>
      <w:r>
        <w:rPr>
          <w:sz w:val="22"/>
          <w:rFonts w:asciiTheme="minorHAnsi" w:hAnsiTheme="minorHAnsi"/>
        </w:rPr>
        <w:t xml:space="preserve">Adierazitako datuetan funtsatuta, zerrenda subsidiarioa ezabatuz gero, ezin izanen zaie erantzun 2027-2028 ikasturtearen hasierako behar guztiei, ezta 2026-2027 ikasturtean zehar (2027ko urtarrilaren 1etik aurrera) gertatzen diren ordezkapenei ere, eta Hezkuntza Departamentuari ezinezkoa izanen zaio bermatzea hezkuntza premia bereziak izanik hezkuntza-laguntzako espezialistaren baliabidea esleituta duten ikasleen arreta.</w:t>
      </w:r>
    </w:p>
    <w:p w14:paraId="7998AAB9" w14:textId="77777777" w:rsidR="00F27501" w:rsidRPr="00C7737D" w:rsidRDefault="005F5DC7" w:rsidP="00C7737D">
      <w:pPr>
        <w:spacing w:line="360" w:lineRule="auto"/>
        <w:jc w:val="both"/>
        <w:rPr>
          <w:sz w:val="22"/>
          <w:szCs w:val="22"/>
          <w:rFonts w:asciiTheme="minorHAnsi" w:eastAsia="Cambria" w:hAnsiTheme="minorHAnsi" w:cstheme="minorHAnsi"/>
        </w:rPr>
      </w:pPr>
      <w:r>
        <w:rPr>
          <w:sz w:val="22"/>
          <w:rFonts w:asciiTheme="minorHAnsi" w:hAnsiTheme="minorHAnsi"/>
        </w:rPr>
        <w:t xml:space="preserve">Hezkuntza-laguntzako espezialistak kontratatzeko beharrei eta horiek azken urteetan izan duten bilakaerari buruzko datuak eman dira.</w:t>
      </w:r>
    </w:p>
    <w:p w14:paraId="5A991416" w14:textId="77777777" w:rsidR="005F5DC7" w:rsidRPr="005F5DC7" w:rsidRDefault="005F5DC7" w:rsidP="005F5DC7">
      <w:pPr>
        <w:jc w:val="both"/>
        <w:rPr>
          <w:b/>
          <w:sz w:val="24"/>
          <w:szCs w:val="24"/>
          <w:rFonts w:ascii="Arial" w:hAnsi="Arial" w:cs="Arial"/>
        </w:rPr>
      </w:pPr>
      <w:r>
        <w:rPr>
          <w:b/>
          <w:sz w:val="24"/>
          <w:rFonts w:ascii="Arial" w:hAnsi="Arial"/>
        </w:rPr>
        <w:t xml:space="preserve">HLEen zuzkiduraren historikoa</w:t>
      </w:r>
      <w:r>
        <w:rPr>
          <w:b/>
          <w:sz w:val="24"/>
          <w:rFonts w:ascii="Arial" w:hAnsi="Arial"/>
        </w:rPr>
        <w:t xml:space="preserve"> </w:t>
      </w:r>
      <w:r>
        <w:rPr>
          <w:b/>
          <w:sz w:val="24"/>
          <w:rFonts w:ascii="Arial" w:hAnsi="Arial"/>
        </w:rPr>
        <w:t xml:space="preserve">Beharrizanak ikasturte bakoitzeko.</w:t>
      </w:r>
    </w:p>
    <w:p w14:paraId="3DA4857B" w14:textId="77777777" w:rsidR="005F5DC7" w:rsidRDefault="005F5DC7" w:rsidP="005F5DC7">
      <w:pPr>
        <w:jc w:val="both"/>
        <w:rPr>
          <w:rFonts w:ascii="Arial" w:hAnsi="Arial" w:cs="Arial"/>
          <w:sz w:val="24"/>
          <w:szCs w:val="24"/>
        </w:rPr>
      </w:pPr>
    </w:p>
    <w:p w14:paraId="6BA19254" w14:textId="77777777" w:rsidR="005F5DC7" w:rsidRDefault="00E7043D" w:rsidP="005F5DC7">
      <w:pPr>
        <w:jc w:val="both"/>
        <w:rPr>
          <w:sz w:val="24"/>
          <w:szCs w:val="24"/>
          <w:rFonts w:ascii="Arial" w:hAnsi="Arial" w:cs="Arial"/>
        </w:rPr>
      </w:pPr>
      <w:r>
        <w:rPr>
          <w:rFonts w:ascii="Arial" w:hAnsi="Arial"/>
        </w:rPr>
        <w:drawing>
          <wp:inline distT="0" distB="0" distL="0" distR="0" wp14:anchorId="58C76FD5" wp14:editId="761A361D">
            <wp:extent cx="5400675" cy="3505200"/>
            <wp:effectExtent l="0" t="0" r="0" b="0"/>
            <wp:docPr id="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00675" cy="3505200"/>
                    </a:xfrm>
                    <a:prstGeom prst="rect">
                      <a:avLst/>
                    </a:prstGeom>
                    <a:noFill/>
                    <a:ln>
                      <a:noFill/>
                    </a:ln>
                  </pic:spPr>
                </pic:pic>
              </a:graphicData>
            </a:graphic>
          </wp:inline>
        </w:drawing>
      </w:r>
    </w:p>
    <w:p w14:paraId="68039F9A" w14:textId="77777777" w:rsidR="005F5DC7" w:rsidRDefault="005F5DC7" w:rsidP="005F5DC7">
      <w:pPr>
        <w:jc w:val="both"/>
        <w:rPr>
          <w:b/>
          <w:sz w:val="24"/>
          <w:szCs w:val="24"/>
          <w:rFonts w:ascii="Arial" w:hAnsi="Arial" w:cs="Arial"/>
        </w:rPr>
      </w:pPr>
      <w:r>
        <w:rPr>
          <w:b/>
          <w:sz w:val="24"/>
          <w:rFonts w:ascii="Arial" w:hAnsi="Arial"/>
        </w:rPr>
        <w:t xml:space="preserve">Baimenduriko kontratazio proposamenak, ikasturte hasierako premiez gainera</w:t>
      </w:r>
    </w:p>
    <w:p w14:paraId="6E0EC72F" w14:textId="77777777" w:rsidR="005F5DC7" w:rsidRDefault="005F5DC7" w:rsidP="005F5DC7">
      <w:pPr>
        <w:jc w:val="both"/>
        <w:rPr>
          <w:rFonts w:ascii="Arial" w:hAnsi="Arial" w:cs="Arial"/>
          <w:b/>
          <w:sz w:val="24"/>
          <w:szCs w:val="24"/>
        </w:rPr>
      </w:pPr>
    </w:p>
    <w:p w14:paraId="47FC5A06" w14:textId="77777777" w:rsidR="005F5DC7" w:rsidRDefault="005F5DC7" w:rsidP="005F5DC7">
      <w:pPr>
        <w:jc w:val="both"/>
        <w:rPr>
          <w:rFonts w:ascii="Arial" w:hAnsi="Arial" w:cs="Arial"/>
          <w:b/>
          <w:sz w:val="24"/>
          <w:szCs w:val="24"/>
        </w:rPr>
      </w:pPr>
    </w:p>
    <w:tbl>
      <w:tblPr>
        <w:tblW w:w="6800" w:type="dxa"/>
        <w:jc w:val="center"/>
        <w:tblCellMar>
          <w:left w:w="70" w:type="dxa"/>
          <w:right w:w="70" w:type="dxa"/>
        </w:tblCellMar>
        <w:tblLook w:val="04A0" w:firstRow="1" w:lastRow="0" w:firstColumn="1" w:lastColumn="0" w:noHBand="0" w:noVBand="1"/>
      </w:tblPr>
      <w:tblGrid>
        <w:gridCol w:w="1180"/>
        <w:gridCol w:w="1200"/>
        <w:gridCol w:w="1200"/>
        <w:gridCol w:w="1200"/>
        <w:gridCol w:w="2020"/>
      </w:tblGrid>
      <w:tr w:rsidR="005F5DC7" w14:paraId="612E59B3" w14:textId="77777777" w:rsidTr="005F5DC7">
        <w:trPr>
          <w:trHeight w:val="300"/>
          <w:jc w:val="center"/>
        </w:trPr>
        <w:tc>
          <w:tcPr>
            <w:tcW w:w="1180" w:type="dxa"/>
            <w:tcBorders>
              <w:top w:val="single" w:sz="4" w:space="0" w:color="auto"/>
              <w:left w:val="single" w:sz="4" w:space="0" w:color="auto"/>
              <w:bottom w:val="single" w:sz="4" w:space="0" w:color="auto"/>
              <w:right w:val="single" w:sz="4" w:space="0" w:color="auto"/>
            </w:tcBorders>
            <w:noWrap/>
            <w:vAlign w:val="bottom"/>
            <w:hideMark/>
          </w:tcPr>
          <w:p w14:paraId="37166D13" w14:textId="77777777" w:rsidR="005F5DC7" w:rsidRDefault="005F5DC7">
            <w:pPr>
              <w:jc w:val="both"/>
              <w:rPr>
                <w:b/>
                <w:bCs/>
                <w:color w:val="000000"/>
                <w:sz w:val="22"/>
                <w:szCs w:val="22"/>
                <w:rFonts w:ascii="Arial" w:hAnsi="Arial" w:cs="Arial"/>
              </w:rPr>
            </w:pPr>
            <w:r>
              <w:rPr>
                <w:b/>
                <w:color w:val="000000"/>
                <w:rFonts w:ascii="Arial" w:hAnsi="Arial"/>
              </w:rPr>
              <w:t xml:space="preserve">Ikasturtea</w:t>
            </w:r>
          </w:p>
        </w:tc>
        <w:tc>
          <w:tcPr>
            <w:tcW w:w="1200" w:type="dxa"/>
            <w:tcBorders>
              <w:top w:val="single" w:sz="4" w:space="0" w:color="auto"/>
              <w:left w:val="nil"/>
              <w:bottom w:val="single" w:sz="4" w:space="0" w:color="auto"/>
              <w:right w:val="single" w:sz="4" w:space="0" w:color="auto"/>
            </w:tcBorders>
            <w:noWrap/>
            <w:vAlign w:val="bottom"/>
            <w:hideMark/>
          </w:tcPr>
          <w:p w14:paraId="72634405" w14:textId="77777777" w:rsidR="005F5DC7" w:rsidRDefault="005F5DC7">
            <w:pPr>
              <w:jc w:val="both"/>
              <w:rPr>
                <w:b/>
                <w:bCs/>
                <w:color w:val="000000"/>
                <w:rFonts w:ascii="Arial" w:hAnsi="Arial" w:cs="Arial"/>
              </w:rPr>
            </w:pPr>
            <w:r>
              <w:rPr>
                <w:b/>
                <w:color w:val="000000"/>
                <w:rFonts w:ascii="Arial" w:hAnsi="Arial"/>
              </w:rPr>
              <w:t xml:space="preserve">Gaztelania</w:t>
            </w:r>
          </w:p>
        </w:tc>
        <w:tc>
          <w:tcPr>
            <w:tcW w:w="1200" w:type="dxa"/>
            <w:tcBorders>
              <w:top w:val="single" w:sz="4" w:space="0" w:color="auto"/>
              <w:left w:val="nil"/>
              <w:bottom w:val="single" w:sz="4" w:space="0" w:color="auto"/>
              <w:right w:val="single" w:sz="4" w:space="0" w:color="auto"/>
            </w:tcBorders>
            <w:noWrap/>
            <w:vAlign w:val="bottom"/>
            <w:hideMark/>
          </w:tcPr>
          <w:p w14:paraId="65357704" w14:textId="77777777" w:rsidR="005F5DC7" w:rsidRDefault="005F5DC7">
            <w:pPr>
              <w:jc w:val="both"/>
              <w:rPr>
                <w:b/>
                <w:bCs/>
                <w:color w:val="000000"/>
                <w:rFonts w:ascii="Arial" w:hAnsi="Arial" w:cs="Arial"/>
              </w:rPr>
            </w:pPr>
            <w:r>
              <w:rPr>
                <w:b/>
                <w:color w:val="000000"/>
                <w:rFonts w:ascii="Arial" w:hAnsi="Arial"/>
              </w:rPr>
              <w:t xml:space="preserve">Euskara</w:t>
            </w:r>
          </w:p>
        </w:tc>
        <w:tc>
          <w:tcPr>
            <w:tcW w:w="1200" w:type="dxa"/>
            <w:tcBorders>
              <w:top w:val="single" w:sz="4" w:space="0" w:color="auto"/>
              <w:left w:val="nil"/>
              <w:bottom w:val="single" w:sz="4" w:space="0" w:color="auto"/>
              <w:right w:val="single" w:sz="4" w:space="0" w:color="auto"/>
            </w:tcBorders>
            <w:noWrap/>
            <w:vAlign w:val="bottom"/>
            <w:hideMark/>
          </w:tcPr>
          <w:p w14:paraId="4F23B064" w14:textId="77777777" w:rsidR="005F5DC7" w:rsidRDefault="005F5DC7">
            <w:pPr>
              <w:jc w:val="both"/>
              <w:rPr>
                <w:b/>
                <w:bCs/>
                <w:color w:val="000000"/>
                <w:rFonts w:ascii="Arial" w:hAnsi="Arial" w:cs="Arial"/>
              </w:rPr>
            </w:pPr>
            <w:r>
              <w:rPr>
                <w:b/>
                <w:color w:val="000000"/>
                <w:rFonts w:ascii="Arial" w:hAnsi="Arial"/>
              </w:rPr>
              <w:t xml:space="preserve">Guztira</w:t>
            </w:r>
          </w:p>
        </w:tc>
        <w:tc>
          <w:tcPr>
            <w:tcW w:w="2020" w:type="dxa"/>
            <w:tcBorders>
              <w:top w:val="single" w:sz="4" w:space="0" w:color="auto"/>
              <w:left w:val="nil"/>
              <w:bottom w:val="single" w:sz="4" w:space="0" w:color="auto"/>
              <w:right w:val="single" w:sz="4" w:space="0" w:color="auto"/>
            </w:tcBorders>
            <w:noWrap/>
            <w:vAlign w:val="bottom"/>
            <w:hideMark/>
          </w:tcPr>
          <w:p w14:paraId="2732C14C" w14:textId="77777777" w:rsidR="005F5DC7" w:rsidRDefault="005F5DC7">
            <w:pPr>
              <w:jc w:val="both"/>
              <w:rPr>
                <w:b/>
                <w:bCs/>
                <w:color w:val="000000"/>
                <w:rFonts w:ascii="Arial" w:hAnsi="Arial" w:cs="Arial"/>
              </w:rPr>
            </w:pPr>
            <w:r>
              <w:rPr>
                <w:b/>
                <w:color w:val="000000"/>
                <w:rFonts w:ascii="Arial" w:hAnsi="Arial"/>
              </w:rPr>
              <w:t xml:space="preserve">Aldakuntza (ehunekoak)</w:t>
            </w:r>
          </w:p>
        </w:tc>
      </w:tr>
      <w:tr w:rsidR="005F5DC7" w14:paraId="25C6CBEF" w14:textId="77777777" w:rsidTr="005F5DC7">
        <w:trPr>
          <w:trHeight w:val="300"/>
          <w:jc w:val="center"/>
        </w:trPr>
        <w:tc>
          <w:tcPr>
            <w:tcW w:w="1180" w:type="dxa"/>
            <w:tcBorders>
              <w:top w:val="nil"/>
              <w:left w:val="single" w:sz="4" w:space="0" w:color="auto"/>
              <w:bottom w:val="single" w:sz="4" w:space="0" w:color="auto"/>
              <w:right w:val="single" w:sz="4" w:space="0" w:color="auto"/>
            </w:tcBorders>
            <w:noWrap/>
            <w:vAlign w:val="bottom"/>
            <w:hideMark/>
          </w:tcPr>
          <w:p w14:paraId="4A3400BE" w14:textId="77777777" w:rsidR="005F5DC7" w:rsidRDefault="005F5DC7">
            <w:pPr>
              <w:jc w:val="both"/>
              <w:rPr>
                <w:b/>
                <w:bCs/>
                <w:color w:val="000000"/>
                <w:rFonts w:ascii="Arial" w:hAnsi="Arial" w:cs="Arial"/>
              </w:rPr>
            </w:pPr>
            <w:r>
              <w:rPr>
                <w:b/>
                <w:color w:val="000000"/>
                <w:rFonts w:ascii="Arial" w:hAnsi="Arial"/>
              </w:rPr>
              <w:t xml:space="preserve">2020-2021</w:t>
            </w:r>
          </w:p>
        </w:tc>
        <w:tc>
          <w:tcPr>
            <w:tcW w:w="1200" w:type="dxa"/>
            <w:tcBorders>
              <w:top w:val="nil"/>
              <w:left w:val="nil"/>
              <w:bottom w:val="single" w:sz="4" w:space="0" w:color="auto"/>
              <w:right w:val="single" w:sz="4" w:space="0" w:color="auto"/>
            </w:tcBorders>
            <w:noWrap/>
            <w:vAlign w:val="bottom"/>
            <w:hideMark/>
          </w:tcPr>
          <w:p w14:paraId="480D5543" w14:textId="77777777" w:rsidR="005F5DC7" w:rsidRDefault="005F5DC7">
            <w:pPr>
              <w:jc w:val="both"/>
              <w:rPr>
                <w:color w:val="000000"/>
                <w:rFonts w:ascii="Arial" w:hAnsi="Arial" w:cs="Arial"/>
              </w:rPr>
            </w:pPr>
            <w:r>
              <w:rPr>
                <w:color w:val="000000"/>
                <w:rFonts w:ascii="Arial" w:hAnsi="Arial"/>
              </w:rPr>
              <w:t xml:space="preserve">261</w:t>
            </w:r>
          </w:p>
        </w:tc>
        <w:tc>
          <w:tcPr>
            <w:tcW w:w="1200" w:type="dxa"/>
            <w:tcBorders>
              <w:top w:val="nil"/>
              <w:left w:val="nil"/>
              <w:bottom w:val="single" w:sz="4" w:space="0" w:color="auto"/>
              <w:right w:val="single" w:sz="4" w:space="0" w:color="auto"/>
            </w:tcBorders>
            <w:noWrap/>
            <w:vAlign w:val="bottom"/>
            <w:hideMark/>
          </w:tcPr>
          <w:p w14:paraId="428CB5D2" w14:textId="77777777" w:rsidR="005F5DC7" w:rsidRDefault="005F5DC7">
            <w:pPr>
              <w:jc w:val="both"/>
              <w:rPr>
                <w:color w:val="000000"/>
                <w:rFonts w:ascii="Arial" w:hAnsi="Arial" w:cs="Arial"/>
              </w:rPr>
            </w:pPr>
            <w:r>
              <w:rPr>
                <w:color w:val="000000"/>
                <w:rFonts w:ascii="Arial" w:hAnsi="Arial"/>
              </w:rPr>
              <w:t xml:space="preserve">76</w:t>
            </w:r>
          </w:p>
        </w:tc>
        <w:tc>
          <w:tcPr>
            <w:tcW w:w="1200" w:type="dxa"/>
            <w:tcBorders>
              <w:top w:val="nil"/>
              <w:left w:val="nil"/>
              <w:bottom w:val="single" w:sz="4" w:space="0" w:color="auto"/>
              <w:right w:val="single" w:sz="4" w:space="0" w:color="auto"/>
            </w:tcBorders>
            <w:noWrap/>
            <w:vAlign w:val="bottom"/>
            <w:hideMark/>
          </w:tcPr>
          <w:p w14:paraId="2B2801E5" w14:textId="77777777" w:rsidR="005F5DC7" w:rsidRDefault="005F5DC7">
            <w:pPr>
              <w:jc w:val="both"/>
              <w:rPr>
                <w:color w:val="000000"/>
                <w:rFonts w:ascii="Arial" w:hAnsi="Arial" w:cs="Arial"/>
              </w:rPr>
            </w:pPr>
            <w:r>
              <w:rPr>
                <w:color w:val="000000"/>
                <w:rFonts w:ascii="Arial" w:hAnsi="Arial"/>
              </w:rPr>
              <w:t xml:space="preserve">337</w:t>
            </w:r>
          </w:p>
        </w:tc>
        <w:tc>
          <w:tcPr>
            <w:tcW w:w="2020" w:type="dxa"/>
            <w:noWrap/>
            <w:vAlign w:val="bottom"/>
            <w:hideMark/>
          </w:tcPr>
          <w:p w14:paraId="38DD8868" w14:textId="77777777" w:rsidR="005F5DC7" w:rsidRDefault="005F5DC7">
            <w:pPr>
              <w:rPr>
                <w:rFonts w:ascii="Arial" w:hAnsi="Arial" w:cs="Arial"/>
                <w:color w:val="000000"/>
              </w:rPr>
            </w:pPr>
          </w:p>
        </w:tc>
      </w:tr>
      <w:tr w:rsidR="005F5DC7" w14:paraId="24652EAE" w14:textId="77777777" w:rsidTr="005F5DC7">
        <w:trPr>
          <w:trHeight w:val="300"/>
          <w:jc w:val="center"/>
        </w:trPr>
        <w:tc>
          <w:tcPr>
            <w:tcW w:w="1180" w:type="dxa"/>
            <w:tcBorders>
              <w:top w:val="nil"/>
              <w:left w:val="single" w:sz="4" w:space="0" w:color="auto"/>
              <w:bottom w:val="single" w:sz="4" w:space="0" w:color="auto"/>
              <w:right w:val="single" w:sz="4" w:space="0" w:color="auto"/>
            </w:tcBorders>
            <w:noWrap/>
            <w:vAlign w:val="bottom"/>
            <w:hideMark/>
          </w:tcPr>
          <w:p w14:paraId="568A549B" w14:textId="77777777" w:rsidR="005F5DC7" w:rsidRDefault="005F5DC7">
            <w:pPr>
              <w:jc w:val="both"/>
              <w:rPr>
                <w:b/>
                <w:bCs/>
                <w:color w:val="000000"/>
                <w:sz w:val="22"/>
                <w:szCs w:val="22"/>
                <w:rFonts w:ascii="Arial" w:hAnsi="Arial" w:cs="Arial"/>
              </w:rPr>
            </w:pPr>
            <w:r>
              <w:rPr>
                <w:b/>
                <w:color w:val="000000"/>
                <w:rFonts w:ascii="Arial" w:hAnsi="Arial"/>
              </w:rPr>
              <w:t xml:space="preserve">2021-2022</w:t>
            </w:r>
          </w:p>
        </w:tc>
        <w:tc>
          <w:tcPr>
            <w:tcW w:w="1200" w:type="dxa"/>
            <w:tcBorders>
              <w:top w:val="nil"/>
              <w:left w:val="nil"/>
              <w:bottom w:val="single" w:sz="4" w:space="0" w:color="auto"/>
              <w:right w:val="single" w:sz="4" w:space="0" w:color="auto"/>
            </w:tcBorders>
            <w:noWrap/>
            <w:vAlign w:val="bottom"/>
            <w:hideMark/>
          </w:tcPr>
          <w:p w14:paraId="13DCB4C6" w14:textId="77777777" w:rsidR="005F5DC7" w:rsidRDefault="005F5DC7">
            <w:pPr>
              <w:jc w:val="both"/>
              <w:rPr>
                <w:color w:val="000000"/>
                <w:rFonts w:ascii="Arial" w:hAnsi="Arial" w:cs="Arial"/>
              </w:rPr>
            </w:pPr>
            <w:r>
              <w:rPr>
                <w:color w:val="000000"/>
                <w:rFonts w:ascii="Arial" w:hAnsi="Arial"/>
              </w:rPr>
              <w:t xml:space="preserve">516</w:t>
            </w:r>
          </w:p>
        </w:tc>
        <w:tc>
          <w:tcPr>
            <w:tcW w:w="1200" w:type="dxa"/>
            <w:tcBorders>
              <w:top w:val="nil"/>
              <w:left w:val="nil"/>
              <w:bottom w:val="single" w:sz="4" w:space="0" w:color="auto"/>
              <w:right w:val="single" w:sz="4" w:space="0" w:color="auto"/>
            </w:tcBorders>
            <w:noWrap/>
            <w:vAlign w:val="bottom"/>
            <w:hideMark/>
          </w:tcPr>
          <w:p w14:paraId="150FCA14" w14:textId="77777777" w:rsidR="005F5DC7" w:rsidRDefault="005F5DC7">
            <w:pPr>
              <w:jc w:val="both"/>
              <w:rPr>
                <w:color w:val="000000"/>
                <w:rFonts w:ascii="Arial" w:hAnsi="Arial" w:cs="Arial"/>
              </w:rPr>
            </w:pPr>
            <w:r>
              <w:rPr>
                <w:color w:val="000000"/>
                <w:rFonts w:ascii="Arial" w:hAnsi="Arial"/>
              </w:rPr>
              <w:t xml:space="preserve">132</w:t>
            </w:r>
          </w:p>
        </w:tc>
        <w:tc>
          <w:tcPr>
            <w:tcW w:w="1200" w:type="dxa"/>
            <w:tcBorders>
              <w:top w:val="nil"/>
              <w:left w:val="nil"/>
              <w:bottom w:val="single" w:sz="4" w:space="0" w:color="auto"/>
              <w:right w:val="single" w:sz="4" w:space="0" w:color="auto"/>
            </w:tcBorders>
            <w:noWrap/>
            <w:vAlign w:val="bottom"/>
            <w:hideMark/>
          </w:tcPr>
          <w:p w14:paraId="19C812F2" w14:textId="77777777" w:rsidR="005F5DC7" w:rsidRDefault="005F5DC7">
            <w:pPr>
              <w:jc w:val="both"/>
              <w:rPr>
                <w:color w:val="000000"/>
                <w:rFonts w:ascii="Arial" w:hAnsi="Arial" w:cs="Arial"/>
              </w:rPr>
            </w:pPr>
            <w:r>
              <w:rPr>
                <w:color w:val="000000"/>
                <w:rFonts w:ascii="Arial" w:hAnsi="Arial"/>
              </w:rPr>
              <w:t xml:space="preserve">648</w:t>
            </w:r>
          </w:p>
        </w:tc>
        <w:tc>
          <w:tcPr>
            <w:tcW w:w="2020" w:type="dxa"/>
            <w:tcBorders>
              <w:top w:val="single" w:sz="4" w:space="0" w:color="auto"/>
              <w:left w:val="nil"/>
              <w:bottom w:val="single" w:sz="4" w:space="0" w:color="auto"/>
              <w:right w:val="single" w:sz="4" w:space="0" w:color="auto"/>
            </w:tcBorders>
            <w:noWrap/>
            <w:vAlign w:val="bottom"/>
            <w:hideMark/>
          </w:tcPr>
          <w:p w14:paraId="2B8B91CD" w14:textId="77777777" w:rsidR="005F5DC7" w:rsidRDefault="005F5DC7">
            <w:pPr>
              <w:jc w:val="both"/>
              <w:rPr>
                <w:color w:val="000000"/>
                <w:rFonts w:ascii="Arial" w:hAnsi="Arial" w:cs="Arial"/>
              </w:rPr>
            </w:pPr>
            <w:r>
              <w:rPr>
                <w:color w:val="000000"/>
                <w:rFonts w:ascii="Arial" w:hAnsi="Arial"/>
              </w:rPr>
              <w:t xml:space="preserve">92,28</w:t>
            </w:r>
          </w:p>
        </w:tc>
      </w:tr>
      <w:tr w:rsidR="005F5DC7" w14:paraId="65B894C4" w14:textId="77777777" w:rsidTr="005F5DC7">
        <w:trPr>
          <w:trHeight w:val="300"/>
          <w:jc w:val="center"/>
        </w:trPr>
        <w:tc>
          <w:tcPr>
            <w:tcW w:w="1180" w:type="dxa"/>
            <w:tcBorders>
              <w:top w:val="nil"/>
              <w:left w:val="single" w:sz="4" w:space="0" w:color="auto"/>
              <w:bottom w:val="single" w:sz="4" w:space="0" w:color="auto"/>
              <w:right w:val="single" w:sz="4" w:space="0" w:color="auto"/>
            </w:tcBorders>
            <w:noWrap/>
            <w:vAlign w:val="bottom"/>
            <w:hideMark/>
          </w:tcPr>
          <w:p w14:paraId="58BC8E72" w14:textId="77777777" w:rsidR="005F5DC7" w:rsidRDefault="005F5DC7">
            <w:pPr>
              <w:jc w:val="both"/>
              <w:rPr>
                <w:b/>
                <w:bCs/>
                <w:color w:val="000000"/>
                <w:rFonts w:ascii="Arial" w:hAnsi="Arial" w:cs="Arial"/>
              </w:rPr>
            </w:pPr>
            <w:r>
              <w:rPr>
                <w:b/>
                <w:color w:val="000000"/>
                <w:rFonts w:ascii="Arial" w:hAnsi="Arial"/>
              </w:rPr>
              <w:t xml:space="preserve">2022-2023</w:t>
            </w:r>
          </w:p>
        </w:tc>
        <w:tc>
          <w:tcPr>
            <w:tcW w:w="1200" w:type="dxa"/>
            <w:tcBorders>
              <w:top w:val="nil"/>
              <w:left w:val="nil"/>
              <w:bottom w:val="single" w:sz="4" w:space="0" w:color="auto"/>
              <w:right w:val="single" w:sz="4" w:space="0" w:color="auto"/>
            </w:tcBorders>
            <w:noWrap/>
            <w:vAlign w:val="bottom"/>
            <w:hideMark/>
          </w:tcPr>
          <w:p w14:paraId="54B17EF5" w14:textId="77777777" w:rsidR="005F5DC7" w:rsidRDefault="005F5DC7">
            <w:pPr>
              <w:jc w:val="both"/>
              <w:rPr>
                <w:color w:val="000000"/>
                <w:rFonts w:ascii="Arial" w:hAnsi="Arial" w:cs="Arial"/>
              </w:rPr>
            </w:pPr>
            <w:r>
              <w:rPr>
                <w:color w:val="000000"/>
                <w:rFonts w:ascii="Arial" w:hAnsi="Arial"/>
              </w:rPr>
              <w:t xml:space="preserve">577</w:t>
            </w:r>
          </w:p>
        </w:tc>
        <w:tc>
          <w:tcPr>
            <w:tcW w:w="1200" w:type="dxa"/>
            <w:tcBorders>
              <w:top w:val="nil"/>
              <w:left w:val="nil"/>
              <w:bottom w:val="single" w:sz="4" w:space="0" w:color="auto"/>
              <w:right w:val="single" w:sz="4" w:space="0" w:color="auto"/>
            </w:tcBorders>
            <w:noWrap/>
            <w:vAlign w:val="bottom"/>
            <w:hideMark/>
          </w:tcPr>
          <w:p w14:paraId="38606B26" w14:textId="77777777" w:rsidR="005F5DC7" w:rsidRDefault="005F5DC7">
            <w:pPr>
              <w:jc w:val="both"/>
              <w:rPr>
                <w:color w:val="000000"/>
                <w:rFonts w:ascii="Arial" w:hAnsi="Arial" w:cs="Arial"/>
              </w:rPr>
            </w:pPr>
            <w:r>
              <w:rPr>
                <w:color w:val="000000"/>
                <w:rFonts w:ascii="Arial" w:hAnsi="Arial"/>
              </w:rPr>
              <w:t xml:space="preserve">152</w:t>
            </w:r>
          </w:p>
        </w:tc>
        <w:tc>
          <w:tcPr>
            <w:tcW w:w="1200" w:type="dxa"/>
            <w:tcBorders>
              <w:top w:val="nil"/>
              <w:left w:val="nil"/>
              <w:bottom w:val="single" w:sz="4" w:space="0" w:color="auto"/>
              <w:right w:val="single" w:sz="4" w:space="0" w:color="auto"/>
            </w:tcBorders>
            <w:noWrap/>
            <w:vAlign w:val="bottom"/>
            <w:hideMark/>
          </w:tcPr>
          <w:p w14:paraId="65FB6B17" w14:textId="77777777" w:rsidR="005F5DC7" w:rsidRDefault="005F5DC7">
            <w:pPr>
              <w:jc w:val="both"/>
              <w:rPr>
                <w:color w:val="000000"/>
                <w:rFonts w:ascii="Arial" w:hAnsi="Arial" w:cs="Arial"/>
              </w:rPr>
            </w:pPr>
            <w:r>
              <w:rPr>
                <w:color w:val="000000"/>
                <w:rFonts w:ascii="Arial" w:hAnsi="Arial"/>
              </w:rPr>
              <w:t xml:space="preserve">729</w:t>
            </w:r>
          </w:p>
        </w:tc>
        <w:tc>
          <w:tcPr>
            <w:tcW w:w="2020" w:type="dxa"/>
            <w:tcBorders>
              <w:top w:val="nil"/>
              <w:left w:val="nil"/>
              <w:bottom w:val="single" w:sz="4" w:space="0" w:color="auto"/>
              <w:right w:val="single" w:sz="4" w:space="0" w:color="auto"/>
            </w:tcBorders>
            <w:noWrap/>
            <w:vAlign w:val="bottom"/>
            <w:hideMark/>
          </w:tcPr>
          <w:p w14:paraId="79484CD6" w14:textId="77777777" w:rsidR="005F5DC7" w:rsidRDefault="005F5DC7">
            <w:pPr>
              <w:jc w:val="both"/>
              <w:rPr>
                <w:color w:val="000000"/>
                <w:rFonts w:ascii="Arial" w:hAnsi="Arial" w:cs="Arial"/>
              </w:rPr>
            </w:pPr>
            <w:r>
              <w:rPr>
                <w:color w:val="000000"/>
                <w:rFonts w:ascii="Arial" w:hAnsi="Arial"/>
              </w:rPr>
              <w:t xml:space="preserve">12,50</w:t>
            </w:r>
          </w:p>
        </w:tc>
      </w:tr>
      <w:tr w:rsidR="005F5DC7" w14:paraId="22B31409" w14:textId="77777777" w:rsidTr="005F5DC7">
        <w:trPr>
          <w:trHeight w:val="300"/>
          <w:jc w:val="center"/>
        </w:trPr>
        <w:tc>
          <w:tcPr>
            <w:tcW w:w="1180" w:type="dxa"/>
            <w:tcBorders>
              <w:top w:val="nil"/>
              <w:left w:val="single" w:sz="4" w:space="0" w:color="auto"/>
              <w:bottom w:val="single" w:sz="4" w:space="0" w:color="auto"/>
              <w:right w:val="single" w:sz="4" w:space="0" w:color="auto"/>
            </w:tcBorders>
            <w:noWrap/>
            <w:vAlign w:val="bottom"/>
            <w:hideMark/>
          </w:tcPr>
          <w:p w14:paraId="75301A1D" w14:textId="77777777" w:rsidR="005F5DC7" w:rsidRDefault="005F5DC7">
            <w:pPr>
              <w:jc w:val="both"/>
              <w:rPr>
                <w:b/>
                <w:bCs/>
                <w:color w:val="000000"/>
                <w:rFonts w:ascii="Arial" w:hAnsi="Arial" w:cs="Arial"/>
              </w:rPr>
            </w:pPr>
            <w:r>
              <w:rPr>
                <w:b/>
                <w:color w:val="000000"/>
                <w:rFonts w:ascii="Arial" w:hAnsi="Arial"/>
              </w:rPr>
              <w:t xml:space="preserve">2023-2024</w:t>
            </w:r>
          </w:p>
        </w:tc>
        <w:tc>
          <w:tcPr>
            <w:tcW w:w="1200" w:type="dxa"/>
            <w:tcBorders>
              <w:top w:val="nil"/>
              <w:left w:val="nil"/>
              <w:bottom w:val="single" w:sz="4" w:space="0" w:color="auto"/>
              <w:right w:val="single" w:sz="4" w:space="0" w:color="auto"/>
            </w:tcBorders>
            <w:noWrap/>
            <w:vAlign w:val="bottom"/>
            <w:hideMark/>
          </w:tcPr>
          <w:p w14:paraId="5166AE7D" w14:textId="77777777" w:rsidR="005F5DC7" w:rsidRDefault="005F5DC7">
            <w:pPr>
              <w:jc w:val="both"/>
              <w:rPr>
                <w:color w:val="000000"/>
                <w:rFonts w:ascii="Arial" w:hAnsi="Arial" w:cs="Arial"/>
              </w:rPr>
            </w:pPr>
            <w:r>
              <w:rPr>
                <w:color w:val="000000"/>
                <w:rFonts w:ascii="Arial" w:hAnsi="Arial"/>
              </w:rPr>
              <w:t xml:space="preserve">828</w:t>
            </w:r>
          </w:p>
        </w:tc>
        <w:tc>
          <w:tcPr>
            <w:tcW w:w="1200" w:type="dxa"/>
            <w:tcBorders>
              <w:top w:val="nil"/>
              <w:left w:val="nil"/>
              <w:bottom w:val="single" w:sz="4" w:space="0" w:color="auto"/>
              <w:right w:val="single" w:sz="4" w:space="0" w:color="auto"/>
            </w:tcBorders>
            <w:noWrap/>
            <w:vAlign w:val="bottom"/>
            <w:hideMark/>
          </w:tcPr>
          <w:p w14:paraId="6B40D73C" w14:textId="77777777" w:rsidR="005F5DC7" w:rsidRDefault="005F5DC7">
            <w:pPr>
              <w:jc w:val="both"/>
              <w:rPr>
                <w:color w:val="000000"/>
                <w:rFonts w:ascii="Arial" w:hAnsi="Arial" w:cs="Arial"/>
              </w:rPr>
            </w:pPr>
            <w:r>
              <w:rPr>
                <w:color w:val="000000"/>
                <w:rFonts w:ascii="Arial" w:hAnsi="Arial"/>
              </w:rPr>
              <w:t xml:space="preserve">208</w:t>
            </w:r>
          </w:p>
        </w:tc>
        <w:tc>
          <w:tcPr>
            <w:tcW w:w="1200" w:type="dxa"/>
            <w:tcBorders>
              <w:top w:val="nil"/>
              <w:left w:val="nil"/>
              <w:bottom w:val="single" w:sz="4" w:space="0" w:color="auto"/>
              <w:right w:val="single" w:sz="4" w:space="0" w:color="auto"/>
            </w:tcBorders>
            <w:noWrap/>
            <w:vAlign w:val="bottom"/>
            <w:hideMark/>
          </w:tcPr>
          <w:p w14:paraId="318E133B" w14:textId="77777777" w:rsidR="005F5DC7" w:rsidRDefault="005F5DC7">
            <w:pPr>
              <w:jc w:val="both"/>
              <w:rPr>
                <w:color w:val="000000"/>
                <w:rFonts w:ascii="Arial" w:hAnsi="Arial" w:cs="Arial"/>
              </w:rPr>
            </w:pPr>
            <w:r>
              <w:rPr>
                <w:color w:val="000000"/>
                <w:rFonts w:ascii="Arial" w:hAnsi="Arial"/>
              </w:rPr>
              <w:t xml:space="preserve">1036</w:t>
            </w:r>
          </w:p>
        </w:tc>
        <w:tc>
          <w:tcPr>
            <w:tcW w:w="2020" w:type="dxa"/>
            <w:tcBorders>
              <w:top w:val="nil"/>
              <w:left w:val="nil"/>
              <w:bottom w:val="single" w:sz="4" w:space="0" w:color="auto"/>
              <w:right w:val="single" w:sz="4" w:space="0" w:color="auto"/>
            </w:tcBorders>
            <w:noWrap/>
            <w:vAlign w:val="bottom"/>
            <w:hideMark/>
          </w:tcPr>
          <w:p w14:paraId="328490C8" w14:textId="77777777" w:rsidR="005F5DC7" w:rsidRDefault="005F5DC7">
            <w:pPr>
              <w:jc w:val="both"/>
              <w:rPr>
                <w:color w:val="000000"/>
                <w:rFonts w:ascii="Arial" w:hAnsi="Arial" w:cs="Arial"/>
              </w:rPr>
            </w:pPr>
            <w:r>
              <w:rPr>
                <w:color w:val="000000"/>
                <w:rFonts w:ascii="Arial" w:hAnsi="Arial"/>
              </w:rPr>
              <w:t xml:space="preserve">42,11</w:t>
            </w:r>
          </w:p>
        </w:tc>
      </w:tr>
      <w:tr w:rsidR="005F5DC7" w14:paraId="70AEB8E9" w14:textId="77777777" w:rsidTr="005F5DC7">
        <w:trPr>
          <w:trHeight w:val="300"/>
          <w:jc w:val="center"/>
        </w:trPr>
        <w:tc>
          <w:tcPr>
            <w:tcW w:w="1180" w:type="dxa"/>
            <w:tcBorders>
              <w:top w:val="nil"/>
              <w:left w:val="single" w:sz="4" w:space="0" w:color="auto"/>
              <w:bottom w:val="single" w:sz="4" w:space="0" w:color="auto"/>
              <w:right w:val="single" w:sz="4" w:space="0" w:color="auto"/>
            </w:tcBorders>
            <w:noWrap/>
            <w:vAlign w:val="bottom"/>
            <w:hideMark/>
          </w:tcPr>
          <w:p w14:paraId="4B146CC5" w14:textId="77777777" w:rsidR="005F5DC7" w:rsidRDefault="005F5DC7">
            <w:pPr>
              <w:jc w:val="both"/>
              <w:rPr>
                <w:b/>
                <w:bCs/>
                <w:color w:val="000000"/>
                <w:rFonts w:ascii="Arial" w:hAnsi="Arial" w:cs="Arial"/>
              </w:rPr>
            </w:pPr>
            <w:r>
              <w:rPr>
                <w:b/>
                <w:color w:val="000000"/>
                <w:rFonts w:ascii="Arial" w:hAnsi="Arial"/>
              </w:rPr>
              <w:t xml:space="preserve">2024-2025</w:t>
            </w:r>
          </w:p>
        </w:tc>
        <w:tc>
          <w:tcPr>
            <w:tcW w:w="1200" w:type="dxa"/>
            <w:tcBorders>
              <w:top w:val="nil"/>
              <w:left w:val="nil"/>
              <w:bottom w:val="single" w:sz="4" w:space="0" w:color="auto"/>
              <w:right w:val="single" w:sz="4" w:space="0" w:color="auto"/>
            </w:tcBorders>
            <w:noWrap/>
            <w:vAlign w:val="bottom"/>
            <w:hideMark/>
          </w:tcPr>
          <w:p w14:paraId="699D90B0" w14:textId="77777777" w:rsidR="005F5DC7" w:rsidRDefault="005F5DC7">
            <w:pPr>
              <w:jc w:val="both"/>
              <w:rPr>
                <w:color w:val="000000"/>
                <w:rFonts w:ascii="Arial" w:hAnsi="Arial" w:cs="Arial"/>
              </w:rPr>
            </w:pPr>
            <w:r>
              <w:rPr>
                <w:color w:val="000000"/>
                <w:rFonts w:ascii="Arial" w:hAnsi="Arial"/>
              </w:rPr>
              <w:t xml:space="preserve">646</w:t>
            </w:r>
          </w:p>
        </w:tc>
        <w:tc>
          <w:tcPr>
            <w:tcW w:w="1200" w:type="dxa"/>
            <w:tcBorders>
              <w:top w:val="nil"/>
              <w:left w:val="nil"/>
              <w:bottom w:val="single" w:sz="4" w:space="0" w:color="auto"/>
              <w:right w:val="single" w:sz="4" w:space="0" w:color="auto"/>
            </w:tcBorders>
            <w:noWrap/>
            <w:vAlign w:val="bottom"/>
            <w:hideMark/>
          </w:tcPr>
          <w:p w14:paraId="5CC4A8F2" w14:textId="77777777" w:rsidR="005F5DC7" w:rsidRDefault="005F5DC7">
            <w:pPr>
              <w:jc w:val="both"/>
              <w:rPr>
                <w:color w:val="000000"/>
                <w:rFonts w:ascii="Arial" w:hAnsi="Arial" w:cs="Arial"/>
              </w:rPr>
            </w:pPr>
            <w:r>
              <w:rPr>
                <w:color w:val="000000"/>
                <w:rFonts w:ascii="Arial" w:hAnsi="Arial"/>
              </w:rPr>
              <w:t xml:space="preserve">145</w:t>
            </w:r>
          </w:p>
        </w:tc>
        <w:tc>
          <w:tcPr>
            <w:tcW w:w="1200" w:type="dxa"/>
            <w:tcBorders>
              <w:top w:val="nil"/>
              <w:left w:val="nil"/>
              <w:bottom w:val="single" w:sz="4" w:space="0" w:color="auto"/>
              <w:right w:val="single" w:sz="4" w:space="0" w:color="auto"/>
            </w:tcBorders>
            <w:noWrap/>
            <w:vAlign w:val="bottom"/>
            <w:hideMark/>
          </w:tcPr>
          <w:p w14:paraId="7F923329" w14:textId="77777777" w:rsidR="005F5DC7" w:rsidRDefault="005F5DC7">
            <w:pPr>
              <w:jc w:val="both"/>
              <w:rPr>
                <w:color w:val="000000"/>
                <w:rFonts w:ascii="Arial" w:hAnsi="Arial" w:cs="Arial"/>
              </w:rPr>
            </w:pPr>
            <w:r>
              <w:rPr>
                <w:color w:val="000000"/>
                <w:rFonts w:ascii="Arial" w:hAnsi="Arial"/>
              </w:rPr>
              <w:t xml:space="preserve">791</w:t>
            </w:r>
          </w:p>
        </w:tc>
        <w:tc>
          <w:tcPr>
            <w:tcW w:w="2020" w:type="dxa"/>
            <w:tcBorders>
              <w:top w:val="nil"/>
              <w:left w:val="nil"/>
              <w:bottom w:val="single" w:sz="4" w:space="0" w:color="auto"/>
              <w:right w:val="single" w:sz="4" w:space="0" w:color="auto"/>
            </w:tcBorders>
            <w:noWrap/>
            <w:vAlign w:val="bottom"/>
            <w:hideMark/>
          </w:tcPr>
          <w:p w14:paraId="26C1B7A3" w14:textId="77777777" w:rsidR="005F5DC7" w:rsidRDefault="005F5DC7">
            <w:pPr>
              <w:jc w:val="both"/>
              <w:rPr>
                <w:color w:val="000000"/>
                <w:rFonts w:ascii="Arial" w:hAnsi="Arial" w:cs="Arial"/>
              </w:rPr>
            </w:pPr>
            <w:r>
              <w:rPr>
                <w:color w:val="000000"/>
                <w:rFonts w:ascii="Arial" w:hAnsi="Arial"/>
              </w:rPr>
              <w:t xml:space="preserve">-23,65</w:t>
            </w:r>
          </w:p>
        </w:tc>
      </w:tr>
      <w:tr w:rsidR="005F5DC7" w14:paraId="7F3E18F8" w14:textId="77777777" w:rsidTr="005F5DC7">
        <w:trPr>
          <w:trHeight w:val="300"/>
          <w:jc w:val="center"/>
        </w:trPr>
        <w:tc>
          <w:tcPr>
            <w:tcW w:w="1180" w:type="dxa"/>
            <w:tcBorders>
              <w:top w:val="nil"/>
              <w:left w:val="single" w:sz="4" w:space="0" w:color="auto"/>
              <w:bottom w:val="single" w:sz="4" w:space="0" w:color="auto"/>
              <w:right w:val="single" w:sz="4" w:space="0" w:color="auto"/>
            </w:tcBorders>
            <w:noWrap/>
            <w:vAlign w:val="bottom"/>
            <w:hideMark/>
          </w:tcPr>
          <w:p w14:paraId="79F8B488" w14:textId="77777777" w:rsidR="005F5DC7" w:rsidRDefault="005F5DC7">
            <w:pPr>
              <w:jc w:val="both"/>
              <w:rPr>
                <w:b/>
                <w:bCs/>
                <w:color w:val="000000"/>
                <w:rFonts w:ascii="Arial" w:hAnsi="Arial" w:cs="Arial"/>
              </w:rPr>
            </w:pPr>
            <w:r>
              <w:rPr>
                <w:b/>
                <w:color w:val="000000"/>
                <w:rFonts w:ascii="Arial" w:hAnsi="Arial"/>
              </w:rPr>
              <w:t xml:space="preserve">2025-2026</w:t>
            </w:r>
          </w:p>
        </w:tc>
        <w:tc>
          <w:tcPr>
            <w:tcW w:w="1200" w:type="dxa"/>
            <w:tcBorders>
              <w:top w:val="nil"/>
              <w:left w:val="nil"/>
              <w:bottom w:val="single" w:sz="4" w:space="0" w:color="auto"/>
              <w:right w:val="single" w:sz="4" w:space="0" w:color="auto"/>
            </w:tcBorders>
            <w:noWrap/>
            <w:vAlign w:val="bottom"/>
            <w:hideMark/>
          </w:tcPr>
          <w:p w14:paraId="5532C934" w14:textId="77777777" w:rsidR="005F5DC7" w:rsidRDefault="005F5DC7">
            <w:pPr>
              <w:jc w:val="both"/>
              <w:rPr>
                <w:color w:val="000000"/>
                <w:rFonts w:ascii="Arial" w:hAnsi="Arial" w:cs="Arial"/>
              </w:rPr>
            </w:pPr>
            <w:r>
              <w:rPr>
                <w:color w:val="000000"/>
                <w:rFonts w:ascii="Arial" w:hAnsi="Arial"/>
              </w:rPr>
              <w:t xml:space="preserve">462</w:t>
            </w:r>
          </w:p>
        </w:tc>
        <w:tc>
          <w:tcPr>
            <w:tcW w:w="1200" w:type="dxa"/>
            <w:tcBorders>
              <w:top w:val="nil"/>
              <w:left w:val="nil"/>
              <w:bottom w:val="single" w:sz="4" w:space="0" w:color="auto"/>
              <w:right w:val="single" w:sz="4" w:space="0" w:color="auto"/>
            </w:tcBorders>
            <w:noWrap/>
            <w:vAlign w:val="bottom"/>
            <w:hideMark/>
          </w:tcPr>
          <w:p w14:paraId="185DBD37" w14:textId="77777777" w:rsidR="005F5DC7" w:rsidRDefault="005F5DC7">
            <w:pPr>
              <w:jc w:val="both"/>
              <w:rPr>
                <w:color w:val="000000"/>
                <w:rFonts w:ascii="Arial" w:hAnsi="Arial" w:cs="Arial"/>
              </w:rPr>
            </w:pPr>
            <w:r>
              <w:rPr>
                <w:color w:val="000000"/>
                <w:rFonts w:ascii="Arial" w:hAnsi="Arial"/>
              </w:rPr>
              <w:t xml:space="preserve">105</w:t>
            </w:r>
          </w:p>
        </w:tc>
        <w:tc>
          <w:tcPr>
            <w:tcW w:w="1200" w:type="dxa"/>
            <w:tcBorders>
              <w:top w:val="nil"/>
              <w:left w:val="nil"/>
              <w:bottom w:val="single" w:sz="4" w:space="0" w:color="auto"/>
              <w:right w:val="single" w:sz="4" w:space="0" w:color="auto"/>
            </w:tcBorders>
            <w:noWrap/>
            <w:vAlign w:val="bottom"/>
            <w:hideMark/>
          </w:tcPr>
          <w:p w14:paraId="5F309AFB" w14:textId="77777777" w:rsidR="005F5DC7" w:rsidRDefault="005F5DC7">
            <w:pPr>
              <w:jc w:val="both"/>
              <w:rPr>
                <w:color w:val="000000"/>
                <w:rFonts w:ascii="Arial" w:hAnsi="Arial" w:cs="Arial"/>
              </w:rPr>
            </w:pPr>
            <w:r>
              <w:rPr>
                <w:color w:val="000000"/>
                <w:rFonts w:ascii="Arial" w:hAnsi="Arial"/>
              </w:rPr>
              <w:t xml:space="preserve">567</w:t>
            </w:r>
          </w:p>
        </w:tc>
        <w:tc>
          <w:tcPr>
            <w:tcW w:w="2020" w:type="dxa"/>
            <w:tcBorders>
              <w:top w:val="nil"/>
              <w:left w:val="nil"/>
              <w:bottom w:val="single" w:sz="4" w:space="0" w:color="auto"/>
              <w:right w:val="single" w:sz="4" w:space="0" w:color="auto"/>
            </w:tcBorders>
            <w:noWrap/>
            <w:vAlign w:val="bottom"/>
            <w:hideMark/>
          </w:tcPr>
          <w:p w14:paraId="66B66B45" w14:textId="77777777" w:rsidR="005F5DC7" w:rsidRDefault="005F5DC7">
            <w:pPr>
              <w:jc w:val="both"/>
              <w:rPr>
                <w:color w:val="000000"/>
                <w:rFonts w:ascii="Arial" w:hAnsi="Arial" w:cs="Arial"/>
              </w:rPr>
            </w:pPr>
            <w:r>
              <w:rPr>
                <w:color w:val="000000"/>
                <w:rFonts w:ascii="Arial" w:hAnsi="Arial"/>
              </w:rPr>
              <w:t xml:space="preserve">datuak 2026ko otsailekoak</w:t>
            </w:r>
          </w:p>
        </w:tc>
      </w:tr>
      <w:tr w:rsidR="005F5DC7" w14:paraId="5CC6BFF5" w14:textId="77777777" w:rsidTr="005F5DC7">
        <w:trPr>
          <w:trHeight w:val="300"/>
          <w:jc w:val="center"/>
        </w:trPr>
        <w:tc>
          <w:tcPr>
            <w:tcW w:w="1180" w:type="dxa"/>
            <w:tcBorders>
              <w:top w:val="nil"/>
              <w:left w:val="single" w:sz="4" w:space="0" w:color="auto"/>
              <w:bottom w:val="single" w:sz="4" w:space="0" w:color="auto"/>
              <w:right w:val="single" w:sz="4" w:space="0" w:color="auto"/>
            </w:tcBorders>
            <w:noWrap/>
            <w:vAlign w:val="bottom"/>
            <w:hideMark/>
          </w:tcPr>
          <w:p w14:paraId="0C50D94F" w14:textId="77777777" w:rsidR="005F5DC7" w:rsidRDefault="005F5DC7">
            <w:pPr>
              <w:jc w:val="both"/>
              <w:rPr>
                <w:b/>
                <w:bCs/>
                <w:color w:val="000000"/>
                <w:rFonts w:ascii="Arial" w:hAnsi="Arial" w:cs="Arial"/>
              </w:rPr>
            </w:pPr>
            <w:r>
              <w:rPr>
                <w:b/>
                <w:color w:val="000000"/>
                <w:rFonts w:ascii="Arial" w:hAnsi="Arial"/>
              </w:rPr>
              <w:t xml:space="preserve">Guztira</w:t>
            </w:r>
          </w:p>
        </w:tc>
        <w:tc>
          <w:tcPr>
            <w:tcW w:w="1200" w:type="dxa"/>
            <w:tcBorders>
              <w:top w:val="nil"/>
              <w:left w:val="nil"/>
              <w:bottom w:val="single" w:sz="4" w:space="0" w:color="auto"/>
              <w:right w:val="single" w:sz="4" w:space="0" w:color="auto"/>
            </w:tcBorders>
            <w:noWrap/>
            <w:vAlign w:val="bottom"/>
            <w:hideMark/>
          </w:tcPr>
          <w:p w14:paraId="14AD5EE1" w14:textId="77777777" w:rsidR="005F5DC7" w:rsidRDefault="005F5DC7">
            <w:pPr>
              <w:jc w:val="both"/>
              <w:rPr>
                <w:color w:val="000000"/>
                <w:rFonts w:ascii="Arial" w:hAnsi="Arial" w:cs="Arial"/>
              </w:rPr>
            </w:pPr>
            <w:r>
              <w:rPr>
                <w:color w:val="000000"/>
                <w:rFonts w:ascii="Arial" w:hAnsi="Arial"/>
              </w:rPr>
              <w:t xml:space="preserve">3290</w:t>
            </w:r>
          </w:p>
        </w:tc>
        <w:tc>
          <w:tcPr>
            <w:tcW w:w="1200" w:type="dxa"/>
            <w:tcBorders>
              <w:top w:val="nil"/>
              <w:left w:val="nil"/>
              <w:bottom w:val="single" w:sz="4" w:space="0" w:color="auto"/>
              <w:right w:val="single" w:sz="4" w:space="0" w:color="auto"/>
            </w:tcBorders>
            <w:noWrap/>
            <w:vAlign w:val="bottom"/>
            <w:hideMark/>
          </w:tcPr>
          <w:p w14:paraId="5A1D9389" w14:textId="77777777" w:rsidR="005F5DC7" w:rsidRDefault="005F5DC7">
            <w:pPr>
              <w:jc w:val="both"/>
              <w:rPr>
                <w:color w:val="000000"/>
                <w:rFonts w:ascii="Arial" w:hAnsi="Arial" w:cs="Arial"/>
              </w:rPr>
            </w:pPr>
            <w:r>
              <w:rPr>
                <w:color w:val="000000"/>
                <w:rFonts w:ascii="Arial" w:hAnsi="Arial"/>
              </w:rPr>
              <w:t xml:space="preserve">818</w:t>
            </w:r>
          </w:p>
        </w:tc>
        <w:tc>
          <w:tcPr>
            <w:tcW w:w="1200" w:type="dxa"/>
            <w:tcBorders>
              <w:top w:val="nil"/>
              <w:left w:val="nil"/>
              <w:bottom w:val="single" w:sz="4" w:space="0" w:color="auto"/>
              <w:right w:val="single" w:sz="4" w:space="0" w:color="auto"/>
            </w:tcBorders>
            <w:noWrap/>
            <w:vAlign w:val="bottom"/>
            <w:hideMark/>
          </w:tcPr>
          <w:p w14:paraId="3BB1D8A5" w14:textId="77777777" w:rsidR="005F5DC7" w:rsidRDefault="005F5DC7">
            <w:pPr>
              <w:jc w:val="both"/>
              <w:rPr>
                <w:color w:val="000000"/>
                <w:rFonts w:ascii="Arial" w:hAnsi="Arial" w:cs="Arial"/>
              </w:rPr>
            </w:pPr>
            <w:r>
              <w:rPr>
                <w:color w:val="000000"/>
                <w:rFonts w:ascii="Arial" w:hAnsi="Arial"/>
              </w:rPr>
              <w:t xml:space="preserve">4108</w:t>
            </w:r>
          </w:p>
        </w:tc>
        <w:tc>
          <w:tcPr>
            <w:tcW w:w="2020" w:type="dxa"/>
            <w:noWrap/>
            <w:vAlign w:val="bottom"/>
            <w:hideMark/>
          </w:tcPr>
          <w:p w14:paraId="30D0FEAB" w14:textId="77777777" w:rsidR="005F5DC7" w:rsidRDefault="005F5DC7">
            <w:pPr>
              <w:rPr>
                <w:rFonts w:ascii="Arial" w:hAnsi="Arial" w:cs="Arial"/>
                <w:color w:val="000000"/>
              </w:rPr>
            </w:pPr>
          </w:p>
        </w:tc>
      </w:tr>
    </w:tbl>
    <w:p w14:paraId="4FBF120A" w14:textId="77777777" w:rsidR="005F5DC7" w:rsidRDefault="005F5DC7" w:rsidP="005F5DC7">
      <w:pPr>
        <w:jc w:val="both"/>
        <w:rPr>
          <w:rFonts w:ascii="Arial" w:hAnsi="Arial" w:cs="Arial"/>
          <w:b/>
          <w:sz w:val="24"/>
          <w:szCs w:val="24"/>
          <w:lang w:val="es-ES_tradnl" w:eastAsia="en-US"/>
        </w:rPr>
      </w:pPr>
    </w:p>
    <w:p w14:paraId="7A01A744" w14:textId="7D280F1D" w:rsidR="001274DD" w:rsidRPr="00C7737D" w:rsidRDefault="00E01A8C" w:rsidP="00C7737D">
      <w:pPr>
        <w:spacing w:after="200" w:line="312" w:lineRule="auto"/>
        <w:rPr>
          <w:sz w:val="22"/>
          <w:szCs w:val="22"/>
          <w:rFonts w:asciiTheme="minorHAnsi" w:hAnsiTheme="minorHAnsi" w:cstheme="minorHAnsi"/>
        </w:rPr>
      </w:pPr>
      <w:r>
        <w:rPr>
          <w:sz w:val="22"/>
          <w:rFonts w:asciiTheme="minorHAnsi" w:hAnsiTheme="minorHAnsi"/>
        </w:rPr>
        <w:t xml:space="preserve">Iruñean, 2026ko maiatzaren 27an</w:t>
      </w:r>
    </w:p>
    <w:p w14:paraId="1C85EC50" w14:textId="35EBBF1F" w:rsidR="006D0219" w:rsidRPr="00C7737D" w:rsidRDefault="00C7737D" w:rsidP="00C7737D">
      <w:pPr>
        <w:spacing w:after="200" w:line="312" w:lineRule="auto"/>
        <w:rPr>
          <w:sz w:val="18"/>
          <w:szCs w:val="18"/>
          <w:rFonts w:asciiTheme="minorHAnsi" w:hAnsiTheme="minorHAnsi" w:cstheme="minorHAnsi"/>
        </w:rPr>
      </w:pPr>
      <w:r>
        <w:rPr>
          <w:sz w:val="22"/>
          <w:rFonts w:asciiTheme="minorHAnsi" w:hAnsiTheme="minorHAnsi"/>
        </w:rPr>
        <w:t xml:space="preserve">Hezkuntzako kontseilaria: Carlos Gimeno Gurpegui.</w:t>
      </w:r>
    </w:p>
    <w:sectPr w:rsidR="006D0219" w:rsidRPr="00C7737D" w:rsidSect="00C7737D">
      <w:headerReference w:type="default" r:id="rId8"/>
      <w:footerReference w:type="default" r:id="rId9"/>
      <w:headerReference w:type="first" r:id="rId10"/>
      <w:footerReference w:type="first" r:id="rId11"/>
      <w:pgSz w:w="11906" w:h="16838" w:code="9"/>
      <w:pgMar w:top="1843" w:right="1418" w:bottom="1418" w:left="1418" w:header="851" w:footer="709" w:gutter="0"/>
      <w:paperSrc w:first="1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0C18B8" w14:textId="77777777" w:rsidR="006D0219" w:rsidRDefault="006D0219">
      <w:r>
        <w:separator/>
      </w:r>
    </w:p>
  </w:endnote>
  <w:endnote w:type="continuationSeparator" w:id="0">
    <w:p w14:paraId="71623939" w14:textId="77777777" w:rsidR="006D0219" w:rsidRDefault="006D02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altName w:val="Courier New"/>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0AF66" w14:textId="1BFAA761" w:rsidR="006D0219" w:rsidRPr="00A2145B" w:rsidRDefault="006D0219" w:rsidP="00A2145B">
    <w:pPr>
      <w:pStyle w:val="Piedepgina"/>
      <w:jc w:val="right"/>
      <w:rPr>
        <w:rFonts w:ascii="Courier New" w:hAnsi="Courier New" w:cs="Courier New"/>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7BA0D" w14:textId="585463C4" w:rsidR="006D0219" w:rsidRPr="00A2145B" w:rsidRDefault="006D0219" w:rsidP="00A2145B">
    <w:pPr>
      <w:pStyle w:val="Piedepgina"/>
      <w:jc w:val="right"/>
      <w:rPr>
        <w:rFonts w:ascii="Courier New" w:hAnsi="Courier New" w:cs="Courier New"/>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9ADA6A" w14:textId="77777777" w:rsidR="006D0219" w:rsidRDefault="006D0219">
      <w:r>
        <w:separator/>
      </w:r>
    </w:p>
  </w:footnote>
  <w:footnote w:type="continuationSeparator" w:id="0">
    <w:p w14:paraId="41B75578" w14:textId="77777777" w:rsidR="006D0219" w:rsidRDefault="006D02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8C6B5" w14:textId="425041D7" w:rsidR="006D0219" w:rsidRPr="007250F0" w:rsidRDefault="006D0219" w:rsidP="00B17CCC">
    <w:pPr>
      <w:pStyle w:val="Encabezado"/>
      <w:tabs>
        <w:tab w:val="clear" w:pos="4252"/>
        <w:tab w:val="clear" w:pos="8504"/>
        <w:tab w:val="left" w:pos="7860"/>
        <w:tab w:val="right" w:pos="907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79F85" w14:textId="3226A546" w:rsidR="006D0219" w:rsidRDefault="006D0219" w:rsidP="00696F6F">
    <w:pPr>
      <w:pStyle w:val="Encabezado"/>
      <w:ind w:left="-76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FC21BA"/>
    <w:multiLevelType w:val="hybridMultilevel"/>
    <w:tmpl w:val="67E8976A"/>
    <w:lvl w:ilvl="0" w:tplc="DE5AB8A0">
      <w:start w:val="3"/>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4F11792"/>
    <w:multiLevelType w:val="hybridMultilevel"/>
    <w:tmpl w:val="3CF01594"/>
    <w:lvl w:ilvl="0" w:tplc="0C0A000F">
      <w:start w:val="3"/>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5547866"/>
    <w:multiLevelType w:val="hybridMultilevel"/>
    <w:tmpl w:val="8A8C99D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74571FD"/>
    <w:multiLevelType w:val="hybridMultilevel"/>
    <w:tmpl w:val="D15C3F4E"/>
    <w:lvl w:ilvl="0" w:tplc="0C0A0017">
      <w:start w:val="4"/>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E70533D"/>
    <w:multiLevelType w:val="hybridMultilevel"/>
    <w:tmpl w:val="2BA8198A"/>
    <w:lvl w:ilvl="0" w:tplc="B8F66646">
      <w:start w:val="1"/>
      <w:numFmt w:val="decimal"/>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5" w15:restartNumberingAfterBreak="0">
    <w:nsid w:val="1F1D5E4B"/>
    <w:multiLevelType w:val="hybridMultilevel"/>
    <w:tmpl w:val="0D360E4E"/>
    <w:lvl w:ilvl="0" w:tplc="0C0A000F">
      <w:start w:val="3"/>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7FF0ECB"/>
    <w:multiLevelType w:val="hybridMultilevel"/>
    <w:tmpl w:val="5AD88C6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E9F3EA1"/>
    <w:multiLevelType w:val="hybridMultilevel"/>
    <w:tmpl w:val="76924F60"/>
    <w:lvl w:ilvl="0" w:tplc="A496B244">
      <w:start w:val="3"/>
      <w:numFmt w:val="bullet"/>
      <w:lvlText w:val="-"/>
      <w:lvlJc w:val="left"/>
      <w:pPr>
        <w:ind w:left="1069" w:hanging="360"/>
      </w:pPr>
      <w:rPr>
        <w:rFonts w:ascii="Arial" w:eastAsia="Cambria" w:hAnsi="Arial" w:cs="Arial"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8" w15:restartNumberingAfterBreak="0">
    <w:nsid w:val="40DF6860"/>
    <w:multiLevelType w:val="hybridMultilevel"/>
    <w:tmpl w:val="FFDEA868"/>
    <w:lvl w:ilvl="0" w:tplc="0C0A000F">
      <w:start w:val="1"/>
      <w:numFmt w:val="decimal"/>
      <w:lvlText w:val="%1."/>
      <w:lvlJc w:val="left"/>
      <w:pPr>
        <w:ind w:left="720" w:hanging="360"/>
      </w:pPr>
      <w:rPr>
        <w:rFonts w:cs="Times New Roman"/>
      </w:rPr>
    </w:lvl>
    <w:lvl w:ilvl="1" w:tplc="0C0A0019">
      <w:start w:val="1"/>
      <w:numFmt w:val="lowerLetter"/>
      <w:lvlText w:val="%2."/>
      <w:lvlJc w:val="left"/>
      <w:pPr>
        <w:ind w:left="1440" w:hanging="360"/>
      </w:pPr>
      <w:rPr>
        <w:rFonts w:cs="Times New Roman"/>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9" w15:restartNumberingAfterBreak="0">
    <w:nsid w:val="4F8F60B1"/>
    <w:multiLevelType w:val="hybridMultilevel"/>
    <w:tmpl w:val="7E0AEA24"/>
    <w:lvl w:ilvl="0" w:tplc="0C0A000F">
      <w:start w:val="1"/>
      <w:numFmt w:val="decimal"/>
      <w:lvlText w:val="%1."/>
      <w:lvlJc w:val="left"/>
      <w:pPr>
        <w:ind w:left="720" w:hanging="360"/>
      </w:pPr>
      <w:rPr>
        <w:rFonts w:cs="Times New Roman"/>
      </w:rPr>
    </w:lvl>
    <w:lvl w:ilvl="1" w:tplc="0C0A0019">
      <w:start w:val="1"/>
      <w:numFmt w:val="lowerLetter"/>
      <w:lvlText w:val="%2."/>
      <w:lvlJc w:val="left"/>
      <w:pPr>
        <w:ind w:left="1440" w:hanging="360"/>
      </w:pPr>
      <w:rPr>
        <w:rFonts w:cs="Times New Roman"/>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10" w15:restartNumberingAfterBreak="0">
    <w:nsid w:val="4FB17A02"/>
    <w:multiLevelType w:val="hybridMultilevel"/>
    <w:tmpl w:val="B93A5C7C"/>
    <w:lvl w:ilvl="0" w:tplc="0C0A0001">
      <w:start w:val="1"/>
      <w:numFmt w:val="bullet"/>
      <w:lvlText w:val=""/>
      <w:lvlJc w:val="left"/>
      <w:pPr>
        <w:ind w:left="1428" w:hanging="360"/>
      </w:pPr>
      <w:rPr>
        <w:rFonts w:ascii="Symbol" w:hAnsi="Symbol" w:hint="default"/>
      </w:rPr>
    </w:lvl>
    <w:lvl w:ilvl="1" w:tplc="0C0A0003">
      <w:start w:val="1"/>
      <w:numFmt w:val="bullet"/>
      <w:lvlText w:val="o"/>
      <w:lvlJc w:val="left"/>
      <w:pPr>
        <w:ind w:left="2148" w:hanging="360"/>
      </w:pPr>
      <w:rPr>
        <w:rFonts w:ascii="Courier New" w:hAnsi="Courier New" w:cs="Times New Roman" w:hint="default"/>
      </w:rPr>
    </w:lvl>
    <w:lvl w:ilvl="2" w:tplc="0C0A0005">
      <w:start w:val="1"/>
      <w:numFmt w:val="bullet"/>
      <w:lvlText w:val=""/>
      <w:lvlJc w:val="left"/>
      <w:pPr>
        <w:ind w:left="2868" w:hanging="360"/>
      </w:pPr>
      <w:rPr>
        <w:rFonts w:ascii="Wingdings" w:hAnsi="Wingdings" w:hint="default"/>
      </w:rPr>
    </w:lvl>
    <w:lvl w:ilvl="3" w:tplc="0C0A0001">
      <w:start w:val="1"/>
      <w:numFmt w:val="bullet"/>
      <w:lvlText w:val=""/>
      <w:lvlJc w:val="left"/>
      <w:pPr>
        <w:ind w:left="3588" w:hanging="360"/>
      </w:pPr>
      <w:rPr>
        <w:rFonts w:ascii="Symbol" w:hAnsi="Symbol" w:hint="default"/>
      </w:rPr>
    </w:lvl>
    <w:lvl w:ilvl="4" w:tplc="0C0A0003">
      <w:start w:val="1"/>
      <w:numFmt w:val="bullet"/>
      <w:lvlText w:val="o"/>
      <w:lvlJc w:val="left"/>
      <w:pPr>
        <w:ind w:left="4308" w:hanging="360"/>
      </w:pPr>
      <w:rPr>
        <w:rFonts w:ascii="Courier New" w:hAnsi="Courier New" w:cs="Times New Roman" w:hint="default"/>
      </w:rPr>
    </w:lvl>
    <w:lvl w:ilvl="5" w:tplc="0C0A0005">
      <w:start w:val="1"/>
      <w:numFmt w:val="bullet"/>
      <w:lvlText w:val=""/>
      <w:lvlJc w:val="left"/>
      <w:pPr>
        <w:ind w:left="5028" w:hanging="360"/>
      </w:pPr>
      <w:rPr>
        <w:rFonts w:ascii="Wingdings" w:hAnsi="Wingdings" w:hint="default"/>
      </w:rPr>
    </w:lvl>
    <w:lvl w:ilvl="6" w:tplc="0C0A0001">
      <w:start w:val="1"/>
      <w:numFmt w:val="bullet"/>
      <w:lvlText w:val=""/>
      <w:lvlJc w:val="left"/>
      <w:pPr>
        <w:ind w:left="5748" w:hanging="360"/>
      </w:pPr>
      <w:rPr>
        <w:rFonts w:ascii="Symbol" w:hAnsi="Symbol" w:hint="default"/>
      </w:rPr>
    </w:lvl>
    <w:lvl w:ilvl="7" w:tplc="0C0A0003">
      <w:start w:val="1"/>
      <w:numFmt w:val="bullet"/>
      <w:lvlText w:val="o"/>
      <w:lvlJc w:val="left"/>
      <w:pPr>
        <w:ind w:left="6468" w:hanging="360"/>
      </w:pPr>
      <w:rPr>
        <w:rFonts w:ascii="Courier New" w:hAnsi="Courier New" w:cs="Times New Roman" w:hint="default"/>
      </w:rPr>
    </w:lvl>
    <w:lvl w:ilvl="8" w:tplc="0C0A0005">
      <w:start w:val="1"/>
      <w:numFmt w:val="bullet"/>
      <w:lvlText w:val=""/>
      <w:lvlJc w:val="left"/>
      <w:pPr>
        <w:ind w:left="7188" w:hanging="360"/>
      </w:pPr>
      <w:rPr>
        <w:rFonts w:ascii="Wingdings" w:hAnsi="Wingdings" w:hint="default"/>
      </w:rPr>
    </w:lvl>
  </w:abstractNum>
  <w:abstractNum w:abstractNumId="11" w15:restartNumberingAfterBreak="0">
    <w:nsid w:val="52653FE0"/>
    <w:multiLevelType w:val="hybridMultilevel"/>
    <w:tmpl w:val="BE4AA530"/>
    <w:lvl w:ilvl="0" w:tplc="7D7EF000">
      <w:start w:val="3"/>
      <w:numFmt w:val="bullet"/>
      <w:lvlText w:val="-"/>
      <w:lvlJc w:val="left"/>
      <w:pPr>
        <w:ind w:left="1065" w:hanging="360"/>
      </w:pPr>
      <w:rPr>
        <w:rFonts w:ascii="Calibri" w:eastAsiaTheme="minorHAnsi" w:hAnsi="Calibri" w:cs="Calibri" w:hint="default"/>
      </w:rPr>
    </w:lvl>
    <w:lvl w:ilvl="1" w:tplc="0C0A0003" w:tentative="1">
      <w:start w:val="1"/>
      <w:numFmt w:val="bullet"/>
      <w:lvlText w:val="o"/>
      <w:lvlJc w:val="left"/>
      <w:pPr>
        <w:ind w:left="1785" w:hanging="360"/>
      </w:pPr>
      <w:rPr>
        <w:rFonts w:ascii="Courier New" w:hAnsi="Courier New" w:cs="Courier New" w:hint="default"/>
      </w:rPr>
    </w:lvl>
    <w:lvl w:ilvl="2" w:tplc="0C0A0005" w:tentative="1">
      <w:start w:val="1"/>
      <w:numFmt w:val="bullet"/>
      <w:lvlText w:val=""/>
      <w:lvlJc w:val="left"/>
      <w:pPr>
        <w:ind w:left="2505" w:hanging="360"/>
      </w:pPr>
      <w:rPr>
        <w:rFonts w:ascii="Wingdings" w:hAnsi="Wingdings" w:hint="default"/>
      </w:rPr>
    </w:lvl>
    <w:lvl w:ilvl="3" w:tplc="0C0A0001" w:tentative="1">
      <w:start w:val="1"/>
      <w:numFmt w:val="bullet"/>
      <w:lvlText w:val=""/>
      <w:lvlJc w:val="left"/>
      <w:pPr>
        <w:ind w:left="3225" w:hanging="360"/>
      </w:pPr>
      <w:rPr>
        <w:rFonts w:ascii="Symbol" w:hAnsi="Symbol" w:hint="default"/>
      </w:rPr>
    </w:lvl>
    <w:lvl w:ilvl="4" w:tplc="0C0A0003" w:tentative="1">
      <w:start w:val="1"/>
      <w:numFmt w:val="bullet"/>
      <w:lvlText w:val="o"/>
      <w:lvlJc w:val="left"/>
      <w:pPr>
        <w:ind w:left="3945" w:hanging="360"/>
      </w:pPr>
      <w:rPr>
        <w:rFonts w:ascii="Courier New" w:hAnsi="Courier New" w:cs="Courier New" w:hint="default"/>
      </w:rPr>
    </w:lvl>
    <w:lvl w:ilvl="5" w:tplc="0C0A0005" w:tentative="1">
      <w:start w:val="1"/>
      <w:numFmt w:val="bullet"/>
      <w:lvlText w:val=""/>
      <w:lvlJc w:val="left"/>
      <w:pPr>
        <w:ind w:left="4665" w:hanging="360"/>
      </w:pPr>
      <w:rPr>
        <w:rFonts w:ascii="Wingdings" w:hAnsi="Wingdings" w:hint="default"/>
      </w:rPr>
    </w:lvl>
    <w:lvl w:ilvl="6" w:tplc="0C0A0001" w:tentative="1">
      <w:start w:val="1"/>
      <w:numFmt w:val="bullet"/>
      <w:lvlText w:val=""/>
      <w:lvlJc w:val="left"/>
      <w:pPr>
        <w:ind w:left="5385" w:hanging="360"/>
      </w:pPr>
      <w:rPr>
        <w:rFonts w:ascii="Symbol" w:hAnsi="Symbol" w:hint="default"/>
      </w:rPr>
    </w:lvl>
    <w:lvl w:ilvl="7" w:tplc="0C0A0003" w:tentative="1">
      <w:start w:val="1"/>
      <w:numFmt w:val="bullet"/>
      <w:lvlText w:val="o"/>
      <w:lvlJc w:val="left"/>
      <w:pPr>
        <w:ind w:left="6105" w:hanging="360"/>
      </w:pPr>
      <w:rPr>
        <w:rFonts w:ascii="Courier New" w:hAnsi="Courier New" w:cs="Courier New" w:hint="default"/>
      </w:rPr>
    </w:lvl>
    <w:lvl w:ilvl="8" w:tplc="0C0A0005" w:tentative="1">
      <w:start w:val="1"/>
      <w:numFmt w:val="bullet"/>
      <w:lvlText w:val=""/>
      <w:lvlJc w:val="left"/>
      <w:pPr>
        <w:ind w:left="6825" w:hanging="360"/>
      </w:pPr>
      <w:rPr>
        <w:rFonts w:ascii="Wingdings" w:hAnsi="Wingdings" w:hint="default"/>
      </w:rPr>
    </w:lvl>
  </w:abstractNum>
  <w:abstractNum w:abstractNumId="12" w15:restartNumberingAfterBreak="0">
    <w:nsid w:val="713C5E9A"/>
    <w:multiLevelType w:val="hybridMultilevel"/>
    <w:tmpl w:val="646047C4"/>
    <w:lvl w:ilvl="0" w:tplc="447487E2">
      <w:start w:val="4"/>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6"/>
  </w:num>
  <w:num w:numId="6">
    <w:abstractNumId w:val="11"/>
  </w:num>
  <w:num w:numId="7">
    <w:abstractNumId w:val="12"/>
  </w:num>
  <w:num w:numId="8">
    <w:abstractNumId w:val="3"/>
  </w:num>
  <w:num w:numId="9">
    <w:abstractNumId w:val="4"/>
  </w:num>
  <w:num w:numId="10">
    <w:abstractNumId w:val="1"/>
  </w:num>
  <w:num w:numId="11">
    <w:abstractNumId w:val="0"/>
  </w:num>
  <w:num w:numId="12">
    <w:abstractNumId w:val="5"/>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dirty"/>
  <w:defaultTabStop w:val="708"/>
  <w:hyphenationZone w:val="425"/>
  <w:evenAndOddHeaders/>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784"/>
    <w:rsid w:val="000314F3"/>
    <w:rsid w:val="000729E0"/>
    <w:rsid w:val="0007750E"/>
    <w:rsid w:val="0009463A"/>
    <w:rsid w:val="0009478D"/>
    <w:rsid w:val="000B64A1"/>
    <w:rsid w:val="001274DD"/>
    <w:rsid w:val="00151DE5"/>
    <w:rsid w:val="00192C26"/>
    <w:rsid w:val="00210C2F"/>
    <w:rsid w:val="002168BE"/>
    <w:rsid w:val="00220E57"/>
    <w:rsid w:val="002753ED"/>
    <w:rsid w:val="00277C9A"/>
    <w:rsid w:val="00286C7D"/>
    <w:rsid w:val="00293602"/>
    <w:rsid w:val="002A727C"/>
    <w:rsid w:val="002E34DF"/>
    <w:rsid w:val="003379E1"/>
    <w:rsid w:val="003F1206"/>
    <w:rsid w:val="004031A8"/>
    <w:rsid w:val="0042547B"/>
    <w:rsid w:val="00426486"/>
    <w:rsid w:val="004451E3"/>
    <w:rsid w:val="004C58DB"/>
    <w:rsid w:val="004F4088"/>
    <w:rsid w:val="00524782"/>
    <w:rsid w:val="005367EB"/>
    <w:rsid w:val="0057430B"/>
    <w:rsid w:val="00597336"/>
    <w:rsid w:val="005B095B"/>
    <w:rsid w:val="005B44C4"/>
    <w:rsid w:val="005D2BBC"/>
    <w:rsid w:val="005D696B"/>
    <w:rsid w:val="005F5DC7"/>
    <w:rsid w:val="00610AAA"/>
    <w:rsid w:val="00610C66"/>
    <w:rsid w:val="00624077"/>
    <w:rsid w:val="006764C1"/>
    <w:rsid w:val="006961BD"/>
    <w:rsid w:val="00696F6F"/>
    <w:rsid w:val="006A5952"/>
    <w:rsid w:val="006D0219"/>
    <w:rsid w:val="006E1512"/>
    <w:rsid w:val="007250F0"/>
    <w:rsid w:val="0072622D"/>
    <w:rsid w:val="00780CA4"/>
    <w:rsid w:val="00793F61"/>
    <w:rsid w:val="007B7BD1"/>
    <w:rsid w:val="007E640E"/>
    <w:rsid w:val="00832136"/>
    <w:rsid w:val="008805D6"/>
    <w:rsid w:val="00893924"/>
    <w:rsid w:val="008D149F"/>
    <w:rsid w:val="00910DC8"/>
    <w:rsid w:val="009226EF"/>
    <w:rsid w:val="009900F7"/>
    <w:rsid w:val="00994342"/>
    <w:rsid w:val="009D73FA"/>
    <w:rsid w:val="009E202F"/>
    <w:rsid w:val="009E381E"/>
    <w:rsid w:val="009F3320"/>
    <w:rsid w:val="00A117E7"/>
    <w:rsid w:val="00A2145B"/>
    <w:rsid w:val="00A44E77"/>
    <w:rsid w:val="00A70704"/>
    <w:rsid w:val="00B16942"/>
    <w:rsid w:val="00B17CCC"/>
    <w:rsid w:val="00B46857"/>
    <w:rsid w:val="00B57B14"/>
    <w:rsid w:val="00B81DFC"/>
    <w:rsid w:val="00BD4394"/>
    <w:rsid w:val="00BD6A02"/>
    <w:rsid w:val="00C043AC"/>
    <w:rsid w:val="00C11908"/>
    <w:rsid w:val="00C4100A"/>
    <w:rsid w:val="00C7347E"/>
    <w:rsid w:val="00C7645D"/>
    <w:rsid w:val="00C7737D"/>
    <w:rsid w:val="00CA2943"/>
    <w:rsid w:val="00CC186C"/>
    <w:rsid w:val="00CE434F"/>
    <w:rsid w:val="00D95E87"/>
    <w:rsid w:val="00DA6D6E"/>
    <w:rsid w:val="00DB1639"/>
    <w:rsid w:val="00DF6784"/>
    <w:rsid w:val="00E01A8C"/>
    <w:rsid w:val="00E21BF7"/>
    <w:rsid w:val="00E7043D"/>
    <w:rsid w:val="00ED5CA9"/>
    <w:rsid w:val="00F01193"/>
    <w:rsid w:val="00F27501"/>
    <w:rsid w:val="00F323E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2B612E79"/>
  <w15:docId w15:val="{A5BC4AF4-1548-410F-B7AA-FF75FABE8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u-ES" w:eastAsia="es-E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semiHidden="1" w:uiPriority="0" w:unhideWhenUsed="1"/>
    <w:lsdException w:name="List Number 3" w:locked="1" w:semiHidden="1" w:unhideWhenUsed="1"/>
    <w:lsdException w:name="List Number 4" w:locked="1" w:semiHidden="1" w:unhideWhenUsed="1"/>
    <w:lsdException w:name="List Number 5" w:semiHidden="1" w:uiPriority="0" w:unhideWhenUsed="1"/>
    <w:lsdException w:name="Title" w:locked="1" w:uiPriority="10" w:qFormat="1"/>
    <w:lsdException w:name="Closing" w:semiHidden="1" w:uiPriority="0" w:unhideWhenUsed="1"/>
    <w:lsdException w:name="Signature" w:semiHidden="1" w:uiPriority="0"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iPriority="0"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lsdException w:name="Table Subtle 2" w:locked="1" w:semiHidden="1" w:unhideWhenUsed="1"/>
    <w:lsdException w:name="Table Web 1" w:locked="1" w:semiHidden="1" w:unhideWhenUsed="1"/>
    <w:lsdException w:name="Table Web 2" w:locked="1"/>
    <w:lsdException w:name="Table Web 3" w:locked="1"/>
    <w:lsdException w:name="Balloon Text" w:locked="1" w:semiHidden="1" w:unhideWhenUsed="1"/>
    <w:lsdException w:name="Table Grid"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6857"/>
    <w:rPr>
      <w:sz w:val="20"/>
      <w:szCs w:val="20"/>
    </w:rPr>
  </w:style>
  <w:style w:type="paragraph" w:styleId="Ttulo1">
    <w:name w:val="heading 1"/>
    <w:basedOn w:val="Normal"/>
    <w:next w:val="Normal"/>
    <w:link w:val="Ttulo1Car"/>
    <w:uiPriority w:val="99"/>
    <w:qFormat/>
    <w:rsid w:val="00B46857"/>
    <w:pPr>
      <w:keepNext/>
      <w:jc w:val="right"/>
      <w:outlineLvl w:val="0"/>
    </w:pPr>
    <w:rPr>
      <w:rFonts w:ascii="Courier New" w:hAnsi="Courier New"/>
      <w:b/>
      <w:i/>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034FD"/>
    <w:rPr>
      <w:rFonts w:asciiTheme="majorHAnsi" w:eastAsiaTheme="majorEastAsia" w:hAnsiTheme="majorHAnsi" w:cstheme="majorBidi"/>
      <w:b/>
      <w:bCs/>
      <w:kern w:val="32"/>
      <w:sz w:val="32"/>
      <w:szCs w:val="32"/>
    </w:rPr>
  </w:style>
  <w:style w:type="paragraph" w:styleId="Textodeglobo">
    <w:name w:val="Balloon Text"/>
    <w:basedOn w:val="Normal"/>
    <w:link w:val="TextodegloboCar"/>
    <w:uiPriority w:val="99"/>
    <w:semiHidden/>
    <w:rsid w:val="005367EB"/>
    <w:rPr>
      <w:rFonts w:ascii="Tahoma" w:hAnsi="Tahoma" w:cs="Tahoma"/>
      <w:sz w:val="16"/>
      <w:szCs w:val="16"/>
    </w:rPr>
  </w:style>
  <w:style w:type="character" w:customStyle="1" w:styleId="TextodegloboCar">
    <w:name w:val="Texto de globo Car"/>
    <w:basedOn w:val="Fuentedeprrafopredeter"/>
    <w:link w:val="Textodeglobo"/>
    <w:uiPriority w:val="99"/>
    <w:semiHidden/>
    <w:rsid w:val="00A034FD"/>
    <w:rPr>
      <w:sz w:val="0"/>
      <w:szCs w:val="0"/>
    </w:rPr>
  </w:style>
  <w:style w:type="paragraph" w:styleId="Encabezado">
    <w:name w:val="header"/>
    <w:basedOn w:val="Normal"/>
    <w:link w:val="EncabezadoCar"/>
    <w:uiPriority w:val="99"/>
    <w:pPr>
      <w:tabs>
        <w:tab w:val="center" w:pos="4252"/>
        <w:tab w:val="right" w:pos="8504"/>
      </w:tabs>
    </w:pPr>
  </w:style>
  <w:style w:type="character" w:customStyle="1" w:styleId="EncabezadoCar">
    <w:name w:val="Encabezado Car"/>
    <w:basedOn w:val="Fuentedeprrafopredeter"/>
    <w:link w:val="Encabezado"/>
    <w:uiPriority w:val="99"/>
    <w:semiHidden/>
    <w:rsid w:val="00A034FD"/>
    <w:rPr>
      <w:sz w:val="20"/>
      <w:szCs w:val="20"/>
    </w:rPr>
  </w:style>
  <w:style w:type="paragraph" w:styleId="Piedepgina">
    <w:name w:val="footer"/>
    <w:basedOn w:val="Normal"/>
    <w:link w:val="PiedepginaCar"/>
    <w:uiPriority w:val="99"/>
    <w:pPr>
      <w:tabs>
        <w:tab w:val="center" w:pos="4252"/>
        <w:tab w:val="right" w:pos="8504"/>
      </w:tabs>
    </w:pPr>
  </w:style>
  <w:style w:type="character" w:customStyle="1" w:styleId="PiedepginaCar">
    <w:name w:val="Pie de página Car"/>
    <w:basedOn w:val="Fuentedeprrafopredeter"/>
    <w:link w:val="Piedepgina"/>
    <w:uiPriority w:val="99"/>
    <w:semiHidden/>
    <w:rsid w:val="00A034FD"/>
    <w:rPr>
      <w:sz w:val="20"/>
      <w:szCs w:val="20"/>
    </w:rPr>
  </w:style>
  <w:style w:type="paragraph" w:styleId="Mapadeldocumento">
    <w:name w:val="Document Map"/>
    <w:basedOn w:val="Normal"/>
    <w:link w:val="MapadeldocumentoCar"/>
    <w:uiPriority w:val="99"/>
    <w:rPr>
      <w:rFonts w:ascii="Lucida Grande" w:hAnsi="Lucida Grande"/>
    </w:rPr>
  </w:style>
  <w:style w:type="character" w:customStyle="1" w:styleId="MapadeldocumentoCar">
    <w:name w:val="Mapa del documento Car"/>
    <w:basedOn w:val="Fuentedeprrafopredeter"/>
    <w:link w:val="Mapadeldocumento"/>
    <w:uiPriority w:val="99"/>
    <w:locked/>
    <w:rPr>
      <w:rFonts w:ascii="Lucida Grande" w:hAnsi="Lucida Grande" w:cs="Times New Roman"/>
      <w:sz w:val="24"/>
      <w:szCs w:val="24"/>
      <w:lang w:val="eu-ES" w:eastAsia="es-ES"/>
    </w:rPr>
  </w:style>
  <w:style w:type="table" w:styleId="Tablaconcuadrcula">
    <w:name w:val="Table Grid"/>
    <w:basedOn w:val="Tablanormal"/>
    <w:uiPriority w:val="39"/>
    <w:rsid w:val="00B4685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uiPriority w:val="99"/>
    <w:rsid w:val="00A2145B"/>
    <w:rPr>
      <w:rFonts w:cs="Times New Roman"/>
    </w:rPr>
  </w:style>
  <w:style w:type="paragraph" w:styleId="Prrafodelista">
    <w:name w:val="List Paragraph"/>
    <w:basedOn w:val="Normal"/>
    <w:uiPriority w:val="34"/>
    <w:qFormat/>
    <w:rsid w:val="00B81DFC"/>
    <w:pPr>
      <w:ind w:left="720"/>
      <w:contextualSpacing/>
    </w:pPr>
    <w:rPr>
      <w:rFonts w:ascii="Calibri" w:hAnsi="Calibri" w:cs="Calibri"/>
      <w:sz w:val="22"/>
      <w:szCs w:val="22"/>
      <w:lang w:eastAsia="en-US"/>
    </w:rPr>
  </w:style>
  <w:style w:type="paragraph" w:customStyle="1" w:styleId="foral-f-titulo4-t8-c">
    <w:name w:val="foral-f-titulo4-t8-c"/>
    <w:basedOn w:val="Normal"/>
    <w:rsid w:val="00F27501"/>
    <w:pPr>
      <w:spacing w:before="100" w:beforeAutospacing="1" w:after="100" w:afterAutospacing="1"/>
    </w:pPr>
    <w:rPr>
      <w:sz w:val="24"/>
      <w:szCs w:val="24"/>
    </w:rPr>
  </w:style>
  <w:style w:type="paragraph" w:customStyle="1" w:styleId="foral-f-parrafo-c">
    <w:name w:val="foral-f-parrafo-c"/>
    <w:basedOn w:val="Normal"/>
    <w:rsid w:val="00F27501"/>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090130">
      <w:bodyDiv w:val="1"/>
      <w:marLeft w:val="0"/>
      <w:marRight w:val="0"/>
      <w:marTop w:val="0"/>
      <w:marBottom w:val="0"/>
      <w:divBdr>
        <w:top w:val="none" w:sz="0" w:space="0" w:color="auto"/>
        <w:left w:val="none" w:sz="0" w:space="0" w:color="auto"/>
        <w:bottom w:val="none" w:sz="0" w:space="0" w:color="auto"/>
        <w:right w:val="none" w:sz="0" w:space="0" w:color="auto"/>
      </w:divBdr>
    </w:div>
    <w:div w:id="1797945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6</Pages>
  <Words>2121</Words>
  <Characters>11184</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En relación a la petición de información/pregunta escrita 10-20-XXXX, presentada por el Grupo Parlamentario XXXX, el Consejero de Educación,</vt:lpstr>
    </vt:vector>
  </TitlesOfParts>
  <Company>Gobierno de Navarra</Company>
  <LinksUpToDate>false</LinksUpToDate>
  <CharactersWithSpaces>13279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 relación a la petición de información/pregunta escrita 10-20-XXXX, presentada por el Grupo Parlamentario XXXX, el Consejero de Educación,</dc:title>
  <dc:subject/>
  <dc:creator>mac</dc:creator>
  <cp:keywords/>
  <dc:description/>
  <cp:lastModifiedBy>Fernández Pérez, Beatriz</cp:lastModifiedBy>
  <cp:revision>3</cp:revision>
  <cp:lastPrinted>2026-05-25T07:07:00Z</cp:lastPrinted>
  <dcterms:created xsi:type="dcterms:W3CDTF">2026-05-27T10:25:00Z</dcterms:created>
  <dcterms:modified xsi:type="dcterms:W3CDTF">2026-06-01T06:11:00Z</dcterms:modified>
</cp:coreProperties>
</file>