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BC22" w14:textId="3C8F7EE2" w:rsidR="00934199" w:rsidRPr="00427888" w:rsidRDefault="00B07455" w:rsidP="00427888">
      <w:pPr>
        <w:spacing w:before="120" w:after="120" w:line="276" w:lineRule="auto"/>
        <w:ind w:firstLine="540"/>
        <w:rPr>
          <w:color w:val="000000"/>
          <w:sz w:val="22"/>
          <w:szCs w:val="22"/>
          <w:rFonts w:asciiTheme="minorHAnsi" w:hAnsiTheme="minorHAnsi" w:cstheme="minorHAnsi"/>
        </w:rPr>
      </w:pPr>
      <w:r>
        <w:rPr>
          <w:sz w:val="22"/>
          <w:color w:val="000000"/>
          <w:rFonts w:asciiTheme="minorHAnsi" w:hAnsiTheme="minorHAnsi"/>
        </w:rPr>
        <w:t xml:space="preserve">UPN talde parlamentarioari atxikitako foru parlamentari</w:t>
      </w:r>
      <w:r>
        <w:rPr>
          <w:sz w:val="22"/>
          <w:color w:val="000000"/>
          <w:rFonts w:asciiTheme="minorHAnsi" w:hAnsiTheme="minorHAnsi"/>
        </w:rPr>
        <w:t xml:space="preserve"> Félix Zapatero Soria </w:t>
      </w:r>
      <w:r>
        <w:rPr>
          <w:sz w:val="22"/>
          <w:rFonts w:asciiTheme="minorHAnsi" w:hAnsiTheme="minorHAnsi"/>
        </w:rPr>
        <w:t xml:space="preserve">jaunak 11-26/PES-00128 idatzizko galdera egin zuen, Ehiza Antolatzeko Planen luzapenaren gainean. Bada, Landa Garapeneko eta Ingurumeneko kontseilaria naizen aldetik, honako hau jakinarazten dut egindako galderei erantzunez:</w:t>
      </w:r>
    </w:p>
    <w:p w14:paraId="242A6A07" w14:textId="77777777" w:rsidR="007C4F2E" w:rsidRPr="00427888" w:rsidRDefault="007C4F2E" w:rsidP="00427888">
      <w:pPr>
        <w:spacing w:before="120" w:after="120" w:line="276" w:lineRule="auto"/>
        <w:ind w:firstLine="709"/>
        <w:rPr>
          <w:b/>
          <w:i/>
          <w:sz w:val="22"/>
          <w:szCs w:val="22"/>
          <w:rFonts w:asciiTheme="minorHAnsi" w:hAnsiTheme="minorHAnsi" w:cstheme="minorHAnsi"/>
        </w:rPr>
      </w:pPr>
      <w:r>
        <w:rPr>
          <w:b/>
          <w:i/>
          <w:sz w:val="22"/>
          <w:rFonts w:asciiTheme="minorHAnsi" w:hAnsiTheme="minorHAnsi"/>
        </w:rPr>
        <w:t xml:space="preserve">Landa Garapeneko eta Ingurumeneko Departamentuaren ustez, juridikoki erabaki al daiteke ehiza antolatzeko plan indardunak modu orokortuan luzatzea harik eta ehizari edo ehiza-kudeaketari buruzko foru-lege bat eta hura garatzeko araudia onetsi eta indarrean sartu arte?</w:t>
      </w:r>
      <w:r>
        <w:rPr>
          <w:b/>
          <w:i/>
          <w:sz w:val="22"/>
          <w:rFonts w:asciiTheme="minorHAnsi" w:hAnsiTheme="minorHAnsi"/>
        </w:rPr>
        <w:t xml:space="preserve"> </w:t>
      </w:r>
      <w:r>
        <w:rPr>
          <w:b/>
          <w:i/>
          <w:sz w:val="22"/>
          <w:rFonts w:asciiTheme="minorHAnsi" w:hAnsiTheme="minorHAnsi"/>
        </w:rPr>
        <w:t xml:space="preserve">Baiezkoan, adierazi zer arau zehatzetan izanen lukeen babeslekua erabaki horrek.</w:t>
      </w:r>
      <w:r>
        <w:rPr>
          <w:b/>
          <w:i/>
          <w:sz w:val="22"/>
          <w:rFonts w:asciiTheme="minorHAnsi" w:hAnsiTheme="minorHAnsi"/>
        </w:rPr>
        <w:t xml:space="preserve"> </w:t>
      </w:r>
    </w:p>
    <w:p w14:paraId="0A3243D2"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Ehiza antolatzeko planen indarraldia arautzen duen egungo araudia honako hau da:</w:t>
      </w:r>
    </w:p>
    <w:p w14:paraId="45608862"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 17/2005 Foru Legea, abenduaren 22koa, Nafarroako ehizari buruzkoa (155. NAO, 2005eko abenduaren 28koa).</w:t>
      </w:r>
    </w:p>
    <w:p w14:paraId="235D012D"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 48/2007 Foru Dekretua, ekainaren 11koa; honen bidez Nafarroako ehizari eta arrantzari buruzko abenduaren 22ko 17/2005 Foru Legea garatu eta betearaziko duen erregelamendua onetsi da (87. NAO, 2007ko uztailaren 16koa).</w:t>
      </w:r>
    </w:p>
    <w:p w14:paraId="4202F290"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w:t>
      </w:r>
      <w:r>
        <w:rPr>
          <w:sz w:val="22"/>
          <w:rFonts w:asciiTheme="minorHAnsi" w:hAnsiTheme="minorHAnsi"/>
        </w:rPr>
        <w:tab/>
      </w:r>
      <w:r>
        <w:rPr>
          <w:sz w:val="22"/>
          <w:rFonts w:asciiTheme="minorHAnsi" w:hAnsiTheme="minorHAnsi"/>
        </w:rPr>
        <w:t xml:space="preserve">7/2022 Ebazpena, otsailaren 25ekoa, Ingurumeneko zuzendari nagusiak emana, zeinaren bidez eguneratzen baitira Nafarroan ehiza antolatzeko planak prestatzeko baldintza-agiria eta inprimaki teknikoa, Ingurumenaren eta Uraren zuzendari nagusiaren urtarrilaren 26ko 125/2012 Ebazpenaren bidez onetsiak.</w:t>
      </w:r>
      <w:r>
        <w:rPr>
          <w:sz w:val="22"/>
          <w:rFonts w:asciiTheme="minorHAnsi" w:hAnsiTheme="minorHAnsi"/>
        </w:rPr>
        <w:t xml:space="preserve"> </w:t>
      </w:r>
      <w:r>
        <w:rPr>
          <w:sz w:val="22"/>
          <w:rFonts w:asciiTheme="minorHAnsi" w:hAnsiTheme="minorHAnsi"/>
        </w:rPr>
        <w:t xml:space="preserve">(28. NAO, 2022eko martxoaren 22koa).</w:t>
      </w:r>
    </w:p>
    <w:p w14:paraId="245B0564" w14:textId="3CEBEB4A" w:rsidR="007C4F2E" w:rsidRPr="00427888" w:rsidRDefault="00427888"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Ehiza Antolatzeko Planen (EAP) indarraldiari dagokionez, Nafarroako Ehizari buruzko abenduaren 22ko 17/2005 Foru Legearen 36. artikuluak EAParen indarraldia luzatzeko bi kasu ezartzen ditu:</w:t>
      </w:r>
    </w:p>
    <w:p w14:paraId="52EA8E71" w14:textId="77777777" w:rsidR="007C4F2E" w:rsidRPr="00427888" w:rsidRDefault="007C4F2E" w:rsidP="00427888">
      <w:pPr>
        <w:spacing w:before="120" w:after="120" w:line="276" w:lineRule="auto"/>
        <w:ind w:left="708" w:firstLine="709"/>
        <w:rPr>
          <w:i/>
          <w:sz w:val="22"/>
          <w:szCs w:val="22"/>
          <w:rFonts w:asciiTheme="minorHAnsi" w:hAnsiTheme="minorHAnsi" w:cstheme="minorHAnsi"/>
        </w:rPr>
      </w:pPr>
      <w:r>
        <w:rPr>
          <w:i/>
          <w:sz w:val="22"/>
          <w:rFonts w:asciiTheme="minorHAnsi" w:hAnsiTheme="minorHAnsi"/>
        </w:rPr>
        <w:t xml:space="preserve">“Ehiza antolatzeko planek gehienez ere bost urte iraunen dute indarrean, edo barrutiaren nahiz ehiza kontrolatuko eremuaren indarraldia amaitu arte, lehenago amaitzen bada.</w:t>
      </w:r>
      <w:r>
        <w:rPr>
          <w:i/>
          <w:sz w:val="22"/>
          <w:rFonts w:asciiTheme="minorHAnsi" w:hAnsiTheme="minorHAnsi"/>
        </w:rPr>
        <w:t xml:space="preserve"> </w:t>
      </w:r>
      <w:r>
        <w:rPr>
          <w:i/>
          <w:sz w:val="22"/>
          <w:rFonts w:asciiTheme="minorHAnsi" w:hAnsiTheme="minorHAnsi"/>
        </w:rPr>
        <w:t xml:space="preserve">Ehiza antolatzeko plana iraungitzen denean barrutia iraungitzeko bi urte edo gutxiago falta bada, planaren indarraldia barrutia iraungi arte luzatu ahal izanen da.</w:t>
      </w:r>
    </w:p>
    <w:p w14:paraId="0B6758F9" w14:textId="57B977EE" w:rsidR="007C4F2E" w:rsidRPr="00427888" w:rsidRDefault="007C4F2E" w:rsidP="00427888">
      <w:pPr>
        <w:spacing w:before="120" w:after="120" w:line="276" w:lineRule="auto"/>
        <w:ind w:left="708" w:firstLine="709"/>
        <w:rPr>
          <w:i/>
          <w:sz w:val="22"/>
          <w:szCs w:val="22"/>
          <w:rFonts w:asciiTheme="minorHAnsi" w:hAnsiTheme="minorHAnsi" w:cstheme="minorHAnsi"/>
        </w:rPr>
      </w:pPr>
      <w:r>
        <w:rPr>
          <w:i/>
          <w:sz w:val="22"/>
          <w:rFonts w:asciiTheme="minorHAnsi" w:hAnsiTheme="minorHAnsi"/>
        </w:rPr>
        <w:t xml:space="preserve">Aurkezturiko ehiza antolatzeko plana onetsi ezean, 35. artikuluko 2. idatz-zatiari jarraituz, aurreko planaren indarraldia automatikoki luzatutzat joko da, gehienez ere urtebeteko eperako”.</w:t>
      </w:r>
    </w:p>
    <w:p w14:paraId="16CD0CB8"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Nafarroako Ehizari buruzko abenduaren 22ko 17/2005 Foru Legea garatu eta betearazteko Erregelamenduaren –ekainaren 11ko 48/2007 Foru Dekretu bidez onetsirikoaren– 33. artikuluak honako hau ezartzen du:</w:t>
      </w:r>
    </w:p>
    <w:p w14:paraId="536DB487" w14:textId="77777777" w:rsidR="007C4F2E" w:rsidRPr="00427888" w:rsidRDefault="007C4F2E" w:rsidP="00427888">
      <w:pPr>
        <w:spacing w:before="120" w:after="120" w:line="276" w:lineRule="auto"/>
        <w:ind w:left="708" w:firstLine="709"/>
        <w:rPr>
          <w:i/>
          <w:sz w:val="22"/>
          <w:szCs w:val="22"/>
          <w:rFonts w:asciiTheme="minorHAnsi" w:hAnsiTheme="minorHAnsi" w:cstheme="minorHAnsi"/>
        </w:rPr>
      </w:pPr>
      <w:r>
        <w:rPr>
          <w:i/>
          <w:sz w:val="22"/>
          <w:rFonts w:asciiTheme="minorHAnsi" w:hAnsiTheme="minorHAnsi"/>
        </w:rPr>
        <w:t xml:space="preserve">“1.</w:t>
      </w:r>
      <w:r>
        <w:rPr>
          <w:i/>
          <w:sz w:val="22"/>
          <w:rFonts w:asciiTheme="minorHAnsi" w:hAnsiTheme="minorHAnsi"/>
        </w:rPr>
        <w:t xml:space="preserve"> </w:t>
      </w:r>
      <w:r>
        <w:rPr>
          <w:i/>
          <w:sz w:val="22"/>
          <w:rFonts w:asciiTheme="minorHAnsi" w:hAnsiTheme="minorHAnsi"/>
        </w:rPr>
        <w:t xml:space="preserve">Ehiza antolatzeko planek gehienez ere bost urte iraunen dute indarrean, edo barrutiaren nahiz ehiza kontrolatuko eremuaren indarraldia amaitu arte, lehenago amaitzen bada.</w:t>
      </w:r>
      <w:r>
        <w:rPr>
          <w:i/>
          <w:sz w:val="22"/>
          <w:rFonts w:asciiTheme="minorHAnsi" w:hAnsiTheme="minorHAnsi"/>
        </w:rPr>
        <w:t xml:space="preserve"> </w:t>
      </w:r>
      <w:r>
        <w:rPr>
          <w:i/>
          <w:sz w:val="22"/>
          <w:rFonts w:asciiTheme="minorHAnsi" w:hAnsiTheme="minorHAnsi"/>
        </w:rPr>
        <w:t xml:space="preserve">Ehiza antolatzeko plana iraungitzen denean barrutia iraungitzeko bi urte edo gutxiago falta bada, planaren indarraldia barrutia iraungi arte luzatu ahal izanen da.</w:t>
      </w:r>
    </w:p>
    <w:p w14:paraId="32B37609" w14:textId="77777777" w:rsidR="007C4F2E" w:rsidRPr="00427888" w:rsidRDefault="007C4F2E" w:rsidP="00427888">
      <w:pPr>
        <w:spacing w:before="120" w:after="120" w:line="276" w:lineRule="auto"/>
        <w:ind w:left="708" w:firstLine="709"/>
        <w:rPr>
          <w:i/>
          <w:sz w:val="22"/>
          <w:szCs w:val="22"/>
          <w:rFonts w:asciiTheme="minorHAnsi" w:hAnsiTheme="minorHAnsi" w:cstheme="minorHAnsi"/>
        </w:rPr>
      </w:pPr>
      <w:r>
        <w:rPr>
          <w:i/>
          <w:sz w:val="22"/>
          <w:rFonts w:asciiTheme="minorHAnsi" w:hAnsiTheme="minorHAnsi"/>
        </w:rPr>
        <w:t xml:space="preserve">2. Aurkeztutako ehiza antolatzeko plana onesten ez bada, aurreko plana berez luzatuko da, eta luzatu ere urtebete gehienez, aurrekoa amaitzen den egunetik aurrera zenbatuta.</w:t>
      </w:r>
    </w:p>
    <w:p w14:paraId="29C40CB1" w14:textId="3EC480E6" w:rsidR="007C4F2E" w:rsidRPr="00427888" w:rsidRDefault="007C4F2E" w:rsidP="00427888">
      <w:pPr>
        <w:spacing w:before="120" w:after="120" w:line="276" w:lineRule="auto"/>
        <w:ind w:left="708" w:firstLine="709"/>
        <w:rPr>
          <w:i/>
          <w:sz w:val="22"/>
          <w:szCs w:val="22"/>
          <w:rFonts w:asciiTheme="minorHAnsi" w:hAnsiTheme="minorHAnsi" w:cstheme="minorHAnsi"/>
        </w:rPr>
      </w:pPr>
      <w:r>
        <w:rPr>
          <w:i/>
          <w:sz w:val="22"/>
          <w:rFonts w:asciiTheme="minorHAnsi" w:hAnsiTheme="minorHAnsi"/>
        </w:rPr>
        <w:t xml:space="preserve">3. Ehiza antolatzeko plan baten indarraldia ezin luzatu izango da lehendik ere luzatu bada amaiera-eguna ehiza-esparruaren indarraldiaren amaierarekin bat etortzeko”.</w:t>
      </w:r>
    </w:p>
    <w:p w14:paraId="61279879"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Aurrekoa kontuan izanik:</w:t>
      </w:r>
    </w:p>
    <w:p w14:paraId="4711404F" w14:textId="77777777"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1. 2026aren hasieratik, ehiza barrutien kudeaketaren edo aprobetxamenduaren titularrei –horien indarraldia 2025-2026 ehiza denboraldi honen amaieran iraungi da– jakinarazi zaie beharrezkoa dela EAPa berritzea edo barruti berri bat eratzea eta dagokion EAPa onestea, hurrengo ehiza denboraldian ehizatzeko aukera egon dadin.</w:t>
      </w:r>
    </w:p>
    <w:p w14:paraId="7BDCF52E" w14:textId="53D78AB5"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2. Gaur egunean, ehiza denboraldi honen amaieran iraungiko diren 26 EAP berritzeko izapidealdian gaude, horiei dagozkien ehiza barrutiak indarrean egonik.</w:t>
      </w:r>
      <w:r>
        <w:rPr>
          <w:sz w:val="22"/>
          <w:rFonts w:asciiTheme="minorHAnsi" w:hAnsiTheme="minorHAnsi"/>
        </w:rPr>
        <w:t xml:space="preserve"> </w:t>
      </w:r>
      <w:r>
        <w:rPr>
          <w:sz w:val="22"/>
          <w:rFonts w:asciiTheme="minorHAnsi" w:hAnsiTheme="minorHAnsi"/>
        </w:rPr>
        <w:t xml:space="preserve">Berritze horietan, aurkeztutako ehiza antolatzeko plana onesten ez bada, aurreko plana berez luzatuko da, eta luzatu ere urtebete gehienez, aurrekoa amaitzen den egunetik aurrera zenbatuta.</w:t>
      </w:r>
      <w:r>
        <w:rPr>
          <w:sz w:val="22"/>
          <w:rFonts w:asciiTheme="minorHAnsi" w:hAnsiTheme="minorHAnsi"/>
        </w:rPr>
        <w:t xml:space="preserve"> </w:t>
      </w:r>
    </w:p>
    <w:p w14:paraId="66B6E7C9" w14:textId="0EFB256D" w:rsidR="007C4F2E" w:rsidRPr="00427888" w:rsidRDefault="007C4F2E" w:rsidP="00427888">
      <w:pPr>
        <w:spacing w:before="120" w:after="120" w:line="276" w:lineRule="auto"/>
        <w:ind w:firstLine="709"/>
        <w:rPr>
          <w:sz w:val="22"/>
          <w:szCs w:val="22"/>
          <w:rFonts w:asciiTheme="minorHAnsi" w:hAnsiTheme="minorHAnsi" w:cstheme="minorHAnsi"/>
        </w:rPr>
      </w:pPr>
      <w:r>
        <w:rPr>
          <w:sz w:val="22"/>
          <w:rFonts w:asciiTheme="minorHAnsi" w:hAnsiTheme="minorHAnsi"/>
        </w:rPr>
        <w:t xml:space="preserve">3. Ehiza barrutien indarraldia amaitzearen aldi berean iraungitzen diren gainerako EAPen kasuan, behin ehiza barrutiak eratuta daudela, aurreko EAPa sorrarazi zuten inguruabarren antzekoak mantentzen badira, aurkeztu eta baliozkotzen ahalko dira, bidezko diren eguneratzeak egin ondoren betiere.</w:t>
      </w:r>
    </w:p>
    <w:p w14:paraId="11E6F073" w14:textId="77777777" w:rsidR="0037547B" w:rsidRPr="00427888" w:rsidRDefault="007C4F2E" w:rsidP="00427888">
      <w:pPr>
        <w:spacing w:after="120" w:line="276" w:lineRule="auto"/>
        <w:ind w:firstLine="709"/>
        <w:rPr>
          <w:b/>
          <w:i/>
          <w:sz w:val="22"/>
          <w:szCs w:val="22"/>
          <w:rFonts w:asciiTheme="minorHAnsi" w:hAnsiTheme="minorHAnsi" w:cstheme="minorHAnsi"/>
        </w:rPr>
      </w:pPr>
      <w:r>
        <w:rPr>
          <w:b/>
          <w:i/>
          <w:sz w:val="22"/>
          <w:rFonts w:asciiTheme="minorHAnsi" w:hAnsiTheme="minorHAnsi"/>
        </w:rPr>
        <w:t xml:space="preserve">Ehiza antolatzeko planen balizko luzapen batek zer ondorio juridiko izanen luke indarraldi administratiboa, esleipena, errentamendua edo gaikuntza-titulua ere 2026an bukatuko zaien barrutietan?</w:t>
      </w:r>
    </w:p>
    <w:p w14:paraId="63A32ADD" w14:textId="77777777" w:rsidR="00A56CCF" w:rsidRPr="00427888" w:rsidRDefault="007D191A" w:rsidP="00427888">
      <w:pPr>
        <w:spacing w:after="120" w:line="276" w:lineRule="auto"/>
        <w:ind w:firstLine="709"/>
        <w:rPr>
          <w:color w:val="000000"/>
          <w:sz w:val="22"/>
          <w:szCs w:val="22"/>
          <w:rFonts w:asciiTheme="minorHAnsi" w:hAnsiTheme="minorHAnsi" w:cstheme="minorHAnsi"/>
        </w:rPr>
      </w:pPr>
      <w:r>
        <w:rPr>
          <w:color w:val="000000"/>
          <w:sz w:val="22"/>
          <w:rFonts w:asciiTheme="minorHAnsi" w:hAnsiTheme="minorHAnsi"/>
        </w:rPr>
        <w:t xml:space="preserve">Jakinarazi da ondorio juridikoak izanen liratekeela luzapenaren indarraldian Ehiza Antolatzeko Plan bat indarrean izateak ekarriko lituzkeenak.</w:t>
      </w:r>
    </w:p>
    <w:p w14:paraId="3E165FF6" w14:textId="1391BB71" w:rsidR="00A56CCF" w:rsidRPr="00427888" w:rsidRDefault="00A56CCF" w:rsidP="00427888">
      <w:pPr>
        <w:spacing w:after="120" w:line="276" w:lineRule="auto"/>
        <w:ind w:firstLine="540"/>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 betez.</w:t>
      </w:r>
    </w:p>
    <w:p w14:paraId="7E7B3D88" w14:textId="2F846F2A" w:rsidR="00731898" w:rsidRPr="00427888" w:rsidRDefault="00731898" w:rsidP="00427888">
      <w:pPr>
        <w:spacing w:after="120" w:line="276" w:lineRule="auto"/>
        <w:ind w:firstLine="540"/>
        <w:rPr>
          <w:color w:val="000000"/>
          <w:sz w:val="22"/>
          <w:szCs w:val="22"/>
          <w:rFonts w:asciiTheme="minorHAnsi" w:hAnsiTheme="minorHAnsi" w:cstheme="minorHAnsi"/>
        </w:rPr>
      </w:pPr>
      <w:r>
        <w:rPr>
          <w:color w:val="000000"/>
          <w:sz w:val="22"/>
          <w:rFonts w:asciiTheme="minorHAnsi" w:hAnsiTheme="minorHAnsi"/>
        </w:rPr>
        <w:t xml:space="preserve">Iruñean, 2026ko ekainaren 1ean</w:t>
      </w:r>
    </w:p>
    <w:p w14:paraId="3ED037D7" w14:textId="51EEEA02" w:rsidR="00D77C2F" w:rsidRPr="00427888" w:rsidRDefault="00427888" w:rsidP="00427888">
      <w:pPr>
        <w:spacing w:after="120" w:line="276" w:lineRule="auto"/>
        <w:outlineLvl w:val="0"/>
        <w:rPr>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José María Aierdi Fernández de Barrena</w:t>
      </w:r>
    </w:p>
    <w:sectPr w:rsidR="00D77C2F" w:rsidRPr="00427888" w:rsidSect="00427888">
      <w:headerReference w:type="default" r:id="rId7"/>
      <w:footerReference w:type="even" r:id="rId8"/>
      <w:footerReference w:type="default" r:id="rId9"/>
      <w:pgSz w:w="11906" w:h="16838" w:code="9"/>
      <w:pgMar w:top="1843"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A1C3" w14:textId="77777777" w:rsidR="004F68BB" w:rsidRDefault="004F68BB" w:rsidP="00381BB8">
      <w:pPr>
        <w:pStyle w:val="Encabezado"/>
      </w:pPr>
      <w:r>
        <w:separator/>
      </w:r>
    </w:p>
  </w:endnote>
  <w:endnote w:type="continuationSeparator" w:id="0">
    <w:p w14:paraId="34D56B23" w14:textId="77777777" w:rsidR="004F68BB" w:rsidRDefault="004F68B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C164"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410497">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E62A" w14:textId="7E0436E4"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51C" w14:textId="77777777" w:rsidR="004F68BB" w:rsidRDefault="004F68BB" w:rsidP="00381BB8">
      <w:pPr>
        <w:pStyle w:val="Encabezado"/>
      </w:pPr>
      <w:r>
        <w:separator/>
      </w:r>
    </w:p>
  </w:footnote>
  <w:footnote w:type="continuationSeparator" w:id="0">
    <w:p w14:paraId="5E516E39" w14:textId="77777777" w:rsidR="004F68BB" w:rsidRDefault="004F68B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39C4" w14:textId="60DB6474"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386293993">
    <w:abstractNumId w:val="7"/>
  </w:num>
  <w:num w:numId="2" w16cid:durableId="1450588495">
    <w:abstractNumId w:val="3"/>
  </w:num>
  <w:num w:numId="3" w16cid:durableId="900402895">
    <w:abstractNumId w:val="8"/>
  </w:num>
  <w:num w:numId="4" w16cid:durableId="787553775">
    <w:abstractNumId w:val="14"/>
  </w:num>
  <w:num w:numId="5" w16cid:durableId="112211591">
    <w:abstractNumId w:val="1"/>
  </w:num>
  <w:num w:numId="6" w16cid:durableId="34696360">
    <w:abstractNumId w:val="13"/>
  </w:num>
  <w:num w:numId="7" w16cid:durableId="1259830152">
    <w:abstractNumId w:val="5"/>
  </w:num>
  <w:num w:numId="8" w16cid:durableId="595017499">
    <w:abstractNumId w:val="4"/>
  </w:num>
  <w:num w:numId="9" w16cid:durableId="170073222">
    <w:abstractNumId w:val="6"/>
  </w:num>
  <w:num w:numId="10" w16cid:durableId="9559897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456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5160015">
    <w:abstractNumId w:val="15"/>
  </w:num>
  <w:num w:numId="13" w16cid:durableId="1025716540">
    <w:abstractNumId w:val="2"/>
  </w:num>
  <w:num w:numId="14" w16cid:durableId="2029523976">
    <w:abstractNumId w:val="12"/>
  </w:num>
  <w:num w:numId="15" w16cid:durableId="1426809136">
    <w:abstractNumId w:val="0"/>
  </w:num>
  <w:num w:numId="16" w16cid:durableId="595747140">
    <w:abstractNumId w:val="9"/>
  </w:num>
  <w:num w:numId="17" w16cid:durableId="1606500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9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497"/>
    <w:rsid w:val="00410A47"/>
    <w:rsid w:val="00410F35"/>
    <w:rsid w:val="00412EB7"/>
    <w:rsid w:val="004137D6"/>
    <w:rsid w:val="004148B3"/>
    <w:rsid w:val="004151FA"/>
    <w:rsid w:val="00415CB1"/>
    <w:rsid w:val="0041642D"/>
    <w:rsid w:val="00417309"/>
    <w:rsid w:val="00420B84"/>
    <w:rsid w:val="0042685B"/>
    <w:rsid w:val="00427888"/>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68BB"/>
    <w:rsid w:val="004F7529"/>
    <w:rsid w:val="004F7F98"/>
    <w:rsid w:val="00500B38"/>
    <w:rsid w:val="00503A49"/>
    <w:rsid w:val="005074D0"/>
    <w:rsid w:val="00507EE6"/>
    <w:rsid w:val="005125D2"/>
    <w:rsid w:val="00514140"/>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1898"/>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4F2E"/>
    <w:rsid w:val="007C58F7"/>
    <w:rsid w:val="007C5B0A"/>
    <w:rsid w:val="007C5EF9"/>
    <w:rsid w:val="007C6186"/>
    <w:rsid w:val="007C7035"/>
    <w:rsid w:val="007D03E6"/>
    <w:rsid w:val="007D191A"/>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81C"/>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D53"/>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05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71EE"/>
  <w15:chartTrackingRefBased/>
  <w15:docId w15:val="{D1BD739D-F65B-441C-9CBE-93917CE3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PES.dot</Template>
  <TotalTime>5</TotalTime>
  <Pages>2</Pages>
  <Words>759</Words>
  <Characters>4178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Martin Cestao, Nerea</cp:lastModifiedBy>
  <cp:revision>4</cp:revision>
  <cp:lastPrinted>2018-10-15T10:28:00Z</cp:lastPrinted>
  <dcterms:created xsi:type="dcterms:W3CDTF">2026-06-01T12:40:00Z</dcterms:created>
  <dcterms:modified xsi:type="dcterms:W3CDTF">2026-06-02T07:36:00Z</dcterms:modified>
</cp:coreProperties>
</file>